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EE" w14:textId="777620A2" w:rsidR="0081429A" w:rsidRDefault="0084782B" w:rsidP="00A63D55">
      <w:pPr>
        <w:pStyle w:val="Covertitle"/>
      </w:pPr>
      <w:r>
        <w:t xml:space="preserve">Framework for Improving </w:t>
      </w:r>
      <w:r w:rsidR="0081429A">
        <w:t xml:space="preserve">     </w:t>
      </w:r>
      <w:r>
        <w:t>Student Outcomes</w:t>
      </w:r>
      <w:r w:rsidR="00400128">
        <w:t xml:space="preserve"> (FISO</w:t>
      </w:r>
      <w:r w:rsidR="003E101F">
        <w:t xml:space="preserve"> 2.0</w:t>
      </w:r>
      <w:r w:rsidR="00400128">
        <w:t>)</w:t>
      </w:r>
    </w:p>
    <w:p w14:paraId="51A815D7" w14:textId="73A9F2D4" w:rsidR="00A63D55" w:rsidRPr="00A63D55" w:rsidRDefault="00926723" w:rsidP="00A63D55">
      <w:pPr>
        <w:pStyle w:val="Covertitle"/>
      </w:pPr>
      <w:r>
        <w:t>Evidence Base</w:t>
      </w:r>
    </w:p>
    <w:p w14:paraId="385AAE9A" w14:textId="2370F43D" w:rsidR="00A63D55" w:rsidRPr="00A63D55" w:rsidRDefault="003B4210" w:rsidP="00A63D55">
      <w:pPr>
        <w:pStyle w:val="Coversubtitle"/>
      </w:pPr>
      <w:r w:rsidRPr="005C68D0">
        <w:t>November</w:t>
      </w:r>
      <w:r w:rsidR="00C9492C" w:rsidRPr="005C68D0">
        <w:t xml:space="preserve"> 202</w:t>
      </w:r>
      <w:r w:rsidR="00C9492C">
        <w:t>1</w:t>
      </w:r>
    </w:p>
    <w:p w14:paraId="2BE6D8BB" w14:textId="77777777" w:rsidR="00DA3218" w:rsidRDefault="00DA3218" w:rsidP="00624A55">
      <w:pPr>
        <w:pStyle w:val="Heading1"/>
        <w:rPr>
          <w:lang w:val="en-AU"/>
        </w:rPr>
        <w:sectPr w:rsidR="00DA3218" w:rsidSect="007B3A5A">
          <w:headerReference w:type="default" r:id="rId11"/>
          <w:footerReference w:type="even" r:id="rId12"/>
          <w:footerReference w:type="default" r:id="rId13"/>
          <w:pgSz w:w="11900" w:h="16840"/>
          <w:pgMar w:top="3402" w:right="1134" w:bottom="1701" w:left="1134" w:header="709" w:footer="709" w:gutter="0"/>
          <w:cols w:space="708"/>
          <w:docGrid w:linePitch="360"/>
        </w:sectPr>
      </w:pPr>
    </w:p>
    <w:p w14:paraId="0692BD75" w14:textId="294771C1" w:rsidR="00DA3218" w:rsidRPr="00240F30" w:rsidRDefault="00144FD5" w:rsidP="00144FD5">
      <w:pPr>
        <w:pStyle w:val="Covertitle"/>
        <w:rPr>
          <w:color w:val="E57100" w:themeColor="accent1"/>
        </w:rPr>
      </w:pPr>
      <w:r w:rsidRPr="00240F30">
        <w:rPr>
          <w:color w:val="E57100"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2A13FA57" w14:textId="44474F1A" w:rsidR="00C80CB3" w:rsidRDefault="00DA3218" w:rsidP="00456622">
      <w:pPr>
        <w:pStyle w:val="TOC3"/>
        <w:rPr>
          <w:rFonts w:asciiTheme="minorHAnsi" w:hAnsiTheme="minorHAnsi" w:cstheme="minorBidi"/>
          <w:noProof/>
          <w:szCs w:val="22"/>
          <w:lang w:val="en-AU" w:eastAsia="en-AU"/>
        </w:rPr>
      </w:pPr>
      <w:r>
        <w:rPr>
          <w:b/>
          <w:color w:val="AF272F"/>
        </w:rPr>
        <w:fldChar w:fldCharType="begin"/>
      </w:r>
      <w:r>
        <w:instrText xml:space="preserve"> TOC \t "HEADING 1,1,HEADING 2,2,Heading 3,3" </w:instrText>
      </w:r>
      <w:r>
        <w:rPr>
          <w:b/>
          <w:color w:val="AF272F"/>
        </w:rPr>
        <w:fldChar w:fldCharType="separate"/>
      </w:r>
      <w:r w:rsidR="00C80CB3" w:rsidRPr="00057B3B">
        <w:rPr>
          <w:noProof/>
          <w:lang w:val="en-AU"/>
        </w:rPr>
        <w:t>INTRODUCTION</w:t>
      </w:r>
      <w:r w:rsidR="00C80CB3">
        <w:rPr>
          <w:noProof/>
        </w:rPr>
        <w:tab/>
      </w:r>
      <w:r w:rsidR="00C80CB3">
        <w:rPr>
          <w:noProof/>
        </w:rPr>
        <w:fldChar w:fldCharType="begin"/>
      </w:r>
      <w:r w:rsidR="00C80CB3">
        <w:rPr>
          <w:noProof/>
        </w:rPr>
        <w:instrText xml:space="preserve"> PAGEREF _Toc83882660 \h </w:instrText>
      </w:r>
      <w:r w:rsidR="00C80CB3">
        <w:rPr>
          <w:noProof/>
        </w:rPr>
      </w:r>
      <w:r w:rsidR="00C80CB3">
        <w:rPr>
          <w:noProof/>
        </w:rPr>
        <w:fldChar w:fldCharType="separate"/>
      </w:r>
      <w:r w:rsidR="00C80CB3">
        <w:rPr>
          <w:noProof/>
        </w:rPr>
        <w:t>3</w:t>
      </w:r>
      <w:r w:rsidR="00C80CB3">
        <w:rPr>
          <w:noProof/>
        </w:rPr>
        <w:fldChar w:fldCharType="end"/>
      </w:r>
    </w:p>
    <w:p w14:paraId="5B77A3D6" w14:textId="0A2D18CD" w:rsidR="00C80CB3" w:rsidRDefault="00C80CB3" w:rsidP="00456622">
      <w:pPr>
        <w:pStyle w:val="TOC3"/>
        <w:rPr>
          <w:rFonts w:asciiTheme="minorHAnsi" w:hAnsiTheme="minorHAnsi" w:cstheme="minorBidi"/>
          <w:noProof/>
          <w:szCs w:val="22"/>
          <w:lang w:val="en-AU" w:eastAsia="en-AU"/>
        </w:rPr>
      </w:pPr>
      <w:r w:rsidRPr="00057B3B">
        <w:rPr>
          <w:noProof/>
          <w:lang w:val="en-AU"/>
        </w:rPr>
        <w:t>OUTCOMES</w:t>
      </w:r>
      <w:r>
        <w:rPr>
          <w:noProof/>
        </w:rPr>
        <w:tab/>
      </w:r>
      <w:r>
        <w:rPr>
          <w:noProof/>
        </w:rPr>
        <w:fldChar w:fldCharType="begin"/>
      </w:r>
      <w:r>
        <w:rPr>
          <w:noProof/>
        </w:rPr>
        <w:instrText xml:space="preserve"> PAGEREF _Toc83882661 \h </w:instrText>
      </w:r>
      <w:r>
        <w:rPr>
          <w:noProof/>
        </w:rPr>
      </w:r>
      <w:r>
        <w:rPr>
          <w:noProof/>
        </w:rPr>
        <w:fldChar w:fldCharType="separate"/>
      </w:r>
      <w:r>
        <w:rPr>
          <w:noProof/>
        </w:rPr>
        <w:t>4</w:t>
      </w:r>
      <w:r>
        <w:rPr>
          <w:noProof/>
        </w:rPr>
        <w:fldChar w:fldCharType="end"/>
      </w:r>
    </w:p>
    <w:p w14:paraId="17D5267B" w14:textId="4FFB700B" w:rsidR="00C80CB3" w:rsidRDefault="00C80CB3" w:rsidP="00456622">
      <w:pPr>
        <w:pStyle w:val="TOC3"/>
        <w:ind w:left="426"/>
        <w:rPr>
          <w:rFonts w:asciiTheme="minorHAnsi" w:hAnsiTheme="minorHAnsi" w:cstheme="minorBidi"/>
          <w:noProof/>
          <w:szCs w:val="22"/>
          <w:lang w:val="en-AU" w:eastAsia="en-AU"/>
        </w:rPr>
      </w:pPr>
      <w:r>
        <w:rPr>
          <w:noProof/>
        </w:rPr>
        <w:t>State of student wellbeing in Victoria</w:t>
      </w:r>
      <w:r>
        <w:rPr>
          <w:noProof/>
        </w:rPr>
        <w:tab/>
      </w:r>
      <w:r>
        <w:rPr>
          <w:noProof/>
        </w:rPr>
        <w:fldChar w:fldCharType="begin"/>
      </w:r>
      <w:r>
        <w:rPr>
          <w:noProof/>
        </w:rPr>
        <w:instrText xml:space="preserve"> PAGEREF _Toc83882662 \h </w:instrText>
      </w:r>
      <w:r>
        <w:rPr>
          <w:noProof/>
        </w:rPr>
      </w:r>
      <w:r>
        <w:rPr>
          <w:noProof/>
        </w:rPr>
        <w:fldChar w:fldCharType="separate"/>
      </w:r>
      <w:r>
        <w:rPr>
          <w:noProof/>
        </w:rPr>
        <w:t>4</w:t>
      </w:r>
      <w:r>
        <w:rPr>
          <w:noProof/>
        </w:rPr>
        <w:fldChar w:fldCharType="end"/>
      </w:r>
    </w:p>
    <w:p w14:paraId="6731F913" w14:textId="59F0F83C" w:rsidR="00C80CB3" w:rsidRDefault="00C80CB3" w:rsidP="00456622">
      <w:pPr>
        <w:pStyle w:val="TOC3"/>
        <w:ind w:left="426"/>
        <w:rPr>
          <w:rFonts w:asciiTheme="minorHAnsi" w:hAnsiTheme="minorHAnsi" w:cstheme="minorBidi"/>
          <w:noProof/>
          <w:szCs w:val="22"/>
          <w:lang w:val="en-AU" w:eastAsia="en-AU"/>
        </w:rPr>
      </w:pPr>
      <w:r>
        <w:rPr>
          <w:noProof/>
        </w:rPr>
        <w:t>Relationship between student learning and wellbeing outcomes</w:t>
      </w:r>
      <w:r>
        <w:rPr>
          <w:noProof/>
        </w:rPr>
        <w:tab/>
      </w:r>
      <w:r>
        <w:rPr>
          <w:noProof/>
        </w:rPr>
        <w:fldChar w:fldCharType="begin"/>
      </w:r>
      <w:r>
        <w:rPr>
          <w:noProof/>
        </w:rPr>
        <w:instrText xml:space="preserve"> PAGEREF _Toc83882663 \h </w:instrText>
      </w:r>
      <w:r>
        <w:rPr>
          <w:noProof/>
        </w:rPr>
      </w:r>
      <w:r>
        <w:rPr>
          <w:noProof/>
        </w:rPr>
        <w:fldChar w:fldCharType="separate"/>
      </w:r>
      <w:r>
        <w:rPr>
          <w:noProof/>
        </w:rPr>
        <w:t>5</w:t>
      </w:r>
      <w:r>
        <w:rPr>
          <w:noProof/>
        </w:rPr>
        <w:fldChar w:fldCharType="end"/>
      </w:r>
    </w:p>
    <w:p w14:paraId="032D372E" w14:textId="0F6384FA" w:rsidR="00C80CB3" w:rsidRDefault="00C80CB3" w:rsidP="00456622">
      <w:pPr>
        <w:pStyle w:val="TOC3"/>
        <w:ind w:left="426"/>
        <w:rPr>
          <w:rFonts w:asciiTheme="minorHAnsi" w:hAnsiTheme="minorHAnsi" w:cstheme="minorBidi"/>
          <w:noProof/>
          <w:szCs w:val="22"/>
          <w:lang w:val="en-AU" w:eastAsia="en-AU"/>
        </w:rPr>
      </w:pPr>
      <w:r>
        <w:rPr>
          <w:noProof/>
        </w:rPr>
        <w:t>Wellbeing capabilities</w:t>
      </w:r>
      <w:r>
        <w:rPr>
          <w:noProof/>
        </w:rPr>
        <w:tab/>
      </w:r>
      <w:r>
        <w:rPr>
          <w:noProof/>
        </w:rPr>
        <w:fldChar w:fldCharType="begin"/>
      </w:r>
      <w:r>
        <w:rPr>
          <w:noProof/>
        </w:rPr>
        <w:instrText xml:space="preserve"> PAGEREF _Toc83882664 \h </w:instrText>
      </w:r>
      <w:r>
        <w:rPr>
          <w:noProof/>
        </w:rPr>
      </w:r>
      <w:r>
        <w:rPr>
          <w:noProof/>
        </w:rPr>
        <w:fldChar w:fldCharType="separate"/>
      </w:r>
      <w:r>
        <w:rPr>
          <w:noProof/>
        </w:rPr>
        <w:t>7</w:t>
      </w:r>
      <w:r>
        <w:rPr>
          <w:noProof/>
        </w:rPr>
        <w:fldChar w:fldCharType="end"/>
      </w:r>
    </w:p>
    <w:p w14:paraId="78AA9B0D" w14:textId="769F2832" w:rsidR="00C80CB3" w:rsidRDefault="00C80CB3" w:rsidP="00456622">
      <w:pPr>
        <w:pStyle w:val="TOC3"/>
        <w:rPr>
          <w:rFonts w:asciiTheme="minorHAnsi" w:hAnsiTheme="minorHAnsi" w:cstheme="minorBidi"/>
          <w:noProof/>
          <w:szCs w:val="22"/>
          <w:lang w:val="en-AU" w:eastAsia="en-AU"/>
        </w:rPr>
      </w:pPr>
      <w:r w:rsidRPr="00057B3B">
        <w:rPr>
          <w:noProof/>
          <w:lang w:val="en-AU"/>
        </w:rPr>
        <w:t>ELEMENTS AND DIMENSIONS</w:t>
      </w:r>
      <w:r>
        <w:rPr>
          <w:noProof/>
        </w:rPr>
        <w:tab/>
      </w:r>
      <w:r>
        <w:rPr>
          <w:noProof/>
        </w:rPr>
        <w:fldChar w:fldCharType="begin"/>
      </w:r>
      <w:r>
        <w:rPr>
          <w:noProof/>
        </w:rPr>
        <w:instrText xml:space="preserve"> PAGEREF _Toc83882665 \h </w:instrText>
      </w:r>
      <w:r>
        <w:rPr>
          <w:noProof/>
        </w:rPr>
      </w:r>
      <w:r>
        <w:rPr>
          <w:noProof/>
        </w:rPr>
        <w:fldChar w:fldCharType="separate"/>
      </w:r>
      <w:r>
        <w:rPr>
          <w:noProof/>
        </w:rPr>
        <w:t>9</w:t>
      </w:r>
      <w:r>
        <w:rPr>
          <w:noProof/>
        </w:rPr>
        <w:fldChar w:fldCharType="end"/>
      </w:r>
    </w:p>
    <w:p w14:paraId="440B3C88" w14:textId="78B7D28C" w:rsidR="00C80CB3" w:rsidRDefault="00C80CB3" w:rsidP="00456622">
      <w:pPr>
        <w:pStyle w:val="TOC3"/>
        <w:ind w:left="426"/>
        <w:rPr>
          <w:rFonts w:asciiTheme="minorHAnsi" w:hAnsiTheme="minorHAnsi" w:cstheme="minorBidi"/>
          <w:noProof/>
          <w:szCs w:val="22"/>
          <w:lang w:val="en-AU" w:eastAsia="en-AU"/>
        </w:rPr>
      </w:pPr>
      <w:r w:rsidRPr="00057B3B">
        <w:rPr>
          <w:noProof/>
          <w:lang w:val="en-AU"/>
        </w:rPr>
        <w:t>LEADERSHIP</w:t>
      </w:r>
      <w:r>
        <w:rPr>
          <w:noProof/>
        </w:rPr>
        <w:tab/>
      </w:r>
      <w:r>
        <w:rPr>
          <w:noProof/>
        </w:rPr>
        <w:fldChar w:fldCharType="begin"/>
      </w:r>
      <w:r>
        <w:rPr>
          <w:noProof/>
        </w:rPr>
        <w:instrText xml:space="preserve"> PAGEREF _Toc83882666 \h </w:instrText>
      </w:r>
      <w:r>
        <w:rPr>
          <w:noProof/>
        </w:rPr>
      </w:r>
      <w:r>
        <w:rPr>
          <w:noProof/>
        </w:rPr>
        <w:fldChar w:fldCharType="separate"/>
      </w:r>
      <w:r>
        <w:rPr>
          <w:noProof/>
        </w:rPr>
        <w:t>9</w:t>
      </w:r>
      <w:r>
        <w:rPr>
          <w:noProof/>
        </w:rPr>
        <w:fldChar w:fldCharType="end"/>
      </w:r>
    </w:p>
    <w:p w14:paraId="7E1E1315" w14:textId="4F416D0C" w:rsidR="00C80CB3" w:rsidRDefault="00C80CB3" w:rsidP="00456622">
      <w:pPr>
        <w:pStyle w:val="TOC3"/>
        <w:ind w:left="426"/>
        <w:rPr>
          <w:rFonts w:asciiTheme="minorHAnsi" w:hAnsiTheme="minorHAnsi" w:cstheme="minorBidi"/>
          <w:noProof/>
          <w:szCs w:val="22"/>
          <w:lang w:val="en-AU" w:eastAsia="en-AU"/>
        </w:rPr>
      </w:pPr>
      <w:r w:rsidRPr="00057B3B">
        <w:rPr>
          <w:noProof/>
          <w:lang w:val="en-AU"/>
        </w:rPr>
        <w:t>TEACHING AND LEARNING</w:t>
      </w:r>
      <w:r>
        <w:rPr>
          <w:noProof/>
        </w:rPr>
        <w:tab/>
      </w:r>
      <w:r>
        <w:rPr>
          <w:noProof/>
        </w:rPr>
        <w:fldChar w:fldCharType="begin"/>
      </w:r>
      <w:r>
        <w:rPr>
          <w:noProof/>
        </w:rPr>
        <w:instrText xml:space="preserve"> PAGEREF _Toc83882667 \h </w:instrText>
      </w:r>
      <w:r>
        <w:rPr>
          <w:noProof/>
        </w:rPr>
      </w:r>
      <w:r>
        <w:rPr>
          <w:noProof/>
        </w:rPr>
        <w:fldChar w:fldCharType="separate"/>
      </w:r>
      <w:r>
        <w:rPr>
          <w:noProof/>
        </w:rPr>
        <w:t>13</w:t>
      </w:r>
      <w:r>
        <w:rPr>
          <w:noProof/>
        </w:rPr>
        <w:fldChar w:fldCharType="end"/>
      </w:r>
    </w:p>
    <w:p w14:paraId="62CEF920" w14:textId="172F1FA6" w:rsidR="00C80CB3" w:rsidRDefault="00C80CB3" w:rsidP="00456622">
      <w:pPr>
        <w:pStyle w:val="TOC3"/>
        <w:ind w:left="426"/>
        <w:rPr>
          <w:rFonts w:asciiTheme="minorHAnsi" w:hAnsiTheme="minorHAnsi" w:cstheme="minorBidi"/>
          <w:noProof/>
          <w:szCs w:val="22"/>
          <w:lang w:val="en-AU" w:eastAsia="en-AU"/>
        </w:rPr>
      </w:pPr>
      <w:r w:rsidRPr="00057B3B">
        <w:rPr>
          <w:noProof/>
          <w:lang w:val="en-AU"/>
        </w:rPr>
        <w:t>ASSESSMENT</w:t>
      </w:r>
      <w:r>
        <w:rPr>
          <w:noProof/>
        </w:rPr>
        <w:tab/>
      </w:r>
      <w:r>
        <w:rPr>
          <w:noProof/>
        </w:rPr>
        <w:fldChar w:fldCharType="begin"/>
      </w:r>
      <w:r>
        <w:rPr>
          <w:noProof/>
        </w:rPr>
        <w:instrText xml:space="preserve"> PAGEREF _Toc83882668 \h </w:instrText>
      </w:r>
      <w:r>
        <w:rPr>
          <w:noProof/>
        </w:rPr>
      </w:r>
      <w:r>
        <w:rPr>
          <w:noProof/>
        </w:rPr>
        <w:fldChar w:fldCharType="separate"/>
      </w:r>
      <w:r>
        <w:rPr>
          <w:noProof/>
        </w:rPr>
        <w:t>17</w:t>
      </w:r>
      <w:r>
        <w:rPr>
          <w:noProof/>
        </w:rPr>
        <w:fldChar w:fldCharType="end"/>
      </w:r>
    </w:p>
    <w:p w14:paraId="39381B10" w14:textId="6D1C145A" w:rsidR="00C80CB3" w:rsidRDefault="00C80CB3" w:rsidP="00456622">
      <w:pPr>
        <w:pStyle w:val="TOC3"/>
        <w:ind w:left="426"/>
        <w:rPr>
          <w:rFonts w:asciiTheme="minorHAnsi" w:hAnsiTheme="minorHAnsi" w:cstheme="minorBidi"/>
          <w:noProof/>
          <w:szCs w:val="22"/>
          <w:lang w:val="en-AU" w:eastAsia="en-AU"/>
        </w:rPr>
      </w:pPr>
      <w:r w:rsidRPr="00057B3B">
        <w:rPr>
          <w:noProof/>
          <w:lang w:val="en-AU"/>
        </w:rPr>
        <w:t>ENGAGEMENT</w:t>
      </w:r>
      <w:r>
        <w:rPr>
          <w:noProof/>
        </w:rPr>
        <w:tab/>
      </w:r>
      <w:r>
        <w:rPr>
          <w:noProof/>
        </w:rPr>
        <w:fldChar w:fldCharType="begin"/>
      </w:r>
      <w:r>
        <w:rPr>
          <w:noProof/>
        </w:rPr>
        <w:instrText xml:space="preserve"> PAGEREF _Toc83882669 \h </w:instrText>
      </w:r>
      <w:r>
        <w:rPr>
          <w:noProof/>
        </w:rPr>
      </w:r>
      <w:r>
        <w:rPr>
          <w:noProof/>
        </w:rPr>
        <w:fldChar w:fldCharType="separate"/>
      </w:r>
      <w:r>
        <w:rPr>
          <w:noProof/>
        </w:rPr>
        <w:t>19</w:t>
      </w:r>
      <w:r>
        <w:rPr>
          <w:noProof/>
        </w:rPr>
        <w:fldChar w:fldCharType="end"/>
      </w:r>
    </w:p>
    <w:p w14:paraId="387317DE" w14:textId="0C6E428A" w:rsidR="00C80CB3" w:rsidRDefault="00C80CB3" w:rsidP="00456622">
      <w:pPr>
        <w:pStyle w:val="TOC3"/>
        <w:ind w:left="426"/>
        <w:rPr>
          <w:rFonts w:asciiTheme="minorHAnsi" w:hAnsiTheme="minorHAnsi" w:cstheme="minorBidi"/>
          <w:noProof/>
          <w:szCs w:val="22"/>
          <w:lang w:val="en-AU" w:eastAsia="en-AU"/>
        </w:rPr>
      </w:pPr>
      <w:r w:rsidRPr="00057B3B">
        <w:rPr>
          <w:noProof/>
          <w:lang w:val="en-AU"/>
        </w:rPr>
        <w:t>SUPPORT</w:t>
      </w:r>
      <w:r w:rsidR="009D5AB6">
        <w:rPr>
          <w:noProof/>
          <w:lang w:val="en-AU"/>
        </w:rPr>
        <w:t xml:space="preserve"> AND RESOURCES</w:t>
      </w:r>
      <w:r>
        <w:rPr>
          <w:noProof/>
        </w:rPr>
        <w:tab/>
      </w:r>
      <w:r>
        <w:rPr>
          <w:noProof/>
        </w:rPr>
        <w:fldChar w:fldCharType="begin"/>
      </w:r>
      <w:r>
        <w:rPr>
          <w:noProof/>
        </w:rPr>
        <w:instrText xml:space="preserve"> PAGEREF _Toc83882670 \h </w:instrText>
      </w:r>
      <w:r>
        <w:rPr>
          <w:noProof/>
        </w:rPr>
      </w:r>
      <w:r>
        <w:rPr>
          <w:noProof/>
        </w:rPr>
        <w:fldChar w:fldCharType="separate"/>
      </w:r>
      <w:r>
        <w:rPr>
          <w:noProof/>
        </w:rPr>
        <w:t>22</w:t>
      </w:r>
      <w:r>
        <w:rPr>
          <w:noProof/>
        </w:rPr>
        <w:fldChar w:fldCharType="end"/>
      </w:r>
    </w:p>
    <w:p w14:paraId="32677E6F" w14:textId="2AC1CD43" w:rsidR="00C80CB3" w:rsidRDefault="00C80CB3" w:rsidP="00456622">
      <w:pPr>
        <w:pStyle w:val="TOC3"/>
        <w:rPr>
          <w:rFonts w:asciiTheme="minorHAnsi" w:hAnsiTheme="minorHAnsi" w:cstheme="minorBidi"/>
          <w:noProof/>
          <w:szCs w:val="22"/>
          <w:lang w:val="en-AU" w:eastAsia="en-AU"/>
        </w:rPr>
      </w:pPr>
      <w:r w:rsidRPr="00057B3B">
        <w:rPr>
          <w:noProof/>
          <w:lang w:val="en-AU"/>
        </w:rPr>
        <w:t>REFERENCES</w:t>
      </w:r>
      <w:r>
        <w:rPr>
          <w:noProof/>
        </w:rPr>
        <w:tab/>
      </w:r>
      <w:r>
        <w:rPr>
          <w:noProof/>
        </w:rPr>
        <w:fldChar w:fldCharType="begin"/>
      </w:r>
      <w:r>
        <w:rPr>
          <w:noProof/>
        </w:rPr>
        <w:instrText xml:space="preserve"> PAGEREF _Toc83882671 \h </w:instrText>
      </w:r>
      <w:r>
        <w:rPr>
          <w:noProof/>
        </w:rPr>
      </w:r>
      <w:r>
        <w:rPr>
          <w:noProof/>
        </w:rPr>
        <w:fldChar w:fldCharType="separate"/>
      </w:r>
      <w:r>
        <w:rPr>
          <w:noProof/>
        </w:rPr>
        <w:t>25</w:t>
      </w:r>
      <w:r>
        <w:rPr>
          <w:noProof/>
        </w:rPr>
        <w:fldChar w:fldCharType="end"/>
      </w:r>
    </w:p>
    <w:p w14:paraId="0042E7F9" w14:textId="1B9867B8" w:rsidR="00DA3218" w:rsidRDefault="00DA3218">
      <w:pPr>
        <w:pStyle w:val="TOC3"/>
        <w:rPr>
          <w:rFonts w:cstheme="minorHAnsi"/>
          <w:color w:val="7F7F7F" w:themeColor="text1" w:themeTint="80"/>
          <w:sz w:val="13"/>
          <w:szCs w:val="13"/>
        </w:rPr>
      </w:pPr>
      <w:r>
        <w:fldChar w:fldCharType="end"/>
      </w:r>
    </w:p>
    <w:p w14:paraId="590C6889" w14:textId="3A0D8BB0" w:rsidR="00714D72" w:rsidRDefault="00456622" w:rsidP="00324F2B">
      <w:pPr>
        <w:tabs>
          <w:tab w:val="left" w:pos="1188"/>
          <w:tab w:val="left" w:pos="1248"/>
        </w:tabs>
        <w:spacing w:after="7800"/>
        <w:rPr>
          <w:lang w:val="en-AU"/>
        </w:rPr>
      </w:pPr>
      <w:r>
        <w:rPr>
          <w:lang w:val="en-AU"/>
        </w:rPr>
        <w:tab/>
      </w:r>
      <w:r w:rsidR="00324F2B">
        <w:rPr>
          <w:lang w:val="en-AU"/>
        </w:rPr>
        <w:tab/>
      </w:r>
    </w:p>
    <w:p w14:paraId="717675D3" w14:textId="27E25A2D" w:rsidR="00DA3218" w:rsidRPr="00DF7020" w:rsidRDefault="00DA3218" w:rsidP="00456622">
      <w:pPr>
        <w:tabs>
          <w:tab w:val="left" w:pos="1248"/>
        </w:tabs>
        <w:spacing w:after="0"/>
        <w:ind w:right="-149"/>
        <w:rPr>
          <w:rFonts w:eastAsia="Times New Roman" w:cstheme="minorHAnsi"/>
          <w:szCs w:val="22"/>
          <w:lang w:val="en-AU"/>
        </w:rPr>
        <w:sectPr w:rsidR="00DA3218" w:rsidRPr="00DF7020" w:rsidSect="00144FD5">
          <w:headerReference w:type="default" r:id="rId14"/>
          <w:footerReference w:type="default" r:id="rId15"/>
          <w:pgSz w:w="11900" w:h="16840"/>
          <w:pgMar w:top="1134" w:right="1134" w:bottom="1701" w:left="1134" w:header="709" w:footer="709" w:gutter="0"/>
          <w:cols w:space="708"/>
          <w:docGrid w:linePitch="360"/>
        </w:sectPr>
      </w:pPr>
    </w:p>
    <w:p w14:paraId="2EA840CB" w14:textId="325A30A4" w:rsidR="0092701E" w:rsidRPr="00624A55" w:rsidRDefault="00D25F4D" w:rsidP="0092701E">
      <w:pPr>
        <w:pStyle w:val="Heading1"/>
        <w:rPr>
          <w:lang w:val="en-AU"/>
        </w:rPr>
      </w:pPr>
      <w:bookmarkStart w:id="0" w:name="_Toc83882660"/>
      <w:r>
        <w:rPr>
          <w:lang w:val="en-AU"/>
        </w:rPr>
        <w:lastRenderedPageBreak/>
        <w:t>INTRODUCTION</w:t>
      </w:r>
      <w:bookmarkEnd w:id="0"/>
    </w:p>
    <w:p w14:paraId="748533AD" w14:textId="4A8A2B0A" w:rsidR="00706CF1" w:rsidRPr="005C68D0" w:rsidRDefault="00CE207F" w:rsidP="00624A55">
      <w:pPr>
        <w:pStyle w:val="Intro"/>
      </w:pPr>
      <w:r w:rsidRPr="005C68D0">
        <w:t xml:space="preserve">The </w:t>
      </w:r>
      <w:r w:rsidR="00880F5E" w:rsidRPr="005C68D0">
        <w:t>Framework for Improving Student Outcomes (</w:t>
      </w:r>
      <w:r w:rsidR="002C1D24" w:rsidRPr="005C68D0">
        <w:t xml:space="preserve">FISO </w:t>
      </w:r>
      <w:r w:rsidR="00914E57" w:rsidRPr="005C68D0">
        <w:t>2.0</w:t>
      </w:r>
      <w:r w:rsidR="002D6A65" w:rsidRPr="005C68D0">
        <w:t xml:space="preserve">) </w:t>
      </w:r>
      <w:r w:rsidR="00F94E12" w:rsidRPr="005C68D0">
        <w:t>is a</w:t>
      </w:r>
      <w:r w:rsidR="00EC254D" w:rsidRPr="005C68D0">
        <w:t>n</w:t>
      </w:r>
      <w:r w:rsidR="007503D1" w:rsidRPr="005C68D0">
        <w:t xml:space="preserve"> evidence</w:t>
      </w:r>
      <w:r w:rsidR="00C622BF" w:rsidRPr="005C68D0">
        <w:t>-</w:t>
      </w:r>
      <w:r w:rsidR="007503D1" w:rsidRPr="005C68D0">
        <w:t>based framework</w:t>
      </w:r>
      <w:r w:rsidR="007F5CFA" w:rsidRPr="005C68D0">
        <w:t>. It</w:t>
      </w:r>
      <w:r w:rsidR="007503D1" w:rsidRPr="005C68D0">
        <w:t xml:space="preserve"> </w:t>
      </w:r>
      <w:r w:rsidR="00550B6A" w:rsidRPr="005C68D0">
        <w:t xml:space="preserve">enables schools to focus </w:t>
      </w:r>
      <w:r w:rsidR="00D07C76" w:rsidRPr="005C68D0">
        <w:t>their improvement</w:t>
      </w:r>
      <w:r w:rsidR="007503D1" w:rsidRPr="005C68D0">
        <w:t xml:space="preserve"> efforts </w:t>
      </w:r>
      <w:r w:rsidR="00D07C76" w:rsidRPr="005C68D0">
        <w:t>on</w:t>
      </w:r>
      <w:r w:rsidR="00706CF1" w:rsidRPr="005C68D0">
        <w:t xml:space="preserve"> practices</w:t>
      </w:r>
      <w:r w:rsidR="00D07C76" w:rsidRPr="005C68D0">
        <w:t xml:space="preserve"> that</w:t>
      </w:r>
      <w:r w:rsidR="00706CF1" w:rsidRPr="005C68D0">
        <w:t xml:space="preserve"> have the greatest impact on student outcomes.</w:t>
      </w:r>
    </w:p>
    <w:p w14:paraId="31A1F9F9" w14:textId="77777777" w:rsidR="001114CE" w:rsidRPr="005C68D0" w:rsidRDefault="001114CE" w:rsidP="00624A55">
      <w:pPr>
        <w:pStyle w:val="Intro"/>
      </w:pPr>
    </w:p>
    <w:p w14:paraId="4AB4FD72" w14:textId="7AA9435C" w:rsidR="00D500D4" w:rsidRPr="005C68D0" w:rsidRDefault="00FD2AE1" w:rsidP="00D500D4">
      <w:pPr>
        <w:rPr>
          <w:szCs w:val="22"/>
        </w:rPr>
      </w:pPr>
      <w:r w:rsidRPr="005C68D0">
        <w:t>FISO</w:t>
      </w:r>
      <w:r w:rsidR="0097025D" w:rsidRPr="005C68D0">
        <w:t xml:space="preserve"> 2.0</w:t>
      </w:r>
      <w:r w:rsidR="007B1646" w:rsidRPr="005C68D0">
        <w:t xml:space="preserve"> </w:t>
      </w:r>
      <w:r w:rsidR="001114CE" w:rsidRPr="005C68D0">
        <w:t xml:space="preserve">(or simply, FISO) </w:t>
      </w:r>
      <w:r w:rsidRPr="005C68D0">
        <w:t xml:space="preserve">has been designed in reference to contemporary literature, professional publications, government reports and research conducted by the </w:t>
      </w:r>
      <w:r w:rsidR="00D500D4" w:rsidRPr="005C68D0">
        <w:t xml:space="preserve">Victorian </w:t>
      </w:r>
      <w:r w:rsidRPr="005C68D0">
        <w:t>Department of Education and Training.</w:t>
      </w:r>
      <w:r w:rsidR="00D500D4" w:rsidRPr="005C68D0">
        <w:t xml:space="preserve"> </w:t>
      </w:r>
      <w:r w:rsidR="000B7802" w:rsidRPr="005C68D0">
        <w:rPr>
          <w:szCs w:val="22"/>
        </w:rPr>
        <w:t>It</w:t>
      </w:r>
      <w:r w:rsidR="00D500D4" w:rsidRPr="005C68D0">
        <w:rPr>
          <w:szCs w:val="22"/>
        </w:rPr>
        <w:t xml:space="preserve"> builds upon </w:t>
      </w:r>
      <w:r w:rsidR="000B7802" w:rsidRPr="005C68D0">
        <w:rPr>
          <w:szCs w:val="22"/>
        </w:rPr>
        <w:t>the in-depth research conducted</w:t>
      </w:r>
      <w:r w:rsidR="00C622BF" w:rsidRPr="005C68D0">
        <w:rPr>
          <w:szCs w:val="22"/>
        </w:rPr>
        <w:t xml:space="preserve"> for the</w:t>
      </w:r>
      <w:r w:rsidR="00D500D4" w:rsidRPr="005C68D0">
        <w:rPr>
          <w:szCs w:val="22"/>
        </w:rPr>
        <w:t xml:space="preserve"> original</w:t>
      </w:r>
      <w:r w:rsidR="00C622BF" w:rsidRPr="005C68D0">
        <w:rPr>
          <w:szCs w:val="22"/>
        </w:rPr>
        <w:t xml:space="preserve"> FIS</w:t>
      </w:r>
      <w:r w:rsidR="00D500D4" w:rsidRPr="005C68D0">
        <w:rPr>
          <w:szCs w:val="22"/>
        </w:rPr>
        <w:t>O.</w:t>
      </w:r>
    </w:p>
    <w:p w14:paraId="55878525" w14:textId="5B9AEA06" w:rsidR="002D452C" w:rsidRPr="005C68D0" w:rsidRDefault="00D500D4" w:rsidP="007D2F49">
      <w:pPr>
        <w:pStyle w:val="Bullet1"/>
        <w:numPr>
          <w:ilvl w:val="0"/>
          <w:numId w:val="0"/>
        </w:numPr>
        <w:ind w:left="284" w:hanging="284"/>
        <w:jc w:val="both"/>
        <w:rPr>
          <w:szCs w:val="22"/>
        </w:rPr>
      </w:pPr>
      <w:r w:rsidRPr="005C68D0">
        <w:rPr>
          <w:szCs w:val="22"/>
        </w:rPr>
        <w:t>This document includes the updated evidence-base for the FISO</w:t>
      </w:r>
      <w:r w:rsidR="00EA2890" w:rsidRPr="005C68D0">
        <w:rPr>
          <w:szCs w:val="22"/>
        </w:rPr>
        <w:t xml:space="preserve"> (Figure 1)</w:t>
      </w:r>
      <w:r w:rsidRPr="005C68D0">
        <w:rPr>
          <w:szCs w:val="22"/>
        </w:rPr>
        <w:t>,</w:t>
      </w:r>
      <w:r w:rsidR="00C622BF" w:rsidRPr="005C68D0">
        <w:rPr>
          <w:szCs w:val="22"/>
        </w:rPr>
        <w:t xml:space="preserve"> including:</w:t>
      </w:r>
    </w:p>
    <w:p w14:paraId="516A27B4" w14:textId="21DE079A" w:rsidR="00AA4A30" w:rsidRPr="005C68D0" w:rsidRDefault="004161F6" w:rsidP="00AA4A30">
      <w:pPr>
        <w:pStyle w:val="Bullet1"/>
      </w:pPr>
      <w:r w:rsidRPr="005C68D0">
        <w:t xml:space="preserve">its </w:t>
      </w:r>
      <w:r w:rsidR="008F3E3E" w:rsidRPr="005C68D0">
        <w:t>focus</w:t>
      </w:r>
      <w:r w:rsidR="00AA4A30" w:rsidRPr="005C68D0">
        <w:t xml:space="preserve"> on learning and wellbeing outcomes</w:t>
      </w:r>
    </w:p>
    <w:p w14:paraId="70821049" w14:textId="24BF3A1E" w:rsidR="00AA4A30" w:rsidRPr="005C68D0" w:rsidRDefault="00AA4A30" w:rsidP="00AA4A30">
      <w:pPr>
        <w:pStyle w:val="Bullet1"/>
      </w:pPr>
      <w:r w:rsidRPr="005C68D0">
        <w:t>the core elements and dimensions</w:t>
      </w:r>
    </w:p>
    <w:p w14:paraId="341374CF" w14:textId="3ED98746" w:rsidR="00A16BA8" w:rsidRPr="005C68D0" w:rsidRDefault="00AA4A30" w:rsidP="00A16BA8">
      <w:pPr>
        <w:pStyle w:val="Bullet1"/>
      </w:pPr>
      <w:r w:rsidRPr="005C68D0">
        <w:t>the</w:t>
      </w:r>
      <w:r w:rsidR="0014448F" w:rsidRPr="005C68D0">
        <w:t xml:space="preserve"> improvement</w:t>
      </w:r>
      <w:r w:rsidRPr="005C68D0">
        <w:t xml:space="preserve"> measures used to support schools in conducting self-evaluation.</w:t>
      </w:r>
    </w:p>
    <w:p w14:paraId="14E337E1" w14:textId="051C8BD3" w:rsidR="008E5758" w:rsidRPr="005C68D0" w:rsidRDefault="008E5758" w:rsidP="008E5758">
      <w:pPr>
        <w:rPr>
          <w:lang w:val="en-AU"/>
        </w:rPr>
      </w:pPr>
    </w:p>
    <w:p w14:paraId="3F393EB1" w14:textId="1B6DE843" w:rsidR="001114CE" w:rsidRPr="00DA1B1F" w:rsidRDefault="001114CE" w:rsidP="001114CE">
      <w:pPr>
        <w:rPr>
          <w:b/>
          <w:bCs/>
          <w:color w:val="E57100" w:themeColor="accent1"/>
          <w:lang w:val="en-AU"/>
        </w:rPr>
      </w:pPr>
      <w:r w:rsidRPr="005C68D0">
        <w:rPr>
          <w:rFonts w:asciiTheme="majorHAnsi" w:eastAsiaTheme="majorEastAsia" w:hAnsiTheme="majorHAnsi" w:cstheme="majorBidi"/>
          <w:b/>
          <w:color w:val="E57100" w:themeColor="accent1"/>
          <w:sz w:val="24"/>
          <w:lang w:val="en-AU"/>
        </w:rPr>
        <w:t>Figure 1: FISO 2.0</w:t>
      </w:r>
      <w:r>
        <w:rPr>
          <w:rFonts w:asciiTheme="majorHAnsi" w:eastAsiaTheme="majorEastAsia" w:hAnsiTheme="majorHAnsi" w:cstheme="majorBidi"/>
          <w:b/>
          <w:color w:val="E57100" w:themeColor="accent1"/>
          <w:sz w:val="24"/>
          <w:lang w:val="en-AU"/>
        </w:rPr>
        <w:t xml:space="preserve"> </w:t>
      </w:r>
    </w:p>
    <w:p w14:paraId="332CC9F0" w14:textId="1226E206" w:rsidR="00F71A5E" w:rsidRDefault="00F71A5E" w:rsidP="00DD70E0">
      <w:pPr>
        <w:pStyle w:val="Figuretitle"/>
      </w:pPr>
    </w:p>
    <w:p w14:paraId="63CE6A68" w14:textId="77777777" w:rsidR="00DD70E0" w:rsidRDefault="00DD70E0" w:rsidP="00DD70E0">
      <w:pPr>
        <w:pStyle w:val="Figuretitle"/>
      </w:pPr>
    </w:p>
    <w:p w14:paraId="0DA15FFC" w14:textId="2DFF5034" w:rsidR="008E5758" w:rsidRPr="008E5758" w:rsidRDefault="00E27EA8" w:rsidP="008E5758">
      <w:pPr>
        <w:jc w:val="center"/>
        <w:rPr>
          <w:lang w:val="en-AU"/>
        </w:rPr>
      </w:pPr>
      <w:r w:rsidRPr="00E27EA8">
        <w:t xml:space="preserve"> </w:t>
      </w:r>
      <w:r>
        <w:rPr>
          <w:noProof/>
        </w:rPr>
        <w:drawing>
          <wp:inline distT="0" distB="0" distL="0" distR="0" wp14:anchorId="08FA9349" wp14:editId="2CCC4EEC">
            <wp:extent cx="40005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09958C9C" w14:textId="77777777" w:rsidR="00E27EA8" w:rsidRDefault="00E27EA8" w:rsidP="009B7DA3">
      <w:pPr>
        <w:pStyle w:val="Figuretitle"/>
      </w:pPr>
    </w:p>
    <w:p w14:paraId="7E08E9AA" w14:textId="77777777" w:rsidR="009B7DA3" w:rsidRDefault="009B7DA3" w:rsidP="009B7DA3">
      <w:pPr>
        <w:rPr>
          <w:lang w:val="en-AU"/>
        </w:rPr>
      </w:pPr>
    </w:p>
    <w:p w14:paraId="042693DC" w14:textId="77777777" w:rsidR="00DD70E0" w:rsidRDefault="00DD70E0">
      <w:pPr>
        <w:spacing w:after="0"/>
        <w:rPr>
          <w:rFonts w:asciiTheme="majorHAnsi" w:eastAsiaTheme="majorEastAsia" w:hAnsiTheme="majorHAnsi" w:cs="Times New Roman (Headings CS)"/>
          <w:b/>
          <w:color w:val="E57100" w:themeColor="accent1"/>
          <w:sz w:val="48"/>
          <w:szCs w:val="32"/>
          <w:lang w:val="en-AU"/>
        </w:rPr>
      </w:pPr>
      <w:bookmarkStart w:id="1" w:name="_Toc83882661"/>
      <w:r>
        <w:rPr>
          <w:lang w:val="en-AU"/>
        </w:rPr>
        <w:br w:type="page"/>
      </w:r>
    </w:p>
    <w:p w14:paraId="72D21DCC" w14:textId="00D4F0CD" w:rsidR="0092701E" w:rsidRDefault="00D25F4D" w:rsidP="0092701E">
      <w:pPr>
        <w:pStyle w:val="Heading1"/>
        <w:pBdr>
          <w:bottom w:val="single" w:sz="4" w:space="1" w:color="auto"/>
        </w:pBdr>
        <w:rPr>
          <w:lang w:val="en-AU"/>
        </w:rPr>
      </w:pPr>
      <w:r>
        <w:rPr>
          <w:lang w:val="en-AU"/>
        </w:rPr>
        <w:lastRenderedPageBreak/>
        <w:t>OUTCOMES</w:t>
      </w:r>
      <w:bookmarkEnd w:id="1"/>
    </w:p>
    <w:p w14:paraId="2A198D8A" w14:textId="77777777" w:rsidR="00C53FED" w:rsidRDefault="00C53FED" w:rsidP="00C53FED">
      <w:r>
        <w:rPr>
          <w:rFonts w:cstheme="minorHAnsi"/>
          <w:szCs w:val="22"/>
        </w:rPr>
        <w:t>The outcomes of the FISO are defined as follows:</w:t>
      </w:r>
    </w:p>
    <w:p w14:paraId="3157A793" w14:textId="62CF5F82" w:rsidR="00C53FED" w:rsidRPr="005F0A8A" w:rsidRDefault="00C53FED" w:rsidP="00C53FED">
      <w:pPr>
        <w:pStyle w:val="Bullet1"/>
        <w:rPr>
          <w:b/>
          <w:bCs/>
        </w:rPr>
      </w:pPr>
      <w:r w:rsidRPr="005F0A8A">
        <w:rPr>
          <w:b/>
          <w:bCs/>
        </w:rPr>
        <w:t xml:space="preserve">Learning </w:t>
      </w:r>
      <w:r w:rsidRPr="005F0A8A">
        <w:t xml:space="preserve">is the ongoing acquisition by students of knowledge, </w:t>
      </w:r>
      <w:proofErr w:type="gramStart"/>
      <w:r w:rsidRPr="005F0A8A">
        <w:t>skills</w:t>
      </w:r>
      <w:proofErr w:type="gramEnd"/>
      <w:r w:rsidRPr="005F0A8A">
        <w:t xml:space="preserve"> and capabilities</w:t>
      </w:r>
      <w:r w:rsidR="00E92360">
        <w:t>, including those</w:t>
      </w:r>
      <w:r w:rsidRPr="005F0A8A">
        <w:t xml:space="preserve"> defined by the Victorian Curriculum and senior secondary pathways.</w:t>
      </w:r>
      <w:r w:rsidRPr="005F0A8A">
        <w:rPr>
          <w:b/>
          <w:bCs/>
        </w:rPr>
        <w:t> </w:t>
      </w:r>
    </w:p>
    <w:p w14:paraId="0AC46DF9" w14:textId="488FEAB9" w:rsidR="00C53FED" w:rsidRPr="005F0A8A" w:rsidRDefault="00C53FED" w:rsidP="00C53FED">
      <w:pPr>
        <w:pStyle w:val="Bullet1"/>
      </w:pPr>
      <w:r w:rsidRPr="005F0A8A">
        <w:rPr>
          <w:b/>
          <w:bCs/>
        </w:rPr>
        <w:t>Wellbeing</w:t>
      </w:r>
      <w:r w:rsidRPr="005F0A8A">
        <w:t xml:space="preserve"> </w:t>
      </w:r>
      <w:r w:rsidRPr="00BC31B0">
        <w:t>is the development of the capabilities necessary to thrive, contribute and respond positively to the challenges and opportunities of life</w:t>
      </w:r>
      <w:r w:rsidRPr="005F0A8A">
        <w:t>.</w:t>
      </w:r>
    </w:p>
    <w:p w14:paraId="2CBBAC72" w14:textId="77777777" w:rsidR="00C53FED" w:rsidRDefault="00C53FED" w:rsidP="00C53FED">
      <w:pPr>
        <w:pStyle w:val="DETBody"/>
        <w:rPr>
          <w:sz w:val="22"/>
          <w:szCs w:val="20"/>
        </w:rPr>
      </w:pPr>
      <w:r w:rsidRPr="00D82309">
        <w:rPr>
          <w:color w:val="auto"/>
          <w:sz w:val="22"/>
          <w:szCs w:val="20"/>
        </w:rPr>
        <w:t xml:space="preserve">While learning has long been an established outcome of schooling, the current version of FISO </w:t>
      </w:r>
      <w:r>
        <w:rPr>
          <w:sz w:val="22"/>
          <w:szCs w:val="20"/>
        </w:rPr>
        <w:t>elevates</w:t>
      </w:r>
      <w:r w:rsidRPr="00A94BC9">
        <w:rPr>
          <w:sz w:val="22"/>
          <w:szCs w:val="20"/>
        </w:rPr>
        <w:t xml:space="preserve"> the importance of wellbeing, both as an enabler of</w:t>
      </w:r>
      <w:r>
        <w:rPr>
          <w:sz w:val="22"/>
          <w:szCs w:val="20"/>
        </w:rPr>
        <w:t xml:space="preserve"> </w:t>
      </w:r>
      <w:r w:rsidRPr="00A94BC9">
        <w:rPr>
          <w:sz w:val="22"/>
          <w:szCs w:val="20"/>
        </w:rPr>
        <w:t>learning</w:t>
      </w:r>
      <w:r>
        <w:rPr>
          <w:sz w:val="22"/>
          <w:szCs w:val="20"/>
        </w:rPr>
        <w:t xml:space="preserve"> outcomes</w:t>
      </w:r>
      <w:r w:rsidRPr="00A94BC9">
        <w:rPr>
          <w:sz w:val="22"/>
          <w:szCs w:val="20"/>
        </w:rPr>
        <w:t xml:space="preserve"> and as an outcome in its own right. </w:t>
      </w:r>
    </w:p>
    <w:p w14:paraId="36D353BA" w14:textId="6D9B45EE" w:rsidR="00C53FED" w:rsidRPr="00A94BC9" w:rsidRDefault="00C53FED" w:rsidP="00C53FED">
      <w:pPr>
        <w:pStyle w:val="DETBody"/>
        <w:rPr>
          <w:sz w:val="22"/>
          <w:szCs w:val="20"/>
        </w:rPr>
      </w:pPr>
      <w:r w:rsidRPr="00A94BC9">
        <w:rPr>
          <w:sz w:val="22"/>
          <w:szCs w:val="20"/>
        </w:rPr>
        <w:t xml:space="preserve">This focus is </w:t>
      </w:r>
      <w:r w:rsidR="00CA520C">
        <w:rPr>
          <w:sz w:val="22"/>
          <w:szCs w:val="20"/>
        </w:rPr>
        <w:t>a</w:t>
      </w:r>
      <w:r w:rsidRPr="00A94BC9">
        <w:rPr>
          <w:sz w:val="22"/>
          <w:szCs w:val="20"/>
        </w:rPr>
        <w:t xml:space="preserve"> direct response to:</w:t>
      </w:r>
    </w:p>
    <w:p w14:paraId="643FD6E4" w14:textId="77777777" w:rsidR="00C53FED" w:rsidRDefault="00C53FED" w:rsidP="00C53FED">
      <w:pPr>
        <w:pStyle w:val="Bullet1"/>
      </w:pPr>
      <w:r>
        <w:t>findings on the state of student wellbeing in Victoria</w:t>
      </w:r>
    </w:p>
    <w:p w14:paraId="0023DE3F" w14:textId="77777777" w:rsidR="00C53FED" w:rsidRDefault="00C53FED" w:rsidP="00C53FED">
      <w:pPr>
        <w:pStyle w:val="Bullet1"/>
      </w:pPr>
      <w:r>
        <w:t>the connection between student learning and wellbeing</w:t>
      </w:r>
    </w:p>
    <w:p w14:paraId="7B11BC33" w14:textId="77777777" w:rsidR="00C53FED" w:rsidRDefault="00C53FED" w:rsidP="00C53FED">
      <w:pPr>
        <w:pStyle w:val="Bullet1"/>
      </w:pPr>
      <w:r>
        <w:t>identified opportunities to enhance</w:t>
      </w:r>
      <w:r w:rsidRPr="00823EBB">
        <w:t xml:space="preserve"> Victoria’s state schooling support for </w:t>
      </w:r>
      <w:r>
        <w:t>learning and wellbeing.</w:t>
      </w:r>
    </w:p>
    <w:p w14:paraId="726DDBE6" w14:textId="77777777" w:rsidR="00C53FED" w:rsidRDefault="00C53FED" w:rsidP="00C53FED">
      <w:pPr>
        <w:pStyle w:val="Heading2"/>
      </w:pPr>
      <w:bookmarkStart w:id="2" w:name="_Toc83882662"/>
      <w:r>
        <w:t>State of student wellbeing in Victoria</w:t>
      </w:r>
      <w:bookmarkEnd w:id="2"/>
    </w:p>
    <w:p w14:paraId="7B99FA04" w14:textId="10BEE2CC" w:rsidR="00C53FED" w:rsidRDefault="00C53FED" w:rsidP="00C53FED">
      <w:r>
        <w:t>The findings from the Royal Commission into Victoria’s Mental Health System (RCVMH</w:t>
      </w:r>
      <w:r w:rsidR="009217E1">
        <w:t xml:space="preserve">, </w:t>
      </w:r>
      <w:r>
        <w:t>2021</w:t>
      </w:r>
      <w:r w:rsidR="009217E1">
        <w:t>)</w:t>
      </w:r>
      <w:r>
        <w:t xml:space="preserve"> show there is a need to improve student wellbeing in Victorian schools. It identified a range of urgent and increasing mental health and wellbeing challenges for children and young people and found that a</w:t>
      </w:r>
      <w:r w:rsidRPr="00F412D6">
        <w:t>round one in seven children and young people aged 4–17 years</w:t>
      </w:r>
      <w:r>
        <w:t>-old</w:t>
      </w:r>
      <w:r w:rsidRPr="00F412D6">
        <w:t xml:space="preserve"> experience a mental illness each year</w:t>
      </w:r>
      <w:r>
        <w:t>.</w:t>
      </w:r>
    </w:p>
    <w:p w14:paraId="32BFA3BA" w14:textId="1296BF31" w:rsidR="00C53FED" w:rsidRDefault="00C53FED" w:rsidP="00C53FED">
      <w:pPr>
        <w:rPr>
          <w:lang w:val="en-AU"/>
        </w:rPr>
      </w:pPr>
      <w:r>
        <w:rPr>
          <w:lang w:val="en-AU"/>
        </w:rPr>
        <w:t>Department data analysis shows relatively consistent patterns of student experiences of schooling in Victoria, from 2017 to 2020. In relation to wellbeing, student perceptions of their overall health, resilience, life satisfaction, sense of confidence and motivation and interest has declined (DET, 2019; 2020; 2021).</w:t>
      </w:r>
      <w:r w:rsidR="00FA028A">
        <w:rPr>
          <w:lang w:val="en-AU"/>
        </w:rPr>
        <w:t xml:space="preserve"> </w:t>
      </w:r>
      <w:r>
        <w:rPr>
          <w:lang w:val="en-AU"/>
        </w:rPr>
        <w:t>Key findings on student experiences at school is summarised below.</w:t>
      </w:r>
    </w:p>
    <w:tbl>
      <w:tblPr>
        <w:tblStyle w:val="ListTable3-Accent5"/>
        <w:tblW w:w="0" w:type="auto"/>
        <w:tblLook w:val="00A0" w:firstRow="1" w:lastRow="0" w:firstColumn="1" w:lastColumn="0" w:noHBand="0" w:noVBand="0"/>
      </w:tblPr>
      <w:tblGrid>
        <w:gridCol w:w="1527"/>
        <w:gridCol w:w="8095"/>
      </w:tblGrid>
      <w:tr w:rsidR="00C53FED" w:rsidRPr="00F86B3A" w14:paraId="75CF9671" w14:textId="77777777" w:rsidTr="003129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gridSpan w:val="2"/>
          </w:tcPr>
          <w:p w14:paraId="7CF8F4AD" w14:textId="77777777" w:rsidR="00C53FED" w:rsidRPr="00F86B3A" w:rsidRDefault="00C53FED" w:rsidP="0031298D">
            <w:pPr>
              <w:rPr>
                <w:sz w:val="18"/>
                <w:szCs w:val="20"/>
                <w:lang w:val="en-AU"/>
              </w:rPr>
            </w:pPr>
            <w:r>
              <w:rPr>
                <w:sz w:val="18"/>
                <w:szCs w:val="20"/>
                <w:lang w:val="en-AU"/>
              </w:rPr>
              <w:t>Evidence of student experiences (2017 – 2020)</w:t>
            </w:r>
          </w:p>
        </w:tc>
      </w:tr>
      <w:tr w:rsidR="00C53FED" w:rsidRPr="00F86B3A" w14:paraId="2790C2E1" w14:textId="77777777" w:rsidTr="00312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14:paraId="37CB6829" w14:textId="77777777" w:rsidR="00C53FED" w:rsidRPr="00F86B3A" w:rsidRDefault="00C53FED" w:rsidP="0031298D">
            <w:pPr>
              <w:pStyle w:val="Bullet1"/>
              <w:numPr>
                <w:ilvl w:val="0"/>
                <w:numId w:val="0"/>
              </w:numPr>
              <w:rPr>
                <w:sz w:val="18"/>
                <w:szCs w:val="20"/>
              </w:rPr>
            </w:pPr>
            <w:r w:rsidRPr="008A20C2">
              <w:rPr>
                <w:sz w:val="18"/>
                <w:szCs w:val="20"/>
              </w:rPr>
              <w:t>Social</w:t>
            </w:r>
          </w:p>
        </w:tc>
        <w:tc>
          <w:tcPr>
            <w:cnfStyle w:val="000010000000" w:firstRow="0" w:lastRow="0" w:firstColumn="0" w:lastColumn="0" w:oddVBand="1" w:evenVBand="0" w:oddHBand="0" w:evenHBand="0" w:firstRowFirstColumn="0" w:firstRowLastColumn="0" w:lastRowFirstColumn="0" w:lastRowLastColumn="0"/>
            <w:tcW w:w="8095" w:type="dxa"/>
          </w:tcPr>
          <w:p w14:paraId="1167B128" w14:textId="77777777" w:rsidR="00C53FED" w:rsidRPr="00F86B3A" w:rsidRDefault="00C53FED" w:rsidP="0031298D">
            <w:pPr>
              <w:pStyle w:val="Bullet1"/>
              <w:rPr>
                <w:sz w:val="18"/>
                <w:szCs w:val="20"/>
              </w:rPr>
            </w:pPr>
            <w:r w:rsidRPr="00F86B3A">
              <w:rPr>
                <w:sz w:val="18"/>
                <w:szCs w:val="20"/>
              </w:rPr>
              <w:t>Fewer reported experiences of bullying in 2019 and 2020 compared to 2017. However, bullying remains an issue, particularly Years 7-9 students and LGBTIQ adolescents</w:t>
            </w:r>
          </w:p>
          <w:p w14:paraId="52041137" w14:textId="77777777" w:rsidR="00C53FED" w:rsidRDefault="00C53FED" w:rsidP="0031298D">
            <w:pPr>
              <w:pStyle w:val="Bullet1"/>
              <w:rPr>
                <w:sz w:val="18"/>
                <w:szCs w:val="20"/>
              </w:rPr>
            </w:pPr>
            <w:r w:rsidRPr="00F86B3A">
              <w:rPr>
                <w:sz w:val="18"/>
                <w:szCs w:val="20"/>
              </w:rPr>
              <w:t>Increased positive responses to teacher concern since 2017; however, this declined for Years 7-9 students in 2020.</w:t>
            </w:r>
          </w:p>
          <w:p w14:paraId="011541FA" w14:textId="77777777" w:rsidR="00C53FED" w:rsidRPr="00AF7384" w:rsidRDefault="00C53FED" w:rsidP="0031298D">
            <w:pPr>
              <w:pStyle w:val="Bullet1"/>
              <w:rPr>
                <w:sz w:val="18"/>
                <w:szCs w:val="20"/>
              </w:rPr>
            </w:pPr>
            <w:r w:rsidRPr="00AF7384">
              <w:rPr>
                <w:sz w:val="18"/>
                <w:szCs w:val="20"/>
              </w:rPr>
              <w:t>Serious family conflict is an issue in about a third of adolescents’ homes and family violence was the primary driver of Aboriginal involvement with Child Protection.</w:t>
            </w:r>
          </w:p>
        </w:tc>
      </w:tr>
      <w:tr w:rsidR="00C53FED" w:rsidRPr="00F86B3A" w14:paraId="2A7D84B7" w14:textId="77777777" w:rsidTr="0031298D">
        <w:tc>
          <w:tcPr>
            <w:cnfStyle w:val="001000000000" w:firstRow="0" w:lastRow="0" w:firstColumn="1" w:lastColumn="0" w:oddVBand="0" w:evenVBand="0" w:oddHBand="0" w:evenHBand="0" w:firstRowFirstColumn="0" w:firstRowLastColumn="0" w:lastRowFirstColumn="0" w:lastRowLastColumn="0"/>
            <w:tcW w:w="1527" w:type="dxa"/>
            <w:vAlign w:val="center"/>
          </w:tcPr>
          <w:p w14:paraId="7790E7E9" w14:textId="77777777" w:rsidR="00C53FED" w:rsidRPr="00F86B3A" w:rsidRDefault="00C53FED" w:rsidP="0031298D">
            <w:pPr>
              <w:pStyle w:val="Bullet1"/>
              <w:numPr>
                <w:ilvl w:val="0"/>
                <w:numId w:val="0"/>
              </w:numPr>
              <w:rPr>
                <w:sz w:val="18"/>
                <w:szCs w:val="20"/>
              </w:rPr>
            </w:pPr>
            <w:r w:rsidRPr="008A20C2">
              <w:rPr>
                <w:sz w:val="18"/>
                <w:szCs w:val="20"/>
              </w:rPr>
              <w:t>Emotional</w:t>
            </w:r>
          </w:p>
        </w:tc>
        <w:tc>
          <w:tcPr>
            <w:cnfStyle w:val="000010000000" w:firstRow="0" w:lastRow="0" w:firstColumn="0" w:lastColumn="0" w:oddVBand="1" w:evenVBand="0" w:oddHBand="0" w:evenHBand="0" w:firstRowFirstColumn="0" w:firstRowLastColumn="0" w:lastRowFirstColumn="0" w:lastRowLastColumn="0"/>
            <w:tcW w:w="8095" w:type="dxa"/>
          </w:tcPr>
          <w:p w14:paraId="0D1DC780" w14:textId="77777777" w:rsidR="00C53FED" w:rsidRPr="00F86B3A" w:rsidRDefault="00C53FED" w:rsidP="0031298D">
            <w:pPr>
              <w:pStyle w:val="Bullet1"/>
              <w:rPr>
                <w:sz w:val="18"/>
                <w:szCs w:val="20"/>
              </w:rPr>
            </w:pPr>
            <w:r w:rsidRPr="00F86B3A">
              <w:rPr>
                <w:sz w:val="18"/>
                <w:szCs w:val="20"/>
              </w:rPr>
              <w:t>One in 10 children, in Years 5, 8, and 11 have an emotional, developmental or behaviour difficulty (2017)</w:t>
            </w:r>
          </w:p>
          <w:p w14:paraId="4A7B404F" w14:textId="596A14F3" w:rsidR="00C53FED" w:rsidRPr="00F86B3A" w:rsidRDefault="00C53FED" w:rsidP="0031298D">
            <w:pPr>
              <w:pStyle w:val="Bullet1"/>
              <w:rPr>
                <w:sz w:val="18"/>
                <w:szCs w:val="20"/>
              </w:rPr>
            </w:pPr>
            <w:r w:rsidRPr="00F86B3A">
              <w:rPr>
                <w:sz w:val="18"/>
                <w:szCs w:val="20"/>
              </w:rPr>
              <w:t>Increased rates of self-harm to the highest on record (from 2010–2017)</w:t>
            </w:r>
          </w:p>
          <w:p w14:paraId="755EE320" w14:textId="77777777" w:rsidR="00C53FED" w:rsidRPr="00F86B3A" w:rsidRDefault="00C53FED" w:rsidP="0031298D">
            <w:pPr>
              <w:pStyle w:val="Bullet1"/>
              <w:rPr>
                <w:sz w:val="18"/>
                <w:szCs w:val="20"/>
              </w:rPr>
            </w:pPr>
            <w:r w:rsidRPr="00F86B3A">
              <w:rPr>
                <w:sz w:val="18"/>
                <w:szCs w:val="20"/>
              </w:rPr>
              <w:t>More Victorian adolescents are reporting depressive symptoms</w:t>
            </w:r>
          </w:p>
          <w:p w14:paraId="543C26F4" w14:textId="77777777" w:rsidR="00C53FED" w:rsidRPr="00F86B3A" w:rsidRDefault="00C53FED" w:rsidP="0031298D">
            <w:pPr>
              <w:pStyle w:val="Bullet1"/>
              <w:rPr>
                <w:sz w:val="18"/>
                <w:szCs w:val="20"/>
              </w:rPr>
            </w:pPr>
            <w:r w:rsidRPr="00F86B3A">
              <w:rPr>
                <w:sz w:val="18"/>
                <w:szCs w:val="20"/>
              </w:rPr>
              <w:t>One in four students experienced high levels of psychological distress in 2020. Psychological distress is greater for students experiencing disadvantage (40.4% of Aboriginal Victorians aged 15-24 report high to very high levels of distress).</w:t>
            </w:r>
          </w:p>
          <w:p w14:paraId="22AF40E0" w14:textId="77777777" w:rsidR="00C53FED" w:rsidRDefault="00C53FED" w:rsidP="0031298D">
            <w:pPr>
              <w:pStyle w:val="Bullet1"/>
              <w:rPr>
                <w:sz w:val="18"/>
                <w:szCs w:val="20"/>
              </w:rPr>
            </w:pPr>
            <w:r w:rsidRPr="00F86B3A">
              <w:rPr>
                <w:sz w:val="18"/>
                <w:szCs w:val="20"/>
              </w:rPr>
              <w:t>65% of students reported feeling low (sad) at least “about every month” or more frequently in 2020</w:t>
            </w:r>
          </w:p>
          <w:p w14:paraId="385889DF" w14:textId="77777777" w:rsidR="00C53FED" w:rsidRPr="00AB6B7B" w:rsidRDefault="00C53FED" w:rsidP="0031298D">
            <w:pPr>
              <w:pStyle w:val="Bullet1"/>
              <w:rPr>
                <w:sz w:val="18"/>
                <w:szCs w:val="20"/>
              </w:rPr>
            </w:pPr>
            <w:r w:rsidRPr="00AB6B7B">
              <w:rPr>
                <w:sz w:val="18"/>
                <w:szCs w:val="20"/>
              </w:rPr>
              <w:t>Increased usage of mental health services. However, concerns about access remain as only 20% of Year 8 and Year 11 students believe they can access services when needed.</w:t>
            </w:r>
          </w:p>
          <w:p w14:paraId="37AE0834" w14:textId="77777777" w:rsidR="00C53FED" w:rsidRPr="00F648D2" w:rsidRDefault="00C53FED" w:rsidP="0031298D">
            <w:pPr>
              <w:pStyle w:val="Bullet1"/>
              <w:rPr>
                <w:sz w:val="18"/>
                <w:szCs w:val="20"/>
              </w:rPr>
            </w:pPr>
            <w:r w:rsidRPr="00F648D2">
              <w:rPr>
                <w:sz w:val="18"/>
                <w:szCs w:val="20"/>
              </w:rPr>
              <w:t>Reduced self-regulation and goal setting in primary school and minimal improvement for secondary students in 2020</w:t>
            </w:r>
          </w:p>
        </w:tc>
      </w:tr>
      <w:tr w:rsidR="00C53FED" w:rsidRPr="00F86B3A" w14:paraId="464F7B02" w14:textId="77777777" w:rsidTr="00312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14:paraId="36C14B1C" w14:textId="77777777" w:rsidR="00C53FED" w:rsidRDefault="00C53FED" w:rsidP="0031298D">
            <w:pPr>
              <w:pStyle w:val="Bullet1"/>
              <w:numPr>
                <w:ilvl w:val="0"/>
                <w:numId w:val="0"/>
              </w:numPr>
              <w:rPr>
                <w:b w:val="0"/>
                <w:bCs w:val="0"/>
                <w:sz w:val="18"/>
                <w:szCs w:val="20"/>
              </w:rPr>
            </w:pPr>
            <w:r w:rsidRPr="008A20C2">
              <w:rPr>
                <w:sz w:val="18"/>
                <w:szCs w:val="20"/>
              </w:rPr>
              <w:lastRenderedPageBreak/>
              <w:t>Physical</w:t>
            </w:r>
          </w:p>
          <w:p w14:paraId="2C592172" w14:textId="4B5C80AD" w:rsidR="00746D53" w:rsidRPr="00134ED8" w:rsidRDefault="00746D53" w:rsidP="00134ED8"/>
        </w:tc>
        <w:tc>
          <w:tcPr>
            <w:cnfStyle w:val="000010000000" w:firstRow="0" w:lastRow="0" w:firstColumn="0" w:lastColumn="0" w:oddVBand="1" w:evenVBand="0" w:oddHBand="0" w:evenHBand="0" w:firstRowFirstColumn="0" w:firstRowLastColumn="0" w:lastRowFirstColumn="0" w:lastRowLastColumn="0"/>
            <w:tcW w:w="8095" w:type="dxa"/>
          </w:tcPr>
          <w:p w14:paraId="7264D865" w14:textId="77777777" w:rsidR="00C53FED" w:rsidRPr="00F86B3A" w:rsidRDefault="00C53FED" w:rsidP="0031298D">
            <w:pPr>
              <w:pStyle w:val="Bullet1"/>
              <w:rPr>
                <w:sz w:val="18"/>
                <w:szCs w:val="20"/>
              </w:rPr>
            </w:pPr>
            <w:r w:rsidRPr="00F86B3A">
              <w:rPr>
                <w:sz w:val="18"/>
                <w:szCs w:val="20"/>
              </w:rPr>
              <w:t>Reduced engagement in physical activity, especially as students grow older</w:t>
            </w:r>
          </w:p>
          <w:p w14:paraId="21CE8D8F" w14:textId="77777777" w:rsidR="00C53FED" w:rsidRPr="00F86B3A" w:rsidRDefault="00C53FED" w:rsidP="0031298D">
            <w:pPr>
              <w:pStyle w:val="Bullet1"/>
              <w:rPr>
                <w:sz w:val="18"/>
                <w:szCs w:val="20"/>
              </w:rPr>
            </w:pPr>
            <w:r w:rsidRPr="00F86B3A">
              <w:rPr>
                <w:sz w:val="18"/>
                <w:szCs w:val="20"/>
              </w:rPr>
              <w:t>Increased proportion of students starting school at risk of physical concerns</w:t>
            </w:r>
          </w:p>
          <w:p w14:paraId="0C196BF6" w14:textId="77777777" w:rsidR="00C53FED" w:rsidRPr="00F86B3A" w:rsidRDefault="00C53FED" w:rsidP="0031298D">
            <w:pPr>
              <w:pStyle w:val="Bullet1"/>
              <w:rPr>
                <w:sz w:val="18"/>
                <w:szCs w:val="20"/>
              </w:rPr>
            </w:pPr>
            <w:r w:rsidRPr="00F86B3A">
              <w:rPr>
                <w:sz w:val="18"/>
                <w:szCs w:val="20"/>
              </w:rPr>
              <w:t xml:space="preserve">Most students not meeting guidelines for weight, diet, </w:t>
            </w:r>
            <w:proofErr w:type="gramStart"/>
            <w:r w:rsidRPr="00F86B3A">
              <w:rPr>
                <w:sz w:val="18"/>
                <w:szCs w:val="20"/>
              </w:rPr>
              <w:t>exercise</w:t>
            </w:r>
            <w:proofErr w:type="gramEnd"/>
            <w:r w:rsidRPr="00F86B3A">
              <w:rPr>
                <w:sz w:val="18"/>
                <w:szCs w:val="20"/>
              </w:rPr>
              <w:t xml:space="preserve"> and screen time</w:t>
            </w:r>
          </w:p>
        </w:tc>
      </w:tr>
      <w:tr w:rsidR="00C53FED" w:rsidRPr="00F86B3A" w14:paraId="27EAE4F7" w14:textId="77777777" w:rsidTr="0031298D">
        <w:tc>
          <w:tcPr>
            <w:cnfStyle w:val="001000000000" w:firstRow="0" w:lastRow="0" w:firstColumn="1" w:lastColumn="0" w:oddVBand="0" w:evenVBand="0" w:oddHBand="0" w:evenHBand="0" w:firstRowFirstColumn="0" w:firstRowLastColumn="0" w:lastRowFirstColumn="0" w:lastRowLastColumn="0"/>
            <w:tcW w:w="1527" w:type="dxa"/>
            <w:vAlign w:val="center"/>
          </w:tcPr>
          <w:p w14:paraId="722ECFDE" w14:textId="77777777" w:rsidR="00C53FED" w:rsidRPr="00F86B3A" w:rsidRDefault="00C53FED" w:rsidP="0031298D">
            <w:pPr>
              <w:pStyle w:val="Bullet1"/>
              <w:numPr>
                <w:ilvl w:val="0"/>
                <w:numId w:val="0"/>
              </w:numPr>
              <w:rPr>
                <w:sz w:val="18"/>
                <w:szCs w:val="20"/>
              </w:rPr>
            </w:pPr>
            <w:r w:rsidRPr="008A20C2">
              <w:rPr>
                <w:sz w:val="18"/>
                <w:szCs w:val="20"/>
              </w:rPr>
              <w:t>Cultural</w:t>
            </w:r>
          </w:p>
        </w:tc>
        <w:tc>
          <w:tcPr>
            <w:cnfStyle w:val="000010000000" w:firstRow="0" w:lastRow="0" w:firstColumn="0" w:lastColumn="0" w:oddVBand="1" w:evenVBand="0" w:oddHBand="0" w:evenHBand="0" w:firstRowFirstColumn="0" w:firstRowLastColumn="0" w:lastRowFirstColumn="0" w:lastRowLastColumn="0"/>
            <w:tcW w:w="8095" w:type="dxa"/>
          </w:tcPr>
          <w:p w14:paraId="08E9772E" w14:textId="77777777" w:rsidR="00C53FED" w:rsidRPr="00F86B3A" w:rsidRDefault="00C53FED" w:rsidP="0031298D">
            <w:pPr>
              <w:pStyle w:val="Bullet1"/>
              <w:rPr>
                <w:sz w:val="18"/>
                <w:szCs w:val="20"/>
              </w:rPr>
            </w:pPr>
            <w:r w:rsidRPr="00F86B3A">
              <w:rPr>
                <w:sz w:val="18"/>
                <w:szCs w:val="20"/>
              </w:rPr>
              <w:t>Poorer perception of school climate for secondary students than primary students</w:t>
            </w:r>
          </w:p>
          <w:p w14:paraId="7F8DD92D" w14:textId="77777777" w:rsidR="00C53FED" w:rsidRPr="00F86B3A" w:rsidRDefault="00C53FED" w:rsidP="0031298D">
            <w:pPr>
              <w:pStyle w:val="Bullet1"/>
              <w:rPr>
                <w:sz w:val="18"/>
                <w:szCs w:val="20"/>
              </w:rPr>
            </w:pPr>
            <w:r w:rsidRPr="00F86B3A">
              <w:rPr>
                <w:sz w:val="18"/>
                <w:szCs w:val="20"/>
              </w:rPr>
              <w:t>Poorer perception of connectedness for secondary students than primary students</w:t>
            </w:r>
          </w:p>
          <w:p w14:paraId="7FD19FC2" w14:textId="77777777" w:rsidR="00C53FED" w:rsidRPr="00186229" w:rsidRDefault="00C53FED" w:rsidP="0031298D">
            <w:pPr>
              <w:pStyle w:val="Bullet1"/>
              <w:rPr>
                <w:sz w:val="18"/>
                <w:szCs w:val="20"/>
              </w:rPr>
            </w:pPr>
            <w:r w:rsidRPr="00F86B3A">
              <w:rPr>
                <w:sz w:val="18"/>
                <w:szCs w:val="20"/>
              </w:rPr>
              <w:t>Improved sense of connectedness for Aboriginal students and those in disadvantaged schools since 2017</w:t>
            </w:r>
          </w:p>
        </w:tc>
      </w:tr>
      <w:tr w:rsidR="00C53FED" w:rsidRPr="00F86B3A" w14:paraId="5B4372F8" w14:textId="77777777" w:rsidTr="00312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14:paraId="795EAB92" w14:textId="77777777" w:rsidR="00C53FED" w:rsidRPr="00F86B3A" w:rsidRDefault="00C53FED" w:rsidP="0031298D">
            <w:pPr>
              <w:pStyle w:val="Bullet1"/>
              <w:numPr>
                <w:ilvl w:val="0"/>
                <w:numId w:val="0"/>
              </w:numPr>
              <w:rPr>
                <w:sz w:val="18"/>
                <w:szCs w:val="20"/>
              </w:rPr>
            </w:pPr>
            <w:r w:rsidRPr="008A20C2">
              <w:rPr>
                <w:sz w:val="18"/>
                <w:szCs w:val="20"/>
              </w:rPr>
              <w:t>Civic</w:t>
            </w:r>
          </w:p>
        </w:tc>
        <w:tc>
          <w:tcPr>
            <w:cnfStyle w:val="000010000000" w:firstRow="0" w:lastRow="0" w:firstColumn="0" w:lastColumn="0" w:oddVBand="1" w:evenVBand="0" w:oddHBand="0" w:evenHBand="0" w:firstRowFirstColumn="0" w:firstRowLastColumn="0" w:lastRowFirstColumn="0" w:lastRowLastColumn="0"/>
            <w:tcW w:w="8095" w:type="dxa"/>
          </w:tcPr>
          <w:p w14:paraId="3FE90A0F" w14:textId="77777777" w:rsidR="00C53FED" w:rsidRPr="00F86B3A" w:rsidRDefault="00C53FED" w:rsidP="0031298D">
            <w:pPr>
              <w:pStyle w:val="Bullet1"/>
              <w:rPr>
                <w:sz w:val="18"/>
                <w:szCs w:val="20"/>
              </w:rPr>
            </w:pPr>
            <w:r w:rsidRPr="00F86B3A">
              <w:rPr>
                <w:sz w:val="18"/>
                <w:szCs w:val="20"/>
              </w:rPr>
              <w:t>Increased proportion of students absent for more than 30 days a year</w:t>
            </w:r>
          </w:p>
          <w:p w14:paraId="6A33AB67" w14:textId="77777777" w:rsidR="00C53FED" w:rsidRPr="00AB6B7B" w:rsidRDefault="00C53FED" w:rsidP="0031298D">
            <w:pPr>
              <w:pStyle w:val="Bullet1"/>
              <w:rPr>
                <w:sz w:val="18"/>
                <w:szCs w:val="20"/>
              </w:rPr>
            </w:pPr>
            <w:r w:rsidRPr="00F86B3A">
              <w:rPr>
                <w:sz w:val="18"/>
                <w:szCs w:val="20"/>
              </w:rPr>
              <w:t>Reduced student voice and agency when students transition to secondary school; however, in 2020 this trend was reversed, with increases among Years 7-9 and 10-12 students.</w:t>
            </w:r>
          </w:p>
        </w:tc>
      </w:tr>
    </w:tbl>
    <w:p w14:paraId="459E8B28" w14:textId="77777777" w:rsidR="00C53FED" w:rsidRPr="00340DCA" w:rsidRDefault="00C53FED" w:rsidP="00C53FED">
      <w:pPr>
        <w:spacing w:after="240"/>
        <w:rPr>
          <w:sz w:val="14"/>
          <w:szCs w:val="14"/>
          <w:lang w:val="en-AU"/>
        </w:rPr>
      </w:pPr>
      <w:r w:rsidRPr="00340DCA">
        <w:rPr>
          <w:sz w:val="14"/>
          <w:szCs w:val="14"/>
          <w:lang w:val="en-AU"/>
        </w:rPr>
        <w:t xml:space="preserve">Source: </w:t>
      </w:r>
      <w:r w:rsidRPr="00340DCA">
        <w:rPr>
          <w:sz w:val="14"/>
          <w:szCs w:val="14"/>
        </w:rPr>
        <w:t xml:space="preserve">DET (2020) Outcomes Framework Snapshot; DET (2019) State of Victoria’s Children Report; DET (2019) State of Victoria’s Children Report – Aboriginal Children and Young People; DET (2021) Evidence of student health and wellbeing – </w:t>
      </w:r>
      <w:r w:rsidRPr="00340DCA">
        <w:rPr>
          <w:i/>
          <w:iCs/>
          <w:sz w:val="14"/>
          <w:szCs w:val="14"/>
        </w:rPr>
        <w:t>internal analysis</w:t>
      </w:r>
      <w:r w:rsidRPr="00340DCA">
        <w:rPr>
          <w:sz w:val="14"/>
          <w:szCs w:val="14"/>
        </w:rPr>
        <w:t>.</w:t>
      </w:r>
    </w:p>
    <w:p w14:paraId="6E4D490E" w14:textId="77777777" w:rsidR="00C53FED" w:rsidRPr="00957E8C" w:rsidRDefault="00C53FED" w:rsidP="00C53FED">
      <w:pPr>
        <w:pStyle w:val="Heading2"/>
      </w:pPr>
      <w:bookmarkStart w:id="3" w:name="_Toc83882663"/>
      <w:r>
        <w:t>Relationship</w:t>
      </w:r>
      <w:r w:rsidRPr="00957E8C">
        <w:t xml:space="preserve"> between student learning and wellbeing</w:t>
      </w:r>
      <w:r>
        <w:t xml:space="preserve"> outcomes</w:t>
      </w:r>
      <w:bookmarkEnd w:id="3"/>
    </w:p>
    <w:p w14:paraId="4E67486C" w14:textId="080C3AC1" w:rsidR="00C53FED" w:rsidRPr="00BF0EA8" w:rsidRDefault="00BF0EA8" w:rsidP="00BF0EA8">
      <w:pPr>
        <w:spacing w:before="120"/>
      </w:pPr>
      <w:r>
        <w:t>There is a</w:t>
      </w:r>
      <w:r w:rsidR="00C53FED" w:rsidRPr="00683610">
        <w:t xml:space="preserve"> rich evidence base for student learning and wellbeing outcomes</w:t>
      </w:r>
      <w:r w:rsidR="00C53FED">
        <w:t xml:space="preserve">. </w:t>
      </w:r>
      <w:r>
        <w:t>This provides</w:t>
      </w:r>
      <w:r w:rsidR="00C53FED">
        <w:t xml:space="preserve"> a </w:t>
      </w:r>
      <w:r w:rsidR="00C53FED" w:rsidRPr="00683610">
        <w:t xml:space="preserve">strong </w:t>
      </w:r>
      <w:r>
        <w:t xml:space="preserve">research and </w:t>
      </w:r>
      <w:r w:rsidR="00C53FED" w:rsidRPr="00683610">
        <w:t xml:space="preserve">analytical foundation to identify the measures that have the greatest evidence for improving learning and wellbeing outcomes for Victorian </w:t>
      </w:r>
      <w:r w:rsidR="00B84E15" w:rsidRPr="00683610">
        <w:t>students</w:t>
      </w:r>
      <w:r w:rsidR="00B84E15">
        <w:t xml:space="preserve"> and</w:t>
      </w:r>
      <w:r w:rsidR="00C53FED">
        <w:t xml:space="preserve"> understand the relationship between student learning and wellbeing outcomes</w:t>
      </w:r>
      <w:r w:rsidR="00C53FED" w:rsidRPr="00683610">
        <w:t>.</w:t>
      </w:r>
      <w:r w:rsidR="00044B9A">
        <w:t xml:space="preserve"> </w:t>
      </w:r>
      <w:r w:rsidR="00250F86">
        <w:t xml:space="preserve">These measures are </w:t>
      </w:r>
      <w:r w:rsidR="00D67A2F">
        <w:t>captured in the FISO</w:t>
      </w:r>
      <w:r w:rsidR="00F670E4">
        <w:t xml:space="preserve"> 2.0 System Measures practice tool available on the department’s Policy and Advisory Library website. </w:t>
      </w:r>
      <w:r w:rsidR="00DC73E3">
        <w:t xml:space="preserve">The evidence-based system measures align to the FISO outcomes of learning and wellbeing, and </w:t>
      </w:r>
      <w:r w:rsidR="005411B5">
        <w:t xml:space="preserve">the five core elements. </w:t>
      </w:r>
    </w:p>
    <w:p w14:paraId="6B523198" w14:textId="77777777" w:rsidR="00C53FED" w:rsidRPr="00573E9D" w:rsidRDefault="00C53FED" w:rsidP="00C53FED">
      <w:pPr>
        <w:rPr>
          <w:b/>
          <w:bCs/>
        </w:rPr>
      </w:pPr>
      <w:r>
        <w:rPr>
          <w:b/>
          <w:bCs/>
        </w:rPr>
        <w:t xml:space="preserve">Wellbeing as an enabler for learning  </w:t>
      </w:r>
    </w:p>
    <w:p w14:paraId="4B4596AB" w14:textId="01E45E13" w:rsidR="00C53FED" w:rsidRDefault="004A4C55" w:rsidP="00C53FED">
      <w:r>
        <w:t xml:space="preserve">Research evidence and </w:t>
      </w:r>
      <w:r w:rsidR="00C53FED" w:rsidRPr="00D60FBF">
        <w:t xml:space="preserve">Department </w:t>
      </w:r>
      <w:r w:rsidR="00C53FED">
        <w:t>data analysis demonstrate</w:t>
      </w:r>
      <w:r w:rsidR="00C53FED" w:rsidRPr="00D60FBF">
        <w:t xml:space="preserve"> a strong relationship between wellbeing and learning outcomes (DET, 2021).</w:t>
      </w:r>
      <w:r w:rsidR="00C53FED">
        <w:t xml:space="preserve"> Analysis of student academic performance and responses to questions in the </w:t>
      </w:r>
      <w:r>
        <w:t xml:space="preserve">Department </w:t>
      </w:r>
      <w:r w:rsidR="00C53FED">
        <w:t>Attitudes to School Survey (</w:t>
      </w:r>
      <w:proofErr w:type="spellStart"/>
      <w:r w:rsidR="00C53FED">
        <w:t>AtoSS</w:t>
      </w:r>
      <w:proofErr w:type="spellEnd"/>
      <w:r w:rsidR="00C53FED">
        <w:t>) reveal the following wellbeing factors are highly correlated with student achievement:</w:t>
      </w:r>
    </w:p>
    <w:p w14:paraId="485DB21D" w14:textId="09AE2DD6" w:rsidR="00C53FED" w:rsidRPr="00264810" w:rsidRDefault="00C53FED" w:rsidP="00E84EDB">
      <w:pPr>
        <w:pStyle w:val="Bullet1"/>
        <w:numPr>
          <w:ilvl w:val="0"/>
          <w:numId w:val="27"/>
        </w:numPr>
      </w:pPr>
      <w:r w:rsidRPr="00BF0EA8">
        <w:rPr>
          <w:b/>
          <w:bCs/>
        </w:rPr>
        <w:t>Resilience:</w:t>
      </w:r>
      <w:r>
        <w:t xml:space="preserve"> this measure captures student level of agreement to statements relating to their perceived ability to respond and adapt to, or recover from, challenging, stressful and negative experiences. </w:t>
      </w:r>
      <w:r w:rsidRPr="004C2D74">
        <w:t>Re</w:t>
      </w:r>
      <w:r w:rsidRPr="00F278C0">
        <w:t xml:space="preserve">silience is a key </w:t>
      </w:r>
      <w:r w:rsidRPr="00847F4F">
        <w:t xml:space="preserve">wellbeing indicator and is </w:t>
      </w:r>
      <w:r w:rsidRPr="004C2D74">
        <w:t xml:space="preserve">predictive of </w:t>
      </w:r>
      <w:r w:rsidRPr="00847F4F">
        <w:t xml:space="preserve">a </w:t>
      </w:r>
      <w:r w:rsidRPr="004C2D74">
        <w:t>student</w:t>
      </w:r>
      <w:r w:rsidRPr="00847F4F">
        <w:t>’</w:t>
      </w:r>
      <w:r w:rsidRPr="004C2D74">
        <w:t xml:space="preserve">s </w:t>
      </w:r>
      <w:r w:rsidRPr="00F278C0">
        <w:t>academic performance.</w:t>
      </w:r>
      <w:r w:rsidRPr="005F3829">
        <w:t xml:space="preserve"> </w:t>
      </w:r>
      <w:r w:rsidR="00FA2654">
        <w:t xml:space="preserve">Research evidence indicates student resilience is essential for both academic and social growth and is optimised by safe and supportive and learning environments (Smith, et al. 2008). </w:t>
      </w:r>
      <w:r w:rsidR="00187D1C">
        <w:t>In Victorian government schools, s</w:t>
      </w:r>
      <w:r w:rsidRPr="005F3829">
        <w:t xml:space="preserve">tudents who reported low levels of resilience </w:t>
      </w:r>
      <w:r w:rsidR="00187D1C">
        <w:t xml:space="preserve">in </w:t>
      </w:r>
      <w:proofErr w:type="spellStart"/>
      <w:r w:rsidR="00187D1C">
        <w:t>AtoSS</w:t>
      </w:r>
      <w:proofErr w:type="spellEnd"/>
      <w:r w:rsidR="00187D1C">
        <w:t xml:space="preserve"> </w:t>
      </w:r>
      <w:r w:rsidRPr="005F3829">
        <w:t>were more likely to be ‘below</w:t>
      </w:r>
      <w:r>
        <w:t xml:space="preserve"> expected level’ in teacher judgements for Reading and Viewing and Number and Algebra, after controlling for student characteristics and prior performance. </w:t>
      </w:r>
    </w:p>
    <w:p w14:paraId="49BF3470" w14:textId="2CC37EC8" w:rsidR="00285177" w:rsidRPr="0066197B" w:rsidRDefault="00C53FED" w:rsidP="00EC4C79">
      <w:pPr>
        <w:pStyle w:val="Bullet1"/>
        <w:numPr>
          <w:ilvl w:val="0"/>
          <w:numId w:val="27"/>
        </w:numPr>
        <w:rPr>
          <w:rFonts w:ascii="Calibri" w:hAnsi="Calibri" w:cs="Calibri"/>
          <w:color w:val="201F1E"/>
          <w:szCs w:val="22"/>
          <w:shd w:val="clear" w:color="auto" w:fill="FFFFFF"/>
        </w:rPr>
      </w:pPr>
      <w:r w:rsidRPr="00A60886">
        <w:rPr>
          <w:b/>
          <w:bCs/>
        </w:rPr>
        <w:t>School connectedness (sense of connectedness):</w:t>
      </w:r>
      <w:r>
        <w:t xml:space="preserve"> this measure captures the extent to which student have a sense of belonging at their school. </w:t>
      </w:r>
      <w:r w:rsidR="00285177">
        <w:t>Research evidence indicates:</w:t>
      </w:r>
    </w:p>
    <w:p w14:paraId="474B9810" w14:textId="77777777" w:rsidR="00285177" w:rsidRPr="0066197B" w:rsidRDefault="00285177" w:rsidP="00EC4C79">
      <w:pPr>
        <w:pStyle w:val="Bullet1"/>
        <w:numPr>
          <w:ilvl w:val="1"/>
          <w:numId w:val="2"/>
        </w:numPr>
        <w:ind w:left="1134" w:hanging="283"/>
      </w:pPr>
      <w:r w:rsidRPr="0066197B">
        <w:t>students’ sense of belonging and connectedness to schools is positively associated with school achievement, social and emotional competencies, and attitudinal factors such as aspiration and motivation (</w:t>
      </w:r>
      <w:proofErr w:type="spellStart"/>
      <w:r w:rsidRPr="0066197B">
        <w:t>Korpershoek</w:t>
      </w:r>
      <w:proofErr w:type="spellEnd"/>
      <w:r w:rsidRPr="0066197B">
        <w:t>, et al. 2018; OECD, 2018).</w:t>
      </w:r>
    </w:p>
    <w:p w14:paraId="3A1567EB" w14:textId="77777777" w:rsidR="00285177" w:rsidRPr="0066197B" w:rsidRDefault="00285177" w:rsidP="00EC4C79">
      <w:pPr>
        <w:pStyle w:val="Bullet1"/>
        <w:numPr>
          <w:ilvl w:val="1"/>
          <w:numId w:val="2"/>
        </w:numPr>
        <w:ind w:left="1134" w:hanging="283"/>
      </w:pPr>
      <w:r w:rsidRPr="0066197B">
        <w:t>a sense of belonging to school has been found to be a significant predictor of academic resilience (</w:t>
      </w:r>
      <w:r>
        <w:t>Gonza</w:t>
      </w:r>
      <w:r w:rsidRPr="0066197B">
        <w:t xml:space="preserve">lez and Padilla, 1997). </w:t>
      </w:r>
    </w:p>
    <w:p w14:paraId="62406E7F" w14:textId="77777777" w:rsidR="00285177" w:rsidRDefault="00285177" w:rsidP="00EC4C79">
      <w:pPr>
        <w:pStyle w:val="Bullet1"/>
        <w:numPr>
          <w:ilvl w:val="1"/>
          <w:numId w:val="2"/>
        </w:numPr>
        <w:ind w:left="1134" w:hanging="283"/>
      </w:pPr>
      <w:r w:rsidRPr="0066197B">
        <w:t>school connectedness is a protective factor against risky sexual violence and drug use behaviours (Catalano, Haggerty, Oesterle, Fleming &amp; Hawkins, 2004).</w:t>
      </w:r>
    </w:p>
    <w:p w14:paraId="5CDBECF4" w14:textId="329C7F0C" w:rsidR="00285177" w:rsidRPr="00A168EF" w:rsidRDefault="00285177" w:rsidP="00EC4C79">
      <w:pPr>
        <w:pStyle w:val="Bullet1"/>
        <w:numPr>
          <w:ilvl w:val="1"/>
          <w:numId w:val="2"/>
        </w:numPr>
        <w:ind w:left="1134" w:hanging="283"/>
      </w:pPr>
      <w:r>
        <w:lastRenderedPageBreak/>
        <w:t xml:space="preserve">By being engaged in </w:t>
      </w:r>
      <w:r w:rsidR="0087690E">
        <w:t>learning and</w:t>
      </w:r>
      <w:r>
        <w:t xml:space="preserve"> participating in a range of activities that support the development of social networks and involvement in a community, education can grow an individual’s social capital and sense of belonging (</w:t>
      </w:r>
      <w:proofErr w:type="spellStart"/>
      <w:r>
        <w:t>Tokas</w:t>
      </w:r>
      <w:proofErr w:type="spellEnd"/>
      <w:r>
        <w:t>, 2016).</w:t>
      </w:r>
    </w:p>
    <w:p w14:paraId="4D86D747" w14:textId="3DF868A4" w:rsidR="00C53FED" w:rsidRPr="00A51C5B" w:rsidRDefault="00285177" w:rsidP="00EC4C79">
      <w:pPr>
        <w:pStyle w:val="Bullet1"/>
        <w:numPr>
          <w:ilvl w:val="0"/>
          <w:numId w:val="0"/>
        </w:numPr>
        <w:ind w:left="709"/>
        <w:rPr>
          <w:rFonts w:ascii="Calibri" w:hAnsi="Calibri" w:cs="Calibri"/>
          <w:color w:val="201F1E"/>
          <w:szCs w:val="22"/>
          <w:shd w:val="clear" w:color="auto" w:fill="FFFFFF"/>
        </w:rPr>
      </w:pPr>
      <w:r>
        <w:t>Victorian government s</w:t>
      </w:r>
      <w:r w:rsidR="00C53FED">
        <w:t xml:space="preserve">tudents’ sense of connectedness as measured by </w:t>
      </w:r>
      <w:proofErr w:type="spellStart"/>
      <w:r w:rsidR="00C53FED">
        <w:t>AtoSS</w:t>
      </w:r>
      <w:proofErr w:type="spellEnd"/>
      <w:r w:rsidR="00C53FED">
        <w:t xml:space="preserve"> is correlated with better NAPLAN performance. This is stronger amongst secondary school-ages students, where student perceptions of sense of connectedness are more differentiated. </w:t>
      </w:r>
    </w:p>
    <w:p w14:paraId="1D6C62FE" w14:textId="530EDD9D" w:rsidR="00C53FED" w:rsidRPr="002451BD" w:rsidRDefault="00C53FED" w:rsidP="00C53FED">
      <w:pPr>
        <w:rPr>
          <w:lang w:val="en-AU"/>
        </w:rPr>
      </w:pPr>
      <w:r>
        <w:rPr>
          <w:lang w:val="en-AU"/>
        </w:rPr>
        <w:t xml:space="preserve">Additional wellbeing </w:t>
      </w:r>
      <w:r w:rsidR="000E309F">
        <w:rPr>
          <w:lang w:val="en-AU"/>
        </w:rPr>
        <w:t>measures</w:t>
      </w:r>
      <w:r>
        <w:rPr>
          <w:lang w:val="en-AU"/>
        </w:rPr>
        <w:t xml:space="preserve"> that are </w:t>
      </w:r>
      <w:r w:rsidR="000E309F">
        <w:rPr>
          <w:lang w:val="en-AU"/>
        </w:rPr>
        <w:t xml:space="preserve">positively </w:t>
      </w:r>
      <w:r>
        <w:rPr>
          <w:lang w:val="en-AU"/>
        </w:rPr>
        <w:t xml:space="preserve">correlated to </w:t>
      </w:r>
      <w:r w:rsidR="000E309F">
        <w:rPr>
          <w:lang w:val="en-AU"/>
        </w:rPr>
        <w:t>learning</w:t>
      </w:r>
      <w:r>
        <w:rPr>
          <w:lang w:val="en-AU"/>
        </w:rPr>
        <w:t xml:space="preserve"> include:</w:t>
      </w:r>
    </w:p>
    <w:p w14:paraId="7F5DA1B1" w14:textId="7FF8E101" w:rsidR="00D84E09" w:rsidRPr="00847F4F" w:rsidRDefault="00C53FED" w:rsidP="00D84E09">
      <w:pPr>
        <w:pStyle w:val="Bullet1"/>
        <w:numPr>
          <w:ilvl w:val="0"/>
          <w:numId w:val="30"/>
        </w:numPr>
      </w:pPr>
      <w:r w:rsidRPr="00FD7DF2">
        <w:rPr>
          <w:b/>
          <w:bCs/>
        </w:rPr>
        <w:t>Emotional awareness and regulation:</w:t>
      </w:r>
      <w:r w:rsidRPr="00FD7DF2">
        <w:t xml:space="preserve"> this measure captures students’ perception of how well they feel </w:t>
      </w:r>
      <w:r w:rsidR="00001685">
        <w:t>and how</w:t>
      </w:r>
      <w:r w:rsidRPr="00FD7DF2">
        <w:t xml:space="preserve"> they recognise and manage their emotions. </w:t>
      </w:r>
      <w:r w:rsidR="00D84E09">
        <w:t>Research evidence indicates s</w:t>
      </w:r>
      <w:r w:rsidR="00D84E09" w:rsidRPr="00FD7DF2">
        <w:t>tudent’s social-emotional competence has been found to play a role in their academic success. When students can manage their emotions and maintain positive relationships, they are more likely to be engaged in their education, be well adjusted, and excel academically (Crowder, et, al. 2019).</w:t>
      </w:r>
      <w:r w:rsidR="00D84E09">
        <w:t xml:space="preserve"> </w:t>
      </w:r>
      <w:r w:rsidR="00D84E09" w:rsidRPr="00FD7DF2">
        <w:t>Students’ social and emotional competencies (including self-awareness, relationship building and emotional regulation) are also associated with higher levels of self-reported life satisfaction, reduced risk behaviours and psychological distress, and improved outcomes in schooling and later life (Taylor et al., 2017; Goldberg, et al. 2018; Van de Sande et al., 2019).</w:t>
      </w:r>
    </w:p>
    <w:p w14:paraId="621E5C66" w14:textId="47265DF7" w:rsidR="00C53FED" w:rsidRDefault="00C53FED" w:rsidP="00D84E09">
      <w:pPr>
        <w:pStyle w:val="Bullet1"/>
        <w:numPr>
          <w:ilvl w:val="0"/>
          <w:numId w:val="0"/>
        </w:numPr>
        <w:ind w:left="720"/>
      </w:pPr>
      <w:r w:rsidRPr="005F3829">
        <w:t xml:space="preserve">Early </w:t>
      </w:r>
      <w:r w:rsidR="00D84E09">
        <w:t>Department</w:t>
      </w:r>
      <w:r w:rsidRPr="008924EB">
        <w:t xml:space="preserve"> anal</w:t>
      </w:r>
      <w:r w:rsidRPr="005F3829">
        <w:t>ysis of this measure, first collected in 2020, reveals that student perceptions</w:t>
      </w:r>
      <w:r>
        <w:t xml:space="preserve"> of their emotional awareness and regulation are highly correlated to factors that impact learning, </w:t>
      </w:r>
      <w:r w:rsidRPr="004B524C">
        <w:t>including perseverance, sense of confidence and sense of connectedness.</w:t>
      </w:r>
      <w:r>
        <w:t xml:space="preserve"> </w:t>
      </w:r>
    </w:p>
    <w:p w14:paraId="0ED38568" w14:textId="77777777" w:rsidR="00EF4A7B" w:rsidRDefault="00C53FED" w:rsidP="00EF4A7B">
      <w:pPr>
        <w:pStyle w:val="Bullet1"/>
        <w:numPr>
          <w:ilvl w:val="0"/>
          <w:numId w:val="30"/>
        </w:numPr>
      </w:pPr>
      <w:r w:rsidRPr="00BC4E3D">
        <w:rPr>
          <w:b/>
          <w:bCs/>
        </w:rPr>
        <w:t xml:space="preserve">Respect for diversity: </w:t>
      </w:r>
      <w:r w:rsidRPr="00BC4E3D">
        <w:t>this measure captured students’ perception on whether people are treated fairly and if diversity is respected in the school e</w:t>
      </w:r>
      <w:r w:rsidRPr="00F278C0">
        <w:t>nvironment.</w:t>
      </w:r>
      <w:r w:rsidRPr="005F3829">
        <w:t xml:space="preserve"> </w:t>
      </w:r>
      <w:r w:rsidR="00EF4A7B">
        <w:t>C</w:t>
      </w:r>
      <w:r w:rsidR="00EF4A7B" w:rsidRPr="00BC4E3D">
        <w:t xml:space="preserve">lassroom environments that have been informed by principles of equity and inclusion are associated with improved wellbeing, academic </w:t>
      </w:r>
      <w:proofErr w:type="gramStart"/>
      <w:r w:rsidR="00EF4A7B" w:rsidRPr="00BC4E3D">
        <w:t>outcomes</w:t>
      </w:r>
      <w:proofErr w:type="gramEnd"/>
      <w:r w:rsidR="00EF4A7B" w:rsidRPr="00BC4E3D">
        <w:t xml:space="preserve"> and social participation, particularly for students and cohorts experiencing vulnerability (</w:t>
      </w:r>
      <w:r w:rsidR="00EF4A7B" w:rsidRPr="00C0529A">
        <w:t>Thapa, et al. 2013</w:t>
      </w:r>
      <w:r w:rsidR="00EF4A7B" w:rsidRPr="00BC4E3D">
        <w:t>).</w:t>
      </w:r>
      <w:r w:rsidR="00EF4A7B">
        <w:rPr>
          <w:rStyle w:val="FootnoteReference"/>
        </w:rPr>
        <w:footnoteReference w:id="2"/>
      </w:r>
    </w:p>
    <w:p w14:paraId="03E56CB4" w14:textId="775B90EB" w:rsidR="00C53FED" w:rsidRDefault="00C53FED" w:rsidP="00EF4A7B">
      <w:pPr>
        <w:pStyle w:val="Bullet1"/>
        <w:numPr>
          <w:ilvl w:val="0"/>
          <w:numId w:val="0"/>
        </w:numPr>
        <w:ind w:left="720"/>
      </w:pPr>
      <w:r w:rsidRPr="005F3829">
        <w:t>Department data analysis shows</w:t>
      </w:r>
      <w:r w:rsidRPr="00847F4F">
        <w:t xml:space="preserve"> that after controlling for school disadvantage level, student endorsement of respect for diversity is correlated with NAPLAN Reading performance for Year 9 students. There is a weaker relationship with Year 5 Reading, which is in part explained by much higher levels of endorsement amongst primary school students. </w:t>
      </w:r>
    </w:p>
    <w:p w14:paraId="7A40AD36" w14:textId="28406669" w:rsidR="00C53FED" w:rsidRDefault="00C53FED" w:rsidP="00181621">
      <w:pPr>
        <w:pStyle w:val="Bullet1"/>
      </w:pPr>
      <w:r w:rsidRPr="006807DE">
        <w:rPr>
          <w:b/>
          <w:bCs/>
        </w:rPr>
        <w:t>Subjective physical health:</w:t>
      </w:r>
      <w:r>
        <w:t xml:space="preserve"> this measure captures students’ perception of their physical health</w:t>
      </w:r>
      <w:r w:rsidR="00181621">
        <w:t xml:space="preserve"> – that is</w:t>
      </w:r>
      <w:r>
        <w:t xml:space="preserve"> the state of their physical body and how healthy it is. Research </w:t>
      </w:r>
      <w:r w:rsidR="00181621">
        <w:t xml:space="preserve">evidence </w:t>
      </w:r>
      <w:r>
        <w:t xml:space="preserve">shows that physical health relates directly to wellbeing (Kern, Benson, Steinberg &amp; Steinberg, 2016; Wolfson &amp; </w:t>
      </w:r>
      <w:proofErr w:type="spellStart"/>
      <w:r>
        <w:t>Carskadon</w:t>
      </w:r>
      <w:proofErr w:type="spellEnd"/>
      <w:r>
        <w:t>, 1998). It is also closely linked to students’ academic achievement and longer-term participation in society and the workforce (Aston, 2018). With this measure first collected in 2021, Departmen</w:t>
      </w:r>
      <w:r w:rsidR="00181621">
        <w:t>t</w:t>
      </w:r>
      <w:r>
        <w:t xml:space="preserve"> analysis on the impact of subjective physical health and learning is not yet available. </w:t>
      </w:r>
    </w:p>
    <w:p w14:paraId="0F4BF5C1" w14:textId="266E414A" w:rsidR="00251340" w:rsidRDefault="00251340" w:rsidP="00251340">
      <w:pPr>
        <w:rPr>
          <w:lang w:val="en-AU"/>
        </w:rPr>
      </w:pPr>
    </w:p>
    <w:p w14:paraId="6ECB84F4" w14:textId="27BD9C3A" w:rsidR="00A02B27" w:rsidRPr="005C68D0" w:rsidRDefault="00A02B27" w:rsidP="00251340">
      <w:pPr>
        <w:rPr>
          <w:lang w:val="en-AU"/>
        </w:rPr>
      </w:pPr>
      <w:r w:rsidRPr="005C68D0">
        <w:rPr>
          <w:lang w:val="en-AU"/>
        </w:rPr>
        <w:t xml:space="preserve">See Figure 2 below for a list of </w:t>
      </w:r>
      <w:r w:rsidR="002C1027" w:rsidRPr="005C68D0">
        <w:rPr>
          <w:lang w:val="en-AU"/>
        </w:rPr>
        <w:t>system measures</w:t>
      </w:r>
      <w:r w:rsidR="007B09BF" w:rsidRPr="005C68D0">
        <w:rPr>
          <w:lang w:val="en-AU"/>
        </w:rPr>
        <w:t xml:space="preserve"> that support the twin outcomes of learning and wellbeing:</w:t>
      </w:r>
    </w:p>
    <w:p w14:paraId="437320B5" w14:textId="1889D43A" w:rsidR="004D6210" w:rsidRPr="005C68D0" w:rsidRDefault="004D6210" w:rsidP="004D6210">
      <w:pPr>
        <w:rPr>
          <w:b/>
          <w:bCs/>
          <w:color w:val="E57100" w:themeColor="accent1"/>
          <w:lang w:val="en-AU"/>
        </w:rPr>
      </w:pPr>
      <w:r w:rsidRPr="005C68D0">
        <w:rPr>
          <w:rFonts w:asciiTheme="majorHAnsi" w:eastAsiaTheme="majorEastAsia" w:hAnsiTheme="majorHAnsi" w:cstheme="majorBidi"/>
          <w:b/>
          <w:color w:val="E57100" w:themeColor="accent1"/>
          <w:sz w:val="24"/>
          <w:lang w:val="en-AU"/>
        </w:rPr>
        <w:lastRenderedPageBreak/>
        <w:t>Figure 2: FISO 2.0 system measures</w:t>
      </w:r>
    </w:p>
    <w:tbl>
      <w:tblPr>
        <w:tblW w:w="9739" w:type="dxa"/>
        <w:tblCellMar>
          <w:left w:w="0" w:type="dxa"/>
          <w:right w:w="0" w:type="dxa"/>
        </w:tblCellMar>
        <w:tblLook w:val="0420" w:firstRow="1" w:lastRow="0" w:firstColumn="0" w:lastColumn="0" w:noHBand="0" w:noVBand="1"/>
      </w:tblPr>
      <w:tblGrid>
        <w:gridCol w:w="3176"/>
        <w:gridCol w:w="6563"/>
      </w:tblGrid>
      <w:tr w:rsidR="004D6210" w:rsidRPr="005C68D0" w14:paraId="3D8BD7E8" w14:textId="77777777" w:rsidTr="00344685">
        <w:trPr>
          <w:trHeight w:val="98"/>
        </w:trPr>
        <w:tc>
          <w:tcPr>
            <w:tcW w:w="9739" w:type="dxa"/>
            <w:gridSpan w:val="2"/>
            <w:tcBorders>
              <w:top w:val="single" w:sz="8" w:space="0" w:color="FFFFFF"/>
              <w:left w:val="single" w:sz="8" w:space="0" w:color="FFFFFF"/>
              <w:bottom w:val="single" w:sz="24" w:space="0" w:color="FFFFFF"/>
              <w:right w:val="single" w:sz="8" w:space="0" w:color="FFFFFF"/>
            </w:tcBorders>
            <w:shd w:val="clear" w:color="auto" w:fill="004C97"/>
            <w:tcMar>
              <w:top w:w="15" w:type="dxa"/>
              <w:left w:w="15" w:type="dxa"/>
              <w:bottom w:w="0" w:type="dxa"/>
              <w:right w:w="15" w:type="dxa"/>
            </w:tcMar>
            <w:vAlign w:val="bottom"/>
            <w:hideMark/>
          </w:tcPr>
          <w:p w14:paraId="32BAA655" w14:textId="77777777" w:rsidR="004D6210" w:rsidRPr="005C68D0" w:rsidRDefault="004D6210" w:rsidP="00344685">
            <w:pPr>
              <w:jc w:val="center"/>
              <w:rPr>
                <w:rFonts w:ascii="Arial" w:eastAsia="Times New Roman" w:hAnsi="Arial" w:cs="Arial"/>
                <w:sz w:val="36"/>
                <w:szCs w:val="36"/>
                <w:lang w:val="en-AU" w:eastAsia="en-AU"/>
              </w:rPr>
            </w:pPr>
            <w:r w:rsidRPr="005C68D0">
              <w:rPr>
                <w:rFonts w:ascii="Arial" w:eastAsia="Arial" w:hAnsi="Arial" w:cs="Times New Roman"/>
                <w:b/>
                <w:bCs/>
                <w:color w:val="FFFFFF"/>
                <w:kern w:val="24"/>
                <w:szCs w:val="22"/>
                <w:lang w:val="en-AU" w:eastAsia="en-AU"/>
              </w:rPr>
              <w:t>FISO 2.0 Outcomes</w:t>
            </w:r>
          </w:p>
        </w:tc>
      </w:tr>
      <w:tr w:rsidR="004D6210" w:rsidRPr="005C68D0" w14:paraId="20B73B9A" w14:textId="77777777" w:rsidTr="00344685">
        <w:trPr>
          <w:trHeight w:val="612"/>
        </w:trPr>
        <w:tc>
          <w:tcPr>
            <w:tcW w:w="3176" w:type="dxa"/>
            <w:tcBorders>
              <w:top w:val="single" w:sz="24" w:space="0" w:color="FFFFFF"/>
              <w:left w:val="single" w:sz="8" w:space="0" w:color="FFFFFF"/>
              <w:bottom w:val="single" w:sz="24" w:space="0" w:color="FFFFFF"/>
              <w:right w:val="single" w:sz="8" w:space="0" w:color="FFFFFF"/>
            </w:tcBorders>
            <w:shd w:val="clear" w:color="auto" w:fill="E7E6E6"/>
            <w:tcMar>
              <w:top w:w="17" w:type="dxa"/>
              <w:left w:w="44" w:type="dxa"/>
              <w:bottom w:w="17" w:type="dxa"/>
              <w:right w:w="44" w:type="dxa"/>
            </w:tcMar>
            <w:hideMark/>
          </w:tcPr>
          <w:p w14:paraId="38E6AEA2"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b/>
                <w:bCs/>
                <w:color w:val="0063A5"/>
                <w:kern w:val="24"/>
                <w:szCs w:val="22"/>
                <w:lang w:val="en-AU" w:eastAsia="en-AU"/>
              </w:rPr>
              <w:t>Learning</w:t>
            </w:r>
          </w:p>
          <w:p w14:paraId="04C63E0B"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Benchmark growth (NAPLAN)</w:t>
            </w:r>
          </w:p>
          <w:p w14:paraId="4446E085" w14:textId="47B466C4"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English online</w:t>
            </w:r>
            <w:r w:rsidR="009070DB" w:rsidRPr="005C68D0">
              <w:rPr>
                <w:rFonts w:ascii="Arial" w:eastAsia="Arial" w:hAnsi="Arial" w:cs="Times New Roman"/>
                <w:color w:val="000000"/>
                <w:kern w:val="24"/>
                <w:szCs w:val="22"/>
                <w:lang w:val="en-AU" w:eastAsia="en-AU"/>
              </w:rPr>
              <w:t xml:space="preserve"> interview</w:t>
            </w:r>
          </w:p>
          <w:p w14:paraId="6E2034D1"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Senior secondary completion rate</w:t>
            </w:r>
          </w:p>
        </w:tc>
        <w:tc>
          <w:tcPr>
            <w:tcW w:w="6563" w:type="dxa"/>
            <w:tcBorders>
              <w:top w:val="single" w:sz="24" w:space="0" w:color="FFFFFF"/>
              <w:left w:val="single" w:sz="8" w:space="0" w:color="FFFFFF"/>
              <w:bottom w:val="single" w:sz="24" w:space="0" w:color="FFFFFF"/>
              <w:right w:val="single" w:sz="8" w:space="0" w:color="FFFFFF"/>
            </w:tcBorders>
            <w:shd w:val="clear" w:color="auto" w:fill="E7E6E6"/>
            <w:tcMar>
              <w:top w:w="17" w:type="dxa"/>
              <w:left w:w="44" w:type="dxa"/>
              <w:bottom w:w="17" w:type="dxa"/>
              <w:right w:w="44" w:type="dxa"/>
            </w:tcMar>
            <w:hideMark/>
          </w:tcPr>
          <w:p w14:paraId="64972258"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b/>
                <w:bCs/>
                <w:color w:val="0063A5"/>
                <w:kern w:val="24"/>
                <w:szCs w:val="22"/>
                <w:lang w:val="en-AU" w:eastAsia="en-AU"/>
              </w:rPr>
              <w:t xml:space="preserve">Wellbeing </w:t>
            </w:r>
          </w:p>
          <w:p w14:paraId="150D83E1"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Resilience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 xml:space="preserve">) </w:t>
            </w:r>
          </w:p>
          <w:p w14:paraId="42891685"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School connectedness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2031C69B"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Subjective physical health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309CFD6E"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Emotional awareness and regulation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11B325A1" w14:textId="77777777" w:rsidR="004D6210" w:rsidRPr="005C68D0" w:rsidRDefault="004D6210"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Strengths and Difficulties Questionnaire (SEHQ, prep only)</w:t>
            </w:r>
          </w:p>
        </w:tc>
      </w:tr>
    </w:tbl>
    <w:p w14:paraId="5780FE66" w14:textId="307A0FC2" w:rsidR="003A22B1" w:rsidRDefault="003A22B1" w:rsidP="003A22B1">
      <w:r w:rsidRPr="005C68D0">
        <w:t>F</w:t>
      </w:r>
      <w:r w:rsidR="00F31E61" w:rsidRPr="005C68D0">
        <w:t xml:space="preserve">or </w:t>
      </w:r>
      <w:r w:rsidRPr="005C68D0">
        <w:t>further information about</w:t>
      </w:r>
      <w:r w:rsidR="00E70BF3" w:rsidRPr="005C68D0">
        <w:t xml:space="preserve"> how these measures apply </w:t>
      </w:r>
      <w:r w:rsidR="00C9546C" w:rsidRPr="005C68D0">
        <w:t>to student outcomes</w:t>
      </w:r>
      <w:r w:rsidRPr="005C68D0">
        <w:t>,</w:t>
      </w:r>
      <w:r w:rsidR="00C9546C" w:rsidRPr="005C68D0">
        <w:t xml:space="preserve"> </w:t>
      </w:r>
      <w:r w:rsidR="00E70BF3" w:rsidRPr="005C68D0">
        <w:t>and the strength of th</w:t>
      </w:r>
      <w:r w:rsidR="00C9546C" w:rsidRPr="005C68D0">
        <w:t>ose</w:t>
      </w:r>
      <w:r w:rsidR="00E70BF3" w:rsidRPr="005C68D0">
        <w:t xml:space="preserve"> measure</w:t>
      </w:r>
      <w:r w:rsidR="00C9546C" w:rsidRPr="005C68D0">
        <w:t>s</w:t>
      </w:r>
      <w:r w:rsidRPr="005C68D0">
        <w:t xml:space="preserve">, </w:t>
      </w:r>
      <w:r w:rsidRPr="005C68D0">
        <w:rPr>
          <w:lang w:val="en-AU"/>
        </w:rPr>
        <w:t xml:space="preserve">see </w:t>
      </w:r>
      <w:r w:rsidRPr="005C68D0">
        <w:t xml:space="preserve">FISO 2.0 </w:t>
      </w:r>
      <w:hyperlink r:id="rId17" w:history="1">
        <w:r w:rsidRPr="005C68D0">
          <w:rPr>
            <w:rStyle w:val="Hyperlink"/>
          </w:rPr>
          <w:t>System Measures</w:t>
        </w:r>
      </w:hyperlink>
      <w:r w:rsidRPr="005C68D0">
        <w:t xml:space="preserve"> practice tool on the FISO PAL website</w:t>
      </w:r>
      <w:r>
        <w:t xml:space="preserve"> </w:t>
      </w:r>
    </w:p>
    <w:p w14:paraId="2E67BE32" w14:textId="77777777" w:rsidR="00251340" w:rsidRPr="00251340" w:rsidRDefault="00251340" w:rsidP="00C53FED">
      <w:pPr>
        <w:rPr>
          <w:lang w:val="en-AU"/>
        </w:rPr>
      </w:pPr>
    </w:p>
    <w:p w14:paraId="1E41F58B" w14:textId="3248D031" w:rsidR="00C53FED" w:rsidRPr="00573E9D" w:rsidRDefault="00C53FED" w:rsidP="00C53FED">
      <w:pPr>
        <w:rPr>
          <w:b/>
          <w:bCs/>
          <w:lang w:val="en-AU"/>
        </w:rPr>
      </w:pPr>
      <w:r w:rsidRPr="00573E9D">
        <w:rPr>
          <w:b/>
          <w:bCs/>
          <w:lang w:val="en-AU"/>
        </w:rPr>
        <w:t xml:space="preserve">Broader research </w:t>
      </w:r>
      <w:r>
        <w:rPr>
          <w:b/>
          <w:bCs/>
          <w:lang w:val="en-AU"/>
        </w:rPr>
        <w:t>on</w:t>
      </w:r>
      <w:r w:rsidRPr="00573E9D">
        <w:rPr>
          <w:b/>
          <w:bCs/>
          <w:lang w:val="en-AU"/>
        </w:rPr>
        <w:t xml:space="preserve"> the connection between learning and wellbeing</w:t>
      </w:r>
    </w:p>
    <w:p w14:paraId="637591F6" w14:textId="7D59991C" w:rsidR="00C53FED" w:rsidRDefault="00C53FED" w:rsidP="00C53FED">
      <w:pPr>
        <w:rPr>
          <w:lang w:val="en-AU"/>
        </w:rPr>
      </w:pPr>
      <w:r>
        <w:rPr>
          <w:lang w:val="en-AU"/>
        </w:rPr>
        <w:t xml:space="preserve">Research </w:t>
      </w:r>
      <w:r w:rsidR="00EF4A7B">
        <w:rPr>
          <w:lang w:val="en-AU"/>
        </w:rPr>
        <w:t>evidence</w:t>
      </w:r>
      <w:r>
        <w:rPr>
          <w:lang w:val="en-AU"/>
        </w:rPr>
        <w:t xml:space="preserve"> shows that there are significant links between educational outcomes and wellbeing: </w:t>
      </w:r>
    </w:p>
    <w:p w14:paraId="306D7A9C" w14:textId="7DCA2446" w:rsidR="00C53FED" w:rsidRDefault="00C53FED" w:rsidP="00C53FED">
      <w:pPr>
        <w:pStyle w:val="Bullet1"/>
      </w:pPr>
      <w:r>
        <w:t xml:space="preserve">Positive health has been found to lead to greater levels of educational achievement, </w:t>
      </w:r>
      <w:proofErr w:type="gramStart"/>
      <w:r>
        <w:t>productivity</w:t>
      </w:r>
      <w:proofErr w:type="gramEnd"/>
      <w:r>
        <w:t xml:space="preserve"> and quality of life (Thompson et al</w:t>
      </w:r>
      <w:r w:rsidR="006E5BB8">
        <w:t>.</w:t>
      </w:r>
      <w:r>
        <w:t>, 2020; WHO, 1998)</w:t>
      </w:r>
    </w:p>
    <w:p w14:paraId="73059041" w14:textId="77777777" w:rsidR="00C53FED" w:rsidRDefault="00C53FED" w:rsidP="00C53FED">
      <w:pPr>
        <w:pStyle w:val="Bullet1"/>
        <w:rPr>
          <w:szCs w:val="20"/>
        </w:rPr>
      </w:pPr>
      <w:r>
        <w:rPr>
          <w:szCs w:val="20"/>
        </w:rPr>
        <w:t>I</w:t>
      </w:r>
      <w:r w:rsidRPr="00F961BC">
        <w:rPr>
          <w:szCs w:val="20"/>
        </w:rPr>
        <w:t>mprovements in wellbeing is positively associated with effective teaching and learning</w:t>
      </w:r>
      <w:r>
        <w:rPr>
          <w:szCs w:val="20"/>
        </w:rPr>
        <w:t xml:space="preserve"> in schools</w:t>
      </w:r>
      <w:r w:rsidRPr="00F961BC">
        <w:rPr>
          <w:szCs w:val="20"/>
        </w:rPr>
        <w:t xml:space="preserve"> (</w:t>
      </w:r>
      <w:proofErr w:type="spellStart"/>
      <w:r w:rsidRPr="00F961BC">
        <w:rPr>
          <w:szCs w:val="20"/>
        </w:rPr>
        <w:t>Konu</w:t>
      </w:r>
      <w:proofErr w:type="spellEnd"/>
      <w:r w:rsidRPr="00F961BC">
        <w:rPr>
          <w:szCs w:val="20"/>
        </w:rPr>
        <w:t xml:space="preserve"> &amp; </w:t>
      </w:r>
      <w:proofErr w:type="spellStart"/>
      <w:r w:rsidRPr="00F961BC">
        <w:rPr>
          <w:szCs w:val="20"/>
        </w:rPr>
        <w:t>Rimpela</w:t>
      </w:r>
      <w:proofErr w:type="spellEnd"/>
      <w:r w:rsidRPr="00F961BC">
        <w:rPr>
          <w:szCs w:val="20"/>
        </w:rPr>
        <w:t>, 2002)</w:t>
      </w:r>
    </w:p>
    <w:p w14:paraId="377C08CC" w14:textId="77777777" w:rsidR="00C53FED" w:rsidRDefault="00C53FED" w:rsidP="00C53FED">
      <w:pPr>
        <w:pStyle w:val="Bullet1"/>
      </w:pPr>
      <w:r w:rsidRPr="00A94BC9">
        <w:t xml:space="preserve">Healthy behaviour and the development of social-emotional skills </w:t>
      </w:r>
      <w:r>
        <w:t>in safe and supported learning environments is</w:t>
      </w:r>
      <w:r w:rsidRPr="00A94BC9">
        <w:t xml:space="preserve"> </w:t>
      </w:r>
      <w:r>
        <w:t>linked to</w:t>
      </w:r>
      <w:r w:rsidRPr="00A94BC9">
        <w:t xml:space="preserve"> improved attendance, </w:t>
      </w:r>
      <w:proofErr w:type="gramStart"/>
      <w:r w:rsidRPr="00A94BC9">
        <w:t>engagement</w:t>
      </w:r>
      <w:proofErr w:type="gramEnd"/>
      <w:r w:rsidRPr="00A94BC9">
        <w:t xml:space="preserve"> and academic outcomes</w:t>
      </w:r>
      <w:r>
        <w:t xml:space="preserve"> (UNESCO, 2021)</w:t>
      </w:r>
    </w:p>
    <w:p w14:paraId="2C6A4544" w14:textId="296A05AB" w:rsidR="00C53FED" w:rsidRPr="000D2838" w:rsidRDefault="00C53FED" w:rsidP="00C53FED">
      <w:pPr>
        <w:pStyle w:val="Bullet1"/>
      </w:pPr>
      <w:r>
        <w:t>Experiences of</w:t>
      </w:r>
      <w:r w:rsidRPr="004D20F9">
        <w:t xml:space="preserve"> poor mental health </w:t>
      </w:r>
      <w:r>
        <w:t>are likely to negatively impact academic achievement, and students are more likely to</w:t>
      </w:r>
      <w:r w:rsidRPr="004D20F9">
        <w:t xml:space="preserve"> miss more days of schools and leave school early resulting in limited employment opportunities</w:t>
      </w:r>
      <w:r>
        <w:t xml:space="preserve"> (RCVMHS, 2021)</w:t>
      </w:r>
    </w:p>
    <w:p w14:paraId="03EFFC4D" w14:textId="4EDE90BB" w:rsidR="00C53FED" w:rsidRDefault="00C53FED" w:rsidP="00C53FED">
      <w:pPr>
        <w:pStyle w:val="Bullet1"/>
      </w:pPr>
      <w:r>
        <w:t>Greater physical activity is associated with better educational outcomes (Owen et al</w:t>
      </w:r>
      <w:r w:rsidR="006E5BB8">
        <w:t>.</w:t>
      </w:r>
      <w:r>
        <w:t>, 2017)</w:t>
      </w:r>
    </w:p>
    <w:p w14:paraId="28AECB19" w14:textId="77777777" w:rsidR="00C53FED" w:rsidRDefault="00C53FED" w:rsidP="00C53FED">
      <w:pPr>
        <w:pStyle w:val="Bullet1"/>
      </w:pPr>
      <w:r>
        <w:t>M</w:t>
      </w:r>
      <w:r w:rsidRPr="00F412D6">
        <w:t>ental illness can interrupt formative, developmental experiences and, if left unresolved, can create long-term, even lifelong, consequences</w:t>
      </w:r>
      <w:r>
        <w:t xml:space="preserve"> (RCVMHS, 2021).</w:t>
      </w:r>
    </w:p>
    <w:p w14:paraId="57A4B8C3" w14:textId="7743AD56" w:rsidR="00C53FED" w:rsidRPr="00A15304" w:rsidRDefault="00C53FED" w:rsidP="00C53FED">
      <w:pPr>
        <w:pStyle w:val="Bullet1"/>
      </w:pPr>
      <w:r>
        <w:t xml:space="preserve">Young </w:t>
      </w:r>
      <w:r w:rsidRPr="00551D82">
        <w:t xml:space="preserve">people who do not complete Year 12 or equivalent qualifications are at greater risk of poor economic, social, and health outcomes. These risks are associated with a range of personal and social costs – including reduced lifetime earnings, increased reliance on government welfare and health services, and increased public expenditure on criminal justice (Lamb &amp; </w:t>
      </w:r>
      <w:proofErr w:type="spellStart"/>
      <w:r w:rsidRPr="00551D82">
        <w:t>Huo</w:t>
      </w:r>
      <w:proofErr w:type="spellEnd"/>
      <w:r w:rsidRPr="00551D82">
        <w:t xml:space="preserve">, 2017). </w:t>
      </w:r>
    </w:p>
    <w:p w14:paraId="6550E74E" w14:textId="27436EAF" w:rsidR="00C53FED" w:rsidRDefault="00C53FED" w:rsidP="00C53FED">
      <w:pPr>
        <w:pStyle w:val="Bullet1"/>
        <w:numPr>
          <w:ilvl w:val="0"/>
          <w:numId w:val="0"/>
        </w:numPr>
      </w:pPr>
      <w:r>
        <w:t xml:space="preserve">In general, children and adolescents who are healthy and have positive wellbeing </w:t>
      </w:r>
      <w:r w:rsidR="009217E1">
        <w:t>can</w:t>
      </w:r>
      <w:r>
        <w:t xml:space="preserve"> participate in learning and school life more effectively (</w:t>
      </w:r>
      <w:proofErr w:type="spellStart"/>
      <w:r>
        <w:t>Fraillon</w:t>
      </w:r>
      <w:proofErr w:type="spellEnd"/>
      <w:r>
        <w:t xml:space="preserve">, 2004; Symons et al, 1997). They are more able to engage in school, having greater attention, </w:t>
      </w:r>
      <w:proofErr w:type="gramStart"/>
      <w:r>
        <w:t>concentration</w:t>
      </w:r>
      <w:proofErr w:type="gramEnd"/>
      <w:r>
        <w:t xml:space="preserve"> and ability to think and work (Beckett, 2000). Conversely, children who are experiencing poor health, such as chronic physical or mental health issues, are less able to engage in learning. They often have poorer levels of attendance and achievement and have a reduced ability to contribute to society (Dalsgaard et al, 2020; Wolfe 1985).</w:t>
      </w:r>
    </w:p>
    <w:p w14:paraId="6BC68CB3" w14:textId="77BF37BC" w:rsidR="00C53FED" w:rsidRDefault="00C53FED" w:rsidP="00C53FED">
      <w:r>
        <w:t>By integrating learning and wellbeing, schools prepare students to manage the complexities of the world they live in (Fullan, 2021). An increased focus on wellbeing can support students in being more resilient (Dix et al</w:t>
      </w:r>
      <w:r w:rsidR="006E5BB8">
        <w:t>.</w:t>
      </w:r>
      <w:r>
        <w:t>, 2020).</w:t>
      </w:r>
      <w:r>
        <w:rPr>
          <w:lang w:val="en-AU"/>
        </w:rPr>
        <w:t xml:space="preserve"> </w:t>
      </w:r>
      <w:r w:rsidR="002B729E">
        <w:rPr>
          <w:lang w:val="en-AU"/>
        </w:rPr>
        <w:t>T</w:t>
      </w:r>
      <w:r>
        <w:t>o improve the health and wellbeing of students, a whole-school approach is critical for ensuring universal support (Brooks, 2014).</w:t>
      </w:r>
    </w:p>
    <w:p w14:paraId="3B10A869" w14:textId="77777777" w:rsidR="00C53FED" w:rsidRPr="005C405C" w:rsidRDefault="00C53FED" w:rsidP="00C53FED">
      <w:pPr>
        <w:pStyle w:val="Heading3"/>
      </w:pPr>
      <w:bookmarkStart w:id="4" w:name="_Toc83882664"/>
      <w:r w:rsidRPr="005C405C">
        <w:lastRenderedPageBreak/>
        <w:t>Wellbeing capabilities</w:t>
      </w:r>
      <w:bookmarkEnd w:id="4"/>
    </w:p>
    <w:p w14:paraId="0919A7E1" w14:textId="480E0CE3" w:rsidR="00C53FED" w:rsidRPr="008A20C2" w:rsidRDefault="00C53FED" w:rsidP="00C53FED">
      <w:pPr>
        <w:rPr>
          <w:lang w:val="en-AU"/>
        </w:rPr>
      </w:pPr>
      <w:r>
        <w:rPr>
          <w:lang w:val="en-AU"/>
        </w:rPr>
        <w:t>The wellbeing capabilities, listed below, are five interconnected capabilities that schools can support students to develop through their teaching and learning program.</w:t>
      </w:r>
      <w:r w:rsidR="00ED75AB">
        <w:rPr>
          <w:lang w:val="en-AU"/>
        </w:rPr>
        <w:t xml:space="preserve"> Schools are encouraged to </w:t>
      </w:r>
      <w:r w:rsidR="00F23746">
        <w:rPr>
          <w:lang w:val="en-AU"/>
        </w:rPr>
        <w:t xml:space="preserve">use the FISO 2.0 System Measures to evaluate and diagnose their progress, </w:t>
      </w:r>
      <w:proofErr w:type="gramStart"/>
      <w:r w:rsidR="00F23746">
        <w:rPr>
          <w:lang w:val="en-AU"/>
        </w:rPr>
        <w:t>prioritise</w:t>
      </w:r>
      <w:proofErr w:type="gramEnd"/>
      <w:r w:rsidR="00F23746">
        <w:rPr>
          <w:lang w:val="en-AU"/>
        </w:rPr>
        <w:t xml:space="preserve"> and set </w:t>
      </w:r>
      <w:r w:rsidR="00A046B4">
        <w:rPr>
          <w:lang w:val="en-AU"/>
        </w:rPr>
        <w:t>goals</w:t>
      </w:r>
      <w:r w:rsidR="00F23746">
        <w:rPr>
          <w:lang w:val="en-AU"/>
        </w:rPr>
        <w:t xml:space="preserve"> for improvement, develop and plan for implementation and to </w:t>
      </w:r>
      <w:r w:rsidR="001A42E8">
        <w:rPr>
          <w:lang w:val="en-AU"/>
        </w:rPr>
        <w:t>monitor their progress</w:t>
      </w:r>
      <w:r w:rsidR="004352A2">
        <w:rPr>
          <w:lang w:val="en-AU"/>
        </w:rPr>
        <w:t>.</w:t>
      </w:r>
    </w:p>
    <w:tbl>
      <w:tblPr>
        <w:tblStyle w:val="ListTable3-Accent5"/>
        <w:tblW w:w="5000" w:type="pct"/>
        <w:tblLook w:val="00A0" w:firstRow="1" w:lastRow="0" w:firstColumn="1" w:lastColumn="0" w:noHBand="0" w:noVBand="0"/>
      </w:tblPr>
      <w:tblGrid>
        <w:gridCol w:w="1413"/>
        <w:gridCol w:w="8214"/>
      </w:tblGrid>
      <w:tr w:rsidR="00C53FED" w:rsidRPr="008A20C2" w14:paraId="0BE73D4E" w14:textId="77777777" w:rsidTr="0031298D">
        <w:trPr>
          <w:cnfStyle w:val="100000000000" w:firstRow="1" w:lastRow="0" w:firstColumn="0" w:lastColumn="0" w:oddVBand="0" w:evenVBand="0" w:oddHBand="0" w:evenHBand="0" w:firstRowFirstColumn="0" w:firstRowLastColumn="0" w:lastRowFirstColumn="0" w:lastRowLastColumn="0"/>
          <w:trHeight w:val="207"/>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84A0D26" w14:textId="77777777" w:rsidR="00C53FED" w:rsidRPr="008A20C2" w:rsidRDefault="00C53FED" w:rsidP="0031298D">
            <w:pPr>
              <w:rPr>
                <w:lang w:val="en-AU"/>
              </w:rPr>
            </w:pPr>
            <w:r>
              <w:rPr>
                <w:lang w:val="en-AU"/>
              </w:rPr>
              <w:t>Wellbeing c</w:t>
            </w:r>
            <w:r w:rsidRPr="008A20C2">
              <w:rPr>
                <w:lang w:val="en-AU"/>
              </w:rPr>
              <w:t>apabilities</w:t>
            </w:r>
          </w:p>
        </w:tc>
      </w:tr>
      <w:tr w:rsidR="00C53FED" w:rsidRPr="008A20C2" w14:paraId="4C1AC6F4" w14:textId="77777777" w:rsidTr="0031298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734" w:type="pct"/>
            <w:tcBorders>
              <w:right w:val="single" w:sz="4" w:space="0" w:color="0070C0"/>
            </w:tcBorders>
            <w:vAlign w:val="center"/>
          </w:tcPr>
          <w:p w14:paraId="41278C4A" w14:textId="77777777" w:rsidR="00C53FED" w:rsidRPr="008A20C2" w:rsidRDefault="00C53FED" w:rsidP="0031298D">
            <w:pPr>
              <w:spacing w:before="60"/>
              <w:rPr>
                <w:sz w:val="18"/>
                <w:szCs w:val="20"/>
                <w:lang w:val="en-AU"/>
              </w:rPr>
            </w:pPr>
            <w:r w:rsidRPr="008A20C2">
              <w:rPr>
                <w:sz w:val="18"/>
                <w:szCs w:val="20"/>
              </w:rPr>
              <w:t>Social</w:t>
            </w:r>
          </w:p>
        </w:tc>
        <w:tc>
          <w:tcPr>
            <w:cnfStyle w:val="000010000000" w:firstRow="0" w:lastRow="0" w:firstColumn="0" w:lastColumn="0" w:oddVBand="1" w:evenVBand="0" w:oddHBand="0" w:evenHBand="0" w:firstRowFirstColumn="0" w:firstRowLastColumn="0" w:lastRowFirstColumn="0" w:lastRowLastColumn="0"/>
            <w:tcW w:w="4266" w:type="pct"/>
            <w:tcBorders>
              <w:left w:val="single" w:sz="4" w:space="0" w:color="0070C0"/>
            </w:tcBorders>
            <w:vAlign w:val="center"/>
          </w:tcPr>
          <w:p w14:paraId="253DBA24" w14:textId="77777777" w:rsidR="00C53FED" w:rsidRPr="008A20C2" w:rsidRDefault="00C53FED" w:rsidP="0031298D">
            <w:pPr>
              <w:spacing w:before="60"/>
              <w:rPr>
                <w:sz w:val="18"/>
                <w:szCs w:val="18"/>
                <w:lang w:val="en-AU"/>
              </w:rPr>
            </w:pPr>
            <w:r w:rsidRPr="008A20C2">
              <w:rPr>
                <w:rFonts w:ascii="Arial" w:hAnsi="Arial" w:cs="Arial"/>
                <w:kern w:val="24"/>
                <w:sz w:val="18"/>
                <w:szCs w:val="18"/>
              </w:rPr>
              <w:t>Students’ sense of belonging, ability to develop positive and respectful relationships and communicate and collaborate effectively</w:t>
            </w:r>
          </w:p>
        </w:tc>
      </w:tr>
      <w:tr w:rsidR="00C53FED" w:rsidRPr="008A20C2" w14:paraId="44F63D39" w14:textId="77777777" w:rsidTr="0031298D">
        <w:trPr>
          <w:trHeight w:val="330"/>
        </w:trPr>
        <w:tc>
          <w:tcPr>
            <w:cnfStyle w:val="001000000000" w:firstRow="0" w:lastRow="0" w:firstColumn="1" w:lastColumn="0" w:oddVBand="0" w:evenVBand="0" w:oddHBand="0" w:evenHBand="0" w:firstRowFirstColumn="0" w:firstRowLastColumn="0" w:lastRowFirstColumn="0" w:lastRowLastColumn="0"/>
            <w:tcW w:w="734" w:type="pct"/>
            <w:tcBorders>
              <w:right w:val="single" w:sz="4" w:space="0" w:color="0070C0"/>
            </w:tcBorders>
            <w:vAlign w:val="center"/>
          </w:tcPr>
          <w:p w14:paraId="3A4F4A3E" w14:textId="77777777" w:rsidR="00C53FED" w:rsidRPr="008A20C2" w:rsidRDefault="00C53FED" w:rsidP="0031298D">
            <w:pPr>
              <w:spacing w:before="60"/>
              <w:rPr>
                <w:sz w:val="18"/>
                <w:szCs w:val="20"/>
                <w:lang w:val="en-AU"/>
              </w:rPr>
            </w:pPr>
            <w:r w:rsidRPr="008A20C2">
              <w:rPr>
                <w:sz w:val="18"/>
                <w:szCs w:val="20"/>
              </w:rPr>
              <w:t>Emotional</w:t>
            </w:r>
          </w:p>
        </w:tc>
        <w:tc>
          <w:tcPr>
            <w:cnfStyle w:val="000010000000" w:firstRow="0" w:lastRow="0" w:firstColumn="0" w:lastColumn="0" w:oddVBand="1" w:evenVBand="0" w:oddHBand="0" w:evenHBand="0" w:firstRowFirstColumn="0" w:firstRowLastColumn="0" w:lastRowFirstColumn="0" w:lastRowLastColumn="0"/>
            <w:tcW w:w="4266" w:type="pct"/>
            <w:tcBorders>
              <w:top w:val="single" w:sz="4" w:space="0" w:color="004C97" w:themeColor="accent5"/>
              <w:left w:val="single" w:sz="4" w:space="0" w:color="0070C0"/>
              <w:bottom w:val="single" w:sz="4" w:space="0" w:color="004C97" w:themeColor="accent5"/>
            </w:tcBorders>
            <w:vAlign w:val="center"/>
          </w:tcPr>
          <w:p w14:paraId="0EE010EE" w14:textId="77777777" w:rsidR="00C53FED" w:rsidRPr="008A20C2" w:rsidRDefault="00C53FED" w:rsidP="0031298D">
            <w:pPr>
              <w:spacing w:before="60"/>
              <w:rPr>
                <w:sz w:val="18"/>
                <w:szCs w:val="18"/>
                <w:lang w:val="en-AU"/>
              </w:rPr>
            </w:pPr>
            <w:r w:rsidRPr="008A20C2">
              <w:rPr>
                <w:rFonts w:ascii="Arial" w:hAnsi="Arial" w:cs="Arial"/>
                <w:kern w:val="24"/>
                <w:sz w:val="18"/>
                <w:szCs w:val="18"/>
              </w:rPr>
              <w:t xml:space="preserve">Students’ self-awareness, capacity to regulate emotions and thinking, and ability to </w:t>
            </w:r>
            <w:r w:rsidRPr="008A20C2" w:rsidDel="00973FAF">
              <w:rPr>
                <w:rFonts w:ascii="Arial" w:hAnsi="Arial" w:cs="Arial"/>
                <w:kern w:val="24"/>
                <w:sz w:val="18"/>
                <w:szCs w:val="18"/>
              </w:rPr>
              <w:t>adap</w:t>
            </w:r>
            <w:r w:rsidRPr="008A20C2" w:rsidDel="0021332B">
              <w:rPr>
                <w:rFonts w:ascii="Arial" w:hAnsi="Arial" w:cs="Arial"/>
                <w:kern w:val="24"/>
                <w:sz w:val="18"/>
                <w:szCs w:val="18"/>
              </w:rPr>
              <w:t>t</w:t>
            </w:r>
          </w:p>
        </w:tc>
      </w:tr>
      <w:tr w:rsidR="00C53FED" w:rsidRPr="008A20C2" w14:paraId="407F8AA7" w14:textId="77777777" w:rsidTr="0031298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34" w:type="pct"/>
            <w:tcBorders>
              <w:right w:val="single" w:sz="4" w:space="0" w:color="0070C0"/>
            </w:tcBorders>
            <w:vAlign w:val="center"/>
          </w:tcPr>
          <w:p w14:paraId="3597877A" w14:textId="77777777" w:rsidR="00C53FED" w:rsidRPr="008A20C2" w:rsidRDefault="00C53FED" w:rsidP="0031298D">
            <w:pPr>
              <w:spacing w:before="60"/>
              <w:rPr>
                <w:sz w:val="18"/>
                <w:szCs w:val="20"/>
                <w:lang w:val="en-AU"/>
              </w:rPr>
            </w:pPr>
            <w:r w:rsidRPr="008A20C2">
              <w:rPr>
                <w:sz w:val="18"/>
                <w:szCs w:val="20"/>
              </w:rPr>
              <w:t>Physical</w:t>
            </w:r>
          </w:p>
        </w:tc>
        <w:tc>
          <w:tcPr>
            <w:cnfStyle w:val="000010000000" w:firstRow="0" w:lastRow="0" w:firstColumn="0" w:lastColumn="0" w:oddVBand="1" w:evenVBand="0" w:oddHBand="0" w:evenHBand="0" w:firstRowFirstColumn="0" w:firstRowLastColumn="0" w:lastRowFirstColumn="0" w:lastRowLastColumn="0"/>
            <w:tcW w:w="4266" w:type="pct"/>
            <w:tcBorders>
              <w:left w:val="single" w:sz="4" w:space="0" w:color="0070C0"/>
            </w:tcBorders>
            <w:vAlign w:val="center"/>
          </w:tcPr>
          <w:p w14:paraId="11353003" w14:textId="77777777" w:rsidR="00C53FED" w:rsidRPr="008A20C2" w:rsidRDefault="00C53FED" w:rsidP="0031298D">
            <w:pPr>
              <w:spacing w:before="60"/>
              <w:rPr>
                <w:sz w:val="18"/>
                <w:szCs w:val="18"/>
                <w:lang w:val="en-AU"/>
              </w:rPr>
            </w:pPr>
            <w:r w:rsidRPr="008A20C2">
              <w:rPr>
                <w:rFonts w:ascii="Arial" w:hAnsi="Arial" w:cs="Arial"/>
                <w:kern w:val="24"/>
                <w:sz w:val="18"/>
                <w:szCs w:val="18"/>
              </w:rPr>
              <w:t xml:space="preserve">Students’ ability to understand their development and have a positive regard for their physical health and </w:t>
            </w:r>
            <w:r w:rsidRPr="008A20C2" w:rsidDel="00973FAF">
              <w:rPr>
                <w:rFonts w:ascii="Arial" w:hAnsi="Arial" w:cs="Arial"/>
                <w:kern w:val="24"/>
                <w:sz w:val="18"/>
                <w:szCs w:val="18"/>
              </w:rPr>
              <w:t>safety</w:t>
            </w:r>
          </w:p>
        </w:tc>
      </w:tr>
      <w:tr w:rsidR="00C53FED" w:rsidRPr="008A20C2" w14:paraId="1F69A458" w14:textId="77777777" w:rsidTr="0031298D">
        <w:trPr>
          <w:trHeight w:val="446"/>
        </w:trPr>
        <w:tc>
          <w:tcPr>
            <w:cnfStyle w:val="001000000000" w:firstRow="0" w:lastRow="0" w:firstColumn="1" w:lastColumn="0" w:oddVBand="0" w:evenVBand="0" w:oddHBand="0" w:evenHBand="0" w:firstRowFirstColumn="0" w:firstRowLastColumn="0" w:lastRowFirstColumn="0" w:lastRowLastColumn="0"/>
            <w:tcW w:w="734" w:type="pct"/>
            <w:tcBorders>
              <w:right w:val="single" w:sz="4" w:space="0" w:color="0070C0"/>
            </w:tcBorders>
            <w:vAlign w:val="center"/>
          </w:tcPr>
          <w:p w14:paraId="77F6FEE8" w14:textId="77777777" w:rsidR="00C53FED" w:rsidRPr="008A20C2" w:rsidRDefault="00C53FED" w:rsidP="0031298D">
            <w:pPr>
              <w:spacing w:before="60"/>
              <w:rPr>
                <w:sz w:val="18"/>
                <w:szCs w:val="20"/>
                <w:lang w:val="en-AU"/>
              </w:rPr>
            </w:pPr>
            <w:r w:rsidRPr="008A20C2">
              <w:rPr>
                <w:sz w:val="18"/>
                <w:szCs w:val="20"/>
              </w:rPr>
              <w:t>Cultural</w:t>
            </w:r>
          </w:p>
        </w:tc>
        <w:tc>
          <w:tcPr>
            <w:cnfStyle w:val="000010000000" w:firstRow="0" w:lastRow="0" w:firstColumn="0" w:lastColumn="0" w:oddVBand="1" w:evenVBand="0" w:oddHBand="0" w:evenHBand="0" w:firstRowFirstColumn="0" w:firstRowLastColumn="0" w:lastRowFirstColumn="0" w:lastRowLastColumn="0"/>
            <w:tcW w:w="4266" w:type="pct"/>
            <w:tcBorders>
              <w:top w:val="single" w:sz="4" w:space="0" w:color="004C97" w:themeColor="accent5"/>
              <w:left w:val="single" w:sz="4" w:space="0" w:color="0070C0"/>
              <w:bottom w:val="single" w:sz="4" w:space="0" w:color="004C97" w:themeColor="accent5"/>
            </w:tcBorders>
            <w:vAlign w:val="center"/>
          </w:tcPr>
          <w:p w14:paraId="599E0D1B" w14:textId="4D75BDFF" w:rsidR="00C53FED" w:rsidRPr="008A20C2" w:rsidRDefault="00C53FED" w:rsidP="0031298D">
            <w:pPr>
              <w:spacing w:before="60"/>
              <w:rPr>
                <w:sz w:val="18"/>
                <w:szCs w:val="18"/>
                <w:lang w:val="en-AU"/>
              </w:rPr>
            </w:pPr>
            <w:r w:rsidRPr="008A20C2">
              <w:rPr>
                <w:rFonts w:ascii="Arial" w:hAnsi="Arial" w:cs="Arial"/>
                <w:kern w:val="24"/>
                <w:sz w:val="18"/>
                <w:szCs w:val="18"/>
              </w:rPr>
              <w:t xml:space="preserve">Students’ identity and connection to cultures and communities, and ability to understand and respect </w:t>
            </w:r>
            <w:r w:rsidR="003677BE">
              <w:rPr>
                <w:rFonts w:ascii="Arial" w:hAnsi="Arial" w:cs="Arial"/>
                <w:kern w:val="24"/>
                <w:sz w:val="18"/>
                <w:szCs w:val="18"/>
              </w:rPr>
              <w:t>the contribution of</w:t>
            </w:r>
            <w:r w:rsidRPr="008A20C2">
              <w:rPr>
                <w:rFonts w:ascii="Arial" w:hAnsi="Arial" w:cs="Arial"/>
                <w:kern w:val="24"/>
                <w:sz w:val="18"/>
                <w:szCs w:val="18"/>
              </w:rPr>
              <w:t xml:space="preserve"> diverse attitudes, </w:t>
            </w:r>
            <w:proofErr w:type="gramStart"/>
            <w:r w:rsidRPr="008A20C2">
              <w:rPr>
                <w:rFonts w:ascii="Arial" w:hAnsi="Arial" w:cs="Arial"/>
                <w:kern w:val="24"/>
                <w:sz w:val="18"/>
                <w:szCs w:val="18"/>
              </w:rPr>
              <w:t>values</w:t>
            </w:r>
            <w:proofErr w:type="gramEnd"/>
            <w:r w:rsidRPr="008A20C2">
              <w:rPr>
                <w:rFonts w:ascii="Arial" w:hAnsi="Arial" w:cs="Arial"/>
                <w:kern w:val="24"/>
                <w:sz w:val="18"/>
                <w:szCs w:val="18"/>
              </w:rPr>
              <w:t xml:space="preserve"> and beliefs</w:t>
            </w:r>
          </w:p>
        </w:tc>
      </w:tr>
      <w:tr w:rsidR="00C53FED" w:rsidRPr="008A20C2" w14:paraId="7CA8D440" w14:textId="77777777" w:rsidTr="0031298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34" w:type="pct"/>
            <w:tcBorders>
              <w:right w:val="single" w:sz="4" w:space="0" w:color="0070C0"/>
            </w:tcBorders>
            <w:vAlign w:val="center"/>
          </w:tcPr>
          <w:p w14:paraId="32D28E26" w14:textId="77777777" w:rsidR="00C53FED" w:rsidRPr="008A20C2" w:rsidRDefault="00C53FED" w:rsidP="0031298D">
            <w:pPr>
              <w:spacing w:before="60"/>
              <w:rPr>
                <w:sz w:val="18"/>
                <w:szCs w:val="20"/>
                <w:lang w:val="en-AU"/>
              </w:rPr>
            </w:pPr>
            <w:r w:rsidRPr="008A20C2">
              <w:rPr>
                <w:sz w:val="18"/>
                <w:szCs w:val="20"/>
              </w:rPr>
              <w:t>Civic</w:t>
            </w:r>
          </w:p>
        </w:tc>
        <w:tc>
          <w:tcPr>
            <w:cnfStyle w:val="000010000000" w:firstRow="0" w:lastRow="0" w:firstColumn="0" w:lastColumn="0" w:oddVBand="1" w:evenVBand="0" w:oddHBand="0" w:evenHBand="0" w:firstRowFirstColumn="0" w:firstRowLastColumn="0" w:lastRowFirstColumn="0" w:lastRowLastColumn="0"/>
            <w:tcW w:w="4266" w:type="pct"/>
            <w:tcBorders>
              <w:left w:val="single" w:sz="4" w:space="0" w:color="0070C0"/>
            </w:tcBorders>
            <w:vAlign w:val="center"/>
          </w:tcPr>
          <w:p w14:paraId="52A41AE6" w14:textId="77777777" w:rsidR="00C53FED" w:rsidRPr="008A20C2" w:rsidRDefault="00C53FED" w:rsidP="0031298D">
            <w:pPr>
              <w:spacing w:before="60"/>
              <w:rPr>
                <w:sz w:val="18"/>
                <w:szCs w:val="18"/>
                <w:lang w:val="en-AU"/>
              </w:rPr>
            </w:pPr>
            <w:r w:rsidRPr="008A20C2">
              <w:rPr>
                <w:rFonts w:ascii="Arial" w:hAnsi="Arial" w:cs="Arial"/>
                <w:kern w:val="24"/>
                <w:sz w:val="18"/>
                <w:szCs w:val="18"/>
              </w:rPr>
              <w:t xml:space="preserve">Students’ ability to contribute to inclusive, </w:t>
            </w:r>
            <w:proofErr w:type="gramStart"/>
            <w:r w:rsidRPr="008A20C2">
              <w:rPr>
                <w:rFonts w:ascii="Arial" w:hAnsi="Arial" w:cs="Arial"/>
                <w:kern w:val="24"/>
                <w:sz w:val="18"/>
                <w:szCs w:val="18"/>
              </w:rPr>
              <w:t>cohesive</w:t>
            </w:r>
            <w:proofErr w:type="gramEnd"/>
            <w:r w:rsidRPr="008A20C2">
              <w:rPr>
                <w:rFonts w:ascii="Arial" w:hAnsi="Arial" w:cs="Arial"/>
                <w:kern w:val="24"/>
                <w:sz w:val="18"/>
                <w:szCs w:val="18"/>
              </w:rPr>
              <w:t xml:space="preserve"> and sustainable </w:t>
            </w:r>
            <w:r w:rsidRPr="008A20C2" w:rsidDel="00973FAF">
              <w:rPr>
                <w:rFonts w:ascii="Arial" w:hAnsi="Arial" w:cs="Arial"/>
                <w:kern w:val="24"/>
                <w:sz w:val="18"/>
                <w:szCs w:val="18"/>
              </w:rPr>
              <w:t>societies</w:t>
            </w:r>
          </w:p>
        </w:tc>
      </w:tr>
    </w:tbl>
    <w:p w14:paraId="73E38E43" w14:textId="77777777" w:rsidR="00C53FED" w:rsidRDefault="00C53FED" w:rsidP="00C53FED">
      <w:pPr>
        <w:spacing w:before="120"/>
        <w:rPr>
          <w:lang w:val="en-AU"/>
        </w:rPr>
      </w:pPr>
      <w:r>
        <w:rPr>
          <w:lang w:val="en-AU"/>
        </w:rPr>
        <w:t xml:space="preserve">These capabilities are a synthesis of research into the construct of wellbeing. They reflect contemporary evidence on what enables individuals to develop and maintain positive wellbeing, recognising both interpersonal and intrapersonal aspects (ARACY, 2014; </w:t>
      </w:r>
      <w:r>
        <w:rPr>
          <w:rFonts w:cstheme="minorHAnsi"/>
          <w:noProof/>
          <w:szCs w:val="22"/>
        </w:rPr>
        <w:t>Fraillon</w:t>
      </w:r>
      <w:r>
        <w:rPr>
          <w:lang w:val="en-AU"/>
        </w:rPr>
        <w:t xml:space="preserve">, 2004; NSW Government, 2015; </w:t>
      </w:r>
      <w:r w:rsidRPr="00963FD5">
        <w:rPr>
          <w:lang w:val="en-AU"/>
        </w:rPr>
        <w:t>OCDSB</w:t>
      </w:r>
      <w:r w:rsidRPr="00817E0A">
        <w:rPr>
          <w:lang w:val="en-AU"/>
        </w:rPr>
        <w:t>, 2015</w:t>
      </w:r>
      <w:r>
        <w:rPr>
          <w:lang w:val="en-AU"/>
        </w:rPr>
        <w:t xml:space="preserve">; Pollard and Lee, 2002). </w:t>
      </w:r>
    </w:p>
    <w:p w14:paraId="25800B04" w14:textId="33DE5DDF" w:rsidR="00C53FED" w:rsidRDefault="00C53FED" w:rsidP="00C53FED">
      <w:pPr>
        <w:spacing w:before="120"/>
        <w:rPr>
          <w:lang w:val="en-AU"/>
        </w:rPr>
      </w:pPr>
      <w:r>
        <w:rPr>
          <w:lang w:val="en-AU"/>
        </w:rPr>
        <w:t xml:space="preserve">Based on a meta-analysis of research, Pollard and Lee (2003) present five distinct dimensions of wellbeing including physical, psychological, cognitive, </w:t>
      </w:r>
      <w:proofErr w:type="gramStart"/>
      <w:r>
        <w:rPr>
          <w:lang w:val="en-AU"/>
        </w:rPr>
        <w:t>social</w:t>
      </w:r>
      <w:proofErr w:type="gramEnd"/>
      <w:r>
        <w:rPr>
          <w:lang w:val="en-AU"/>
        </w:rPr>
        <w:t xml:space="preserve"> and economic</w:t>
      </w:r>
      <w:r w:rsidR="00B75978">
        <w:rPr>
          <w:lang w:val="en-AU"/>
        </w:rPr>
        <w:t xml:space="preserve"> within a multidimensional construct of wellbeing</w:t>
      </w:r>
      <w:r>
        <w:rPr>
          <w:lang w:val="en-AU"/>
        </w:rPr>
        <w:t xml:space="preserve">. </w:t>
      </w:r>
      <w:r w:rsidR="001112CF">
        <w:rPr>
          <w:lang w:val="en-AU"/>
        </w:rPr>
        <w:t xml:space="preserve">Frameworks </w:t>
      </w:r>
      <w:r>
        <w:rPr>
          <w:lang w:val="en-AU"/>
        </w:rPr>
        <w:t>of wellbeing include a selection of these domains in addition to either spiritual, sociocultural, socio-</w:t>
      </w:r>
      <w:proofErr w:type="gramStart"/>
      <w:r>
        <w:rPr>
          <w:lang w:val="en-AU"/>
        </w:rPr>
        <w:t>emotional</w:t>
      </w:r>
      <w:proofErr w:type="gramEnd"/>
      <w:r>
        <w:rPr>
          <w:lang w:val="en-AU"/>
        </w:rPr>
        <w:t xml:space="preserve"> and nutritional </w:t>
      </w:r>
      <w:r w:rsidR="001112CF">
        <w:rPr>
          <w:lang w:val="en-AU"/>
        </w:rPr>
        <w:t>domains</w:t>
      </w:r>
      <w:r>
        <w:rPr>
          <w:lang w:val="en-AU"/>
        </w:rPr>
        <w:t xml:space="preserve"> (NSW Government, 2015; </w:t>
      </w:r>
      <w:r w:rsidRPr="00963FD5">
        <w:rPr>
          <w:lang w:val="en-AU"/>
        </w:rPr>
        <w:t>OCDSB</w:t>
      </w:r>
      <w:r w:rsidRPr="00817E0A">
        <w:rPr>
          <w:lang w:val="en-AU"/>
        </w:rPr>
        <w:t>, 2015</w:t>
      </w:r>
      <w:r>
        <w:rPr>
          <w:lang w:val="en-AU"/>
        </w:rPr>
        <w:t xml:space="preserve">; Ross et al, 2020). </w:t>
      </w:r>
      <w:r w:rsidR="001112CF">
        <w:rPr>
          <w:lang w:val="en-AU"/>
        </w:rPr>
        <w:t>A national</w:t>
      </w:r>
      <w:r>
        <w:rPr>
          <w:lang w:val="en-AU"/>
        </w:rPr>
        <w:t xml:space="preserve"> evidence-based framework </w:t>
      </w:r>
      <w:r w:rsidR="001112CF">
        <w:rPr>
          <w:lang w:val="en-AU"/>
        </w:rPr>
        <w:t xml:space="preserve">for </w:t>
      </w:r>
      <w:r>
        <w:rPr>
          <w:lang w:val="en-AU"/>
        </w:rPr>
        <w:t>child and youth wellbeing</w:t>
      </w:r>
      <w:r w:rsidR="001112CF">
        <w:rPr>
          <w:lang w:val="en-AU"/>
        </w:rPr>
        <w:t xml:space="preserve"> </w:t>
      </w:r>
      <w:r>
        <w:rPr>
          <w:lang w:val="en-AU"/>
        </w:rPr>
        <w:t>characterises wellbeing through six domains. These include ‘loved and safe’, ‘material basics’, ‘healthy’, ‘learning’, ‘participating’ and ‘positive sense of identity and culture’ (ARACY, 2021).</w:t>
      </w:r>
      <w:r w:rsidR="001112CF">
        <w:rPr>
          <w:lang w:val="en-AU"/>
        </w:rPr>
        <w:t xml:space="preserve"> </w:t>
      </w:r>
      <w:r>
        <w:rPr>
          <w:lang w:val="en-AU"/>
        </w:rPr>
        <w:t xml:space="preserve">A summary of the domains, which have informed the development of the </w:t>
      </w:r>
      <w:r w:rsidR="00C45BB9">
        <w:rPr>
          <w:lang w:val="en-AU"/>
        </w:rPr>
        <w:t xml:space="preserve">wellbeing </w:t>
      </w:r>
      <w:r>
        <w:rPr>
          <w:lang w:val="en-AU"/>
        </w:rPr>
        <w:t>capabilities in FISO are as follows</w:t>
      </w:r>
      <w:r w:rsidR="00C45BB9">
        <w:rPr>
          <w:lang w:val="en-AU"/>
        </w:rPr>
        <w:t>:</w:t>
      </w:r>
    </w:p>
    <w:p w14:paraId="3C336D6C" w14:textId="77777777" w:rsidR="00C53FED" w:rsidRPr="008C770D" w:rsidRDefault="00C53FED" w:rsidP="00C53FED">
      <w:pPr>
        <w:pStyle w:val="Bullet1"/>
      </w:pPr>
      <w:r w:rsidRPr="008C770D">
        <w:rPr>
          <w:b/>
          <w:bCs/>
        </w:rPr>
        <w:t>Social:</w:t>
      </w:r>
      <w:r w:rsidRPr="008C770D">
        <w:t xml:space="preserve"> social wellbeing relates to sociological perspectives (Pollard &amp; Lee, 2003). It refers to interpersonal wellbeing and encompasses an individual’s perception of trust, empathy, peer relationships and mutual obligations (</w:t>
      </w:r>
      <w:proofErr w:type="spellStart"/>
      <w:r w:rsidRPr="008C770D">
        <w:t>Fraillon</w:t>
      </w:r>
      <w:proofErr w:type="spellEnd"/>
      <w:r w:rsidRPr="008C770D">
        <w:t>, 2004).</w:t>
      </w:r>
      <w:r>
        <w:t xml:space="preserve"> It also encompasses the extent to which individuals connect to others and experience positive relationships, including prosocial behaviours and empathy (NSW Government, 2015). It can also include an individual’s sense of belonging (OCDSB, 2015).</w:t>
      </w:r>
    </w:p>
    <w:p w14:paraId="52AEC5DE" w14:textId="08661EA8" w:rsidR="00C53FED" w:rsidRPr="008C770D" w:rsidRDefault="00C53FED" w:rsidP="00B33DFD">
      <w:pPr>
        <w:pStyle w:val="Bullet1"/>
      </w:pPr>
      <w:r w:rsidRPr="003B67BB">
        <w:rPr>
          <w:b/>
          <w:bCs/>
        </w:rPr>
        <w:t>Emotional:</w:t>
      </w:r>
      <w:r>
        <w:t xml:space="preserve"> emotional wellbeing relates to an individual’s self-awareness and ability to regulate their emotions, including their resilience and how well they can cope (NSW Government, 2015). It is linked to psychological wellbeing, which is described as one’s mental health or mental illness (Pollard &amp; Lee, 2003) and their autonomy, sense of purpose and acceptance, resilience, self-</w:t>
      </w:r>
      <w:proofErr w:type="gramStart"/>
      <w:r>
        <w:t>efficacy</w:t>
      </w:r>
      <w:proofErr w:type="gramEnd"/>
      <w:r>
        <w:t xml:space="preserve"> and optimism (</w:t>
      </w:r>
      <w:proofErr w:type="spellStart"/>
      <w:r>
        <w:t>Fraillon</w:t>
      </w:r>
      <w:proofErr w:type="spellEnd"/>
      <w:r>
        <w:t>, 2004).</w:t>
      </w:r>
      <w:r w:rsidR="00BC7CA4">
        <w:t xml:space="preserve"> </w:t>
      </w:r>
      <w:r>
        <w:t>Research that combines social and emotional wellbeing describes it as one’s general life resilience, self-management, responsible decision-making’ in addition to characteristics of connectedness and belonging, self and social awareness and relationship skills (OCDSB, 2015).</w:t>
      </w:r>
    </w:p>
    <w:p w14:paraId="15E9B1E3" w14:textId="502F3E5A" w:rsidR="00C53FED" w:rsidRPr="008C770D" w:rsidRDefault="00C53FED" w:rsidP="00C53FED">
      <w:pPr>
        <w:pStyle w:val="Bullet1"/>
      </w:pPr>
      <w:r w:rsidRPr="0040767F">
        <w:rPr>
          <w:b/>
          <w:bCs/>
        </w:rPr>
        <w:t>Physical:</w:t>
      </w:r>
      <w:r>
        <w:t xml:space="preserve"> physical wellbeing relates to an individual’s capacity to function effective</w:t>
      </w:r>
      <w:r w:rsidR="00B33DFD">
        <w:t>ly</w:t>
      </w:r>
      <w:r>
        <w:t>. It includes a person’s nutrition, physical activity, sense of safety and security (</w:t>
      </w:r>
      <w:proofErr w:type="spellStart"/>
      <w:r>
        <w:t>Fraillon</w:t>
      </w:r>
      <w:proofErr w:type="spellEnd"/>
      <w:r>
        <w:t>, 2004; OCDSB, 2015). It also relates to preventative healthcare and healthy choices and perspectives (OCDSB, 2014).</w:t>
      </w:r>
    </w:p>
    <w:p w14:paraId="415A1BF2" w14:textId="1B19D483" w:rsidR="00C53FED" w:rsidRPr="008C770D" w:rsidRDefault="00142362" w:rsidP="00C53FED">
      <w:pPr>
        <w:pStyle w:val="Bullet1"/>
      </w:pPr>
      <w:r>
        <w:rPr>
          <w:noProof/>
        </w:rPr>
        <w:lastRenderedPageBreak/>
        <mc:AlternateContent>
          <mc:Choice Requires="wps">
            <w:drawing>
              <wp:anchor distT="45720" distB="45720" distL="114300" distR="114300" simplePos="0" relativeHeight="251658240" behindDoc="0" locked="0" layoutInCell="1" allowOverlap="1" wp14:anchorId="7677E931" wp14:editId="1CBC7774">
                <wp:simplePos x="0" y="0"/>
                <wp:positionH relativeFrom="column">
                  <wp:posOffset>3524250</wp:posOffset>
                </wp:positionH>
                <wp:positionV relativeFrom="paragraph">
                  <wp:posOffset>-128270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A67181" w14:textId="3B704A08" w:rsidR="00142362" w:rsidRPr="00142362" w:rsidRDefault="00142362" w:rsidP="00142362">
                            <w:pPr>
                              <w:spacing w:before="120"/>
                              <w:rPr>
                                <w:szCs w:val="18"/>
                              </w:rPr>
                            </w:pPr>
                            <w:r w:rsidRPr="00D82A99">
                              <w:rPr>
                                <w:szCs w:val="18"/>
                              </w:rPr>
                              <w:t>The Victorian Curriculum supports the development of s</w:t>
                            </w:r>
                            <w:r w:rsidRPr="00847F4F">
                              <w:rPr>
                                <w:szCs w:val="18"/>
                              </w:rPr>
                              <w:t xml:space="preserve">tudent social, emotional, physical, cultural and civic </w:t>
                            </w:r>
                            <w:r w:rsidRPr="00D82A99">
                              <w:rPr>
                                <w:szCs w:val="18"/>
                              </w:rPr>
                              <w:t>capabilities</w:t>
                            </w:r>
                            <w:r w:rsidRPr="00847F4F">
                              <w:rPr>
                                <w:szCs w:val="18"/>
                              </w:rPr>
                              <w:t>. An overview of how the</w:t>
                            </w:r>
                            <w:r w:rsidR="00A10641">
                              <w:rPr>
                                <w:szCs w:val="18"/>
                              </w:rPr>
                              <w:t xml:space="preserve"> wellbeing capabilities are </w:t>
                            </w:r>
                            <w:r w:rsidRPr="00847F4F">
                              <w:rPr>
                                <w:szCs w:val="18"/>
                              </w:rPr>
                              <w:t>align</w:t>
                            </w:r>
                            <w:r w:rsidR="00A10641">
                              <w:rPr>
                                <w:szCs w:val="18"/>
                              </w:rPr>
                              <w:t>ed</w:t>
                            </w:r>
                            <w:r w:rsidRPr="00847F4F">
                              <w:rPr>
                                <w:szCs w:val="18"/>
                              </w:rPr>
                              <w:t xml:space="preserve"> </w:t>
                            </w:r>
                            <w:r w:rsidR="00A10641">
                              <w:rPr>
                                <w:szCs w:val="18"/>
                              </w:rPr>
                              <w:t>to</w:t>
                            </w:r>
                            <w:r w:rsidRPr="00847F4F">
                              <w:rPr>
                                <w:szCs w:val="18"/>
                              </w:rPr>
                              <w:t xml:space="preserve"> the Victorian </w:t>
                            </w:r>
                            <w:r w:rsidRPr="00D82A99">
                              <w:rPr>
                                <w:szCs w:val="18"/>
                              </w:rPr>
                              <w:t>C</w:t>
                            </w:r>
                            <w:r w:rsidRPr="00847F4F">
                              <w:rPr>
                                <w:szCs w:val="18"/>
                              </w:rPr>
                              <w:t>urriculum is included in th</w:t>
                            </w:r>
                            <w:r w:rsidRPr="004B524C">
                              <w:rPr>
                                <w:szCs w:val="18"/>
                              </w:rPr>
                              <w:t xml:space="preserve">e </w:t>
                            </w:r>
                            <w:r w:rsidRPr="004B524C">
                              <w:rPr>
                                <w:i/>
                                <w:iCs/>
                                <w:szCs w:val="18"/>
                              </w:rPr>
                              <w:t>Supporting wellbeing through the Curriculum</w:t>
                            </w:r>
                            <w:r w:rsidRPr="004B524C">
                              <w:rPr>
                                <w:szCs w:val="18"/>
                              </w:rPr>
                              <w:t xml:space="preserve"> resources</w:t>
                            </w:r>
                            <w:r w:rsidRPr="00AB0B54">
                              <w:rPr>
                                <w:szCs w:val="18"/>
                              </w:rPr>
                              <w:t xml:space="preserve">. These resources are designed to support schools in developing and delivering learning programs that respond to identified social, emotional, physical, </w:t>
                            </w:r>
                            <w:r w:rsidRPr="002D5E20">
                              <w:rPr>
                                <w:szCs w:val="18"/>
                              </w:rPr>
                              <w:t>cultural,</w:t>
                            </w:r>
                            <w:r w:rsidRPr="00AB0B54">
                              <w:rPr>
                                <w:szCs w:val="18"/>
                              </w:rPr>
                              <w:t xml:space="preserve"> and civic wellbeing needs of students.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77E931" id="_x0000_t202" coordsize="21600,21600" o:spt="202" path="m,l,21600r21600,l21600,xe">
                <v:stroke joinstyle="miter"/>
                <v:path gradientshapeok="t" o:connecttype="rect"/>
              </v:shapetype>
              <v:shape id="Text Box 2" o:spid="_x0000_s1026" type="#_x0000_t202" style="position:absolute;left:0;text-align:left;margin-left:277.5pt;margin-top:-10.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">
                <v:textbox style="mso-fit-shape-to-text:t">
                  <w:txbxContent>
                    <w:p w14:paraId="48A67181" w14:textId="3B704A08" w:rsidR="00142362" w:rsidRPr="00142362" w:rsidRDefault="00142362" w:rsidP="00142362">
                      <w:pPr>
                        <w:spacing w:before="120"/>
                        <w:rPr>
                          <w:szCs w:val="18"/>
                        </w:rPr>
                      </w:pPr>
                      <w:r w:rsidRPr="00D82A99">
                        <w:rPr>
                          <w:szCs w:val="18"/>
                        </w:rPr>
                        <w:t>The Victorian Curriculum supports the development of s</w:t>
                      </w:r>
                      <w:r w:rsidRPr="00847F4F">
                        <w:rPr>
                          <w:szCs w:val="18"/>
                        </w:rPr>
                        <w:t xml:space="preserve">tudent social, emotional, physical, cultural and civic </w:t>
                      </w:r>
                      <w:r w:rsidRPr="00D82A99">
                        <w:rPr>
                          <w:szCs w:val="18"/>
                        </w:rPr>
                        <w:t>capabilities</w:t>
                      </w:r>
                      <w:r w:rsidRPr="00847F4F">
                        <w:rPr>
                          <w:szCs w:val="18"/>
                        </w:rPr>
                        <w:t>. An overview of how the</w:t>
                      </w:r>
                      <w:r w:rsidR="00A10641">
                        <w:rPr>
                          <w:szCs w:val="18"/>
                        </w:rPr>
                        <w:t xml:space="preserve"> wellbeing capabilities are </w:t>
                      </w:r>
                      <w:r w:rsidRPr="00847F4F">
                        <w:rPr>
                          <w:szCs w:val="18"/>
                        </w:rPr>
                        <w:t>align</w:t>
                      </w:r>
                      <w:r w:rsidR="00A10641">
                        <w:rPr>
                          <w:szCs w:val="18"/>
                        </w:rPr>
                        <w:t>ed</w:t>
                      </w:r>
                      <w:r w:rsidRPr="00847F4F">
                        <w:rPr>
                          <w:szCs w:val="18"/>
                        </w:rPr>
                        <w:t xml:space="preserve"> </w:t>
                      </w:r>
                      <w:r w:rsidR="00A10641">
                        <w:rPr>
                          <w:szCs w:val="18"/>
                        </w:rPr>
                        <w:t>to</w:t>
                      </w:r>
                      <w:r w:rsidRPr="00847F4F">
                        <w:rPr>
                          <w:szCs w:val="18"/>
                        </w:rPr>
                        <w:t xml:space="preserve"> the Victorian </w:t>
                      </w:r>
                      <w:r w:rsidRPr="00D82A99">
                        <w:rPr>
                          <w:szCs w:val="18"/>
                        </w:rPr>
                        <w:t>C</w:t>
                      </w:r>
                      <w:r w:rsidRPr="00847F4F">
                        <w:rPr>
                          <w:szCs w:val="18"/>
                        </w:rPr>
                        <w:t>urriculum is included in th</w:t>
                      </w:r>
                      <w:r w:rsidRPr="004B524C">
                        <w:rPr>
                          <w:szCs w:val="18"/>
                        </w:rPr>
                        <w:t xml:space="preserve">e </w:t>
                      </w:r>
                      <w:r w:rsidRPr="004B524C">
                        <w:rPr>
                          <w:i/>
                          <w:iCs/>
                          <w:szCs w:val="18"/>
                        </w:rPr>
                        <w:t>Supporting wellbeing through the Curriculum</w:t>
                      </w:r>
                      <w:r w:rsidRPr="004B524C">
                        <w:rPr>
                          <w:szCs w:val="18"/>
                        </w:rPr>
                        <w:t xml:space="preserve"> resources</w:t>
                      </w:r>
                      <w:r w:rsidRPr="00AB0B54">
                        <w:rPr>
                          <w:szCs w:val="18"/>
                        </w:rPr>
                        <w:t xml:space="preserve">. These resources are designed to support schools in developing and delivering learning programs that respond to identified social, emotional, physical, </w:t>
                      </w:r>
                      <w:r w:rsidRPr="002D5E20">
                        <w:rPr>
                          <w:szCs w:val="18"/>
                        </w:rPr>
                        <w:t>cultural,</w:t>
                      </w:r>
                      <w:r w:rsidRPr="00AB0B54">
                        <w:rPr>
                          <w:szCs w:val="18"/>
                        </w:rPr>
                        <w:t xml:space="preserve"> and civic wellbeing needs of students.</w:t>
                      </w:r>
                    </w:p>
                  </w:txbxContent>
                </v:textbox>
                <w10:wrap type="square"/>
              </v:shape>
            </w:pict>
          </mc:Fallback>
        </mc:AlternateContent>
      </w:r>
      <w:r w:rsidR="00C53FED" w:rsidRPr="0040767F">
        <w:rPr>
          <w:b/>
          <w:bCs/>
        </w:rPr>
        <w:t>Cultural:</w:t>
      </w:r>
      <w:r w:rsidR="00C53FED">
        <w:t xml:space="preserve"> in line with sociocultural wellbeing, aspects of cultural wellbeing include equity, </w:t>
      </w:r>
      <w:proofErr w:type="gramStart"/>
      <w:r w:rsidR="00C53FED">
        <w:t>equality</w:t>
      </w:r>
      <w:proofErr w:type="gramEnd"/>
      <w:r w:rsidR="00C53FED">
        <w:t xml:space="preserve"> and non-discrimination (Ross et al, 2020). It relates to a ‘positive sense of culture and identity’ (ARACY, 2021).</w:t>
      </w:r>
    </w:p>
    <w:p w14:paraId="38EEDB85" w14:textId="632EE3B1" w:rsidR="00C53FED" w:rsidRPr="008C770D" w:rsidRDefault="00C53FED" w:rsidP="00C53FED">
      <w:pPr>
        <w:pStyle w:val="Bullet1"/>
      </w:pPr>
      <w:r w:rsidRPr="0040767F">
        <w:rPr>
          <w:b/>
          <w:bCs/>
        </w:rPr>
        <w:t>Civic:</w:t>
      </w:r>
      <w:r>
        <w:t xml:space="preserve"> this reflects the ARACY (2021) wellbeing domain of ‘participating’, which relates to: the level of ‘involvement in organised activities’; ‘membership of social, community or civic groups’; ‘use and engagement of technology and social media’; ‘voting enrolment’; and ‘feeling able to have a say’.</w:t>
      </w:r>
    </w:p>
    <w:p w14:paraId="0828E8C7" w14:textId="77777777" w:rsidR="000F1BA7" w:rsidRPr="000F1BA7" w:rsidRDefault="000F1BA7" w:rsidP="00CE65F9">
      <w:pPr>
        <w:spacing w:before="120"/>
        <w:rPr>
          <w:szCs w:val="18"/>
        </w:rPr>
      </w:pPr>
    </w:p>
    <w:p w14:paraId="6543287C" w14:textId="77777777" w:rsidR="00E84EDB" w:rsidRDefault="00E84EDB">
      <w:pPr>
        <w:spacing w:after="0"/>
        <w:rPr>
          <w:rFonts w:asciiTheme="majorHAnsi" w:eastAsiaTheme="majorEastAsia" w:hAnsiTheme="majorHAnsi" w:cs="Times New Roman (Headings CS)"/>
          <w:b/>
          <w:color w:val="004C97" w:themeColor="accent5"/>
          <w:sz w:val="32"/>
          <w:szCs w:val="26"/>
          <w:lang w:val="en-AU"/>
        </w:rPr>
      </w:pPr>
      <w:bookmarkStart w:id="5" w:name="_Toc83882665"/>
      <w:r>
        <w:rPr>
          <w:lang w:val="en-AU"/>
        </w:rPr>
        <w:br w:type="page"/>
      </w:r>
    </w:p>
    <w:p w14:paraId="20AE9E2A" w14:textId="7A212987" w:rsidR="005B4F08" w:rsidRPr="005C68D0" w:rsidRDefault="0035192C" w:rsidP="003C7C69">
      <w:pPr>
        <w:pStyle w:val="Heading2"/>
        <w:rPr>
          <w:lang w:val="en-AU"/>
        </w:rPr>
      </w:pPr>
      <w:r w:rsidRPr="005C68D0">
        <w:rPr>
          <w:lang w:val="en-AU"/>
        </w:rPr>
        <w:lastRenderedPageBreak/>
        <w:t>ELEMENTS AND DIMENSIONS</w:t>
      </w:r>
      <w:bookmarkEnd w:id="5"/>
    </w:p>
    <w:p w14:paraId="08B5B19D" w14:textId="00854DAE" w:rsidR="00367DDE" w:rsidRPr="005C68D0" w:rsidRDefault="00736F5B" w:rsidP="005B4F08">
      <w:pPr>
        <w:pStyle w:val="Heading3"/>
        <w:rPr>
          <w:rFonts w:ascii="Arial" w:hAnsi="Arial" w:cs="Arial"/>
          <w:b w:val="0"/>
          <w:bCs/>
          <w:color w:val="auto"/>
          <w:sz w:val="22"/>
          <w:szCs w:val="22"/>
        </w:rPr>
      </w:pPr>
      <w:bookmarkStart w:id="6" w:name="_Toc83882666"/>
      <w:r w:rsidRPr="005C68D0">
        <w:rPr>
          <w:rFonts w:ascii="Arial" w:hAnsi="Arial" w:cs="Arial"/>
          <w:b w:val="0"/>
          <w:bCs/>
          <w:color w:val="auto"/>
          <w:sz w:val="22"/>
          <w:szCs w:val="22"/>
        </w:rPr>
        <w:t xml:space="preserve">FISO sets out five core elements that together realise the goals of excellence and equity through developing the learning and wellbeing of every student. </w:t>
      </w:r>
      <w:r w:rsidR="00036B87" w:rsidRPr="005C68D0">
        <w:rPr>
          <w:rFonts w:ascii="Arial" w:hAnsi="Arial" w:cs="Arial"/>
          <w:b w:val="0"/>
          <w:bCs/>
          <w:color w:val="auto"/>
          <w:sz w:val="22"/>
          <w:szCs w:val="22"/>
        </w:rPr>
        <w:t>E</w:t>
      </w:r>
      <w:r w:rsidR="004809EF" w:rsidRPr="005C68D0">
        <w:rPr>
          <w:rFonts w:ascii="Arial" w:hAnsi="Arial" w:cs="Arial"/>
          <w:b w:val="0"/>
          <w:bCs/>
          <w:color w:val="auto"/>
          <w:sz w:val="22"/>
          <w:szCs w:val="22"/>
        </w:rPr>
        <w:t xml:space="preserve">ach element </w:t>
      </w:r>
      <w:r w:rsidR="00036B87" w:rsidRPr="005C68D0">
        <w:rPr>
          <w:rFonts w:ascii="Arial" w:hAnsi="Arial" w:cs="Arial"/>
          <w:b w:val="0"/>
          <w:bCs/>
          <w:color w:val="auto"/>
          <w:sz w:val="22"/>
          <w:szCs w:val="22"/>
        </w:rPr>
        <w:t xml:space="preserve">comprises </w:t>
      </w:r>
      <w:r w:rsidR="004809EF" w:rsidRPr="005C68D0">
        <w:rPr>
          <w:rFonts w:ascii="Arial" w:hAnsi="Arial" w:cs="Arial"/>
          <w:b w:val="0"/>
          <w:bCs/>
          <w:color w:val="auto"/>
          <w:sz w:val="22"/>
          <w:szCs w:val="22"/>
        </w:rPr>
        <w:t>two dimensions</w:t>
      </w:r>
      <w:r w:rsidR="00602665" w:rsidRPr="005C68D0">
        <w:rPr>
          <w:rFonts w:ascii="Arial" w:hAnsi="Arial" w:cs="Arial"/>
          <w:b w:val="0"/>
          <w:bCs/>
          <w:color w:val="auto"/>
          <w:sz w:val="22"/>
          <w:szCs w:val="22"/>
        </w:rPr>
        <w:t>, reflecting the twin outcomes of leaning and wellbeing</w:t>
      </w:r>
      <w:r w:rsidR="00036B87" w:rsidRPr="005C68D0">
        <w:rPr>
          <w:rFonts w:ascii="Arial" w:hAnsi="Arial" w:cs="Arial"/>
          <w:b w:val="0"/>
          <w:bCs/>
          <w:color w:val="auto"/>
          <w:sz w:val="22"/>
          <w:szCs w:val="22"/>
        </w:rPr>
        <w:t xml:space="preserve">. There are 10 dimensions in total. </w:t>
      </w:r>
    </w:p>
    <w:p w14:paraId="71ED6F97" w14:textId="37CAB9F6" w:rsidR="00036B87" w:rsidRPr="005C68D0" w:rsidRDefault="00036B87" w:rsidP="00036B87">
      <w:pPr>
        <w:rPr>
          <w:lang w:val="en-AU"/>
        </w:rPr>
      </w:pPr>
      <w:r w:rsidRPr="005C68D0">
        <w:rPr>
          <w:lang w:val="en-AU"/>
        </w:rPr>
        <w:t>Figure 3 below provides a list of system measures that support each of the five core elements</w:t>
      </w:r>
      <w:r w:rsidR="003A4AD0" w:rsidRPr="005C68D0">
        <w:rPr>
          <w:lang w:val="en-AU"/>
        </w:rPr>
        <w:t>:</w:t>
      </w:r>
      <w:r w:rsidRPr="005C68D0">
        <w:rPr>
          <w:lang w:val="en-AU"/>
        </w:rPr>
        <w:t xml:space="preserve"> </w:t>
      </w:r>
    </w:p>
    <w:p w14:paraId="3CDEF0B0" w14:textId="77777777" w:rsidR="00036B87" w:rsidRPr="005C68D0" w:rsidRDefault="00036B87" w:rsidP="00036B87">
      <w:pPr>
        <w:rPr>
          <w:b/>
          <w:bCs/>
          <w:color w:val="E57100" w:themeColor="accent1"/>
          <w:lang w:val="en-AU"/>
        </w:rPr>
      </w:pPr>
      <w:r w:rsidRPr="005C68D0">
        <w:rPr>
          <w:rFonts w:asciiTheme="majorHAnsi" w:eastAsiaTheme="majorEastAsia" w:hAnsiTheme="majorHAnsi" w:cstheme="majorBidi"/>
          <w:b/>
          <w:color w:val="E57100" w:themeColor="accent1"/>
          <w:sz w:val="24"/>
          <w:lang w:val="en-AU"/>
        </w:rPr>
        <w:t>Figure 3: FISO 2.0 system measures</w:t>
      </w:r>
    </w:p>
    <w:tbl>
      <w:tblPr>
        <w:tblW w:w="9739" w:type="dxa"/>
        <w:tblCellMar>
          <w:left w:w="0" w:type="dxa"/>
          <w:right w:w="0" w:type="dxa"/>
        </w:tblCellMar>
        <w:tblLook w:val="0420" w:firstRow="1" w:lastRow="0" w:firstColumn="0" w:lastColumn="0" w:noHBand="0" w:noVBand="1"/>
      </w:tblPr>
      <w:tblGrid>
        <w:gridCol w:w="1340"/>
        <w:gridCol w:w="2340"/>
        <w:gridCol w:w="2270"/>
        <w:gridCol w:w="2230"/>
        <w:gridCol w:w="1540"/>
        <w:gridCol w:w="19"/>
      </w:tblGrid>
      <w:tr w:rsidR="00036B87" w:rsidRPr="005C68D0" w14:paraId="3E56FABD" w14:textId="77777777" w:rsidTr="00344685">
        <w:trPr>
          <w:trHeight w:val="107"/>
        </w:trPr>
        <w:tc>
          <w:tcPr>
            <w:tcW w:w="9739" w:type="dxa"/>
            <w:gridSpan w:val="6"/>
            <w:tcBorders>
              <w:top w:val="single" w:sz="24" w:space="0" w:color="FFFFFF"/>
              <w:left w:val="single" w:sz="8" w:space="0" w:color="FFFFFF"/>
              <w:bottom w:val="single" w:sz="24" w:space="0" w:color="FFFFFF"/>
              <w:right w:val="single" w:sz="8" w:space="0" w:color="FFFFFF"/>
            </w:tcBorders>
            <w:shd w:val="clear" w:color="auto" w:fill="004C97"/>
            <w:tcMar>
              <w:top w:w="17" w:type="dxa"/>
              <w:left w:w="44" w:type="dxa"/>
              <w:bottom w:w="17" w:type="dxa"/>
              <w:right w:w="44" w:type="dxa"/>
            </w:tcMar>
            <w:hideMark/>
          </w:tcPr>
          <w:p w14:paraId="4FC47205" w14:textId="77777777" w:rsidR="00036B87" w:rsidRPr="005C68D0" w:rsidRDefault="00036B87" w:rsidP="00344685">
            <w:pPr>
              <w:jc w:val="center"/>
              <w:rPr>
                <w:rFonts w:ascii="Arial" w:eastAsia="Times New Roman" w:hAnsi="Arial" w:cs="Arial"/>
                <w:sz w:val="36"/>
                <w:szCs w:val="36"/>
                <w:lang w:val="en-AU" w:eastAsia="en-AU"/>
              </w:rPr>
            </w:pPr>
            <w:r w:rsidRPr="005C68D0">
              <w:rPr>
                <w:rFonts w:ascii="Arial" w:eastAsia="Arial" w:hAnsi="Arial" w:cs="Times New Roman"/>
                <w:b/>
                <w:bCs/>
                <w:color w:val="FFFFFF"/>
                <w:kern w:val="24"/>
                <w:szCs w:val="22"/>
                <w:lang w:val="en-AU" w:eastAsia="en-AU"/>
              </w:rPr>
              <w:t>FISO 2.0 Core element</w:t>
            </w:r>
          </w:p>
        </w:tc>
      </w:tr>
      <w:tr w:rsidR="00036B87" w:rsidRPr="005C68D0" w14:paraId="6B81CCC9" w14:textId="77777777" w:rsidTr="00344685">
        <w:trPr>
          <w:gridAfter w:val="1"/>
          <w:wAfter w:w="19" w:type="dxa"/>
          <w:trHeight w:val="184"/>
        </w:trPr>
        <w:tc>
          <w:tcPr>
            <w:tcW w:w="1340" w:type="dxa"/>
            <w:tcBorders>
              <w:top w:val="single" w:sz="24" w:space="0" w:color="FFFFFF"/>
              <w:left w:val="single" w:sz="8" w:space="0" w:color="FFFFFF"/>
              <w:bottom w:val="single" w:sz="24" w:space="0" w:color="FFFFFF"/>
              <w:right w:val="single" w:sz="8" w:space="0" w:color="FFFFFF"/>
            </w:tcBorders>
            <w:shd w:val="clear" w:color="auto" w:fill="E7E6E6"/>
            <w:tcMar>
              <w:top w:w="17" w:type="dxa"/>
              <w:left w:w="44" w:type="dxa"/>
              <w:bottom w:w="17" w:type="dxa"/>
              <w:right w:w="44" w:type="dxa"/>
            </w:tcMar>
            <w:hideMark/>
          </w:tcPr>
          <w:p w14:paraId="29DE0518"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FDB90F"/>
                <w:kern w:val="24"/>
                <w:szCs w:val="22"/>
                <w:lang w:val="en-AU" w:eastAsia="en-AU"/>
              </w:rPr>
              <w:t>Leadership</w:t>
            </w:r>
          </w:p>
          <w:p w14:paraId="45763ACB"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Instructional leadership (SSS)</w:t>
            </w:r>
          </w:p>
          <w:p w14:paraId="63BA45C0"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Trust in colleagues (SSS)</w:t>
            </w:r>
          </w:p>
          <w:p w14:paraId="7C12C5F1"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Managing bullying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77409DAB"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FFFFFF"/>
                <w:kern w:val="24"/>
                <w:szCs w:val="22"/>
                <w:lang w:val="en-AU" w:eastAsia="en-AU"/>
              </w:rPr>
              <w:t> </w:t>
            </w:r>
          </w:p>
        </w:tc>
        <w:tc>
          <w:tcPr>
            <w:tcW w:w="2340" w:type="dxa"/>
            <w:tcBorders>
              <w:top w:val="single" w:sz="24" w:space="0" w:color="FFFFFF"/>
              <w:left w:val="single" w:sz="8" w:space="0" w:color="FFFFFF"/>
              <w:bottom w:val="single" w:sz="24" w:space="0" w:color="FFFFFF"/>
              <w:right w:val="single" w:sz="8" w:space="0" w:color="FFFFFF"/>
            </w:tcBorders>
            <w:shd w:val="clear" w:color="auto" w:fill="E7E6E6"/>
            <w:tcMar>
              <w:top w:w="15" w:type="dxa"/>
              <w:left w:w="15" w:type="dxa"/>
              <w:bottom w:w="0" w:type="dxa"/>
              <w:right w:w="15" w:type="dxa"/>
            </w:tcMar>
            <w:hideMark/>
          </w:tcPr>
          <w:p w14:paraId="04ED915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00B0A7"/>
                <w:kern w:val="24"/>
                <w:szCs w:val="22"/>
                <w:lang w:val="en-AU" w:eastAsia="en-AU"/>
              </w:rPr>
              <w:t>Teaching and learning</w:t>
            </w:r>
          </w:p>
          <w:p w14:paraId="28EDD049"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TJ growth (CASES)</w:t>
            </w:r>
          </w:p>
          <w:p w14:paraId="465C48E6" w14:textId="77777777" w:rsidR="00036B87" w:rsidRPr="005C68D0" w:rsidRDefault="00036B87" w:rsidP="00344685">
            <w:pPr>
              <w:rPr>
                <w:rFonts w:ascii="Arial" w:eastAsia="Arial" w:hAnsi="Arial" w:cs="Times New Roman"/>
                <w:color w:val="000000"/>
                <w:kern w:val="24"/>
                <w:szCs w:val="22"/>
                <w:lang w:val="en-AU" w:eastAsia="en-AU"/>
              </w:rPr>
            </w:pPr>
            <w:r w:rsidRPr="005C68D0">
              <w:rPr>
                <w:rFonts w:ascii="Arial" w:eastAsia="Arial" w:hAnsi="Arial" w:cs="Times New Roman"/>
                <w:color w:val="000000"/>
                <w:kern w:val="24"/>
                <w:szCs w:val="22"/>
                <w:lang w:val="en-AU" w:eastAsia="en-AU"/>
              </w:rPr>
              <w:t>Collective efficacy (SSS)</w:t>
            </w:r>
          </w:p>
          <w:p w14:paraId="5D658B3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Academic emphasis (SSS)</w:t>
            </w:r>
          </w:p>
          <w:p w14:paraId="1B9B0A96"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Guaranteed and viable curriculum (secondary) (SSS)</w:t>
            </w:r>
          </w:p>
          <w:p w14:paraId="25F1E028"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Stimulated learning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r w:rsidRPr="005C68D0">
              <w:rPr>
                <w:rFonts w:ascii="Arial" w:eastAsia="Arial" w:hAnsi="Arial" w:cs="Times New Roman"/>
                <w:b/>
                <w:bCs/>
                <w:color w:val="FFFFFF"/>
                <w:kern w:val="24"/>
                <w:szCs w:val="22"/>
                <w:lang w:val="en-AU" w:eastAsia="en-AU"/>
              </w:rPr>
              <w:t> </w:t>
            </w:r>
          </w:p>
        </w:tc>
        <w:tc>
          <w:tcPr>
            <w:tcW w:w="2270" w:type="dxa"/>
            <w:tcBorders>
              <w:top w:val="single" w:sz="24" w:space="0" w:color="FFFFFF"/>
              <w:left w:val="single" w:sz="8" w:space="0" w:color="FFFFFF"/>
              <w:bottom w:val="single" w:sz="24" w:space="0" w:color="FFFFFF"/>
              <w:right w:val="single" w:sz="8" w:space="0" w:color="FFFFFF"/>
            </w:tcBorders>
            <w:shd w:val="clear" w:color="auto" w:fill="E7E6E6"/>
            <w:tcMar>
              <w:top w:w="15" w:type="dxa"/>
              <w:left w:w="15" w:type="dxa"/>
              <w:bottom w:w="0" w:type="dxa"/>
              <w:right w:w="15" w:type="dxa"/>
            </w:tcMar>
            <w:hideMark/>
          </w:tcPr>
          <w:p w14:paraId="4B3112D5"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0090DA"/>
                <w:kern w:val="24"/>
                <w:szCs w:val="22"/>
                <w:lang w:val="en-AU" w:eastAsia="en-AU"/>
              </w:rPr>
              <w:t>Assessment</w:t>
            </w:r>
          </w:p>
          <w:p w14:paraId="34AC46F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Monitoring effectiveness of using data (SSS)</w:t>
            </w:r>
          </w:p>
          <w:p w14:paraId="502BB73E"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Moderation of student assessment (SSS)</w:t>
            </w:r>
          </w:p>
          <w:p w14:paraId="382197DF"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Understand formative assessment (SSS)</w:t>
            </w:r>
          </w:p>
          <w:p w14:paraId="7BCC1163"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Use of student feedback to inform teaching practice (SSS)</w:t>
            </w:r>
          </w:p>
        </w:tc>
        <w:tc>
          <w:tcPr>
            <w:tcW w:w="2230" w:type="dxa"/>
            <w:tcBorders>
              <w:top w:val="single" w:sz="24" w:space="0" w:color="FFFFFF"/>
              <w:left w:val="single" w:sz="8" w:space="0" w:color="FFFFFF"/>
              <w:bottom w:val="single" w:sz="24" w:space="0" w:color="FFFFFF"/>
              <w:right w:val="single" w:sz="8" w:space="0" w:color="FFFFFF"/>
            </w:tcBorders>
            <w:shd w:val="clear" w:color="auto" w:fill="E7E6E6"/>
            <w:tcMar>
              <w:top w:w="15" w:type="dxa"/>
              <w:left w:w="15" w:type="dxa"/>
              <w:bottom w:w="0" w:type="dxa"/>
              <w:right w:w="15" w:type="dxa"/>
            </w:tcMar>
            <w:hideMark/>
          </w:tcPr>
          <w:p w14:paraId="5EC3F8D3"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DC2C55"/>
                <w:kern w:val="24"/>
                <w:szCs w:val="22"/>
                <w:lang w:val="en-AU" w:eastAsia="en-AU"/>
              </w:rPr>
              <w:t>Engagement</w:t>
            </w:r>
          </w:p>
          <w:p w14:paraId="1F2DAC38"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Attitudes to attendance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36349398"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Proportion of students with less than 20 absent days (CASES)</w:t>
            </w:r>
          </w:p>
          <w:p w14:paraId="1A0F115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Sense of confidence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4F196916"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Student voice and agency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1CE13E19"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FFFFFF"/>
                <w:kern w:val="24"/>
                <w:szCs w:val="22"/>
                <w:lang w:val="en-AU" w:eastAsia="en-AU"/>
              </w:rPr>
              <w:t> </w:t>
            </w:r>
          </w:p>
        </w:tc>
        <w:tc>
          <w:tcPr>
            <w:tcW w:w="1540" w:type="dxa"/>
            <w:tcBorders>
              <w:top w:val="single" w:sz="24" w:space="0" w:color="FFFFFF"/>
              <w:left w:val="single" w:sz="8" w:space="0" w:color="FFFFFF"/>
              <w:bottom w:val="single" w:sz="24" w:space="0" w:color="FFFFFF"/>
              <w:right w:val="single" w:sz="8" w:space="0" w:color="FFFFFF"/>
            </w:tcBorders>
            <w:shd w:val="clear" w:color="auto" w:fill="E7E6E6"/>
            <w:tcMar>
              <w:top w:w="15" w:type="dxa"/>
              <w:left w:w="15" w:type="dxa"/>
              <w:bottom w:w="0" w:type="dxa"/>
              <w:right w:w="15" w:type="dxa"/>
            </w:tcMar>
            <w:hideMark/>
          </w:tcPr>
          <w:p w14:paraId="0817F50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902AA4"/>
                <w:kern w:val="24"/>
                <w:szCs w:val="22"/>
                <w:lang w:val="en-AU" w:eastAsia="en-AU"/>
              </w:rPr>
              <w:t>Support and resources</w:t>
            </w:r>
          </w:p>
          <w:p w14:paraId="1A203DB4"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Advocate at school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61EBD74A"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Experience of bullying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2FAF14DD"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color w:val="000000"/>
                <w:kern w:val="24"/>
                <w:szCs w:val="22"/>
                <w:lang w:val="en-AU" w:eastAsia="en-AU"/>
              </w:rPr>
              <w:t>Respect for diversity (</w:t>
            </w:r>
            <w:proofErr w:type="spellStart"/>
            <w:r w:rsidRPr="005C68D0">
              <w:rPr>
                <w:rFonts w:ascii="Arial" w:eastAsia="Arial" w:hAnsi="Arial" w:cs="Times New Roman"/>
                <w:color w:val="000000"/>
                <w:kern w:val="24"/>
                <w:szCs w:val="22"/>
                <w:lang w:val="en-AU" w:eastAsia="en-AU"/>
              </w:rPr>
              <w:t>AtoSS</w:t>
            </w:r>
            <w:proofErr w:type="spellEnd"/>
            <w:r w:rsidRPr="005C68D0">
              <w:rPr>
                <w:rFonts w:ascii="Arial" w:eastAsia="Arial" w:hAnsi="Arial" w:cs="Times New Roman"/>
                <w:color w:val="000000"/>
                <w:kern w:val="24"/>
                <w:szCs w:val="22"/>
                <w:lang w:val="en-AU" w:eastAsia="en-AU"/>
              </w:rPr>
              <w:t>)</w:t>
            </w:r>
          </w:p>
          <w:p w14:paraId="6AC03A19" w14:textId="77777777" w:rsidR="00036B87" w:rsidRPr="005C68D0" w:rsidRDefault="00036B87" w:rsidP="00344685">
            <w:pPr>
              <w:rPr>
                <w:rFonts w:ascii="Arial" w:eastAsia="Times New Roman" w:hAnsi="Arial" w:cs="Arial"/>
                <w:sz w:val="36"/>
                <w:szCs w:val="36"/>
                <w:lang w:val="en-AU" w:eastAsia="en-AU"/>
              </w:rPr>
            </w:pPr>
            <w:r w:rsidRPr="005C68D0">
              <w:rPr>
                <w:rFonts w:ascii="Arial" w:eastAsia="Arial" w:hAnsi="Arial" w:cs="Times New Roman"/>
                <w:b/>
                <w:bCs/>
                <w:color w:val="FFFFFF"/>
                <w:kern w:val="24"/>
                <w:szCs w:val="22"/>
                <w:lang w:val="en-AU" w:eastAsia="en-AU"/>
              </w:rPr>
              <w:t> </w:t>
            </w:r>
          </w:p>
        </w:tc>
      </w:tr>
    </w:tbl>
    <w:p w14:paraId="530CCBB1" w14:textId="6A492BBF" w:rsidR="00C9546C" w:rsidRPr="00251340" w:rsidRDefault="00C9546C" w:rsidP="00C9546C">
      <w:pPr>
        <w:rPr>
          <w:lang w:val="en-AU"/>
        </w:rPr>
      </w:pPr>
      <w:r w:rsidRPr="005C68D0">
        <w:rPr>
          <w:lang w:val="en-AU"/>
        </w:rPr>
        <w:t xml:space="preserve">See </w:t>
      </w:r>
      <w:r w:rsidRPr="005C68D0">
        <w:t xml:space="preserve">the </w:t>
      </w:r>
      <w:hyperlink r:id="rId18" w:history="1">
        <w:r w:rsidRPr="005C68D0">
          <w:rPr>
            <w:rStyle w:val="Hyperlink"/>
          </w:rPr>
          <w:t>System Measures</w:t>
        </w:r>
      </w:hyperlink>
      <w:r w:rsidRPr="005C68D0">
        <w:t xml:space="preserve"> practice tool on PAL for a summary of how these measures apply to student outcomes and the strength of those measures.</w:t>
      </w:r>
    </w:p>
    <w:p w14:paraId="6A4AF25C" w14:textId="77777777" w:rsidR="00036B87" w:rsidRPr="00036B87" w:rsidRDefault="00036B87" w:rsidP="00036B87"/>
    <w:p w14:paraId="58B62C9D" w14:textId="785C51A9" w:rsidR="00CA4768" w:rsidRDefault="0035192C" w:rsidP="005B4F08">
      <w:pPr>
        <w:pStyle w:val="Heading3"/>
        <w:rPr>
          <w:lang w:val="en-AU"/>
        </w:rPr>
      </w:pPr>
      <w:r>
        <w:rPr>
          <w:lang w:val="en-AU"/>
        </w:rPr>
        <w:t>LEADERSHIP</w:t>
      </w:r>
      <w:bookmarkEnd w:id="6"/>
    </w:p>
    <w:p w14:paraId="03DAFABB" w14:textId="774CF5B8" w:rsidR="00A360F1" w:rsidRDefault="00CC2517" w:rsidP="00133057">
      <w:pPr>
        <w:pStyle w:val="Heading4"/>
      </w:pPr>
      <w:r w:rsidRPr="00CC2517">
        <w:t xml:space="preserve">Leadership </w:t>
      </w:r>
      <w:r w:rsidR="00641D65">
        <w:t>is</w:t>
      </w:r>
      <w:r w:rsidRPr="00CC2517">
        <w:t xml:space="preserve"> the </w:t>
      </w:r>
      <w:r w:rsidR="00F401A3">
        <w:t xml:space="preserve">development of </w:t>
      </w:r>
      <w:r w:rsidRPr="00CC2517">
        <w:t xml:space="preserve">shared processes and actions </w:t>
      </w:r>
      <w:r w:rsidR="00F25AE3">
        <w:t>by staff and students</w:t>
      </w:r>
      <w:r w:rsidRPr="00CC2517">
        <w:t xml:space="preserve"> that build a positive school climate </w:t>
      </w:r>
      <w:r w:rsidR="001F6734" w:rsidRPr="001F6734">
        <w:t xml:space="preserve">for learning and wellbeing </w:t>
      </w:r>
      <w:r w:rsidRPr="00CC2517">
        <w:t xml:space="preserve">through practices and relationships based on high expectations, shared </w:t>
      </w:r>
      <w:proofErr w:type="gramStart"/>
      <w:r w:rsidRPr="00CC2517">
        <w:t>values</w:t>
      </w:r>
      <w:proofErr w:type="gramEnd"/>
      <w:r w:rsidRPr="00CC2517">
        <w:t xml:space="preserve"> and a culture of trust.</w:t>
      </w:r>
    </w:p>
    <w:p w14:paraId="5E7B8E80" w14:textId="77777777" w:rsidR="003A4AD0" w:rsidRPr="003A4AD0" w:rsidRDefault="003A4AD0" w:rsidP="003A4AD0"/>
    <w:tbl>
      <w:tblPr>
        <w:tblStyle w:val="TableGrid"/>
        <w:tblW w:w="0" w:type="auto"/>
        <w:tblLook w:val="04A0" w:firstRow="1" w:lastRow="0" w:firstColumn="1" w:lastColumn="0" w:noHBand="0" w:noVBand="1"/>
      </w:tblPr>
      <w:tblGrid>
        <w:gridCol w:w="9622"/>
      </w:tblGrid>
      <w:tr w:rsidR="00E94411" w14:paraId="350F9064" w14:textId="77777777" w:rsidTr="007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703B7BF6" w14:textId="488FDC18" w:rsidR="00E94411" w:rsidRPr="00E94411" w:rsidRDefault="00B15805" w:rsidP="009057EB">
            <w:pPr>
              <w:rPr>
                <w:lang w:val="en-AU"/>
              </w:rPr>
            </w:pPr>
            <w:r w:rsidRPr="00B15805">
              <w:rPr>
                <w:lang w:val="en-US"/>
              </w:rPr>
              <w:t xml:space="preserve">The strategic direction and deployment of resources to create </w:t>
            </w:r>
            <w:r w:rsidR="00A557C3">
              <w:rPr>
                <w:lang w:val="en-US"/>
              </w:rPr>
              <w:t xml:space="preserve">and reflect </w:t>
            </w:r>
            <w:r w:rsidRPr="00B15805">
              <w:rPr>
                <w:lang w:val="en-US"/>
              </w:rPr>
              <w:t xml:space="preserve">shared goals and values; high expectations; and a positive, </w:t>
            </w:r>
            <w:proofErr w:type="gramStart"/>
            <w:r w:rsidRPr="00B15805">
              <w:rPr>
                <w:lang w:val="en-US"/>
              </w:rPr>
              <w:t>safe</w:t>
            </w:r>
            <w:proofErr w:type="gramEnd"/>
            <w:r w:rsidRPr="00B15805">
              <w:rPr>
                <w:lang w:val="en-US"/>
              </w:rPr>
              <w:t xml:space="preserve"> and orderly learning environment</w:t>
            </w:r>
          </w:p>
        </w:tc>
      </w:tr>
      <w:tr w:rsidR="008618F8" w14:paraId="3E63D893"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6CFE7C49" w14:textId="7773330B" w:rsidR="008618F8" w:rsidRPr="00AE013F" w:rsidRDefault="008618F8" w:rsidP="009E70FE">
            <w:pPr>
              <w:rPr>
                <w:b/>
                <w:bCs/>
                <w:lang w:val="en-AU"/>
              </w:rPr>
            </w:pPr>
            <w:r w:rsidRPr="00AE013F">
              <w:rPr>
                <w:b/>
                <w:bCs/>
                <w:lang w:val="en-AU"/>
              </w:rPr>
              <w:t>Strategic direction and deployment of resources</w:t>
            </w:r>
          </w:p>
          <w:p w14:paraId="07BB82A1" w14:textId="77777777" w:rsidR="00B3158D" w:rsidRDefault="004E51CB" w:rsidP="00B3158D">
            <w:pPr>
              <w:rPr>
                <w:lang w:val="en-AU"/>
              </w:rPr>
            </w:pPr>
            <w:r>
              <w:rPr>
                <w:lang w:val="en-AU"/>
              </w:rPr>
              <w:t xml:space="preserve">Strong leadership forms the basis for school improvement. </w:t>
            </w:r>
            <w:r w:rsidR="00B3158D" w:rsidRPr="00BC7C51">
              <w:t>According to Australian and international research, leadership has a significant impact on student outcomes after controlling for student characteristics (Centre for Educational Statistics and Evaluation, 2015)</w:t>
            </w:r>
            <w:r w:rsidR="00B3158D">
              <w:t>.</w:t>
            </w:r>
          </w:p>
          <w:p w14:paraId="470FD529" w14:textId="002207B4" w:rsidR="004E51CB" w:rsidRDefault="004E51CB" w:rsidP="004E51CB">
            <w:pPr>
              <w:rPr>
                <w:lang w:val="en-AU"/>
              </w:rPr>
            </w:pPr>
            <w:r>
              <w:rPr>
                <w:lang w:val="en-AU"/>
              </w:rPr>
              <w:t xml:space="preserve">Leaders invest in resources to develop the capacity to implement change (UNESCO, 2021). When considering resourcing, strategic leaders consider how to do this (Allensworth, Wyche, </w:t>
            </w:r>
            <w:proofErr w:type="gramStart"/>
            <w:r>
              <w:rPr>
                <w:lang w:val="en-AU"/>
              </w:rPr>
              <w:t>Lawson</w:t>
            </w:r>
            <w:proofErr w:type="gramEnd"/>
            <w:r>
              <w:rPr>
                <w:lang w:val="en-AU"/>
              </w:rPr>
              <w:t xml:space="preserve"> and Nicholson, 1995).</w:t>
            </w:r>
            <w:r w:rsidR="00B2632D">
              <w:rPr>
                <w:lang w:val="en-AU"/>
              </w:rPr>
              <w:t xml:space="preserve"> In schools, t</w:t>
            </w:r>
            <w:r>
              <w:rPr>
                <w:lang w:val="en-AU"/>
              </w:rPr>
              <w:t>hey recruit expertise required to achieve student learning goals</w:t>
            </w:r>
            <w:r w:rsidR="00B2632D">
              <w:rPr>
                <w:lang w:val="en-AU"/>
              </w:rPr>
              <w:t xml:space="preserve"> </w:t>
            </w:r>
            <w:r>
              <w:rPr>
                <w:lang w:val="en-AU"/>
              </w:rPr>
              <w:t>in respect to the capabilities required</w:t>
            </w:r>
            <w:r w:rsidR="000A00F4">
              <w:rPr>
                <w:lang w:val="en-AU"/>
              </w:rPr>
              <w:t xml:space="preserve"> to</w:t>
            </w:r>
            <w:r>
              <w:rPr>
                <w:lang w:val="en-AU"/>
              </w:rPr>
              <w:t xml:space="preserve"> deliver the curriculum and meet professional learning and development priorities (Marzano et al., 2005; Robinson et al., 2009).</w:t>
            </w:r>
          </w:p>
          <w:p w14:paraId="45714D87" w14:textId="77777777" w:rsidR="004E51CB" w:rsidRDefault="004E51CB" w:rsidP="004E51CB">
            <w:pPr>
              <w:rPr>
                <w:lang w:val="en-AU"/>
              </w:rPr>
            </w:pPr>
            <w:r>
              <w:rPr>
                <w:lang w:val="en-AU"/>
              </w:rPr>
              <w:t>By focussing on teacher efficacy, and pedagogical priorities, leaders can enhance student outcomes. This includes the promotion of collective teacher efficacy and the strategic allocation of time and resources (</w:t>
            </w:r>
            <w:proofErr w:type="spellStart"/>
            <w:r>
              <w:rPr>
                <w:lang w:val="en-AU"/>
              </w:rPr>
              <w:t>Hoogsteen</w:t>
            </w:r>
            <w:proofErr w:type="spellEnd"/>
            <w:r>
              <w:rPr>
                <w:lang w:val="en-AU"/>
              </w:rPr>
              <w:t xml:space="preserve">, 2020; Marzano et al., 2005; Robinson et al., 2009). It is important that leaders create structures and opportunities for teacher collaboration, ensuring they allocate resources and time to support promote effective pedagogy (Allensworth, Wyche, </w:t>
            </w:r>
            <w:proofErr w:type="gramStart"/>
            <w:r>
              <w:rPr>
                <w:lang w:val="en-AU"/>
              </w:rPr>
              <w:lastRenderedPageBreak/>
              <w:t>Lawson</w:t>
            </w:r>
            <w:proofErr w:type="gramEnd"/>
            <w:r>
              <w:rPr>
                <w:lang w:val="en-AU"/>
              </w:rPr>
              <w:t xml:space="preserve"> and Nicholson, 1995; </w:t>
            </w:r>
            <w:proofErr w:type="spellStart"/>
            <w:r>
              <w:rPr>
                <w:lang w:val="en-AU"/>
              </w:rPr>
              <w:t>Hoogsteen</w:t>
            </w:r>
            <w:proofErr w:type="spellEnd"/>
            <w:r>
              <w:rPr>
                <w:lang w:val="en-AU"/>
              </w:rPr>
              <w:t>, 2020). This includes embedding time in schedules for teachers to discuss their work and observe each other's practice (</w:t>
            </w:r>
            <w:proofErr w:type="spellStart"/>
            <w:r>
              <w:rPr>
                <w:lang w:val="en-AU"/>
              </w:rPr>
              <w:t>Hoogsteen</w:t>
            </w:r>
            <w:proofErr w:type="spellEnd"/>
            <w:r>
              <w:rPr>
                <w:lang w:val="en-AU"/>
              </w:rPr>
              <w:t>, 2020).</w:t>
            </w:r>
          </w:p>
          <w:p w14:paraId="629A11AD" w14:textId="739172B5" w:rsidR="00DB62B5" w:rsidRPr="00EF378F" w:rsidRDefault="004E51CB" w:rsidP="00EF378F">
            <w:pPr>
              <w:rPr>
                <w:lang w:val="en-AU"/>
              </w:rPr>
            </w:pPr>
            <w:r>
              <w:rPr>
                <w:lang w:val="en-AU"/>
              </w:rPr>
              <w:t xml:space="preserve">Leaders can further support teacher professional development through distributed and instructional leadership. </w:t>
            </w:r>
            <w:r>
              <w:t>Distributed leadership is widely acknowledged as an effective approach for implementing improvement plans, as middle leaders can offer valuable insights into implementation challenges. It can sustain improvement and, indirectly, support principal wellbeing (</w:t>
            </w:r>
            <w:proofErr w:type="spellStart"/>
            <w:r>
              <w:t>Leithwood</w:t>
            </w:r>
            <w:proofErr w:type="spellEnd"/>
            <w:r>
              <w:t xml:space="preserve">, 2016; Marzano et al., 2005; Riley, 2017; </w:t>
            </w:r>
            <w:proofErr w:type="spellStart"/>
            <w:r>
              <w:t>Sigurðardóttir</w:t>
            </w:r>
            <w:proofErr w:type="spellEnd"/>
            <w:r>
              <w:t xml:space="preserve"> &amp; </w:t>
            </w:r>
            <w:proofErr w:type="spellStart"/>
            <w:r>
              <w:t>Sigþórsson</w:t>
            </w:r>
            <w:proofErr w:type="spellEnd"/>
            <w:r>
              <w:t xml:space="preserve">, 2016). </w:t>
            </w:r>
            <w:r w:rsidR="00DB62B5">
              <w:t xml:space="preserve">Instructional leadership can improve teaching practice and student outcomes. </w:t>
            </w:r>
            <w:r w:rsidR="00180895" w:rsidRPr="00BC7C51">
              <w:t xml:space="preserve">Department data analysis shows </w:t>
            </w:r>
            <w:r w:rsidR="00EF378F">
              <w:t>‘</w:t>
            </w:r>
            <w:r w:rsidR="00180895" w:rsidRPr="00EF378F">
              <w:t>instructional leadership’</w:t>
            </w:r>
            <w:r w:rsidR="00180895">
              <w:t xml:space="preserve"> in the School Staff Survey (SSS)</w:t>
            </w:r>
            <w:r w:rsidR="00180895" w:rsidRPr="00BC7C51">
              <w:t xml:space="preserve"> is positively correlated to positive learning and wellbeing outcomes.</w:t>
            </w:r>
            <w:r w:rsidR="00180895">
              <w:t xml:space="preserve"> </w:t>
            </w:r>
          </w:p>
          <w:p w14:paraId="610A9967" w14:textId="00204522" w:rsidR="005A353E" w:rsidRDefault="005A353E" w:rsidP="004E51CB">
            <w:pPr>
              <w:rPr>
                <w:lang w:val="en-AU"/>
              </w:rPr>
            </w:pPr>
            <w:r>
              <w:rPr>
                <w:lang w:val="en-AU"/>
              </w:rPr>
              <w:t>As principal leadership is strongly related to the establishment of effective school environments and processes, principals can have a significant influence on school improvement. Providing opportunities for individuals to engage in collective discussion regarding possibilities can help motivate and sustain efforts for school improvement (</w:t>
            </w:r>
            <w:proofErr w:type="spellStart"/>
            <w:r>
              <w:rPr>
                <w:lang w:val="en-AU"/>
              </w:rPr>
              <w:t>Hoogsteen</w:t>
            </w:r>
            <w:proofErr w:type="spellEnd"/>
            <w:r>
              <w:rPr>
                <w:lang w:val="en-AU"/>
              </w:rPr>
              <w:t xml:space="preserve">, 2020). Such collaboration can promote coherence and consistency of purposes, </w:t>
            </w:r>
            <w:proofErr w:type="gramStart"/>
            <w:r>
              <w:rPr>
                <w:lang w:val="en-AU"/>
              </w:rPr>
              <w:t>policies</w:t>
            </w:r>
            <w:proofErr w:type="gramEnd"/>
            <w:r>
              <w:rPr>
                <w:lang w:val="en-AU"/>
              </w:rPr>
              <w:t xml:space="preserve"> and practices (Fullan and Quinn, 2015).</w:t>
            </w:r>
            <w:r w:rsidR="00880BAC">
              <w:rPr>
                <w:lang w:val="en-AU"/>
              </w:rPr>
              <w:t xml:space="preserve"> </w:t>
            </w:r>
          </w:p>
          <w:p w14:paraId="1A3BAC98" w14:textId="2C4139CD" w:rsidR="004E51CB" w:rsidRDefault="004E51CB" w:rsidP="004E51CB">
            <w:pPr>
              <w:rPr>
                <w:color w:val="auto"/>
                <w:lang w:val="en-AU"/>
              </w:rPr>
            </w:pPr>
            <w:r>
              <w:rPr>
                <w:lang w:val="en-AU"/>
              </w:rPr>
              <w:t xml:space="preserve">Teacher leadership increases engagement in school improvement activities as it encourages teacher ownership and greater communication across the school (Bauman, 2015; Sebastian et al., 2017; </w:t>
            </w:r>
            <w:proofErr w:type="spellStart"/>
            <w:r>
              <w:rPr>
                <w:lang w:val="en-AU"/>
              </w:rPr>
              <w:t>Wieczorek</w:t>
            </w:r>
            <w:proofErr w:type="spellEnd"/>
            <w:r>
              <w:rPr>
                <w:lang w:val="en-AU"/>
              </w:rPr>
              <w:t xml:space="preserve"> &amp; Lear, 2018). Expert teachers play a key role in supporting other teachers to improve their practice</w:t>
            </w:r>
            <w:r w:rsidR="00EF5932">
              <w:rPr>
                <w:lang w:val="en-AU"/>
              </w:rPr>
              <w:t>,</w:t>
            </w:r>
            <w:r>
              <w:rPr>
                <w:lang w:val="en-AU"/>
              </w:rPr>
              <w:t xml:space="preserve"> and peers can have large impact on shifting behaviours (Walker et al. 2019; Goss &amp; </w:t>
            </w:r>
            <w:proofErr w:type="spellStart"/>
            <w:r>
              <w:rPr>
                <w:lang w:val="en-AU"/>
              </w:rPr>
              <w:t>Sonnemann</w:t>
            </w:r>
            <w:proofErr w:type="spellEnd"/>
            <w:r>
              <w:rPr>
                <w:lang w:val="en-AU"/>
              </w:rPr>
              <w:t>, 2020).</w:t>
            </w:r>
            <w:r w:rsidR="00DB1C75">
              <w:rPr>
                <w:lang w:val="en-AU"/>
              </w:rPr>
              <w:t xml:space="preserve"> </w:t>
            </w:r>
            <w:r w:rsidR="0049433E" w:rsidRPr="004343D3">
              <w:rPr>
                <w:color w:val="auto"/>
                <w:lang w:val="en-AU"/>
              </w:rPr>
              <w:t xml:space="preserve">A study </w:t>
            </w:r>
            <w:r w:rsidR="00616588" w:rsidRPr="004343D3">
              <w:rPr>
                <w:color w:val="auto"/>
                <w:lang w:val="en-AU"/>
              </w:rPr>
              <w:t>of professional learning communities</w:t>
            </w:r>
            <w:r w:rsidR="000F060B">
              <w:rPr>
                <w:color w:val="auto"/>
                <w:lang w:val="en-AU"/>
              </w:rPr>
              <w:t xml:space="preserve"> (PLCs)</w:t>
            </w:r>
            <w:r w:rsidR="00616588" w:rsidRPr="004343D3">
              <w:rPr>
                <w:color w:val="auto"/>
                <w:lang w:val="en-AU"/>
              </w:rPr>
              <w:t xml:space="preserve"> in schools</w:t>
            </w:r>
            <w:r w:rsidR="00564DBC">
              <w:rPr>
                <w:color w:val="auto"/>
                <w:lang w:val="en-AU"/>
              </w:rPr>
              <w:t xml:space="preserve"> in the United States</w:t>
            </w:r>
            <w:r w:rsidR="00616588" w:rsidRPr="004343D3">
              <w:rPr>
                <w:color w:val="auto"/>
                <w:lang w:val="en-AU"/>
              </w:rPr>
              <w:t xml:space="preserve"> show that </w:t>
            </w:r>
            <w:r w:rsidR="000F060B">
              <w:rPr>
                <w:color w:val="auto"/>
                <w:lang w:val="en-AU"/>
              </w:rPr>
              <w:t>PLCs that</w:t>
            </w:r>
            <w:r w:rsidR="00DB1C75" w:rsidRPr="004343D3">
              <w:rPr>
                <w:color w:val="auto"/>
                <w:lang w:val="en-AU"/>
              </w:rPr>
              <w:t xml:space="preserve"> are </w:t>
            </w:r>
            <w:r w:rsidR="00DB1C75">
              <w:rPr>
                <w:lang w:val="en-AU"/>
              </w:rPr>
              <w:t>driven by a clear, shared purpose can support “collective responsibility” for student learning, sustained improvement in schools and meaningful reform (Huffman, 2003).</w:t>
            </w:r>
          </w:p>
          <w:p w14:paraId="0B98D71A" w14:textId="77777777" w:rsidR="00EC7E43" w:rsidRDefault="004E51CB" w:rsidP="00AC40E9">
            <w:pPr>
              <w:rPr>
                <w:lang w:val="en-AU"/>
              </w:rPr>
            </w:pPr>
            <w:r>
              <w:rPr>
                <w:lang w:val="en-AU"/>
              </w:rPr>
              <w:t>Student outcomes are higher when teachers report that their school leaders are leading and participating in teacher learning and development (Robinson et al., 2009). A Victorian study of effective school leaders found that they can raise student learning outcomes by as much as two months in a year (</w:t>
            </w:r>
            <w:proofErr w:type="spellStart"/>
            <w:r>
              <w:rPr>
                <w:lang w:val="en-AU"/>
              </w:rPr>
              <w:t>Helal</w:t>
            </w:r>
            <w:proofErr w:type="spellEnd"/>
            <w:r>
              <w:rPr>
                <w:lang w:val="en-AU"/>
              </w:rPr>
              <w:t xml:space="preserve"> &amp; </w:t>
            </w:r>
            <w:proofErr w:type="spellStart"/>
            <w:r>
              <w:rPr>
                <w:lang w:val="en-AU"/>
              </w:rPr>
              <w:t>Coelli</w:t>
            </w:r>
            <w:proofErr w:type="spellEnd"/>
            <w:r>
              <w:rPr>
                <w:lang w:val="en-AU"/>
              </w:rPr>
              <w:t xml:space="preserve">, 2016). </w:t>
            </w:r>
          </w:p>
          <w:p w14:paraId="7E5903A7" w14:textId="7AC44703" w:rsidR="004E51CB" w:rsidRDefault="004E51CB" w:rsidP="004E51CB">
            <w:pPr>
              <w:rPr>
                <w:lang w:val="en-AU"/>
              </w:rPr>
            </w:pPr>
            <w:r>
              <w:rPr>
                <w:lang w:val="en-AU"/>
              </w:rPr>
              <w:t>Effective leaders observe and discuss teaching and learning with staff, including achievement standards, students’ results, choice of pedagogical methods, and teachers’ development needs</w:t>
            </w:r>
            <w:r w:rsidR="000E2754">
              <w:rPr>
                <w:lang w:val="en-AU"/>
              </w:rPr>
              <w:t xml:space="preserve"> </w:t>
            </w:r>
            <w:r w:rsidR="000E2754">
              <w:t>(</w:t>
            </w:r>
            <w:r w:rsidR="000E2754">
              <w:rPr>
                <w:rFonts w:cstheme="minorHAnsi"/>
                <w:szCs w:val="22"/>
              </w:rPr>
              <w:t>Robinson et al., 2009).</w:t>
            </w:r>
            <w:r w:rsidR="000E2754" w:rsidRPr="00024BC6">
              <w:rPr>
                <w:rFonts w:cstheme="minorHAnsi"/>
                <w:szCs w:val="22"/>
              </w:rPr>
              <w:t xml:space="preserve"> </w:t>
            </w:r>
            <w:r w:rsidR="00EC7E43">
              <w:rPr>
                <w:rFonts w:cstheme="minorHAnsi"/>
                <w:szCs w:val="22"/>
              </w:rPr>
              <w:t xml:space="preserve">They </w:t>
            </w:r>
            <w:r w:rsidR="00EC7E43" w:rsidRPr="00AC40E9">
              <w:rPr>
                <w:lang w:val="en-AU"/>
              </w:rPr>
              <w:t xml:space="preserve">know what effective pedagogical, curricular and assessment practices look like, work to </w:t>
            </w:r>
            <w:proofErr w:type="gramStart"/>
            <w:r w:rsidR="00EC7E43" w:rsidRPr="00AC40E9">
              <w:rPr>
                <w:lang w:val="en-AU"/>
              </w:rPr>
              <w:t>monitor</w:t>
            </w:r>
            <w:proofErr w:type="gramEnd"/>
            <w:r w:rsidR="00EC7E43" w:rsidRPr="00AC40E9">
              <w:rPr>
                <w:lang w:val="en-AU"/>
              </w:rPr>
              <w:t xml:space="preserve"> and improve practice and keep themselves and their staff informed of current research (</w:t>
            </w:r>
            <w:proofErr w:type="spellStart"/>
            <w:r w:rsidR="00EC7E43" w:rsidRPr="00AC40E9">
              <w:rPr>
                <w:lang w:val="en-AU"/>
              </w:rPr>
              <w:t>Karagiorgi</w:t>
            </w:r>
            <w:proofErr w:type="spellEnd"/>
            <w:r w:rsidR="00EC7E43" w:rsidRPr="00AC40E9">
              <w:rPr>
                <w:lang w:val="en-AU"/>
              </w:rPr>
              <w:t xml:space="preserve"> et al., 2018; Marzano et al., 2005).  </w:t>
            </w:r>
          </w:p>
          <w:p w14:paraId="7D7223D8" w14:textId="436916E6" w:rsidR="00CE2E8A" w:rsidRPr="00682A4B" w:rsidRDefault="00CE2E8A" w:rsidP="00CE2E8A">
            <w:pPr>
              <w:rPr>
                <w:b/>
                <w:bCs/>
                <w:lang w:val="en-AU"/>
              </w:rPr>
            </w:pPr>
            <w:r w:rsidRPr="00682A4B">
              <w:rPr>
                <w:b/>
                <w:bCs/>
                <w:lang w:val="en-AU"/>
              </w:rPr>
              <w:t xml:space="preserve">Shared </w:t>
            </w:r>
            <w:r w:rsidR="00C508E6">
              <w:rPr>
                <w:b/>
                <w:bCs/>
                <w:lang w:val="en-AU"/>
              </w:rPr>
              <w:t>goals and values</w:t>
            </w:r>
          </w:p>
          <w:p w14:paraId="12ED2542" w14:textId="4371308B" w:rsidR="00CE2E8A" w:rsidRPr="00EC7C17" w:rsidRDefault="00710156" w:rsidP="00CE2E8A">
            <w:pPr>
              <w:rPr>
                <w:lang w:val="en-AU"/>
              </w:rPr>
            </w:pPr>
            <w:r>
              <w:rPr>
                <w:lang w:val="en-AU"/>
              </w:rPr>
              <w:t>A key driver of school improvement is the development and enactment of a shared vision, aligned values and goals (</w:t>
            </w:r>
            <w:r w:rsidR="002B22FC">
              <w:rPr>
                <w:lang w:val="en-AU"/>
              </w:rPr>
              <w:t>Harris, Smithers, Knipe &amp; Ross, 20</w:t>
            </w:r>
            <w:r w:rsidR="00707DFC">
              <w:rPr>
                <w:lang w:val="en-AU"/>
              </w:rPr>
              <w:t>20</w:t>
            </w:r>
            <w:r w:rsidR="00601555">
              <w:rPr>
                <w:lang w:val="en-AU"/>
              </w:rPr>
              <w:t>a</w:t>
            </w:r>
            <w:r w:rsidR="002B22FC">
              <w:rPr>
                <w:lang w:val="en-AU"/>
              </w:rPr>
              <w:t>).</w:t>
            </w:r>
            <w:r w:rsidR="00707DFC">
              <w:rPr>
                <w:lang w:val="en-AU"/>
              </w:rPr>
              <w:t xml:space="preserve"> </w:t>
            </w:r>
            <w:r w:rsidR="00CE2E8A">
              <w:rPr>
                <w:lang w:val="en-AU"/>
              </w:rPr>
              <w:t>Shared values and a vision</w:t>
            </w:r>
            <w:r w:rsidR="00CE2E8A" w:rsidRPr="00EC7C17">
              <w:rPr>
                <w:lang w:val="en-AU"/>
              </w:rPr>
              <w:t xml:space="preserve"> are important </w:t>
            </w:r>
            <w:r w:rsidR="00CE2E8A">
              <w:rPr>
                <w:lang w:val="en-AU"/>
              </w:rPr>
              <w:t>factors for</w:t>
            </w:r>
            <w:r w:rsidR="00CE2E8A" w:rsidRPr="00EC7C17">
              <w:rPr>
                <w:lang w:val="en-AU"/>
              </w:rPr>
              <w:t xml:space="preserve"> establishing the culture of an organisation</w:t>
            </w:r>
            <w:r w:rsidR="00CE2E8A">
              <w:rPr>
                <w:lang w:val="en-AU"/>
              </w:rPr>
              <w:t xml:space="preserve"> and</w:t>
            </w:r>
            <w:r w:rsidR="004C49A4">
              <w:rPr>
                <w:lang w:val="en-AU"/>
              </w:rPr>
              <w:t xml:space="preserve"> are</w:t>
            </w:r>
            <w:r w:rsidR="00CE2E8A">
              <w:rPr>
                <w:lang w:val="en-AU"/>
              </w:rPr>
              <w:t xml:space="preserve"> critical in leading school reform. They provide an ‘undeviating focus’ for student learning and are important for change management in schools (Huffman, 2003).</w:t>
            </w:r>
            <w:r w:rsidR="00F5421A">
              <w:rPr>
                <w:lang w:val="en-AU"/>
              </w:rPr>
              <w:t xml:space="preserve"> Shared leadership is also important for promoting effective health and wellbeing initiatives (Dilley, 2009). </w:t>
            </w:r>
          </w:p>
          <w:p w14:paraId="5B5F37DC" w14:textId="6711CDFC" w:rsidR="00CE2E8A" w:rsidRDefault="00CE2E8A" w:rsidP="00CE2E8A">
            <w:pPr>
              <w:rPr>
                <w:lang w:val="en-AU"/>
              </w:rPr>
            </w:pPr>
            <w:r>
              <w:rPr>
                <w:lang w:val="en-AU"/>
              </w:rPr>
              <w:t xml:space="preserve">To </w:t>
            </w:r>
            <w:r w:rsidR="0081431D">
              <w:rPr>
                <w:lang w:val="en-AU"/>
              </w:rPr>
              <w:t>support</w:t>
            </w:r>
            <w:r>
              <w:rPr>
                <w:lang w:val="en-AU"/>
              </w:rPr>
              <w:t xml:space="preserve"> school improvement, it is important for leaders to provide direction that aligns with the overall values and aims of a school </w:t>
            </w:r>
            <w:r w:rsidRPr="0025458F">
              <w:rPr>
                <w:lang w:val="en-AU"/>
              </w:rPr>
              <w:t xml:space="preserve">(Allensworth, Wyche, </w:t>
            </w:r>
            <w:proofErr w:type="gramStart"/>
            <w:r w:rsidRPr="0025458F">
              <w:rPr>
                <w:lang w:val="en-AU"/>
              </w:rPr>
              <w:t>Lawson</w:t>
            </w:r>
            <w:proofErr w:type="gramEnd"/>
            <w:r w:rsidRPr="0025458F">
              <w:rPr>
                <w:lang w:val="en-AU"/>
              </w:rPr>
              <w:t xml:space="preserve"> and Nicholson, 1995).</w:t>
            </w:r>
            <w:r>
              <w:rPr>
                <w:lang w:val="en-AU"/>
              </w:rPr>
              <w:t xml:space="preserve"> </w:t>
            </w:r>
            <w:r w:rsidR="00B60506">
              <w:rPr>
                <w:lang w:val="en-AU"/>
              </w:rPr>
              <w:t>T</w:t>
            </w:r>
            <w:r>
              <w:rPr>
                <w:lang w:val="en-AU"/>
              </w:rPr>
              <w:t>o support change, a vision should align with a clear rationale for change and a series of objectives that enable progress to be measured (OECD, 2020).</w:t>
            </w:r>
            <w:r w:rsidR="00B60506">
              <w:rPr>
                <w:lang w:val="en-AU"/>
              </w:rPr>
              <w:t xml:space="preserve"> </w:t>
            </w:r>
            <w:r>
              <w:rPr>
                <w:lang w:val="en-AU"/>
              </w:rPr>
              <w:t xml:space="preserve">Effective schools build positive ways to develop and communicate a </w:t>
            </w:r>
            <w:r w:rsidR="00B60506">
              <w:rPr>
                <w:lang w:val="en-AU"/>
              </w:rPr>
              <w:t>vision and</w:t>
            </w:r>
            <w:r>
              <w:rPr>
                <w:lang w:val="en-AU"/>
              </w:rPr>
              <w:t xml:space="preserve"> apply a strong focus on pedagogy and problem-solving. By ensuring there is shared understanding and awareness, leaders can enhance teacher efforts, </w:t>
            </w:r>
            <w:proofErr w:type="gramStart"/>
            <w:r>
              <w:rPr>
                <w:lang w:val="en-AU"/>
              </w:rPr>
              <w:t>commitment</w:t>
            </w:r>
            <w:proofErr w:type="gramEnd"/>
            <w:r>
              <w:rPr>
                <w:lang w:val="en-AU"/>
              </w:rPr>
              <w:t xml:space="preserve"> and motivation </w:t>
            </w:r>
            <w:r w:rsidRPr="0025458F">
              <w:rPr>
                <w:lang w:val="en-AU"/>
              </w:rPr>
              <w:t>(Allensworth, Wyche, Lawson and Nicholson, 1995).</w:t>
            </w:r>
          </w:p>
          <w:p w14:paraId="42A9861A" w14:textId="72A91744" w:rsidR="001B04EE" w:rsidRDefault="00D63BE6" w:rsidP="00CE2E8A">
            <w:pPr>
              <w:rPr>
                <w:lang w:val="en-AU"/>
              </w:rPr>
            </w:pPr>
            <w:r>
              <w:rPr>
                <w:lang w:val="en-AU"/>
              </w:rPr>
              <w:t xml:space="preserve">In respect to a common vision of what </w:t>
            </w:r>
            <w:r w:rsidR="006C6F2F">
              <w:rPr>
                <w:lang w:val="en-AU"/>
              </w:rPr>
              <w:t>great practice and performance looks like in schools</w:t>
            </w:r>
            <w:r>
              <w:rPr>
                <w:lang w:val="en-AU"/>
              </w:rPr>
              <w:t>, g</w:t>
            </w:r>
            <w:r w:rsidR="001B04EE">
              <w:rPr>
                <w:lang w:val="en-AU"/>
              </w:rPr>
              <w:t>oals promote cohesion and reduced fragmentation when articulated clearly (</w:t>
            </w:r>
            <w:proofErr w:type="spellStart"/>
            <w:r w:rsidR="001B04EE">
              <w:rPr>
                <w:lang w:val="en-AU"/>
              </w:rPr>
              <w:t>Hoogsteen</w:t>
            </w:r>
            <w:proofErr w:type="spellEnd"/>
            <w:r w:rsidR="001B04EE">
              <w:rPr>
                <w:lang w:val="en-AU"/>
              </w:rPr>
              <w:t xml:space="preserve">, 2020). </w:t>
            </w:r>
            <w:r w:rsidR="001B04EE" w:rsidRPr="00024BC6">
              <w:rPr>
                <w:rFonts w:cstheme="minorHAnsi"/>
                <w:iCs/>
                <w:szCs w:val="22"/>
                <w:lang w:val="en-AU"/>
              </w:rPr>
              <w:lastRenderedPageBreak/>
              <w:t>A litmus test for an effective school improvement plan lies in the number of goals and strategies included, with too many indicating a lack of focus (</w:t>
            </w:r>
            <w:proofErr w:type="spellStart"/>
            <w:r w:rsidR="001B04EE" w:rsidRPr="00024BC6">
              <w:rPr>
                <w:rFonts w:cstheme="minorHAnsi"/>
                <w:iCs/>
                <w:szCs w:val="22"/>
                <w:lang w:val="en-AU"/>
              </w:rPr>
              <w:t>Mausbach</w:t>
            </w:r>
            <w:proofErr w:type="spellEnd"/>
            <w:r w:rsidR="001B04EE" w:rsidRPr="00024BC6">
              <w:rPr>
                <w:rFonts w:cstheme="minorHAnsi"/>
                <w:iCs/>
                <w:szCs w:val="22"/>
                <w:lang w:val="en-AU"/>
              </w:rPr>
              <w:t xml:space="preserve"> &amp; Morrison 2016).</w:t>
            </w:r>
          </w:p>
          <w:p w14:paraId="304C8802" w14:textId="77777777" w:rsidR="00CE2E8A" w:rsidRPr="00D74B66" w:rsidRDefault="00CE2E8A" w:rsidP="00CE2E8A">
            <w:pPr>
              <w:rPr>
                <w:b/>
                <w:bCs/>
                <w:lang w:val="en-AU"/>
              </w:rPr>
            </w:pPr>
            <w:r w:rsidRPr="00D74B66">
              <w:rPr>
                <w:b/>
                <w:bCs/>
                <w:lang w:val="en-AU"/>
              </w:rPr>
              <w:t>High expectations</w:t>
            </w:r>
          </w:p>
          <w:p w14:paraId="7C9B50B1" w14:textId="128F723A" w:rsidR="0000434B" w:rsidRDefault="00CE2E8A" w:rsidP="00CE2E8A">
            <w:pPr>
              <w:rPr>
                <w:lang w:val="en-AU"/>
              </w:rPr>
            </w:pPr>
            <w:r w:rsidRPr="0025458F">
              <w:rPr>
                <w:lang w:val="en-AU"/>
              </w:rPr>
              <w:t xml:space="preserve">High expectations of students </w:t>
            </w:r>
            <w:proofErr w:type="gramStart"/>
            <w:r w:rsidRPr="0025458F">
              <w:rPr>
                <w:lang w:val="en-AU"/>
              </w:rPr>
              <w:t>ha</w:t>
            </w:r>
            <w:r>
              <w:rPr>
                <w:lang w:val="en-AU"/>
              </w:rPr>
              <w:t>s</w:t>
            </w:r>
            <w:proofErr w:type="gramEnd"/>
            <w:r w:rsidRPr="0025458F">
              <w:rPr>
                <w:lang w:val="en-AU"/>
              </w:rPr>
              <w:t xml:space="preserve"> been linked </w:t>
            </w:r>
            <w:r w:rsidR="00025794">
              <w:rPr>
                <w:lang w:val="en-AU"/>
              </w:rPr>
              <w:t>to</w:t>
            </w:r>
            <w:r w:rsidRPr="0025458F">
              <w:rPr>
                <w:lang w:val="en-AU"/>
              </w:rPr>
              <w:t xml:space="preserve"> greater self-esteem and confidence, which in turns improves student achievement</w:t>
            </w:r>
            <w:r>
              <w:rPr>
                <w:lang w:val="en-AU"/>
              </w:rPr>
              <w:t>.</w:t>
            </w:r>
            <w:r w:rsidRPr="0025458F">
              <w:rPr>
                <w:lang w:val="en-AU"/>
              </w:rPr>
              <w:t xml:space="preserve"> In schools with sustained improvement, staff have strong expectations of students and students have high expectations of themselves</w:t>
            </w:r>
            <w:r>
              <w:rPr>
                <w:lang w:val="en-AU"/>
              </w:rPr>
              <w:t xml:space="preserve"> </w:t>
            </w:r>
            <w:r w:rsidRPr="0025458F">
              <w:rPr>
                <w:lang w:val="en-AU"/>
              </w:rPr>
              <w:t xml:space="preserve">(Brophy, 2013). </w:t>
            </w:r>
            <w:r w:rsidR="00A907A8" w:rsidRPr="00DA79A7">
              <w:rPr>
                <w:lang w:val="en-AU"/>
              </w:rPr>
              <w:t xml:space="preserve">There is a very strong relationship between staff perceptions of </w:t>
            </w:r>
            <w:r w:rsidR="00A907A8" w:rsidRPr="00A907A8">
              <w:rPr>
                <w:lang w:val="en-AU"/>
              </w:rPr>
              <w:t>‘academic emphasis’</w:t>
            </w:r>
            <w:r w:rsidR="00A907A8" w:rsidRPr="00DA79A7">
              <w:rPr>
                <w:lang w:val="en-AU"/>
              </w:rPr>
              <w:t xml:space="preserve"> to NAPLAN performance in Victorian government schools (Deloitte Access Economics, 2019).</w:t>
            </w:r>
          </w:p>
          <w:p w14:paraId="1CE78879" w14:textId="7A3E218E" w:rsidR="00CE2E8A" w:rsidRDefault="00CE2E8A" w:rsidP="00CE2E8A">
            <w:pPr>
              <w:rPr>
                <w:lang w:val="en-AU"/>
              </w:rPr>
            </w:pPr>
            <w:r w:rsidRPr="0025458F">
              <w:rPr>
                <w:lang w:val="en-AU"/>
              </w:rPr>
              <w:t xml:space="preserve">The communication of expected standards across all levels of </w:t>
            </w:r>
            <w:r w:rsidR="0060191D">
              <w:rPr>
                <w:lang w:val="en-AU"/>
              </w:rPr>
              <w:t>a</w:t>
            </w:r>
            <w:r w:rsidRPr="0025458F">
              <w:rPr>
                <w:lang w:val="en-AU"/>
              </w:rPr>
              <w:t xml:space="preserve"> school community (teachers, students, parents/carers, </w:t>
            </w:r>
            <w:proofErr w:type="gramStart"/>
            <w:r w:rsidRPr="0025458F">
              <w:rPr>
                <w:lang w:val="en-AU"/>
              </w:rPr>
              <w:t>administrators</w:t>
            </w:r>
            <w:proofErr w:type="gramEnd"/>
            <w:r w:rsidRPr="0025458F">
              <w:rPr>
                <w:lang w:val="en-AU"/>
              </w:rPr>
              <w:t xml:space="preserve"> and other stakeholders)</w:t>
            </w:r>
            <w:r w:rsidR="0060191D">
              <w:rPr>
                <w:lang w:val="en-AU"/>
              </w:rPr>
              <w:t>,</w:t>
            </w:r>
            <w:r w:rsidRPr="0025458F">
              <w:rPr>
                <w:lang w:val="en-AU"/>
              </w:rPr>
              <w:t xml:space="preserve"> and accountability for these standards</w:t>
            </w:r>
            <w:r w:rsidR="0060191D">
              <w:rPr>
                <w:lang w:val="en-AU"/>
              </w:rPr>
              <w:t>,</w:t>
            </w:r>
            <w:r w:rsidRPr="0025458F">
              <w:rPr>
                <w:lang w:val="en-AU"/>
              </w:rPr>
              <w:t xml:space="preserve"> is critical in building a culture of high expectations.</w:t>
            </w:r>
            <w:r>
              <w:rPr>
                <w:lang w:val="en-AU"/>
              </w:rPr>
              <w:t xml:space="preserve"> </w:t>
            </w:r>
            <w:r w:rsidR="00333532">
              <w:rPr>
                <w:lang w:val="en-AU"/>
              </w:rPr>
              <w:t>This is in addition to</w:t>
            </w:r>
            <w:r>
              <w:rPr>
                <w:lang w:val="en-AU"/>
              </w:rPr>
              <w:t xml:space="preserve"> s</w:t>
            </w:r>
            <w:r w:rsidRPr="0025458F">
              <w:rPr>
                <w:lang w:val="en-AU"/>
              </w:rPr>
              <w:t xml:space="preserve">trong communication of </w:t>
            </w:r>
            <w:r w:rsidR="00333532">
              <w:rPr>
                <w:lang w:val="en-AU"/>
              </w:rPr>
              <w:t xml:space="preserve">broader </w:t>
            </w:r>
            <w:r w:rsidRPr="0025458F">
              <w:rPr>
                <w:lang w:val="en-AU"/>
              </w:rPr>
              <w:t xml:space="preserve">values and expectations for students across all levels of </w:t>
            </w:r>
            <w:r w:rsidR="00333532">
              <w:rPr>
                <w:lang w:val="en-AU"/>
              </w:rPr>
              <w:t>a</w:t>
            </w:r>
            <w:r w:rsidRPr="0025458F">
              <w:rPr>
                <w:lang w:val="en-AU"/>
              </w:rPr>
              <w:t xml:space="preserve"> school community (Bradford &amp; Clarke, 2015; Sheridan, et al., 2019; Wang et al., 2016).</w:t>
            </w:r>
          </w:p>
          <w:p w14:paraId="2AF5532B" w14:textId="7B12228E" w:rsidR="0000434B" w:rsidRPr="0000434B" w:rsidRDefault="0000434B" w:rsidP="00CE2E8A">
            <w:pPr>
              <w:rPr>
                <w:color w:val="D50032" w:themeColor="accent3"/>
                <w:lang w:val="en-AU"/>
              </w:rPr>
            </w:pPr>
            <w:r>
              <w:rPr>
                <w:lang w:val="en-AU"/>
              </w:rPr>
              <w:t xml:space="preserve">In general, students tend to </w:t>
            </w:r>
            <w:r w:rsidRPr="0000434B">
              <w:rPr>
                <w:color w:val="auto"/>
                <w:lang w:val="en-AU"/>
              </w:rPr>
              <w:t>fulfil their teachers’ expectations. Those who have teachers that expect them to do well achieve better and vice versa (</w:t>
            </w:r>
            <w:proofErr w:type="spellStart"/>
            <w:r w:rsidRPr="0000434B">
              <w:rPr>
                <w:color w:val="auto"/>
                <w:lang w:val="en-AU"/>
              </w:rPr>
              <w:t>Muijs</w:t>
            </w:r>
            <w:proofErr w:type="spellEnd"/>
            <w:r w:rsidRPr="0000434B">
              <w:rPr>
                <w:color w:val="auto"/>
                <w:lang w:val="en-AU"/>
              </w:rPr>
              <w:t xml:space="preserve"> et al., 2014; OECD, 2013; Robinson et al., 2017; Wang et al., 2016). The establishment of high </w:t>
            </w:r>
            <w:r w:rsidR="003E2CE0">
              <w:rPr>
                <w:color w:val="auto"/>
                <w:lang w:val="en-AU"/>
              </w:rPr>
              <w:t>expectations</w:t>
            </w:r>
            <w:r w:rsidRPr="0000434B">
              <w:rPr>
                <w:color w:val="auto"/>
                <w:lang w:val="en-AU"/>
              </w:rPr>
              <w:t xml:space="preserve"> is about motivating students through ‘relevance and personalization’ rather than making work more difficult (Cummins, 2006). A growth mindset, of students, recognises that good pedagogy can build on a students’ strengths to enhance their academic engagement and success (Dweck, 2006).</w:t>
            </w:r>
          </w:p>
          <w:p w14:paraId="796B4CCA" w14:textId="77777777" w:rsidR="00CE2E8A" w:rsidRPr="00AA1E10" w:rsidRDefault="00CE2E8A" w:rsidP="00CE2E8A">
            <w:pPr>
              <w:rPr>
                <w:b/>
                <w:bCs/>
                <w:lang w:val="en-AU"/>
              </w:rPr>
            </w:pPr>
            <w:r w:rsidRPr="00AA1E10">
              <w:rPr>
                <w:b/>
                <w:bCs/>
                <w:lang w:val="en-AU"/>
              </w:rPr>
              <w:t xml:space="preserve">A positive, </w:t>
            </w:r>
            <w:proofErr w:type="gramStart"/>
            <w:r w:rsidRPr="00AA1E10">
              <w:rPr>
                <w:b/>
                <w:bCs/>
                <w:lang w:val="en-AU"/>
              </w:rPr>
              <w:t>safe</w:t>
            </w:r>
            <w:proofErr w:type="gramEnd"/>
            <w:r w:rsidRPr="00AA1E10">
              <w:rPr>
                <w:b/>
                <w:bCs/>
                <w:lang w:val="en-AU"/>
              </w:rPr>
              <w:t xml:space="preserve"> and orderly learning environment</w:t>
            </w:r>
          </w:p>
          <w:p w14:paraId="2E4276FB" w14:textId="218912A0" w:rsidR="003E2CE0" w:rsidRDefault="00781AF0" w:rsidP="00C80013">
            <w:r w:rsidRPr="0025458F">
              <w:rPr>
                <w:lang w:val="en-AU"/>
              </w:rPr>
              <w:t>School policies and practice</w:t>
            </w:r>
            <w:r>
              <w:rPr>
                <w:lang w:val="en-AU"/>
              </w:rPr>
              <w:t>s</w:t>
            </w:r>
            <w:r w:rsidRPr="0025458F">
              <w:rPr>
                <w:lang w:val="en-AU"/>
              </w:rPr>
              <w:t xml:space="preserve">, which promote safety and encourage connectedness, </w:t>
            </w:r>
            <w:r>
              <w:rPr>
                <w:lang w:val="en-AU"/>
              </w:rPr>
              <w:t>are</w:t>
            </w:r>
            <w:r w:rsidRPr="0025458F">
              <w:rPr>
                <w:lang w:val="en-AU"/>
              </w:rPr>
              <w:t xml:space="preserve"> important for generating a positive school climate</w:t>
            </w:r>
            <w:r>
              <w:rPr>
                <w:lang w:val="en-AU"/>
              </w:rPr>
              <w:t>, especially because f</w:t>
            </w:r>
            <w:r w:rsidRPr="0025458F">
              <w:rPr>
                <w:lang w:val="en-AU"/>
              </w:rPr>
              <w:t xml:space="preserve">eeling safe </w:t>
            </w:r>
            <w:r>
              <w:rPr>
                <w:lang w:val="en-AU"/>
              </w:rPr>
              <w:t xml:space="preserve">is linked to higher academic achievement (ASCD, 2012). </w:t>
            </w:r>
            <w:r w:rsidR="00C80013">
              <w:t xml:space="preserve">Department data analysis shows </w:t>
            </w:r>
            <w:r w:rsidR="0000434B">
              <w:t xml:space="preserve">there is </w:t>
            </w:r>
            <w:r w:rsidR="00C80013" w:rsidRPr="008C0020">
              <w:t>significant positive correlation</w:t>
            </w:r>
            <w:r w:rsidR="00C80013">
              <w:t xml:space="preserve"> of </w:t>
            </w:r>
            <w:r w:rsidR="00526B55">
              <w:t xml:space="preserve">the </w:t>
            </w:r>
            <w:r w:rsidR="00C80013" w:rsidRPr="003E2CE0">
              <w:t>‘managing bullying’</w:t>
            </w:r>
            <w:r w:rsidR="00526B55">
              <w:t xml:space="preserve"> factor</w:t>
            </w:r>
            <w:r w:rsidR="00C80013">
              <w:t xml:space="preserve"> in </w:t>
            </w:r>
            <w:proofErr w:type="spellStart"/>
            <w:r w:rsidR="00C80013">
              <w:t>AtoSS</w:t>
            </w:r>
            <w:proofErr w:type="spellEnd"/>
            <w:r w:rsidR="00C80013" w:rsidRPr="008C0020">
              <w:t xml:space="preserve"> to NAPLAN</w:t>
            </w:r>
            <w:r w:rsidR="003E2CE0">
              <w:t xml:space="preserve"> performance</w:t>
            </w:r>
            <w:r w:rsidR="00C80013" w:rsidRPr="008C0020">
              <w:t xml:space="preserve">. </w:t>
            </w:r>
          </w:p>
          <w:p w14:paraId="13646A4F" w14:textId="1AEDC244" w:rsidR="009F0585" w:rsidRPr="003E2CE0" w:rsidRDefault="00C80013" w:rsidP="00C80013">
            <w:pPr>
              <w:rPr>
                <w:lang w:val="en-AU"/>
              </w:rPr>
            </w:pPr>
            <w:r>
              <w:t>Research</w:t>
            </w:r>
            <w:r w:rsidR="003E2CE0">
              <w:t xml:space="preserve"> evidence</w:t>
            </w:r>
            <w:r>
              <w:t xml:space="preserve"> indicates</w:t>
            </w:r>
            <w:r w:rsidR="009F0585">
              <w:t>:</w:t>
            </w:r>
          </w:p>
          <w:p w14:paraId="4AF66B91" w14:textId="36D09049" w:rsidR="00C80013" w:rsidRDefault="00834D40" w:rsidP="009F0585">
            <w:pPr>
              <w:pStyle w:val="Bullet1"/>
            </w:pPr>
            <w:r>
              <w:t>p</w:t>
            </w:r>
            <w:r w:rsidR="00C80013">
              <w:t xml:space="preserve">eer victimisation or bullying </w:t>
            </w:r>
            <w:r w:rsidR="007272BD">
              <w:t>contributes to</w:t>
            </w:r>
            <w:r w:rsidR="00C80013">
              <w:t xml:space="preserve"> poor wellbeing, greater emotional difficulties, loneliness, low </w:t>
            </w:r>
            <w:proofErr w:type="gramStart"/>
            <w:r w:rsidR="00C80013">
              <w:t>self-esteem</w:t>
            </w:r>
            <w:proofErr w:type="gramEnd"/>
            <w:r w:rsidR="00C80013">
              <w:t xml:space="preserve"> and lower academic competence </w:t>
            </w:r>
            <w:r w:rsidR="00C80013" w:rsidRPr="00D46004">
              <w:t>(Lester &amp; Cross, 2014; Lester, Cross &amp; Shaw, 2012; Campbell et al., 2012; Noble, et al, 2008).</w:t>
            </w:r>
          </w:p>
          <w:p w14:paraId="00056F76" w14:textId="2F62299E" w:rsidR="009F0585" w:rsidRDefault="009B1989" w:rsidP="009F0585">
            <w:pPr>
              <w:pStyle w:val="Bullet1"/>
            </w:pPr>
            <w:r>
              <w:t>e</w:t>
            </w:r>
            <w:r w:rsidR="009F0585" w:rsidRPr="0025458F">
              <w:t xml:space="preserve">xposure to bullying has been linked to a variety of risk factors including poorer academic performance, fear-based </w:t>
            </w:r>
            <w:proofErr w:type="gramStart"/>
            <w:r w:rsidR="009F0585" w:rsidRPr="0025458F">
              <w:t>absenteeism</w:t>
            </w:r>
            <w:proofErr w:type="gramEnd"/>
            <w:r w:rsidR="009F0585" w:rsidRPr="0025458F">
              <w:t xml:space="preserve"> and poorer mental and general health (Arseneault, 2017; </w:t>
            </w:r>
            <w:proofErr w:type="spellStart"/>
            <w:r w:rsidR="009F0585" w:rsidRPr="0025458F">
              <w:t>Glew</w:t>
            </w:r>
            <w:proofErr w:type="spellEnd"/>
            <w:r w:rsidR="009F0585" w:rsidRPr="0025458F">
              <w:t xml:space="preserve"> et al., 2005; Strom et al., 2013).</w:t>
            </w:r>
          </w:p>
          <w:p w14:paraId="5EC69931" w14:textId="40790F35" w:rsidR="009B1989" w:rsidRDefault="009B1989" w:rsidP="009B1989">
            <w:pPr>
              <w:pStyle w:val="Bullet1"/>
            </w:pPr>
            <w:r w:rsidRPr="0069795F">
              <w:t>classroom rules and management, parent</w:t>
            </w:r>
            <w:r w:rsidR="007C4FC5">
              <w:t>/carer</w:t>
            </w:r>
            <w:r w:rsidRPr="0069795F">
              <w:t xml:space="preserve"> training and home-school communication and increased playground supervision </w:t>
            </w:r>
            <w:r>
              <w:t xml:space="preserve">have been linked to reductions in bullying </w:t>
            </w:r>
            <w:r w:rsidRPr="0069795F">
              <w:t>(</w:t>
            </w:r>
            <w:proofErr w:type="spellStart"/>
            <w:r w:rsidRPr="0069795F">
              <w:t>Ttofi</w:t>
            </w:r>
            <w:proofErr w:type="spellEnd"/>
            <w:r w:rsidRPr="0069795F">
              <w:t xml:space="preserve"> et al., 2011).</w:t>
            </w:r>
          </w:p>
          <w:p w14:paraId="480705C4" w14:textId="77777777" w:rsidR="00361384" w:rsidRDefault="009B1989" w:rsidP="009F0585">
            <w:pPr>
              <w:pStyle w:val="Bullet1"/>
            </w:pPr>
            <w:r>
              <w:t>a</w:t>
            </w:r>
            <w:r w:rsidRPr="0025458F">
              <w:t xml:space="preserve"> </w:t>
            </w:r>
            <w:r w:rsidRPr="0069795F">
              <w:t>whole-school approach to violence prevention that develops and sustains a culture of respect and healthy relationships significantly improves school safety (</w:t>
            </w:r>
            <w:proofErr w:type="spellStart"/>
            <w:r w:rsidRPr="0069795F">
              <w:t>Ttofi</w:t>
            </w:r>
            <w:proofErr w:type="spellEnd"/>
            <w:r w:rsidRPr="0069795F">
              <w:t xml:space="preserve"> et al., 2011).</w:t>
            </w:r>
          </w:p>
          <w:p w14:paraId="60DF10D7" w14:textId="7F7F0C47" w:rsidR="009F0585" w:rsidRPr="00361384" w:rsidRDefault="00361384" w:rsidP="009F0585">
            <w:pPr>
              <w:pStyle w:val="Bullet1"/>
            </w:pPr>
            <w:r w:rsidRPr="00361384">
              <w:t>m</w:t>
            </w:r>
            <w:r w:rsidR="009F0585" w:rsidRPr="00361384">
              <w:t>eta-analyses of the effectiveness of school based anti-bullying programs have found that such programs produce modest positive outcomes (</w:t>
            </w:r>
            <w:proofErr w:type="spellStart"/>
            <w:r w:rsidR="009F0585" w:rsidRPr="00361384">
              <w:t>Barbero</w:t>
            </w:r>
            <w:proofErr w:type="spellEnd"/>
            <w:r w:rsidR="009F0585" w:rsidRPr="00361384">
              <w:t>, et al., 2016), with more effective interventions including training in emotional control, peer counselling, and the establishment of school policies on bullying (Lee, et al., 2015).</w:t>
            </w:r>
          </w:p>
          <w:p w14:paraId="43450F65" w14:textId="0967C890" w:rsidR="004E7BBA" w:rsidRDefault="00A87F9B" w:rsidP="00C80013">
            <w:r>
              <w:t xml:space="preserve">Student perceptions of </w:t>
            </w:r>
            <w:r w:rsidRPr="00AB0A2C">
              <w:t>‘e</w:t>
            </w:r>
            <w:r w:rsidR="00D908E4" w:rsidRPr="00AB0A2C">
              <w:t>ffective classroom behaviour</w:t>
            </w:r>
            <w:r w:rsidRPr="00AB0A2C">
              <w:t>’</w:t>
            </w:r>
            <w:r w:rsidR="00D908E4">
              <w:t xml:space="preserve"> </w:t>
            </w:r>
            <w:r>
              <w:t xml:space="preserve">in Victorian government schools </w:t>
            </w:r>
            <w:r w:rsidR="00D908E4">
              <w:t>is also</w:t>
            </w:r>
            <w:r w:rsidR="009D7E6D">
              <w:t xml:space="preserve"> correlated </w:t>
            </w:r>
            <w:r w:rsidR="00AB0A2C">
              <w:t xml:space="preserve">specifically </w:t>
            </w:r>
            <w:r w:rsidR="009D7E6D">
              <w:t xml:space="preserve">with Year 9 NAPLAN </w:t>
            </w:r>
            <w:r w:rsidR="003E2CE0">
              <w:t>performance</w:t>
            </w:r>
            <w:r w:rsidR="009D7E6D">
              <w:t>. The time taken to correct one student’s behaviour has been found to negatively impact the allocated instructional time of the teacher and the academic engagement of other students, who are distracted by the interruption (McEvoy &amp; Welker, 2000).</w:t>
            </w:r>
          </w:p>
          <w:p w14:paraId="2245C2F7" w14:textId="77777777" w:rsidR="00CE1F2B" w:rsidRDefault="00CE2E8A" w:rsidP="00CE2E8A">
            <w:pPr>
              <w:rPr>
                <w:lang w:val="en-AU"/>
              </w:rPr>
            </w:pPr>
            <w:r>
              <w:rPr>
                <w:lang w:val="en-AU"/>
              </w:rPr>
              <w:lastRenderedPageBreak/>
              <w:t xml:space="preserve">Explicit behavioural expectations, framed in a positive manner, </w:t>
            </w:r>
            <w:r w:rsidR="00813E0B">
              <w:rPr>
                <w:lang w:val="en-AU"/>
              </w:rPr>
              <w:t>can</w:t>
            </w:r>
            <w:r w:rsidR="002B1C10">
              <w:rPr>
                <w:lang w:val="en-AU"/>
              </w:rPr>
              <w:t xml:space="preserve"> </w:t>
            </w:r>
            <w:r>
              <w:rPr>
                <w:lang w:val="en-AU"/>
              </w:rPr>
              <w:t>reinforce positive behaviours that need to be exhibited to establish successful learning environments (</w:t>
            </w:r>
            <w:proofErr w:type="spellStart"/>
            <w:r>
              <w:rPr>
                <w:lang w:val="en-AU"/>
              </w:rPr>
              <w:t>Poed</w:t>
            </w:r>
            <w:proofErr w:type="spellEnd"/>
            <w:r>
              <w:rPr>
                <w:lang w:val="en-AU"/>
              </w:rPr>
              <w:t xml:space="preserve">, Cowan and </w:t>
            </w:r>
            <w:proofErr w:type="spellStart"/>
            <w:r>
              <w:rPr>
                <w:lang w:val="en-AU"/>
              </w:rPr>
              <w:t>Sain</w:t>
            </w:r>
            <w:proofErr w:type="spellEnd"/>
            <w:r>
              <w:rPr>
                <w:lang w:val="en-AU"/>
              </w:rPr>
              <w:t xml:space="preserve"> 2020).</w:t>
            </w:r>
            <w:r w:rsidR="002B1C10">
              <w:rPr>
                <w:lang w:val="en-AU"/>
              </w:rPr>
              <w:t xml:space="preserve"> Predictability of school environments enable all students to feel safe. This includes clarity of school structures and routines, and consistent, </w:t>
            </w:r>
            <w:proofErr w:type="gramStart"/>
            <w:r w:rsidR="002B1C10">
              <w:rPr>
                <w:lang w:val="en-AU"/>
              </w:rPr>
              <w:t>reliable</w:t>
            </w:r>
            <w:proofErr w:type="gramEnd"/>
            <w:r w:rsidR="002B1C10">
              <w:rPr>
                <w:lang w:val="en-AU"/>
              </w:rPr>
              <w:t xml:space="preserve"> and equitable responses to student behaviour (</w:t>
            </w:r>
            <w:proofErr w:type="spellStart"/>
            <w:r w:rsidR="002B1C10">
              <w:rPr>
                <w:lang w:val="en-AU"/>
              </w:rPr>
              <w:t>Kotiw</w:t>
            </w:r>
            <w:proofErr w:type="spellEnd"/>
            <w:r w:rsidR="002B1C10">
              <w:rPr>
                <w:lang w:val="en-AU"/>
              </w:rPr>
              <w:t>, 2010).</w:t>
            </w:r>
            <w:r w:rsidR="00813E0B">
              <w:rPr>
                <w:lang w:val="en-AU"/>
              </w:rPr>
              <w:t xml:space="preserve"> </w:t>
            </w:r>
          </w:p>
          <w:p w14:paraId="2CCC8DAC" w14:textId="740D4653" w:rsidR="00CE2E8A" w:rsidRPr="00AE013F" w:rsidRDefault="006F0230" w:rsidP="00CE2E8A">
            <w:pPr>
              <w:rPr>
                <w:lang w:val="en-AU"/>
              </w:rPr>
            </w:pPr>
            <w:r>
              <w:rPr>
                <w:lang w:val="en-AU"/>
              </w:rPr>
              <w:t>In relation to the physical safety, s</w:t>
            </w:r>
            <w:r w:rsidR="00813E0B" w:rsidRPr="0025458F">
              <w:rPr>
                <w:lang w:val="en-AU"/>
              </w:rPr>
              <w:t xml:space="preserve">chool conditions, including the safety, noise, ventilation, </w:t>
            </w:r>
            <w:proofErr w:type="gramStart"/>
            <w:r w:rsidR="00813E0B" w:rsidRPr="0025458F">
              <w:rPr>
                <w:lang w:val="en-AU"/>
              </w:rPr>
              <w:t>temperature</w:t>
            </w:r>
            <w:proofErr w:type="gramEnd"/>
            <w:r w:rsidR="00813E0B" w:rsidRPr="0025458F">
              <w:rPr>
                <w:lang w:val="en-AU"/>
              </w:rPr>
              <w:t xml:space="preserve"> and 'cosiness' of a school environment </w:t>
            </w:r>
            <w:r>
              <w:rPr>
                <w:lang w:val="en-AU"/>
              </w:rPr>
              <w:t>have been found to</w:t>
            </w:r>
            <w:r w:rsidR="00CE1F2B">
              <w:rPr>
                <w:lang w:val="en-AU"/>
              </w:rPr>
              <w:t xml:space="preserve"> </w:t>
            </w:r>
            <w:r w:rsidR="00813E0B" w:rsidRPr="0025458F">
              <w:rPr>
                <w:lang w:val="en-AU"/>
              </w:rPr>
              <w:t>impact student wellbeing in schools (</w:t>
            </w:r>
            <w:proofErr w:type="spellStart"/>
            <w:r w:rsidR="00813E0B" w:rsidRPr="0025458F">
              <w:rPr>
                <w:lang w:val="en-AU"/>
              </w:rPr>
              <w:t>Konu</w:t>
            </w:r>
            <w:proofErr w:type="spellEnd"/>
            <w:r w:rsidR="00813E0B" w:rsidRPr="0025458F">
              <w:rPr>
                <w:lang w:val="en-AU"/>
              </w:rPr>
              <w:t xml:space="preserve"> and </w:t>
            </w:r>
            <w:proofErr w:type="spellStart"/>
            <w:r w:rsidR="00813E0B" w:rsidRPr="0025458F">
              <w:rPr>
                <w:lang w:val="en-AU"/>
              </w:rPr>
              <w:t>Rimpela</w:t>
            </w:r>
            <w:proofErr w:type="spellEnd"/>
            <w:r w:rsidR="00813E0B" w:rsidRPr="0025458F">
              <w:rPr>
                <w:lang w:val="en-AU"/>
              </w:rPr>
              <w:t xml:space="preserve">, 2002; Aldridge and McChesney, 2018). </w:t>
            </w:r>
          </w:p>
        </w:tc>
      </w:tr>
      <w:tr w:rsidR="00514D1F" w14:paraId="13237273" w14:textId="77777777" w:rsidTr="0098663F">
        <w:tc>
          <w:tcPr>
            <w:cnfStyle w:val="001000000000" w:firstRow="0" w:lastRow="0" w:firstColumn="1" w:lastColumn="0" w:oddVBand="0" w:evenVBand="0" w:oddHBand="0" w:evenHBand="0" w:firstRowFirstColumn="0" w:firstRowLastColumn="0" w:lastRowFirstColumn="0" w:lastRowLastColumn="0"/>
            <w:tcW w:w="9622" w:type="dxa"/>
            <w:shd w:val="clear" w:color="auto" w:fill="004C97" w:themeFill="accent5"/>
          </w:tcPr>
          <w:p w14:paraId="794625C2" w14:textId="48188DF4" w:rsidR="00514D1F" w:rsidRPr="007C594F" w:rsidRDefault="00095B2A" w:rsidP="00514D1F">
            <w:pPr>
              <w:pStyle w:val="Heading4"/>
              <w:outlineLvl w:val="3"/>
              <w:rPr>
                <w:i w:val="0"/>
                <w:iCs w:val="0"/>
                <w:color w:val="FFFFFF" w:themeColor="background1"/>
                <w:lang w:val="en-AU"/>
              </w:rPr>
            </w:pPr>
            <w:r w:rsidRPr="007C594F">
              <w:rPr>
                <w:i w:val="0"/>
                <w:iCs w:val="0"/>
                <w:color w:val="FFFFFF" w:themeColor="background1"/>
                <w:lang w:val="en-US"/>
              </w:rPr>
              <w:lastRenderedPageBreak/>
              <w:t>Shared development of a culture of respect and collaboration with positive and supportive relationships between students and staff at the core</w:t>
            </w:r>
          </w:p>
        </w:tc>
      </w:tr>
      <w:tr w:rsidR="001A69A2" w14:paraId="1CDF1941"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1F78D0D8" w14:textId="7E6004FE" w:rsidR="001A69A2" w:rsidRPr="002B6764" w:rsidRDefault="001A69A2" w:rsidP="009E4B84">
            <w:pPr>
              <w:rPr>
                <w:b/>
                <w:bCs/>
                <w:lang w:val="en-AU"/>
              </w:rPr>
            </w:pPr>
            <w:r w:rsidRPr="002B6764">
              <w:rPr>
                <w:b/>
                <w:bCs/>
                <w:lang w:val="en-AU"/>
              </w:rPr>
              <w:t>Culture of respect and collaboration</w:t>
            </w:r>
          </w:p>
          <w:p w14:paraId="44AC70FF" w14:textId="0A65F7DF" w:rsidR="00F90344" w:rsidRDefault="00F90344" w:rsidP="009E4B84">
            <w:pPr>
              <w:rPr>
                <w:lang w:val="en-AU"/>
              </w:rPr>
            </w:pPr>
            <w:r w:rsidRPr="008934E8">
              <w:rPr>
                <w:lang w:val="en-AU"/>
              </w:rPr>
              <w:t xml:space="preserve">Department data analysis shows that </w:t>
            </w:r>
            <w:r w:rsidRPr="009403C0">
              <w:rPr>
                <w:lang w:val="en-AU"/>
              </w:rPr>
              <w:t>‘collective efficacy’</w:t>
            </w:r>
            <w:r w:rsidRPr="008934E8">
              <w:rPr>
                <w:b/>
                <w:bCs/>
                <w:lang w:val="en-AU"/>
              </w:rPr>
              <w:t xml:space="preserve"> </w:t>
            </w:r>
            <w:r w:rsidRPr="008934E8">
              <w:rPr>
                <w:lang w:val="en-AU"/>
              </w:rPr>
              <w:t xml:space="preserve">is significantly correlated with NAPLAN performance (DET, 2021; Deloitte Access Economics, 2019). </w:t>
            </w:r>
            <w:r w:rsidR="003470FC">
              <w:rPr>
                <w:lang w:val="en-AU"/>
              </w:rPr>
              <w:t>This measure</w:t>
            </w:r>
            <w:r w:rsidRPr="008934E8">
              <w:rPr>
                <w:lang w:val="en-AU"/>
              </w:rPr>
              <w:t xml:space="preserve"> </w:t>
            </w:r>
            <w:r w:rsidR="003470FC">
              <w:rPr>
                <w:lang w:val="en-AU"/>
              </w:rPr>
              <w:t>captures</w:t>
            </w:r>
            <w:r w:rsidRPr="008934E8">
              <w:rPr>
                <w:lang w:val="en-AU"/>
              </w:rPr>
              <w:t xml:space="preserve"> whether staff</w:t>
            </w:r>
            <w:r w:rsidR="002162D4">
              <w:rPr>
                <w:lang w:val="en-AU"/>
              </w:rPr>
              <w:t xml:space="preserve"> perceive they, and their colleagues,</w:t>
            </w:r>
            <w:r w:rsidRPr="008934E8">
              <w:rPr>
                <w:lang w:val="en-AU"/>
              </w:rPr>
              <w:t xml:space="preserve"> have the necessary skills, </w:t>
            </w:r>
            <w:proofErr w:type="gramStart"/>
            <w:r w:rsidRPr="008934E8">
              <w:rPr>
                <w:lang w:val="en-AU"/>
              </w:rPr>
              <w:t>expertise</w:t>
            </w:r>
            <w:proofErr w:type="gramEnd"/>
            <w:r w:rsidRPr="008934E8">
              <w:rPr>
                <w:lang w:val="en-AU"/>
              </w:rPr>
              <w:t xml:space="preserve"> and resources to successfully educate students.</w:t>
            </w:r>
            <w:r w:rsidR="00D70DA4">
              <w:rPr>
                <w:lang w:val="en-AU"/>
              </w:rPr>
              <w:t xml:space="preserve"> It also </w:t>
            </w:r>
            <w:r w:rsidR="003470FC">
              <w:rPr>
                <w:lang w:val="en-AU"/>
              </w:rPr>
              <w:t>measures</w:t>
            </w:r>
            <w:r w:rsidR="00D70DA4">
              <w:rPr>
                <w:lang w:val="en-AU"/>
              </w:rPr>
              <w:t xml:space="preserve"> their perception on whether students are able to engage effectively in their learning.</w:t>
            </w:r>
          </w:p>
          <w:p w14:paraId="6F8067B5" w14:textId="437877C7" w:rsidR="00051A78" w:rsidRPr="00051A78" w:rsidRDefault="00051A78" w:rsidP="00051A78">
            <w:pPr>
              <w:rPr>
                <w:lang w:val="en-AU"/>
              </w:rPr>
            </w:pPr>
            <w:r w:rsidRPr="00051A78">
              <w:rPr>
                <w:lang w:val="en-AU"/>
              </w:rPr>
              <w:t xml:space="preserve">Schools with high endorsement of </w:t>
            </w:r>
            <w:r w:rsidRPr="009403C0">
              <w:rPr>
                <w:lang w:val="en-AU"/>
              </w:rPr>
              <w:t>‘trust in colleagues’</w:t>
            </w:r>
            <w:r w:rsidRPr="00051A78">
              <w:rPr>
                <w:lang w:val="en-AU"/>
              </w:rPr>
              <w:t xml:space="preserve"> </w:t>
            </w:r>
            <w:r w:rsidR="00733209">
              <w:rPr>
                <w:lang w:val="en-AU"/>
              </w:rPr>
              <w:t>also has</w:t>
            </w:r>
            <w:r w:rsidRPr="00051A78">
              <w:rPr>
                <w:lang w:val="en-AU"/>
              </w:rPr>
              <w:t xml:space="preserve"> a positive relationship to NAPLAN performance (Deloitte Access Economics, 2019)</w:t>
            </w:r>
            <w:r w:rsidR="00FE3601">
              <w:rPr>
                <w:lang w:val="en-AU"/>
              </w:rPr>
              <w:t>. This</w:t>
            </w:r>
            <w:r w:rsidR="00733209">
              <w:rPr>
                <w:lang w:val="en-AU"/>
              </w:rPr>
              <w:t xml:space="preserve"> indic</w:t>
            </w:r>
            <w:r w:rsidR="00FE3601">
              <w:rPr>
                <w:lang w:val="en-AU"/>
              </w:rPr>
              <w:t xml:space="preserve">ates </w:t>
            </w:r>
            <w:r w:rsidR="00733209">
              <w:rPr>
                <w:lang w:val="en-AU"/>
              </w:rPr>
              <w:t>the extent to which staff trust</w:t>
            </w:r>
            <w:r w:rsidR="0051769D">
              <w:rPr>
                <w:lang w:val="en-AU"/>
              </w:rPr>
              <w:t>, understand and lookout for each other and believe their colleagues are honest and do well in their jobs, impacts student achievement.</w:t>
            </w:r>
          </w:p>
          <w:p w14:paraId="5155FE88" w14:textId="1BF8FC82" w:rsidR="001A69A2" w:rsidRDefault="001A69A2" w:rsidP="009E4B84">
            <w:pPr>
              <w:rPr>
                <w:lang w:val="en-AU"/>
              </w:rPr>
            </w:pPr>
            <w:r w:rsidRPr="009E4B84">
              <w:rPr>
                <w:lang w:val="en-AU"/>
              </w:rPr>
              <w:t xml:space="preserve">To generate a culture of authentic respect in schools, teachers and students need to have internal capacity to respect themselves and others. Such capacity can be nurtured through supporting the fundamental social and emotional needs of </w:t>
            </w:r>
            <w:r w:rsidR="003567BB" w:rsidRPr="009E4B84">
              <w:rPr>
                <w:lang w:val="en-AU"/>
              </w:rPr>
              <w:t>students and</w:t>
            </w:r>
            <w:r w:rsidR="003567BB">
              <w:rPr>
                <w:lang w:val="en-AU"/>
              </w:rPr>
              <w:t xml:space="preserve"> </w:t>
            </w:r>
            <w:r w:rsidRPr="009E4B84">
              <w:rPr>
                <w:lang w:val="en-AU"/>
              </w:rPr>
              <w:t>helping students to generate a sense of identity and</w:t>
            </w:r>
            <w:r w:rsidR="003567BB">
              <w:rPr>
                <w:lang w:val="en-AU"/>
              </w:rPr>
              <w:t xml:space="preserve"> a</w:t>
            </w:r>
            <w:r w:rsidRPr="009E4B84">
              <w:rPr>
                <w:lang w:val="en-AU"/>
              </w:rPr>
              <w:t xml:space="preserve"> sense of self. It requires a systematic approach to supporting students social and emotional needs, and modelling this, through positive interactions between students, </w:t>
            </w:r>
            <w:proofErr w:type="gramStart"/>
            <w:r w:rsidRPr="009E4B84">
              <w:rPr>
                <w:lang w:val="en-AU"/>
              </w:rPr>
              <w:t>staff</w:t>
            </w:r>
            <w:proofErr w:type="gramEnd"/>
            <w:r w:rsidRPr="009E4B84">
              <w:rPr>
                <w:lang w:val="en-AU"/>
              </w:rPr>
              <w:t xml:space="preserve"> and parents</w:t>
            </w:r>
            <w:r w:rsidR="005D794F">
              <w:rPr>
                <w:lang w:val="en-AU"/>
              </w:rPr>
              <w:t>/carers</w:t>
            </w:r>
            <w:r w:rsidRPr="009E4B84">
              <w:rPr>
                <w:lang w:val="en-AU"/>
              </w:rPr>
              <w:t xml:space="preserve"> (Inlay, 2016</w:t>
            </w:r>
            <w:r>
              <w:rPr>
                <w:lang w:val="en-AU"/>
              </w:rPr>
              <w:t xml:space="preserve">). </w:t>
            </w:r>
          </w:p>
          <w:p w14:paraId="3F4CC952" w14:textId="7D1C8F7A" w:rsidR="001A69A2" w:rsidRDefault="001A69A2" w:rsidP="002B6764">
            <w:pPr>
              <w:rPr>
                <w:lang w:val="en-AU"/>
              </w:rPr>
            </w:pPr>
            <w:r w:rsidRPr="000B0BF4">
              <w:rPr>
                <w:lang w:val="en-AU"/>
              </w:rPr>
              <w:t xml:space="preserve">Some strategies that can be employed in a school to foster respect includes: creating a discipline system where the primary goal is focused on respecting self and others, and developing the social and emotional skills necessary </w:t>
            </w:r>
            <w:r w:rsidR="0045428B">
              <w:rPr>
                <w:lang w:val="en-AU"/>
              </w:rPr>
              <w:t xml:space="preserve">in students </w:t>
            </w:r>
            <w:r w:rsidRPr="000B0BF4">
              <w:rPr>
                <w:lang w:val="en-AU"/>
              </w:rPr>
              <w:t>to promote successful relationships; creating ways for students to connect and develop relationships across the school</w:t>
            </w:r>
            <w:r>
              <w:rPr>
                <w:lang w:val="en-AU"/>
              </w:rPr>
              <w:t xml:space="preserve">; ensuring all members of the school community actively listen when communicating; and, </w:t>
            </w:r>
            <w:r w:rsidRPr="000B0BF4">
              <w:rPr>
                <w:lang w:val="en-AU"/>
              </w:rPr>
              <w:t>ensuring students have ways to demonstrate and achieve success through their behaviour, not just their academic performance (Inlay, 2016)</w:t>
            </w:r>
            <w:r w:rsidR="00E6496F">
              <w:rPr>
                <w:lang w:val="en-AU"/>
              </w:rPr>
              <w:t>.</w:t>
            </w:r>
            <w:r>
              <w:rPr>
                <w:lang w:val="en-AU"/>
              </w:rPr>
              <w:t xml:space="preserve">  </w:t>
            </w:r>
          </w:p>
          <w:p w14:paraId="7452370C" w14:textId="77777777" w:rsidR="001A69A2" w:rsidRPr="00736EF2" w:rsidRDefault="001A69A2" w:rsidP="001A69A2">
            <w:pPr>
              <w:rPr>
                <w:b/>
                <w:bCs/>
                <w:lang w:val="en-AU"/>
              </w:rPr>
            </w:pPr>
            <w:r w:rsidRPr="00736EF2">
              <w:rPr>
                <w:b/>
                <w:bCs/>
                <w:lang w:val="en-AU"/>
              </w:rPr>
              <w:t xml:space="preserve">Positive and supportive relationships </w:t>
            </w:r>
          </w:p>
          <w:p w14:paraId="26802383" w14:textId="2075BB47" w:rsidR="001A69A2" w:rsidRPr="006D77AE" w:rsidRDefault="001A69A2" w:rsidP="001A69A2">
            <w:r>
              <w:rPr>
                <w:lang w:val="en-AU"/>
              </w:rPr>
              <w:t xml:space="preserve">Strong </w:t>
            </w:r>
            <w:r>
              <w:t>student–teacher</w:t>
            </w:r>
            <w:r>
              <w:rPr>
                <w:spacing w:val="-6"/>
              </w:rPr>
              <w:t xml:space="preserve"> </w:t>
            </w:r>
            <w:r>
              <w:t>relationships</w:t>
            </w:r>
            <w:r>
              <w:rPr>
                <w:spacing w:val="-5"/>
              </w:rPr>
              <w:t xml:space="preserve"> </w:t>
            </w:r>
            <w:r>
              <w:t>increase</w:t>
            </w:r>
            <w:r>
              <w:rPr>
                <w:spacing w:val="-6"/>
              </w:rPr>
              <w:t xml:space="preserve"> </w:t>
            </w:r>
            <w:r>
              <w:t>teachers’</w:t>
            </w:r>
            <w:r>
              <w:rPr>
                <w:spacing w:val="-6"/>
              </w:rPr>
              <w:t xml:space="preserve"> </w:t>
            </w:r>
            <w:r>
              <w:t>expectations</w:t>
            </w:r>
            <w:r>
              <w:rPr>
                <w:spacing w:val="-5"/>
              </w:rPr>
              <w:t xml:space="preserve"> </w:t>
            </w:r>
            <w:r>
              <w:t>and</w:t>
            </w:r>
            <w:r>
              <w:rPr>
                <w:spacing w:val="-6"/>
              </w:rPr>
              <w:t xml:space="preserve"> </w:t>
            </w:r>
            <w:r>
              <w:t>beliefs</w:t>
            </w:r>
            <w:r>
              <w:rPr>
                <w:spacing w:val="-6"/>
              </w:rPr>
              <w:t xml:space="preserve"> </w:t>
            </w:r>
            <w:r>
              <w:t>in</w:t>
            </w:r>
            <w:r>
              <w:rPr>
                <w:spacing w:val="-5"/>
              </w:rPr>
              <w:t xml:space="preserve"> </w:t>
            </w:r>
            <w:r>
              <w:t>student</w:t>
            </w:r>
            <w:r>
              <w:rPr>
                <w:spacing w:val="-48"/>
              </w:rPr>
              <w:t xml:space="preserve">   </w:t>
            </w:r>
            <w:r>
              <w:t>capabilities</w:t>
            </w:r>
            <w:r>
              <w:rPr>
                <w:spacing w:val="-1"/>
              </w:rPr>
              <w:t xml:space="preserve"> </w:t>
            </w:r>
            <w:r>
              <w:t xml:space="preserve">(Hattie, 2009). </w:t>
            </w:r>
            <w:r w:rsidRPr="00E05CBE">
              <w:t>Acknowledging that all students can succeed, and recognising student achievement</w:t>
            </w:r>
            <w:r w:rsidR="000838A6">
              <w:t>,</w:t>
            </w:r>
            <w:r>
              <w:t xml:space="preserve"> builds school pride and drives</w:t>
            </w:r>
            <w:r w:rsidRPr="00E05CBE">
              <w:t xml:space="preserve"> sustained school improvement</w:t>
            </w:r>
            <w:r>
              <w:t xml:space="preserve"> (</w:t>
            </w:r>
            <w:proofErr w:type="spellStart"/>
            <w:r>
              <w:t>Bonell</w:t>
            </w:r>
            <w:proofErr w:type="spellEnd"/>
            <w:r>
              <w:t xml:space="preserve"> et</w:t>
            </w:r>
            <w:r>
              <w:rPr>
                <w:spacing w:val="-1"/>
              </w:rPr>
              <w:t xml:space="preserve"> </w:t>
            </w:r>
            <w:r>
              <w:t>al., 2013).</w:t>
            </w:r>
            <w:r w:rsidR="006D77AE">
              <w:t xml:space="preserve"> </w:t>
            </w:r>
            <w:r>
              <w:t>Effective schools recognise student achievements in a wide variety of areas and for students of all abilities</w:t>
            </w:r>
            <w:r w:rsidR="00E22F70">
              <w:t>. They</w:t>
            </w:r>
            <w:r>
              <w:t xml:space="preserve"> have leaders who </w:t>
            </w:r>
            <w:proofErr w:type="gramStart"/>
            <w:r>
              <w:t>make an effort</w:t>
            </w:r>
            <w:proofErr w:type="gramEnd"/>
            <w:r>
              <w:t xml:space="preserve"> to get to know their students and build a thorough understanding of </w:t>
            </w:r>
            <w:r w:rsidRPr="00E10552">
              <w:t xml:space="preserve">all activities </w:t>
            </w:r>
            <w:r>
              <w:t>taking</w:t>
            </w:r>
            <w:r w:rsidRPr="00E10552">
              <w:t xml:space="preserve"> place in the school</w:t>
            </w:r>
            <w:r>
              <w:t xml:space="preserve"> </w:t>
            </w:r>
            <w:r w:rsidRPr="00E05CBE">
              <w:t>(</w:t>
            </w:r>
            <w:r w:rsidRPr="004E30BB">
              <w:rPr>
                <w:lang w:val="en-US"/>
              </w:rPr>
              <w:t>Ainscow et al., 2016</w:t>
            </w:r>
            <w:r w:rsidRPr="0076410B">
              <w:rPr>
                <w:lang w:val="en-US"/>
              </w:rPr>
              <w:t xml:space="preserve">; </w:t>
            </w:r>
            <w:proofErr w:type="spellStart"/>
            <w:r w:rsidRPr="0076410B">
              <w:rPr>
                <w:lang w:val="en-US"/>
              </w:rPr>
              <w:t>Boberg</w:t>
            </w:r>
            <w:proofErr w:type="spellEnd"/>
            <w:r w:rsidRPr="0076410B">
              <w:rPr>
                <w:lang w:val="en-US"/>
              </w:rPr>
              <w:t xml:space="preserve"> &amp; Bourgeois, 2016</w:t>
            </w:r>
            <w:r>
              <w:rPr>
                <w:lang w:val="en-US"/>
              </w:rPr>
              <w:t xml:space="preserve">; </w:t>
            </w:r>
            <w:proofErr w:type="spellStart"/>
            <w:r>
              <w:t>Bonell</w:t>
            </w:r>
            <w:proofErr w:type="spellEnd"/>
            <w:r>
              <w:t>, et al., 2013</w:t>
            </w:r>
            <w:r w:rsidRPr="0076410B">
              <w:rPr>
                <w:lang w:val="en-US"/>
              </w:rPr>
              <w:t>).</w:t>
            </w:r>
          </w:p>
        </w:tc>
      </w:tr>
    </w:tbl>
    <w:p w14:paraId="6F3E9FD1" w14:textId="77777777" w:rsidR="00514D1F" w:rsidRDefault="00514D1F" w:rsidP="00514D1F">
      <w:pPr>
        <w:rPr>
          <w:lang w:val="en-AU"/>
        </w:rPr>
      </w:pPr>
    </w:p>
    <w:p w14:paraId="0544CB25" w14:textId="77777777" w:rsidR="00442A20" w:rsidRDefault="00442A20" w:rsidP="003C7C69">
      <w:pPr>
        <w:pStyle w:val="Heading2"/>
        <w:rPr>
          <w:lang w:val="en-AU"/>
        </w:rPr>
      </w:pPr>
    </w:p>
    <w:p w14:paraId="13256EDC" w14:textId="77777777" w:rsidR="003A4AD0" w:rsidRDefault="003A4AD0">
      <w:pPr>
        <w:spacing w:after="0"/>
        <w:rPr>
          <w:rFonts w:asciiTheme="majorHAnsi" w:eastAsiaTheme="majorEastAsia" w:hAnsiTheme="majorHAnsi" w:cstheme="majorBidi"/>
          <w:b/>
          <w:color w:val="E57100" w:themeColor="accent1"/>
          <w:sz w:val="24"/>
          <w:lang w:val="en-AU"/>
        </w:rPr>
      </w:pPr>
      <w:bookmarkStart w:id="7" w:name="_Toc83882667"/>
      <w:r>
        <w:rPr>
          <w:lang w:val="en-AU"/>
        </w:rPr>
        <w:br w:type="page"/>
      </w:r>
    </w:p>
    <w:p w14:paraId="5F9407A3" w14:textId="2347C38B" w:rsidR="001A18A8" w:rsidRDefault="0035192C" w:rsidP="00A360F1">
      <w:pPr>
        <w:pStyle w:val="Heading3"/>
        <w:rPr>
          <w:lang w:val="en-AU"/>
        </w:rPr>
      </w:pPr>
      <w:r>
        <w:rPr>
          <w:lang w:val="en-AU"/>
        </w:rPr>
        <w:lastRenderedPageBreak/>
        <w:t>TEACHING AND LEARNING</w:t>
      </w:r>
      <w:bookmarkEnd w:id="7"/>
    </w:p>
    <w:p w14:paraId="5F45B8E7" w14:textId="4B0E3FEE" w:rsidR="004F6E7B" w:rsidRDefault="004F6E7B" w:rsidP="00A360F1">
      <w:pPr>
        <w:pStyle w:val="Heading4"/>
        <w:rPr>
          <w:lang w:val="en-AU"/>
        </w:rPr>
      </w:pPr>
      <w:r w:rsidRPr="004F6E7B">
        <w:rPr>
          <w:lang w:val="en-AU"/>
        </w:rPr>
        <w:t xml:space="preserve">Teaching and learning </w:t>
      </w:r>
      <w:proofErr w:type="gramStart"/>
      <w:r w:rsidRPr="004F6E7B">
        <w:rPr>
          <w:lang w:val="en-AU"/>
        </w:rPr>
        <w:t>refers</w:t>
      </w:r>
      <w:proofErr w:type="gramEnd"/>
      <w:r w:rsidRPr="004F6E7B">
        <w:rPr>
          <w:lang w:val="en-AU"/>
        </w:rPr>
        <w:t xml:space="preserve"> to responsive practices</w:t>
      </w:r>
      <w:r w:rsidR="003A457C">
        <w:rPr>
          <w:lang w:val="en-AU"/>
        </w:rPr>
        <w:t xml:space="preserve"> and curriculum programs</w:t>
      </w:r>
      <w:r w:rsidRPr="004F6E7B">
        <w:rPr>
          <w:lang w:val="en-AU"/>
        </w:rPr>
        <w:t xml:space="preserve"> through which </w:t>
      </w:r>
      <w:r w:rsidR="005E210E">
        <w:rPr>
          <w:lang w:val="en-AU"/>
        </w:rPr>
        <w:t xml:space="preserve">students develop </w:t>
      </w:r>
      <w:r w:rsidRPr="004F6E7B">
        <w:rPr>
          <w:lang w:val="en-AU"/>
        </w:rPr>
        <w:t>the</w:t>
      </w:r>
      <w:r w:rsidR="005E210E">
        <w:rPr>
          <w:lang w:val="en-AU"/>
        </w:rPr>
        <w:t>ir</w:t>
      </w:r>
      <w:r w:rsidRPr="004F6E7B">
        <w:rPr>
          <w:lang w:val="en-AU"/>
        </w:rPr>
        <w:t xml:space="preserve"> knowledge, skills and capabilities.</w:t>
      </w:r>
    </w:p>
    <w:p w14:paraId="7CB76918" w14:textId="77777777" w:rsidR="003A4AD0" w:rsidRPr="003A4AD0" w:rsidRDefault="003A4AD0" w:rsidP="003A4AD0">
      <w:pPr>
        <w:rPr>
          <w:lang w:val="en-AU"/>
        </w:rPr>
      </w:pPr>
    </w:p>
    <w:tbl>
      <w:tblPr>
        <w:tblStyle w:val="TableGrid"/>
        <w:tblW w:w="0" w:type="auto"/>
        <w:tblLook w:val="04A0" w:firstRow="1" w:lastRow="0" w:firstColumn="1" w:lastColumn="0" w:noHBand="0" w:noVBand="1"/>
      </w:tblPr>
      <w:tblGrid>
        <w:gridCol w:w="9622"/>
      </w:tblGrid>
      <w:tr w:rsidR="008379F5" w14:paraId="510FD4F5" w14:textId="77777777" w:rsidTr="007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24736D9" w14:textId="1B22753B" w:rsidR="008379F5" w:rsidRPr="00C029DC" w:rsidRDefault="00D33A0A" w:rsidP="00375405">
            <w:pPr>
              <w:rPr>
                <w:lang w:val="en-AU"/>
              </w:rPr>
            </w:pPr>
            <w:r w:rsidRPr="00C029DC">
              <w:rPr>
                <w:lang w:val="en-AU"/>
              </w:rPr>
              <w:t>Documented teaching</w:t>
            </w:r>
            <w:r w:rsidR="00124173" w:rsidRPr="00C029DC">
              <w:rPr>
                <w:lang w:val="en-AU"/>
              </w:rPr>
              <w:t xml:space="preserve"> and </w:t>
            </w:r>
            <w:r w:rsidRPr="00C029DC">
              <w:rPr>
                <w:lang w:val="en-AU"/>
              </w:rPr>
              <w:t xml:space="preserve">learning </w:t>
            </w:r>
            <w:r w:rsidR="00124173" w:rsidRPr="00C029DC">
              <w:rPr>
                <w:lang w:val="en-AU"/>
              </w:rPr>
              <w:t>program</w:t>
            </w:r>
            <w:r w:rsidRPr="00C029DC">
              <w:rPr>
                <w:lang w:val="en-AU"/>
              </w:rPr>
              <w:t xml:space="preserve"> based on the Victorian Curriculum and senior secondary </w:t>
            </w:r>
            <w:r w:rsidR="00124173" w:rsidRPr="00C029DC">
              <w:rPr>
                <w:lang w:val="en-AU"/>
              </w:rPr>
              <w:t>pathways, incorporating extra-</w:t>
            </w:r>
            <w:proofErr w:type="spellStart"/>
            <w:r w:rsidR="00124173" w:rsidRPr="00C029DC">
              <w:rPr>
                <w:lang w:val="en-AU"/>
              </w:rPr>
              <w:t>curricula</w:t>
            </w:r>
            <w:proofErr w:type="spellEnd"/>
            <w:r w:rsidR="00124173" w:rsidRPr="00C029DC">
              <w:rPr>
                <w:lang w:val="en-AU"/>
              </w:rPr>
              <w:t xml:space="preserve"> programs</w:t>
            </w:r>
          </w:p>
        </w:tc>
      </w:tr>
      <w:tr w:rsidR="00882D8C" w14:paraId="66A97F7E"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5725D9F8" w14:textId="77777777" w:rsidR="00882D8C" w:rsidRPr="00422BCE" w:rsidRDefault="00882D8C" w:rsidP="003674FD">
            <w:pPr>
              <w:rPr>
                <w:b/>
                <w:bCs/>
                <w:lang w:val="en-AU"/>
              </w:rPr>
            </w:pPr>
            <w:r w:rsidRPr="00422BCE">
              <w:rPr>
                <w:b/>
                <w:bCs/>
                <w:lang w:val="en-AU"/>
              </w:rPr>
              <w:t xml:space="preserve">Documented teaching and learning program </w:t>
            </w:r>
          </w:p>
          <w:p w14:paraId="48A94C92" w14:textId="55984D1E" w:rsidR="009E27A0" w:rsidRDefault="00882D8C" w:rsidP="00983A60">
            <w:pPr>
              <w:rPr>
                <w:lang w:val="en-AU"/>
              </w:rPr>
            </w:pPr>
            <w:r w:rsidRPr="003674FD">
              <w:rPr>
                <w:lang w:val="en-AU"/>
              </w:rPr>
              <w:t>A strong understanding of curriculum is built when staff work collaboratively</w:t>
            </w:r>
            <w:r>
              <w:rPr>
                <w:lang w:val="en-AU"/>
              </w:rPr>
              <w:t xml:space="preserve"> to consider</w:t>
            </w:r>
            <w:r w:rsidRPr="003674FD">
              <w:rPr>
                <w:lang w:val="en-AU"/>
              </w:rPr>
              <w:t xml:space="preserve"> units of work, differentiate </w:t>
            </w:r>
            <w:proofErr w:type="gramStart"/>
            <w:r w:rsidRPr="003674FD">
              <w:rPr>
                <w:lang w:val="en-AU"/>
              </w:rPr>
              <w:t>lessons</w:t>
            </w:r>
            <w:proofErr w:type="gramEnd"/>
            <w:r w:rsidRPr="003674FD">
              <w:rPr>
                <w:lang w:val="en-AU"/>
              </w:rPr>
              <w:t xml:space="preserve"> and develop assessments.</w:t>
            </w:r>
            <w:r>
              <w:rPr>
                <w:lang w:val="en-AU"/>
              </w:rPr>
              <w:t xml:space="preserve"> Effective</w:t>
            </w:r>
            <w:r w:rsidRPr="003674FD">
              <w:rPr>
                <w:lang w:val="en-AU"/>
              </w:rPr>
              <w:t xml:space="preserve"> </w:t>
            </w:r>
            <w:r>
              <w:rPr>
                <w:lang w:val="en-AU"/>
              </w:rPr>
              <w:t>c</w:t>
            </w:r>
            <w:r w:rsidRPr="003674FD">
              <w:rPr>
                <w:lang w:val="en-AU"/>
              </w:rPr>
              <w:t xml:space="preserve">urriculum and assessment teams offer staff time for reflection and support teachers to develop plans that </w:t>
            </w:r>
            <w:r>
              <w:rPr>
                <w:lang w:val="en-AU"/>
              </w:rPr>
              <w:t>are developmentally differentiated</w:t>
            </w:r>
            <w:r w:rsidRPr="003674FD">
              <w:rPr>
                <w:lang w:val="en-AU"/>
              </w:rPr>
              <w:t xml:space="preserve"> and meet the learning needs of individual students (Bauman, 2015; </w:t>
            </w:r>
            <w:proofErr w:type="spellStart"/>
            <w:r w:rsidRPr="003674FD">
              <w:rPr>
                <w:lang w:val="en-AU"/>
              </w:rPr>
              <w:t>Benoliel</w:t>
            </w:r>
            <w:proofErr w:type="spellEnd"/>
            <w:r w:rsidRPr="003674FD">
              <w:rPr>
                <w:lang w:val="en-AU"/>
              </w:rPr>
              <w:t xml:space="preserve"> &amp; </w:t>
            </w:r>
            <w:proofErr w:type="spellStart"/>
            <w:r w:rsidRPr="003674FD">
              <w:rPr>
                <w:lang w:val="en-AU"/>
              </w:rPr>
              <w:t>Berkovich</w:t>
            </w:r>
            <w:proofErr w:type="spellEnd"/>
            <w:r w:rsidRPr="003674FD">
              <w:rPr>
                <w:lang w:val="en-AU"/>
              </w:rPr>
              <w:t>, 2017; Sutton &amp; Knuth, 2020).</w:t>
            </w:r>
          </w:p>
          <w:p w14:paraId="4ED356D5" w14:textId="11964A18" w:rsidR="00685E55" w:rsidRDefault="00685E55" w:rsidP="00983A60">
            <w:pPr>
              <w:rPr>
                <w:lang w:val="en-AU"/>
              </w:rPr>
            </w:pPr>
            <w:r w:rsidRPr="001E4FCA">
              <w:rPr>
                <w:lang w:val="en-AU"/>
              </w:rPr>
              <w:t xml:space="preserve">There is a moderate correlation with </w:t>
            </w:r>
            <w:r w:rsidRPr="00591FCE">
              <w:rPr>
                <w:lang w:val="en-AU"/>
              </w:rPr>
              <w:t>‘guaranteed and viable curriculum’</w:t>
            </w:r>
            <w:r w:rsidRPr="001E4FCA">
              <w:rPr>
                <w:lang w:val="en-AU"/>
              </w:rPr>
              <w:t xml:space="preserve"> ratings</w:t>
            </w:r>
            <w:r>
              <w:rPr>
                <w:lang w:val="en-AU"/>
              </w:rPr>
              <w:t xml:space="preserve"> in the SSS</w:t>
            </w:r>
            <w:r w:rsidRPr="001E4FCA">
              <w:rPr>
                <w:lang w:val="en-AU"/>
              </w:rPr>
              <w:t xml:space="preserve"> and overall school performance</w:t>
            </w:r>
            <w:r>
              <w:rPr>
                <w:lang w:val="en-AU"/>
              </w:rPr>
              <w:t>, being</w:t>
            </w:r>
            <w:r w:rsidRPr="001E4FCA">
              <w:rPr>
                <w:lang w:val="en-AU"/>
              </w:rPr>
              <w:t xml:space="preserve"> greater for secondary schools than for primary schools (Deloitte Access Economics, 2019)</w:t>
            </w:r>
            <w:r>
              <w:rPr>
                <w:lang w:val="en-AU"/>
              </w:rPr>
              <w:t>. Also, l</w:t>
            </w:r>
            <w:r w:rsidRPr="009670BB">
              <w:rPr>
                <w:lang w:val="en-AU"/>
              </w:rPr>
              <w:t>earning growth, as per teacher judgements (CASES), reasonably aligns with NAPLAN benchmark growth – indicating teacher judgements of student performance of the curriculum is consistent overall school performance.</w:t>
            </w:r>
          </w:p>
          <w:p w14:paraId="349DCC45" w14:textId="56002A81" w:rsidR="00882D8C" w:rsidRDefault="00882D8C" w:rsidP="00482978">
            <w:pPr>
              <w:rPr>
                <w:lang w:val="en-AU"/>
              </w:rPr>
            </w:pPr>
            <w:r w:rsidRPr="003674FD">
              <w:rPr>
                <w:lang w:val="en-AU"/>
              </w:rPr>
              <w:t>Community learning opportunities are</w:t>
            </w:r>
            <w:r>
              <w:rPr>
                <w:lang w:val="en-AU"/>
              </w:rPr>
              <w:t xml:space="preserve"> </w:t>
            </w:r>
            <w:r w:rsidRPr="003674FD">
              <w:rPr>
                <w:lang w:val="en-AU"/>
              </w:rPr>
              <w:t xml:space="preserve">integral to supporting students’ progress through schooling, as it provides them with engaging learning and personal development experiences. Participation in social activities, including community-oriented volunteering also have positive impacts on academic achievement, positive </w:t>
            </w:r>
            <w:proofErr w:type="gramStart"/>
            <w:r w:rsidRPr="003674FD">
              <w:rPr>
                <w:lang w:val="en-AU"/>
              </w:rPr>
              <w:t>self-identity</w:t>
            </w:r>
            <w:proofErr w:type="gramEnd"/>
            <w:r w:rsidRPr="003674FD">
              <w:rPr>
                <w:lang w:val="en-AU"/>
              </w:rPr>
              <w:t xml:space="preserve"> and self-esteem related student outcomes (</w:t>
            </w:r>
            <w:r w:rsidR="009D78FC">
              <w:rPr>
                <w:lang w:val="en-AU"/>
              </w:rPr>
              <w:t>DET</w:t>
            </w:r>
            <w:r w:rsidRPr="003674FD">
              <w:rPr>
                <w:lang w:val="en-AU"/>
              </w:rPr>
              <w:t>, 2018; Lewis, 2005).</w:t>
            </w:r>
          </w:p>
          <w:p w14:paraId="53D0DD05" w14:textId="00DC8D0B" w:rsidR="00882D8C" w:rsidRPr="00882D8C" w:rsidRDefault="00882D8C" w:rsidP="00EF6423">
            <w:pPr>
              <w:rPr>
                <w:b/>
                <w:bCs/>
                <w:i/>
                <w:iCs/>
                <w:szCs w:val="22"/>
              </w:rPr>
            </w:pPr>
            <w:r w:rsidRPr="00882D8C">
              <w:rPr>
                <w:b/>
                <w:bCs/>
                <w:i/>
                <w:iCs/>
                <w:szCs w:val="22"/>
              </w:rPr>
              <w:t>Supporting wellbeing</w:t>
            </w:r>
            <w:r>
              <w:rPr>
                <w:b/>
                <w:bCs/>
                <w:i/>
                <w:iCs/>
                <w:szCs w:val="22"/>
              </w:rPr>
              <w:t xml:space="preserve"> through the curriculum</w:t>
            </w:r>
          </w:p>
          <w:p w14:paraId="6E06E565" w14:textId="753AC1E0" w:rsidR="00173EC6" w:rsidRDefault="00882D8C" w:rsidP="00EF6423">
            <w:r w:rsidRPr="003758B3">
              <w:rPr>
                <w:color w:val="000000"/>
                <w:shd w:val="clear" w:color="auto" w:fill="F2F2F2" w:themeFill="background1" w:themeFillShade="F2"/>
              </w:rPr>
              <w:t>Wellbeing interventions</w:t>
            </w:r>
            <w:r w:rsidRPr="003758B3">
              <w:rPr>
                <w:shd w:val="clear" w:color="auto" w:fill="F2F2F2" w:themeFill="background1" w:themeFillShade="F2"/>
              </w:rPr>
              <w:t xml:space="preserve"> focused</w:t>
            </w:r>
            <w:r>
              <w:t xml:space="preserve"> on belonging and engagement are found to have the greatest impact on student academic achievement, while social-emotional </w:t>
            </w:r>
            <w:r w:rsidR="00897347">
              <w:t xml:space="preserve">learning (SEL) </w:t>
            </w:r>
            <w:r>
              <w:t>programs were associated with better literacy outcomes</w:t>
            </w:r>
            <w:r w:rsidR="00173EC6">
              <w:t xml:space="preserve"> and those</w:t>
            </w:r>
            <w:r w:rsidRPr="00F96C1A">
              <w:rPr>
                <w:lang w:val="en-AU"/>
              </w:rPr>
              <w:t xml:space="preserve"> that encouraged physical activity, </w:t>
            </w:r>
            <w:proofErr w:type="gramStart"/>
            <w:r w:rsidRPr="00F96C1A">
              <w:rPr>
                <w:lang w:val="en-AU"/>
              </w:rPr>
              <w:t>exercise</w:t>
            </w:r>
            <w:proofErr w:type="gramEnd"/>
            <w:r w:rsidRPr="00F96C1A">
              <w:rPr>
                <w:lang w:val="en-AU"/>
              </w:rPr>
              <w:t xml:space="preserve"> and relaxation with better numeracy outcomes</w:t>
            </w:r>
            <w:r>
              <w:rPr>
                <w:lang w:val="en-AU"/>
              </w:rPr>
              <w:t xml:space="preserve"> (Dix et al., 2020)</w:t>
            </w:r>
            <w:r w:rsidRPr="00F96C1A">
              <w:rPr>
                <w:lang w:val="en-AU"/>
              </w:rPr>
              <w:t xml:space="preserve">. </w:t>
            </w:r>
            <w:r w:rsidR="00897347">
              <w:rPr>
                <w:lang w:val="en-AU"/>
              </w:rPr>
              <w:t>SEL</w:t>
            </w:r>
            <w:r w:rsidR="00680FE3">
              <w:rPr>
                <w:lang w:val="en-AU"/>
              </w:rPr>
              <w:t xml:space="preserve"> </w:t>
            </w:r>
            <w:r w:rsidR="00680FE3">
              <w:t xml:space="preserve">programs </w:t>
            </w:r>
            <w:proofErr w:type="gramStart"/>
            <w:r w:rsidR="00680FE3">
              <w:t>are considered to be</w:t>
            </w:r>
            <w:proofErr w:type="gramEnd"/>
            <w:r w:rsidR="00680FE3">
              <w:t xml:space="preserve"> effective in supporting wellbeing, as they benefit</w:t>
            </w:r>
            <w:r w:rsidR="00680FE3">
              <w:rPr>
                <w:spacing w:val="-3"/>
              </w:rPr>
              <w:t xml:space="preserve"> </w:t>
            </w:r>
            <w:r w:rsidR="00680FE3">
              <w:t>students’</w:t>
            </w:r>
            <w:r w:rsidR="00680FE3">
              <w:rPr>
                <w:spacing w:val="-3"/>
              </w:rPr>
              <w:t xml:space="preserve"> </w:t>
            </w:r>
            <w:r w:rsidR="00680FE3">
              <w:t>social</w:t>
            </w:r>
            <w:r w:rsidR="00680FE3">
              <w:rPr>
                <w:spacing w:val="-3"/>
              </w:rPr>
              <w:t xml:space="preserve"> </w:t>
            </w:r>
            <w:r w:rsidR="00680FE3">
              <w:t>skills,</w:t>
            </w:r>
            <w:r w:rsidR="00680FE3">
              <w:rPr>
                <w:spacing w:val="-3"/>
              </w:rPr>
              <w:t xml:space="preserve"> </w:t>
            </w:r>
            <w:r w:rsidR="00680FE3">
              <w:t>self-image,</w:t>
            </w:r>
            <w:r w:rsidR="00680FE3">
              <w:rPr>
                <w:spacing w:val="-3"/>
              </w:rPr>
              <w:t xml:space="preserve"> </w:t>
            </w:r>
            <w:r w:rsidR="00E70775">
              <w:t xml:space="preserve">academic </w:t>
            </w:r>
            <w:r w:rsidR="00F14E94">
              <w:t xml:space="preserve">achievement </w:t>
            </w:r>
            <w:r w:rsidR="00F14E94">
              <w:rPr>
                <w:spacing w:val="-48"/>
              </w:rPr>
              <w:t>and</w:t>
            </w:r>
            <w:r w:rsidR="00680FE3">
              <w:t xml:space="preserve"> mental health </w:t>
            </w:r>
            <w:r w:rsidR="00173EC6">
              <w:t xml:space="preserve">while </w:t>
            </w:r>
            <w:r w:rsidR="00680FE3">
              <w:t>reduc</w:t>
            </w:r>
            <w:r w:rsidR="00173EC6">
              <w:t xml:space="preserve">ing </w:t>
            </w:r>
            <w:r w:rsidR="00680FE3">
              <w:t>antisocial behaviour and substance abuse</w:t>
            </w:r>
            <w:r w:rsidR="00680FE3">
              <w:rPr>
                <w:spacing w:val="1"/>
              </w:rPr>
              <w:t xml:space="preserve"> </w:t>
            </w:r>
            <w:r w:rsidR="00680FE3">
              <w:t>(Evidence</w:t>
            </w:r>
            <w:r w:rsidR="00680FE3">
              <w:rPr>
                <w:spacing w:val="-1"/>
              </w:rPr>
              <w:t xml:space="preserve"> </w:t>
            </w:r>
            <w:r w:rsidR="00680FE3">
              <w:t xml:space="preserve">for Learning, 2019a; </w:t>
            </w:r>
            <w:proofErr w:type="spellStart"/>
            <w:r w:rsidR="00680FE3">
              <w:t>Durak</w:t>
            </w:r>
            <w:proofErr w:type="spellEnd"/>
            <w:r w:rsidR="00680FE3">
              <w:t xml:space="preserve">, Weissberg, </w:t>
            </w:r>
            <w:proofErr w:type="spellStart"/>
            <w:r w:rsidR="00680FE3">
              <w:t>Dymicki</w:t>
            </w:r>
            <w:proofErr w:type="spellEnd"/>
            <w:r w:rsidR="00680FE3">
              <w:t xml:space="preserve">, Taylor and </w:t>
            </w:r>
            <w:proofErr w:type="spellStart"/>
            <w:r w:rsidR="00680FE3">
              <w:t>Schellinger</w:t>
            </w:r>
            <w:proofErr w:type="spellEnd"/>
            <w:r w:rsidR="00680FE3">
              <w:t>, 2011).</w:t>
            </w:r>
            <w:r w:rsidR="00F623CB">
              <w:t xml:space="preserve"> </w:t>
            </w:r>
            <w:r w:rsidR="00F623CB">
              <w:rPr>
                <w:szCs w:val="22"/>
              </w:rPr>
              <w:t xml:space="preserve">They are </w:t>
            </w:r>
            <w:r w:rsidR="00CE5CF1">
              <w:rPr>
                <w:szCs w:val="22"/>
              </w:rPr>
              <w:t>also</w:t>
            </w:r>
            <w:r w:rsidRPr="006C6277">
              <w:rPr>
                <w:szCs w:val="22"/>
              </w:rPr>
              <w:t xml:space="preserve"> particularly</w:t>
            </w:r>
            <w:r w:rsidR="004C2C9B">
              <w:rPr>
                <w:szCs w:val="22"/>
              </w:rPr>
              <w:t xml:space="preserve"> effective</w:t>
            </w:r>
            <w:r w:rsidRPr="006C6277">
              <w:rPr>
                <w:szCs w:val="22"/>
              </w:rPr>
              <w:t xml:space="preserve"> for disadvantaged students with lower academic performance (Evidence for Learning, 2019a</w:t>
            </w:r>
            <w:r>
              <w:rPr>
                <w:szCs w:val="22"/>
              </w:rPr>
              <w:t>; Taylor et al, 2017 and Voight &amp; Nation, 2016</w:t>
            </w:r>
            <w:r w:rsidRPr="006C6277">
              <w:rPr>
                <w:szCs w:val="22"/>
              </w:rPr>
              <w:t xml:space="preserve">). </w:t>
            </w:r>
          </w:p>
          <w:p w14:paraId="24B2426B" w14:textId="27F7E0B3" w:rsidR="00882D8C" w:rsidRPr="006C6277" w:rsidRDefault="00882D8C" w:rsidP="00EF6423">
            <w:pPr>
              <w:rPr>
                <w:szCs w:val="22"/>
              </w:rPr>
            </w:pPr>
            <w:r w:rsidRPr="006C6277">
              <w:rPr>
                <w:szCs w:val="22"/>
              </w:rPr>
              <w:t xml:space="preserve">The </w:t>
            </w:r>
            <w:r w:rsidRPr="007B3370">
              <w:rPr>
                <w:rFonts w:eastAsia="Times New Roman"/>
                <w:szCs w:val="22"/>
              </w:rPr>
              <w:t xml:space="preserve">Wallace Foundation identified five key features of effective </w:t>
            </w:r>
            <w:r w:rsidR="00897347">
              <w:rPr>
                <w:rFonts w:eastAsia="Times New Roman"/>
                <w:szCs w:val="22"/>
              </w:rPr>
              <w:t>SEL</w:t>
            </w:r>
            <w:r w:rsidRPr="00456921">
              <w:rPr>
                <w:rFonts w:eastAsia="Times New Roman"/>
                <w:szCs w:val="22"/>
              </w:rPr>
              <w:t xml:space="preserve"> </w:t>
            </w:r>
            <w:r w:rsidRPr="006C6277">
              <w:rPr>
                <w:rFonts w:eastAsia="Times New Roman"/>
                <w:szCs w:val="22"/>
              </w:rPr>
              <w:t>programs: supportive contexts, setting realistic goals, teacher competency, family-school-community partnerships, and planning that targets a key set of skills across the multiple domains of students’ development</w:t>
            </w:r>
            <w:r>
              <w:rPr>
                <w:rFonts w:eastAsia="Times New Roman"/>
                <w:szCs w:val="22"/>
              </w:rPr>
              <w:t xml:space="preserve"> (Jones et al., 2017)</w:t>
            </w:r>
            <w:r w:rsidRPr="006C6277">
              <w:rPr>
                <w:rFonts w:eastAsia="Times New Roman"/>
                <w:szCs w:val="22"/>
              </w:rPr>
              <w:t>. These domains include emotional, social/interpersonal, cognitive, regulation and executive function skills</w:t>
            </w:r>
            <w:r>
              <w:rPr>
                <w:rFonts w:eastAsia="Times New Roman"/>
                <w:szCs w:val="22"/>
              </w:rPr>
              <w:t xml:space="preserve">. In addition, </w:t>
            </w:r>
            <w:r>
              <w:rPr>
                <w:szCs w:val="22"/>
              </w:rPr>
              <w:t>p</w:t>
            </w:r>
            <w:r>
              <w:t>arent</w:t>
            </w:r>
            <w:r w:rsidR="004B1A84">
              <w:t>/carer</w:t>
            </w:r>
            <w:r>
              <w:t xml:space="preserve"> involvement in SEL programs significantly increases their effectiveness</w:t>
            </w:r>
            <w:r w:rsidRPr="0020210C">
              <w:rPr>
                <w:rFonts w:eastAsia="Times New Roman"/>
              </w:rPr>
              <w:t xml:space="preserve"> </w:t>
            </w:r>
            <w:r>
              <w:rPr>
                <w:rFonts w:eastAsia="Times New Roman"/>
              </w:rPr>
              <w:t xml:space="preserve">and </w:t>
            </w:r>
            <w:r w:rsidRPr="0020210C">
              <w:rPr>
                <w:rFonts w:eastAsia="Times New Roman"/>
              </w:rPr>
              <w:t xml:space="preserve">programs delivered outside-of-school time </w:t>
            </w:r>
            <w:r>
              <w:rPr>
                <w:rFonts w:eastAsia="Times New Roman"/>
              </w:rPr>
              <w:t>are more effective when they</w:t>
            </w:r>
            <w:r w:rsidRPr="0020210C">
              <w:rPr>
                <w:rFonts w:eastAsia="Times New Roman"/>
              </w:rPr>
              <w:t xml:space="preserve"> ‘fit’ with </w:t>
            </w:r>
            <w:r>
              <w:rPr>
                <w:rFonts w:eastAsia="Times New Roman"/>
              </w:rPr>
              <w:t>students</w:t>
            </w:r>
            <w:r w:rsidR="00E70775">
              <w:rPr>
                <w:rFonts w:eastAsia="Times New Roman"/>
              </w:rPr>
              <w:t>’</w:t>
            </w:r>
            <w:r>
              <w:rPr>
                <w:rFonts w:eastAsia="Times New Roman"/>
              </w:rPr>
              <w:t xml:space="preserve"> </w:t>
            </w:r>
            <w:r w:rsidRPr="0020210C">
              <w:rPr>
                <w:rFonts w:eastAsia="Times New Roman"/>
              </w:rPr>
              <w:t>schedule</w:t>
            </w:r>
            <w:r>
              <w:rPr>
                <w:rFonts w:eastAsia="Times New Roman"/>
              </w:rPr>
              <w:t>s</w:t>
            </w:r>
            <w:r w:rsidRPr="0020210C">
              <w:rPr>
                <w:rFonts w:eastAsia="Times New Roman"/>
              </w:rPr>
              <w:t xml:space="preserve">, </w:t>
            </w:r>
            <w:r>
              <w:rPr>
                <w:rFonts w:eastAsia="Times New Roman"/>
              </w:rPr>
              <w:t xml:space="preserve">the </w:t>
            </w:r>
            <w:proofErr w:type="gramStart"/>
            <w:r w:rsidRPr="0020210C">
              <w:rPr>
                <w:rFonts w:eastAsia="Times New Roman"/>
              </w:rPr>
              <w:t>curriculum</w:t>
            </w:r>
            <w:proofErr w:type="gramEnd"/>
            <w:r w:rsidRPr="0020210C">
              <w:rPr>
                <w:rFonts w:eastAsia="Times New Roman"/>
              </w:rPr>
              <w:t xml:space="preserve"> and other structures already in place</w:t>
            </w:r>
            <w:r>
              <w:rPr>
                <w:rFonts w:eastAsia="Times New Roman"/>
              </w:rPr>
              <w:t xml:space="preserve"> </w:t>
            </w:r>
            <w:r w:rsidRPr="00495BC4">
              <w:t>(</w:t>
            </w:r>
            <w:r w:rsidRPr="0020210C">
              <w:rPr>
                <w:rFonts w:eastAsia="Times New Roman"/>
              </w:rPr>
              <w:t>Jones, et al., 2017</w:t>
            </w:r>
            <w:r>
              <w:rPr>
                <w:rFonts w:eastAsia="Times New Roman"/>
              </w:rPr>
              <w:t xml:space="preserve">; </w:t>
            </w:r>
            <w:proofErr w:type="spellStart"/>
            <w:r>
              <w:t>Sklad</w:t>
            </w:r>
            <w:proofErr w:type="spellEnd"/>
            <w:r>
              <w:t xml:space="preserve"> et al., 2012</w:t>
            </w:r>
            <w:r w:rsidRPr="00495BC4">
              <w:t>).</w:t>
            </w:r>
          </w:p>
          <w:p w14:paraId="5B79B1DE" w14:textId="60550840" w:rsidR="00882D8C" w:rsidRPr="00632EF5" w:rsidRDefault="00882D8C" w:rsidP="00482978">
            <w:r w:rsidRPr="00015AB7">
              <w:t xml:space="preserve">Contemporary approaches to health promotion in schools go beyond developing educational topics and embedding these in health education curricula. </w:t>
            </w:r>
            <w:r w:rsidR="00B2151B" w:rsidRPr="00015AB7">
              <w:t>To</w:t>
            </w:r>
            <w:r w:rsidRPr="00015AB7">
              <w:t xml:space="preserve"> maximise the wellbeing and health outcomes of young people, schools are encouraged to ensure that health promoting activities can be carried out in a positive social and physical environment that effectively links parents</w:t>
            </w:r>
            <w:r w:rsidR="007A1F7A">
              <w:t>/carers</w:t>
            </w:r>
            <w:r w:rsidRPr="00015AB7">
              <w:t>, youth, and the wider communit</w:t>
            </w:r>
            <w:r>
              <w:t>y</w:t>
            </w:r>
            <w:r w:rsidRPr="00015AB7">
              <w:t>.</w:t>
            </w:r>
            <w:r>
              <w:t xml:space="preserve"> </w:t>
            </w:r>
            <w:r w:rsidRPr="00584EFC">
              <w:t>Research has consistently demonstrated the wellbeing benefits for children and adolescents of participating in higher levels of physical activity</w:t>
            </w:r>
            <w:r>
              <w:t xml:space="preserve"> </w:t>
            </w:r>
            <w:r w:rsidRPr="00584EFC">
              <w:t>(Gerber, et al., 2017</w:t>
            </w:r>
            <w:r>
              <w:t xml:space="preserve">; </w:t>
            </w:r>
            <w:proofErr w:type="spellStart"/>
            <w:r w:rsidRPr="00584EFC">
              <w:t>Hegberg</w:t>
            </w:r>
            <w:proofErr w:type="spellEnd"/>
            <w:r w:rsidRPr="00584EFC">
              <w:t xml:space="preserve"> &amp; Tone, 2015</w:t>
            </w:r>
            <w:r>
              <w:t>; Marks, 2010</w:t>
            </w:r>
            <w:r w:rsidRPr="00584EFC">
              <w:t>).</w:t>
            </w:r>
            <w:r>
              <w:t xml:space="preserve"> </w:t>
            </w:r>
            <w:r w:rsidRPr="00E05CBE">
              <w:t>He</w:t>
            </w:r>
            <w:r w:rsidRPr="00CD1A2F">
              <w:t xml:space="preserve">althy physical activity </w:t>
            </w:r>
            <w:r w:rsidRPr="00A70379">
              <w:t xml:space="preserve">can be </w:t>
            </w:r>
            <w:r>
              <w:t xml:space="preserve">encouraged by a </w:t>
            </w:r>
            <w:r w:rsidRPr="00A70379">
              <w:t xml:space="preserve">wide </w:t>
            </w:r>
            <w:r>
              <w:t>variety</w:t>
            </w:r>
            <w:r w:rsidRPr="00A70379">
              <w:t xml:space="preserve"> of</w:t>
            </w:r>
            <w:r>
              <w:t xml:space="preserve"> play</w:t>
            </w:r>
            <w:r w:rsidRPr="00A70379">
              <w:t xml:space="preserve"> spaces and </w:t>
            </w:r>
            <w:r>
              <w:t xml:space="preserve">an </w:t>
            </w:r>
            <w:r w:rsidRPr="00A70379">
              <w:t xml:space="preserve">investment in </w:t>
            </w:r>
            <w:r>
              <w:t xml:space="preserve">sport </w:t>
            </w:r>
            <w:r w:rsidRPr="00A70379">
              <w:t>equipmen</w:t>
            </w:r>
            <w:r>
              <w:t>t</w:t>
            </w:r>
            <w:r w:rsidRPr="00A70379">
              <w:t xml:space="preserve">. </w:t>
            </w:r>
            <w:r>
              <w:t xml:space="preserve">Unhealthy behaviours such as bullying, and smoking can be constrained by limiting </w:t>
            </w:r>
            <w:r>
              <w:lastRenderedPageBreak/>
              <w:t>unsupervised spaces and the consistent application of school rules by teachers and leaders (</w:t>
            </w:r>
            <w:proofErr w:type="spellStart"/>
            <w:r>
              <w:t>Bonell</w:t>
            </w:r>
            <w:proofErr w:type="spellEnd"/>
            <w:r>
              <w:t>, et al., 2013).</w:t>
            </w:r>
            <w:r w:rsidRPr="00A70379">
              <w:t xml:space="preserve"> </w:t>
            </w:r>
          </w:p>
        </w:tc>
      </w:tr>
      <w:tr w:rsidR="001A3C03" w14:paraId="1E90093C" w14:textId="77777777" w:rsidTr="00FB0C73">
        <w:tc>
          <w:tcPr>
            <w:cnfStyle w:val="001000000000" w:firstRow="0" w:lastRow="0" w:firstColumn="1" w:lastColumn="0" w:oddVBand="0" w:evenVBand="0" w:oddHBand="0" w:evenHBand="0" w:firstRowFirstColumn="0" w:firstRowLastColumn="0" w:lastRowFirstColumn="0" w:lastRowLastColumn="0"/>
            <w:tcW w:w="9622" w:type="dxa"/>
            <w:shd w:val="clear" w:color="auto" w:fill="004C97" w:themeFill="accent5"/>
          </w:tcPr>
          <w:p w14:paraId="78638FC9" w14:textId="2E6C51B9" w:rsidR="001A3C03" w:rsidRPr="0040732F" w:rsidRDefault="0040732F" w:rsidP="00841675">
            <w:pPr>
              <w:pStyle w:val="Heading4"/>
              <w:outlineLvl w:val="3"/>
              <w:rPr>
                <w:i w:val="0"/>
                <w:iCs w:val="0"/>
                <w:color w:val="FFFFFF" w:themeColor="background1"/>
                <w:lang w:val="en-AU"/>
              </w:rPr>
            </w:pPr>
            <w:r w:rsidRPr="0040732F">
              <w:rPr>
                <w:i w:val="0"/>
                <w:iCs w:val="0"/>
                <w:color w:val="FFFFFF" w:themeColor="background1"/>
                <w:lang w:val="en-AU"/>
              </w:rPr>
              <w:lastRenderedPageBreak/>
              <w:t xml:space="preserve">Use of common and subject-specific </w:t>
            </w:r>
            <w:r w:rsidRPr="0040732F">
              <w:rPr>
                <w:i w:val="0"/>
                <w:iCs w:val="0"/>
                <w:color w:val="FFFFFF" w:themeColor="background1"/>
                <w:lang w:val="en-US"/>
              </w:rPr>
              <w:t>high impact teaching and learning strategies as part of a shared and responsive teaching and learning model implemented through positive and supportive student-staff relationships</w:t>
            </w:r>
          </w:p>
        </w:tc>
      </w:tr>
      <w:tr w:rsidR="00FB0C73" w14:paraId="10B5F046"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21423577" w14:textId="098C2879" w:rsidR="00FB0C73" w:rsidRPr="00FB0C73" w:rsidRDefault="004B40F8" w:rsidP="00224737">
            <w:pPr>
              <w:rPr>
                <w:rFonts w:cstheme="minorHAnsi"/>
                <w:b/>
                <w:bCs/>
                <w:szCs w:val="22"/>
              </w:rPr>
            </w:pPr>
            <w:r>
              <w:rPr>
                <w:b/>
                <w:bCs/>
                <w:lang w:val="en-AU"/>
              </w:rPr>
              <w:t>H</w:t>
            </w:r>
            <w:r w:rsidR="00FB0C73" w:rsidRPr="00FB0C73">
              <w:rPr>
                <w:b/>
                <w:bCs/>
                <w:lang w:val="en-AU"/>
              </w:rPr>
              <w:t>igh impact teaching and learning strategies</w:t>
            </w:r>
            <w:r w:rsidR="00FB0C73" w:rsidRPr="00FB0C73">
              <w:rPr>
                <w:rFonts w:cstheme="minorHAnsi"/>
                <w:b/>
                <w:bCs/>
                <w:szCs w:val="22"/>
              </w:rPr>
              <w:t xml:space="preserve"> </w:t>
            </w:r>
          </w:p>
          <w:p w14:paraId="45226488" w14:textId="71541A0D" w:rsidR="00FB0C73" w:rsidRDefault="00FB0C73" w:rsidP="00224737">
            <w:pPr>
              <w:rPr>
                <w:lang w:val="en-AU"/>
              </w:rPr>
            </w:pPr>
            <w:r w:rsidRPr="00BD1304">
              <w:rPr>
                <w:rFonts w:cstheme="minorHAnsi"/>
                <w:szCs w:val="22"/>
              </w:rPr>
              <w:t>Teachers have the greatest potential to positively impact student learning, and the strategies that they use matter</w:t>
            </w:r>
            <w:r>
              <w:rPr>
                <w:rFonts w:cstheme="minorHAnsi"/>
                <w:szCs w:val="22"/>
              </w:rPr>
              <w:t xml:space="preserve"> (Hanushek et al., 2005; </w:t>
            </w:r>
            <w:r w:rsidRPr="00BD1304">
              <w:rPr>
                <w:rFonts w:cstheme="minorHAnsi"/>
                <w:szCs w:val="22"/>
              </w:rPr>
              <w:t>Hattie, 2003</w:t>
            </w:r>
            <w:r>
              <w:rPr>
                <w:rFonts w:cstheme="minorHAnsi"/>
                <w:szCs w:val="22"/>
              </w:rPr>
              <w:t>)</w:t>
            </w:r>
            <w:r w:rsidRPr="00BD1304">
              <w:rPr>
                <w:rFonts w:cstheme="minorHAnsi"/>
                <w:szCs w:val="22"/>
              </w:rPr>
              <w:t>.</w:t>
            </w:r>
            <w:r>
              <w:rPr>
                <w:rFonts w:cstheme="minorHAnsi"/>
                <w:szCs w:val="22"/>
              </w:rPr>
              <w:t xml:space="preserve"> </w:t>
            </w:r>
            <w:r w:rsidRPr="000F2F87">
              <w:rPr>
                <w:lang w:val="en-AU"/>
              </w:rPr>
              <w:t xml:space="preserve">A student with a high-impact teacher can achieve in half a year what a student with a poor teacher can achieve in a full year (Leigh, 2010). </w:t>
            </w:r>
          </w:p>
          <w:p w14:paraId="270560B1" w14:textId="4BC628F6" w:rsidR="00FB0C73" w:rsidRDefault="009D748F" w:rsidP="00224737">
            <w:pPr>
              <w:rPr>
                <w:lang w:val="en-AU"/>
              </w:rPr>
            </w:pPr>
            <w:r>
              <w:rPr>
                <w:lang w:val="en-AU"/>
              </w:rPr>
              <w:t>R</w:t>
            </w:r>
            <w:r w:rsidR="00FB0C73" w:rsidRPr="003674FD">
              <w:rPr>
                <w:lang w:val="en-AU"/>
              </w:rPr>
              <w:t xml:space="preserve">esearch </w:t>
            </w:r>
            <w:r>
              <w:rPr>
                <w:lang w:val="en-AU"/>
              </w:rPr>
              <w:t xml:space="preserve">evidence </w:t>
            </w:r>
            <w:r w:rsidR="00FB0C73" w:rsidRPr="003674FD">
              <w:rPr>
                <w:lang w:val="en-AU"/>
              </w:rPr>
              <w:t xml:space="preserve">linking curriculum and school improvement highlights </w:t>
            </w:r>
            <w:proofErr w:type="gramStart"/>
            <w:r w:rsidR="00FB0C73" w:rsidRPr="003674FD">
              <w:rPr>
                <w:lang w:val="en-AU"/>
              </w:rPr>
              <w:t>that effective teachers</w:t>
            </w:r>
            <w:proofErr w:type="gramEnd"/>
            <w:r w:rsidR="00FB0C73" w:rsidRPr="003674FD">
              <w:rPr>
                <w:lang w:val="en-AU"/>
              </w:rPr>
              <w:t xml:space="preserve"> have strong content knowledge and </w:t>
            </w:r>
            <w:r w:rsidR="00D127FD">
              <w:rPr>
                <w:lang w:val="en-AU"/>
              </w:rPr>
              <w:t xml:space="preserve">they </w:t>
            </w:r>
            <w:r w:rsidR="00FB0C73" w:rsidRPr="003674FD">
              <w:rPr>
                <w:lang w:val="en-AU"/>
              </w:rPr>
              <w:t>make expert use of pedagogical materials in order to improve student learning (Hattie, 2009).</w:t>
            </w:r>
            <w:r w:rsidR="00FB0C73">
              <w:rPr>
                <w:lang w:val="en-AU"/>
              </w:rPr>
              <w:t xml:space="preserve"> T</w:t>
            </w:r>
            <w:r w:rsidR="00FB0C73" w:rsidRPr="003674FD">
              <w:rPr>
                <w:lang w:val="en-AU"/>
              </w:rPr>
              <w:t xml:space="preserve">eachers need to understand how students learn new content, evaluate their responses and </w:t>
            </w:r>
            <w:proofErr w:type="gramStart"/>
            <w:r w:rsidR="00FB0C73" w:rsidRPr="003674FD">
              <w:rPr>
                <w:lang w:val="en-AU"/>
              </w:rPr>
              <w:t>questions</w:t>
            </w:r>
            <w:proofErr w:type="gramEnd"/>
            <w:r w:rsidR="00FB0C73" w:rsidRPr="003674FD">
              <w:rPr>
                <w:lang w:val="en-AU"/>
              </w:rPr>
              <w:t xml:space="preserve"> and identify their misconceptions (Coe et al., 2014).</w:t>
            </w:r>
          </w:p>
          <w:p w14:paraId="3506862A" w14:textId="24357A85" w:rsidR="009D748F" w:rsidRPr="009D748F" w:rsidRDefault="009D748F" w:rsidP="00224737">
            <w:pPr>
              <w:rPr>
                <w:rFonts w:cstheme="minorHAnsi"/>
                <w:szCs w:val="22"/>
              </w:rPr>
            </w:pPr>
            <w:r w:rsidRPr="009D748F">
              <w:rPr>
                <w:rFonts w:cstheme="minorHAnsi"/>
                <w:szCs w:val="22"/>
              </w:rPr>
              <w:t>Stimulated learning</w:t>
            </w:r>
            <w:r w:rsidRPr="00835D02">
              <w:rPr>
                <w:rFonts w:cstheme="minorHAnsi"/>
                <w:szCs w:val="22"/>
              </w:rPr>
              <w:t xml:space="preserve"> is significantly correlated with NAPLAN performance (DET, 2021). There is also very strong relationship between staff perceptions of </w:t>
            </w:r>
            <w:r w:rsidRPr="00843585">
              <w:rPr>
                <w:rFonts w:cstheme="minorHAnsi"/>
                <w:szCs w:val="22"/>
              </w:rPr>
              <w:t>academic emphasis</w:t>
            </w:r>
            <w:r w:rsidRPr="00835D02">
              <w:rPr>
                <w:rFonts w:cstheme="minorHAnsi"/>
                <w:szCs w:val="22"/>
              </w:rPr>
              <w:t xml:space="preserve"> to NAPLAN performance (Deloitte Access Economics, 2019). Teachers can use clarity and immediacy behaviours in class to improve students’ cognitive and emotional interest, and heightened interest levels have been found to be deepen student engagement both in-class and out-of-class (Mazer, 2013).</w:t>
            </w:r>
          </w:p>
          <w:p w14:paraId="091AFEC6" w14:textId="08F3645E" w:rsidR="00FB0C73" w:rsidRPr="000F2F87" w:rsidRDefault="00FB0C73" w:rsidP="000F2F87">
            <w:pPr>
              <w:rPr>
                <w:lang w:val="en-AU"/>
              </w:rPr>
            </w:pPr>
            <w:proofErr w:type="gramStart"/>
            <w:r w:rsidRPr="00BD1304">
              <w:rPr>
                <w:rFonts w:cstheme="minorHAnsi"/>
                <w:szCs w:val="22"/>
              </w:rPr>
              <w:t>A number of</w:t>
            </w:r>
            <w:proofErr w:type="gramEnd"/>
            <w:r w:rsidRPr="00BD1304">
              <w:rPr>
                <w:rFonts w:cstheme="minorHAnsi"/>
                <w:szCs w:val="22"/>
              </w:rPr>
              <w:t xml:space="preserve"> strategies consistently identified as </w:t>
            </w:r>
            <w:r w:rsidR="00B971C3" w:rsidRPr="00BD1304">
              <w:rPr>
                <w:rFonts w:cstheme="minorHAnsi"/>
                <w:szCs w:val="22"/>
              </w:rPr>
              <w:t>high impact</w:t>
            </w:r>
            <w:r w:rsidRPr="00BD1304">
              <w:rPr>
                <w:rFonts w:cstheme="minorHAnsi"/>
                <w:szCs w:val="22"/>
              </w:rPr>
              <w:t xml:space="preserve"> in research </w:t>
            </w:r>
            <w:r w:rsidR="00B971C3" w:rsidRPr="000F2F87">
              <w:rPr>
                <w:lang w:val="en-AU"/>
              </w:rPr>
              <w:t>(Hattie 2009)</w:t>
            </w:r>
            <w:r w:rsidR="00B971C3">
              <w:rPr>
                <w:lang w:val="en-AU"/>
              </w:rPr>
              <w:t xml:space="preserve"> </w:t>
            </w:r>
            <w:r w:rsidRPr="00BD1304">
              <w:rPr>
                <w:rFonts w:cstheme="minorHAnsi"/>
                <w:szCs w:val="22"/>
              </w:rPr>
              <w:t>include:</w:t>
            </w:r>
          </w:p>
          <w:p w14:paraId="79425FD8" w14:textId="77777777" w:rsidR="00FB0C73" w:rsidRDefault="00FB0C73" w:rsidP="003C34CD">
            <w:pPr>
              <w:pStyle w:val="Bullet1"/>
              <w:rPr>
                <w:szCs w:val="22"/>
              </w:rPr>
            </w:pPr>
            <w:r>
              <w:rPr>
                <w:b/>
                <w:bCs/>
              </w:rPr>
              <w:t>Setting goals:</w:t>
            </w:r>
            <w:r>
              <w:t xml:space="preserve"> Effective schools create a context in which students are set challenging learning goals within a positive learning climate and are encouraged to build strong relationships with their teachers (Bradford &amp; Clarke, 2015). Research has identified a statistically significant relationship between the goal-setting process and student achievement (Moeller et al., 2012).</w:t>
            </w:r>
          </w:p>
          <w:p w14:paraId="0263EAF7" w14:textId="44255598" w:rsidR="00FB0C73" w:rsidRDefault="00FB0C73" w:rsidP="003C34CD">
            <w:pPr>
              <w:pStyle w:val="Bullet1"/>
            </w:pPr>
            <w:r>
              <w:rPr>
                <w:b/>
                <w:bCs/>
              </w:rPr>
              <w:t>Structing lessons:</w:t>
            </w:r>
            <w:r>
              <w:t xml:space="preserve"> The way that teachers structure lessons can have a large impact on student learning. Research has shown that student achievement is maximi</w:t>
            </w:r>
            <w:r w:rsidR="005A0FF5">
              <w:t>s</w:t>
            </w:r>
            <w:r>
              <w:t>ed when teachers structure lessons by: (a) beginning with overviews and/or review of objectives; (b) outlining the content to be covered and signalling transitions between lesson parts; (c) calling attention to main ideas; and (d) reviewing main ideas at the end (</w:t>
            </w:r>
            <w:proofErr w:type="spellStart"/>
            <w:r>
              <w:t>Kyriakides</w:t>
            </w:r>
            <w:proofErr w:type="spellEnd"/>
            <w:r>
              <w:t xml:space="preserve"> et al., 2013).</w:t>
            </w:r>
          </w:p>
          <w:p w14:paraId="4E39C532" w14:textId="77777777" w:rsidR="00FB0C73" w:rsidRDefault="00FB0C73" w:rsidP="003C34CD">
            <w:pPr>
              <w:pStyle w:val="Bullet1"/>
            </w:pPr>
            <w:r>
              <w:rPr>
                <w:b/>
                <w:bCs/>
              </w:rPr>
              <w:t>Explicit teaching:</w:t>
            </w:r>
            <w:r>
              <w:t xml:space="preserve"> Explicit teaching is effective in accelerating student performance and was found to have an effect size of 0.59 (Hattie, 2009). Explicit teaching is not limited to content and effective teachers explicitly teach learning behaviours by identifying where students have not acquired learning behaviours and modelling, </w:t>
            </w:r>
            <w:proofErr w:type="gramStart"/>
            <w:r>
              <w:t>providing</w:t>
            </w:r>
            <w:proofErr w:type="gramEnd"/>
            <w:r>
              <w:t xml:space="preserve"> examples and reinforcing through feedback (Goss et al., 2017).</w:t>
            </w:r>
          </w:p>
          <w:p w14:paraId="194EE33D" w14:textId="77777777" w:rsidR="00FB0C73" w:rsidRDefault="00FB0C73" w:rsidP="003C34CD">
            <w:pPr>
              <w:pStyle w:val="Bullet1"/>
            </w:pPr>
            <w:r>
              <w:rPr>
                <w:b/>
                <w:bCs/>
              </w:rPr>
              <w:t>Worked examples:</w:t>
            </w:r>
            <w:r>
              <w:t xml:space="preserve"> A large body of research studies has indicated positive effects of worked examples on students’ learning, especially for learners who are new to a specific task domain (Chen et al., 2019). The use of worked examples is particularly effective when explaining multi-step tasks (Hattie, 2013)</w:t>
            </w:r>
          </w:p>
          <w:p w14:paraId="02705E00" w14:textId="5A8EE9F8" w:rsidR="00FB0C73" w:rsidRDefault="00FB0C73" w:rsidP="003C34CD">
            <w:pPr>
              <w:pStyle w:val="Bullet1"/>
            </w:pPr>
            <w:r>
              <w:rPr>
                <w:b/>
                <w:bCs/>
              </w:rPr>
              <w:t>Collaborative learning:</w:t>
            </w:r>
            <w:r>
              <w:t xml:space="preserve"> Research consistently finds that collaborative approaches have a positive impact on student learning (Evidence for Learning, 2019</w:t>
            </w:r>
            <w:r w:rsidR="00DE7FBB">
              <w:t>c</w:t>
            </w:r>
            <w:r>
              <w:t>). Student peer tutoring is also an effective intervention across a range of contexts, but potentially especially valuable to students with emotional and behavioural disorders (Bowman-Perrott et al., 2013).</w:t>
            </w:r>
          </w:p>
          <w:p w14:paraId="2BD2DA60" w14:textId="77777777" w:rsidR="00FB0C73" w:rsidRDefault="00FB0C73" w:rsidP="003C34CD">
            <w:pPr>
              <w:pStyle w:val="Bullet1"/>
            </w:pPr>
            <w:r>
              <w:rPr>
                <w:b/>
                <w:bCs/>
              </w:rPr>
              <w:lastRenderedPageBreak/>
              <w:t>Multiple exposures:</w:t>
            </w:r>
            <w:r>
              <w:t xml:space="preserve"> Research demonstrates deep learning develops over time via multiple, spaced interactions with new knowledge and concepts (Kang, 2016).</w:t>
            </w:r>
          </w:p>
          <w:p w14:paraId="53106D71" w14:textId="2D18DD59" w:rsidR="00FB0C73" w:rsidRDefault="00FB0C73" w:rsidP="003C34CD">
            <w:pPr>
              <w:pStyle w:val="Bullet1"/>
            </w:pPr>
            <w:r>
              <w:rPr>
                <w:b/>
                <w:bCs/>
              </w:rPr>
              <w:t>Questioning:</w:t>
            </w:r>
            <w:r>
              <w:t xml:space="preserve"> </w:t>
            </w:r>
            <w:r w:rsidR="00D91481">
              <w:t>A</w:t>
            </w:r>
            <w:r>
              <w:t>sking questions enables teachers to check for understanding, motivates students, leads students to think, develops problem solving skills and can improving academic achievement outcomes (Buchanan Hill, 2016). The most effective questions are high order ‘why?’ ‘</w:t>
            </w:r>
            <w:proofErr w:type="gramStart"/>
            <w:r>
              <w:t>how</w:t>
            </w:r>
            <w:proofErr w:type="gramEnd"/>
            <w:r>
              <w:t>?” and ‘which is best?’ questions that make students think. This requires processing time and may be more effective in pairs than alone.</w:t>
            </w:r>
          </w:p>
          <w:p w14:paraId="38436D5B" w14:textId="40F21657" w:rsidR="00FB0C73" w:rsidRDefault="00FB0C73" w:rsidP="00DE7FBB">
            <w:pPr>
              <w:pStyle w:val="Bullet1"/>
            </w:pPr>
            <w:r>
              <w:rPr>
                <w:b/>
                <w:bCs/>
              </w:rPr>
              <w:t>Feedback:</w:t>
            </w:r>
            <w:r>
              <w:t xml:space="preserve"> Effective feedback is</w:t>
            </w:r>
            <w:r w:rsidR="00D91481">
              <w:t xml:space="preserve"> </w:t>
            </w:r>
            <w:r>
              <w:t xml:space="preserve">specific, accurate and clear; compares what a learner is doing right now with what they have done wrong </w:t>
            </w:r>
            <w:proofErr w:type="gramStart"/>
            <w:r>
              <w:t>before, and</w:t>
            </w:r>
            <w:proofErr w:type="gramEnd"/>
            <w:r>
              <w:t xml:space="preserve"> encourages and supports further effort (Evidence for Learning, 2019</w:t>
            </w:r>
            <w:r w:rsidR="00DE7FBB">
              <w:t>c</w:t>
            </w:r>
            <w:r>
              <w:t>). Those studies showing the highest effect sizes involved students receiving information feedback about a task and how to do it more effectively. Lower effect sizes were related to praise, rewards, and punishment (Hattie &amp; Timperley, 2007).</w:t>
            </w:r>
          </w:p>
          <w:p w14:paraId="0DC705B7" w14:textId="60269B08" w:rsidR="00FB0C73" w:rsidRDefault="00FB0C73" w:rsidP="003C34CD">
            <w:pPr>
              <w:pStyle w:val="Bullet1"/>
            </w:pPr>
            <w:r>
              <w:rPr>
                <w:b/>
                <w:bCs/>
              </w:rPr>
              <w:t>Metacognitive strategies:</w:t>
            </w:r>
            <w:r>
              <w:t xml:space="preserve"> Metacognitive strategies support students to think about their own learning and consistently have high levels of impact on student academic achievement (Evidence for learning, 2019</w:t>
            </w:r>
            <w:r w:rsidR="00DE7FBB">
              <w:t>c</w:t>
            </w:r>
            <w:r>
              <w:t>). Effective teachers help students develop strategies to help them solve different types of problems (</w:t>
            </w:r>
            <w:proofErr w:type="spellStart"/>
            <w:r>
              <w:t>Kyriakides</w:t>
            </w:r>
            <w:proofErr w:type="spellEnd"/>
            <w:r>
              <w:t xml:space="preserve"> et al., 2013).</w:t>
            </w:r>
          </w:p>
          <w:p w14:paraId="25559436" w14:textId="77777777" w:rsidR="00FB0C73" w:rsidRDefault="00FB0C73" w:rsidP="003C34CD">
            <w:pPr>
              <w:pStyle w:val="Bullet1"/>
            </w:pPr>
            <w:r>
              <w:rPr>
                <w:b/>
                <w:bCs/>
              </w:rPr>
              <w:t>Differentiated teaching:</w:t>
            </w:r>
            <w:r>
              <w:t xml:space="preserve"> Students come to learning with different levels of readiness, interest and pre-existing knowledge and learning does not happen at a pre-determined pace. Teaching can be differentiated by modifying the content, process, </w:t>
            </w:r>
            <w:proofErr w:type="gramStart"/>
            <w:r>
              <w:t>product</w:t>
            </w:r>
            <w:proofErr w:type="gramEnd"/>
            <w:r>
              <w:t xml:space="preserve"> or environment (Subban, 2006; Taylor, 2015).</w:t>
            </w:r>
          </w:p>
          <w:p w14:paraId="403655A3" w14:textId="77777777" w:rsidR="00FB0C73" w:rsidRPr="00FB0C73" w:rsidRDefault="00FB0C73" w:rsidP="00FB0C73">
            <w:pPr>
              <w:rPr>
                <w:b/>
                <w:bCs/>
                <w:lang w:val="en-AU"/>
              </w:rPr>
            </w:pPr>
            <w:r w:rsidRPr="00FB0C73">
              <w:rPr>
                <w:b/>
                <w:bCs/>
                <w:lang w:val="en-AU"/>
              </w:rPr>
              <w:t>High impact engagement strategies</w:t>
            </w:r>
          </w:p>
          <w:p w14:paraId="7F803709" w14:textId="5B413B34" w:rsidR="00FB0C73" w:rsidRDefault="00FB0C73" w:rsidP="00FB0C73">
            <w:pPr>
              <w:rPr>
                <w:lang w:val="en-AU"/>
              </w:rPr>
            </w:pPr>
            <w:r>
              <w:rPr>
                <w:lang w:val="en-AU"/>
              </w:rPr>
              <w:t xml:space="preserve">High </w:t>
            </w:r>
            <w:r w:rsidR="008874FF">
              <w:rPr>
                <w:lang w:val="en-AU"/>
              </w:rPr>
              <w:t>i</w:t>
            </w:r>
            <w:r>
              <w:rPr>
                <w:lang w:val="en-AU"/>
              </w:rPr>
              <w:t xml:space="preserve">mpact </w:t>
            </w:r>
            <w:r w:rsidR="008874FF">
              <w:rPr>
                <w:lang w:val="en-AU"/>
              </w:rPr>
              <w:t>e</w:t>
            </w:r>
            <w:r>
              <w:rPr>
                <w:lang w:val="en-AU"/>
              </w:rPr>
              <w:t xml:space="preserve">ngagement </w:t>
            </w:r>
            <w:r w:rsidR="008874FF">
              <w:rPr>
                <w:lang w:val="en-AU"/>
              </w:rPr>
              <w:t>s</w:t>
            </w:r>
            <w:r>
              <w:rPr>
                <w:lang w:val="en-AU"/>
              </w:rPr>
              <w:t>trategies assist educators in supporting students</w:t>
            </w:r>
            <w:r w:rsidR="00621CC1">
              <w:rPr>
                <w:lang w:val="en-AU"/>
              </w:rPr>
              <w:t xml:space="preserve"> with</w:t>
            </w:r>
            <w:r>
              <w:rPr>
                <w:lang w:val="en-AU"/>
              </w:rPr>
              <w:t xml:space="preserve"> reaching their potential</w:t>
            </w:r>
            <w:r w:rsidR="00145EE4">
              <w:rPr>
                <w:lang w:val="en-AU"/>
              </w:rPr>
              <w:t xml:space="preserve">, to </w:t>
            </w:r>
            <w:r>
              <w:rPr>
                <w:lang w:val="en-AU"/>
              </w:rPr>
              <w:t>maximis</w:t>
            </w:r>
            <w:r w:rsidR="00145EE4">
              <w:rPr>
                <w:lang w:val="en-AU"/>
              </w:rPr>
              <w:t>e</w:t>
            </w:r>
            <w:r>
              <w:rPr>
                <w:lang w:val="en-AU"/>
              </w:rPr>
              <w:t xml:space="preserve"> the growth and development of all students. They emphasise social-emotional competence and relationship building (</w:t>
            </w:r>
            <w:proofErr w:type="spellStart"/>
            <w:r>
              <w:rPr>
                <w:lang w:val="en-AU"/>
              </w:rPr>
              <w:t>Poed</w:t>
            </w:r>
            <w:proofErr w:type="spellEnd"/>
            <w:r>
              <w:rPr>
                <w:lang w:val="en-AU"/>
              </w:rPr>
              <w:t xml:space="preserve">, Cowan and </w:t>
            </w:r>
            <w:proofErr w:type="spellStart"/>
            <w:r>
              <w:rPr>
                <w:lang w:val="en-AU"/>
              </w:rPr>
              <w:t>Sain</w:t>
            </w:r>
            <w:proofErr w:type="spellEnd"/>
            <w:r>
              <w:rPr>
                <w:lang w:val="en-AU"/>
              </w:rPr>
              <w:t xml:space="preserve"> 2020).</w:t>
            </w:r>
          </w:p>
          <w:p w14:paraId="74CC58E4" w14:textId="020B099A" w:rsidR="00FB0C73" w:rsidRDefault="00FB0C73" w:rsidP="00FB0C73">
            <w:pPr>
              <w:rPr>
                <w:lang w:val="en-AU"/>
              </w:rPr>
            </w:pPr>
            <w:r>
              <w:rPr>
                <w:lang w:val="en-AU"/>
              </w:rPr>
              <w:t xml:space="preserve">The use of </w:t>
            </w:r>
            <w:r w:rsidR="008874FF">
              <w:rPr>
                <w:lang w:val="en-AU"/>
              </w:rPr>
              <w:t>such strategies</w:t>
            </w:r>
            <w:r>
              <w:rPr>
                <w:lang w:val="en-AU"/>
              </w:rPr>
              <w:t xml:space="preserve"> can help generate trust and positive climate for learning in schools. </w:t>
            </w:r>
            <w:r w:rsidR="007522DD">
              <w:rPr>
                <w:lang w:val="en-AU"/>
              </w:rPr>
              <w:t>They also</w:t>
            </w:r>
            <w:r>
              <w:rPr>
                <w:lang w:val="en-AU"/>
              </w:rPr>
              <w:t xml:space="preserve"> motivate students to engage authentically in their learning and maintain positive relationships across</w:t>
            </w:r>
            <w:r w:rsidR="007522DD">
              <w:rPr>
                <w:lang w:val="en-AU"/>
              </w:rPr>
              <w:t xml:space="preserve"> a</w:t>
            </w:r>
            <w:r>
              <w:rPr>
                <w:lang w:val="en-AU"/>
              </w:rPr>
              <w:t xml:space="preserve"> school community (</w:t>
            </w:r>
            <w:proofErr w:type="spellStart"/>
            <w:r>
              <w:rPr>
                <w:lang w:val="en-AU"/>
              </w:rPr>
              <w:t>Poed</w:t>
            </w:r>
            <w:proofErr w:type="spellEnd"/>
            <w:r>
              <w:rPr>
                <w:lang w:val="en-AU"/>
              </w:rPr>
              <w:t xml:space="preserve">, Cowan and </w:t>
            </w:r>
            <w:proofErr w:type="spellStart"/>
            <w:r>
              <w:rPr>
                <w:lang w:val="en-AU"/>
              </w:rPr>
              <w:t>Sain</w:t>
            </w:r>
            <w:proofErr w:type="spellEnd"/>
            <w:r>
              <w:rPr>
                <w:lang w:val="en-AU"/>
              </w:rPr>
              <w:t xml:space="preserve"> 2020). </w:t>
            </w:r>
            <w:r w:rsidR="00B15001">
              <w:rPr>
                <w:lang w:val="en-AU"/>
              </w:rPr>
              <w:t>Strategies</w:t>
            </w:r>
            <w:r w:rsidRPr="00BD1304">
              <w:rPr>
                <w:rFonts w:cstheme="minorHAnsi"/>
                <w:szCs w:val="22"/>
              </w:rPr>
              <w:t xml:space="preserve"> consistently identified as </w:t>
            </w:r>
            <w:r w:rsidR="00FF602D">
              <w:rPr>
                <w:rFonts w:cstheme="minorHAnsi"/>
                <w:szCs w:val="22"/>
              </w:rPr>
              <w:t>high impact may</w:t>
            </w:r>
            <w:r w:rsidRPr="00BD1304">
              <w:rPr>
                <w:rFonts w:cstheme="minorHAnsi"/>
                <w:szCs w:val="22"/>
              </w:rPr>
              <w:t xml:space="preserve"> include:</w:t>
            </w:r>
          </w:p>
          <w:p w14:paraId="5E7B1026" w14:textId="3981EBE1" w:rsidR="00FB0C73" w:rsidRDefault="00FB0C73" w:rsidP="00FB0C73">
            <w:pPr>
              <w:pStyle w:val="Bullet1"/>
            </w:pPr>
            <w:r w:rsidRPr="008E3045">
              <w:rPr>
                <w:b/>
                <w:bCs/>
              </w:rPr>
              <w:t>Empathy:</w:t>
            </w:r>
            <w:r>
              <w:t xml:space="preserve"> </w:t>
            </w:r>
            <w:r w:rsidR="002870EE">
              <w:t xml:space="preserve">Showing empathy to demonstrate </w:t>
            </w:r>
            <w:r>
              <w:t>genuine interest, care and concern for students and their learning (Swan &amp; Rile, 2015)</w:t>
            </w:r>
            <w:r w:rsidR="0059452A">
              <w:t>.</w:t>
            </w:r>
          </w:p>
          <w:p w14:paraId="32275C3F" w14:textId="1C8493A1" w:rsidR="00FB0C73" w:rsidRDefault="00FB0C73" w:rsidP="00FB0C73">
            <w:pPr>
              <w:pStyle w:val="Bullet1"/>
            </w:pPr>
            <w:r w:rsidRPr="008E3045">
              <w:rPr>
                <w:b/>
                <w:bCs/>
              </w:rPr>
              <w:t xml:space="preserve">Unconditional </w:t>
            </w:r>
            <w:r w:rsidR="004F6886">
              <w:rPr>
                <w:b/>
                <w:bCs/>
              </w:rPr>
              <w:t>p</w:t>
            </w:r>
            <w:r w:rsidRPr="008E3045">
              <w:rPr>
                <w:b/>
                <w:bCs/>
              </w:rPr>
              <w:t xml:space="preserve">ositive </w:t>
            </w:r>
            <w:r w:rsidR="004F6886">
              <w:rPr>
                <w:b/>
                <w:bCs/>
              </w:rPr>
              <w:t>r</w:t>
            </w:r>
            <w:r w:rsidRPr="008E3045">
              <w:rPr>
                <w:b/>
                <w:bCs/>
              </w:rPr>
              <w:t>egard:</w:t>
            </w:r>
            <w:r>
              <w:t xml:space="preserve"> Having genuine respect for students</w:t>
            </w:r>
            <w:r w:rsidR="00B0237C">
              <w:t xml:space="preserve"> and</w:t>
            </w:r>
            <w:r>
              <w:t xml:space="preserve"> demonstrating an ability to separate a student’s behaviour to them as an individual (</w:t>
            </w:r>
            <w:proofErr w:type="spellStart"/>
            <w:r>
              <w:t>Poed</w:t>
            </w:r>
            <w:proofErr w:type="spellEnd"/>
            <w:r>
              <w:t xml:space="preserve">, Cowan and </w:t>
            </w:r>
            <w:proofErr w:type="spellStart"/>
            <w:r>
              <w:t>Sain</w:t>
            </w:r>
            <w:proofErr w:type="spellEnd"/>
            <w:r>
              <w:t xml:space="preserve"> 2020)</w:t>
            </w:r>
            <w:r w:rsidR="0059452A">
              <w:t>.</w:t>
            </w:r>
          </w:p>
          <w:p w14:paraId="2B0A9995" w14:textId="68DF9D68" w:rsidR="00FB0C73" w:rsidRDefault="00FB0C73" w:rsidP="00FB0C73">
            <w:pPr>
              <w:pStyle w:val="Bullet1"/>
            </w:pPr>
            <w:r w:rsidRPr="008E3045">
              <w:rPr>
                <w:b/>
                <w:bCs/>
              </w:rPr>
              <w:t xml:space="preserve">Relationship </w:t>
            </w:r>
            <w:r w:rsidR="004F6886">
              <w:rPr>
                <w:b/>
                <w:bCs/>
              </w:rPr>
              <w:t>b</w:t>
            </w:r>
            <w:r w:rsidRPr="008E3045">
              <w:rPr>
                <w:b/>
                <w:bCs/>
              </w:rPr>
              <w:t>uilding:</w:t>
            </w:r>
            <w:r>
              <w:t xml:space="preserve"> </w:t>
            </w:r>
            <w:r w:rsidR="00820F2F">
              <w:t>Proactively supporting</w:t>
            </w:r>
            <w:r>
              <w:t xml:space="preserve"> the development of relationships</w:t>
            </w:r>
            <w:r w:rsidR="00820F2F">
              <w:t xml:space="preserve"> - </w:t>
            </w:r>
            <w:r>
              <w:t xml:space="preserve">cultivating, maintaining, </w:t>
            </w:r>
            <w:proofErr w:type="gramStart"/>
            <w:r>
              <w:t>repairing</w:t>
            </w:r>
            <w:proofErr w:type="gramEnd"/>
            <w:r>
              <w:t xml:space="preserve"> and restoring authentic relationships (Duong et al., 2019 in </w:t>
            </w:r>
            <w:proofErr w:type="spellStart"/>
            <w:r>
              <w:t>Poed</w:t>
            </w:r>
            <w:proofErr w:type="spellEnd"/>
            <w:r>
              <w:t xml:space="preserve">, Cowan and </w:t>
            </w:r>
            <w:proofErr w:type="spellStart"/>
            <w:r>
              <w:t>Sain</w:t>
            </w:r>
            <w:proofErr w:type="spellEnd"/>
            <w:r>
              <w:t xml:space="preserve"> 2020)</w:t>
            </w:r>
            <w:r w:rsidR="0059452A">
              <w:t>.</w:t>
            </w:r>
          </w:p>
          <w:p w14:paraId="50B2A18D" w14:textId="399A4005" w:rsidR="00FB0C73" w:rsidRDefault="00FB0C73" w:rsidP="00FB0C73">
            <w:pPr>
              <w:pStyle w:val="Bullet1"/>
            </w:pPr>
            <w:r w:rsidRPr="008E3045">
              <w:rPr>
                <w:b/>
                <w:bCs/>
              </w:rPr>
              <w:t>Pragmatics:</w:t>
            </w:r>
            <w:r>
              <w:t xml:space="preserve"> </w:t>
            </w:r>
            <w:r w:rsidR="00820F2F">
              <w:t xml:space="preserve">Being </w:t>
            </w:r>
            <w:r>
              <w:t>aware of verbal and non-verbal communication styles and cues (</w:t>
            </w:r>
            <w:proofErr w:type="spellStart"/>
            <w:r>
              <w:t>Poed</w:t>
            </w:r>
            <w:proofErr w:type="spellEnd"/>
            <w:r>
              <w:t xml:space="preserve">, Cowan and </w:t>
            </w:r>
            <w:proofErr w:type="spellStart"/>
            <w:r>
              <w:t>Sain</w:t>
            </w:r>
            <w:proofErr w:type="spellEnd"/>
            <w:r>
              <w:t xml:space="preserve"> 2020).</w:t>
            </w:r>
          </w:p>
          <w:p w14:paraId="6FEC6F71" w14:textId="57336F71" w:rsidR="00FB0C73" w:rsidRDefault="00FB0C73" w:rsidP="00FB0C73">
            <w:pPr>
              <w:pStyle w:val="Bullet1"/>
            </w:pPr>
            <w:r w:rsidRPr="008E3045">
              <w:rPr>
                <w:b/>
                <w:bCs/>
              </w:rPr>
              <w:t>Predictability:</w:t>
            </w:r>
            <w:r>
              <w:t xml:space="preserve"> </w:t>
            </w:r>
            <w:r w:rsidR="00820F2F">
              <w:t>Providing</w:t>
            </w:r>
            <w:r>
              <w:t xml:space="preserve"> predictability with classroom organisation and lesson structure</w:t>
            </w:r>
            <w:r w:rsidR="00820F2F">
              <w:t>s to</w:t>
            </w:r>
            <w:r>
              <w:t xml:space="preserve"> ensures students, particularly those who may struggle with organisation or who have experienced trauma</w:t>
            </w:r>
            <w:r w:rsidR="00FF602D">
              <w:t xml:space="preserve"> </w:t>
            </w:r>
            <w:r>
              <w:t>(</w:t>
            </w:r>
            <w:proofErr w:type="spellStart"/>
            <w:r>
              <w:t>Poed</w:t>
            </w:r>
            <w:proofErr w:type="spellEnd"/>
            <w:r>
              <w:t xml:space="preserve">, Cowan and </w:t>
            </w:r>
            <w:proofErr w:type="spellStart"/>
            <w:r>
              <w:t>Sain</w:t>
            </w:r>
            <w:proofErr w:type="spellEnd"/>
            <w:r>
              <w:t xml:space="preserve"> 2020)</w:t>
            </w:r>
            <w:r w:rsidR="0059452A">
              <w:t>.</w:t>
            </w:r>
          </w:p>
          <w:p w14:paraId="5C7C3E5B" w14:textId="3B0E106A" w:rsidR="00FB0C73" w:rsidRDefault="00FB0C73" w:rsidP="00FB0C73">
            <w:pPr>
              <w:pStyle w:val="Bullet1"/>
            </w:pPr>
            <w:r w:rsidRPr="008E3045">
              <w:rPr>
                <w:b/>
                <w:bCs/>
              </w:rPr>
              <w:t xml:space="preserve">Explicit </w:t>
            </w:r>
            <w:r w:rsidR="004F6886">
              <w:rPr>
                <w:b/>
                <w:bCs/>
              </w:rPr>
              <w:t>b</w:t>
            </w:r>
            <w:r w:rsidRPr="008E3045">
              <w:rPr>
                <w:b/>
                <w:bCs/>
              </w:rPr>
              <w:t xml:space="preserve">ehavioural </w:t>
            </w:r>
            <w:r w:rsidR="004F6886">
              <w:rPr>
                <w:b/>
                <w:bCs/>
              </w:rPr>
              <w:t>e</w:t>
            </w:r>
            <w:r w:rsidRPr="008E3045">
              <w:rPr>
                <w:b/>
                <w:bCs/>
              </w:rPr>
              <w:t>xpectations:</w:t>
            </w:r>
            <w:r>
              <w:t xml:space="preserve"> </w:t>
            </w:r>
            <w:r w:rsidR="00726826">
              <w:t>Providing</w:t>
            </w:r>
            <w:r>
              <w:t xml:space="preserve"> explicit behavioural expectations, framed in a positive manner, </w:t>
            </w:r>
            <w:r w:rsidR="00726826">
              <w:t xml:space="preserve">to </w:t>
            </w:r>
            <w:r>
              <w:t xml:space="preserve">reinforce positive behaviours that need to be exhibited </w:t>
            </w:r>
            <w:r w:rsidR="00726826">
              <w:t>for establishing</w:t>
            </w:r>
            <w:r>
              <w:t xml:space="preserve"> successful learning environments (</w:t>
            </w:r>
            <w:proofErr w:type="spellStart"/>
            <w:r>
              <w:t>Poed</w:t>
            </w:r>
            <w:proofErr w:type="spellEnd"/>
            <w:r>
              <w:t xml:space="preserve">, Cowan and </w:t>
            </w:r>
            <w:proofErr w:type="spellStart"/>
            <w:r>
              <w:t>Sain</w:t>
            </w:r>
            <w:proofErr w:type="spellEnd"/>
            <w:r>
              <w:t xml:space="preserve"> 2020).</w:t>
            </w:r>
          </w:p>
          <w:p w14:paraId="076C35C2" w14:textId="092BB114" w:rsidR="00E9569B" w:rsidRDefault="00FB0C73" w:rsidP="00FB0C73">
            <w:pPr>
              <w:pStyle w:val="Bullet1"/>
            </w:pPr>
            <w:r w:rsidRPr="008E3045">
              <w:rPr>
                <w:b/>
                <w:bCs/>
              </w:rPr>
              <w:t xml:space="preserve">Motivating towards change: </w:t>
            </w:r>
            <w:r>
              <w:t xml:space="preserve">Supporting students find their internal motivation to make necessary changes that will enable them to reach their goals. Teachers can support by </w:t>
            </w:r>
            <w:r>
              <w:lastRenderedPageBreak/>
              <w:t>asking open-ended questions, paraphrasing, summarising,</w:t>
            </w:r>
            <w:r w:rsidR="006421D2">
              <w:t xml:space="preserve"> providing</w:t>
            </w:r>
            <w:r>
              <w:t xml:space="preserve"> affirmations and </w:t>
            </w:r>
            <w:r w:rsidR="006421D2">
              <w:t xml:space="preserve">promoting </w:t>
            </w:r>
            <w:r>
              <w:t>reflective thinking (</w:t>
            </w:r>
            <w:proofErr w:type="spellStart"/>
            <w:r>
              <w:t>Poed</w:t>
            </w:r>
            <w:proofErr w:type="spellEnd"/>
            <w:r>
              <w:t xml:space="preserve">, </w:t>
            </w:r>
            <w:proofErr w:type="spellStart"/>
            <w:r>
              <w:t>Cown</w:t>
            </w:r>
            <w:proofErr w:type="spellEnd"/>
            <w:r>
              <w:t xml:space="preserve"> and </w:t>
            </w:r>
            <w:proofErr w:type="spellStart"/>
            <w:r>
              <w:t>Sain</w:t>
            </w:r>
            <w:proofErr w:type="spellEnd"/>
            <w:r>
              <w:t xml:space="preserve"> 2020).</w:t>
            </w:r>
          </w:p>
          <w:p w14:paraId="25711016" w14:textId="35D8E816" w:rsidR="00FB0C73" w:rsidRDefault="00FB0C73" w:rsidP="00FB0C73">
            <w:pPr>
              <w:pStyle w:val="Bullet1"/>
            </w:pPr>
            <w:r w:rsidRPr="008E3045">
              <w:rPr>
                <w:b/>
                <w:bCs/>
              </w:rPr>
              <w:t xml:space="preserve">Defusing </w:t>
            </w:r>
            <w:r w:rsidR="004F6886">
              <w:rPr>
                <w:b/>
                <w:bCs/>
              </w:rPr>
              <w:t>d</w:t>
            </w:r>
            <w:r w:rsidRPr="008E3045">
              <w:rPr>
                <w:b/>
                <w:bCs/>
              </w:rPr>
              <w:t>iscord:</w:t>
            </w:r>
            <w:r>
              <w:t xml:space="preserve"> </w:t>
            </w:r>
            <w:r w:rsidR="00E57318">
              <w:t xml:space="preserve">Students to </w:t>
            </w:r>
            <w:r>
              <w:t>work with discord rather than confronting it directly</w:t>
            </w:r>
            <w:r w:rsidR="00E57318">
              <w:t xml:space="preserve"> to help change habitual behaviour</w:t>
            </w:r>
            <w:r>
              <w:t xml:space="preserve"> (</w:t>
            </w:r>
            <w:proofErr w:type="spellStart"/>
            <w:r>
              <w:t>Poed</w:t>
            </w:r>
            <w:proofErr w:type="spellEnd"/>
            <w:r>
              <w:t xml:space="preserve">, </w:t>
            </w:r>
            <w:proofErr w:type="spellStart"/>
            <w:r>
              <w:t>Cown</w:t>
            </w:r>
            <w:proofErr w:type="spellEnd"/>
            <w:r>
              <w:t xml:space="preserve"> and </w:t>
            </w:r>
            <w:proofErr w:type="spellStart"/>
            <w:r>
              <w:t>Sain</w:t>
            </w:r>
            <w:proofErr w:type="spellEnd"/>
            <w:r>
              <w:t xml:space="preserve"> 2020).</w:t>
            </w:r>
          </w:p>
          <w:p w14:paraId="50D4D805" w14:textId="588011A7" w:rsidR="000901AE" w:rsidRDefault="00FB0C73" w:rsidP="00FB0C73">
            <w:pPr>
              <w:pStyle w:val="Bullet1"/>
            </w:pPr>
            <w:r w:rsidRPr="008E3045">
              <w:rPr>
                <w:b/>
                <w:bCs/>
              </w:rPr>
              <w:t>Self-regulation to co-regulation:</w:t>
            </w:r>
            <w:r>
              <w:t xml:space="preserve"> </w:t>
            </w:r>
            <w:r w:rsidR="00E57318">
              <w:t>Supporting students</w:t>
            </w:r>
            <w:r>
              <w:t xml:space="preserve"> self-regulate </w:t>
            </w:r>
            <w:r w:rsidR="004F6886">
              <w:t>for</w:t>
            </w:r>
            <w:r w:rsidR="00E57318">
              <w:t xml:space="preserve"> them to</w:t>
            </w:r>
            <w:r>
              <w:t xml:space="preserve"> learn (Baron et al., 2016). Caregivers, </w:t>
            </w:r>
            <w:proofErr w:type="gramStart"/>
            <w:r>
              <w:t>teachers</w:t>
            </w:r>
            <w:proofErr w:type="gramEnd"/>
            <w:r>
              <w:t xml:space="preserve"> and other supportive adults can support student in developing this still through modelling how to regulate emotions (Housman, 2017).</w:t>
            </w:r>
          </w:p>
          <w:p w14:paraId="5EAAAB2D" w14:textId="21213193" w:rsidR="00FB0C73" w:rsidRPr="000901AE" w:rsidRDefault="00FB0C73" w:rsidP="00FB0C73">
            <w:pPr>
              <w:pStyle w:val="Bullet1"/>
            </w:pPr>
            <w:r w:rsidRPr="000901AE">
              <w:rPr>
                <w:b/>
                <w:bCs/>
              </w:rPr>
              <w:t>Repair:</w:t>
            </w:r>
            <w:r w:rsidRPr="000901AE">
              <w:t xml:space="preserve"> </w:t>
            </w:r>
            <w:r w:rsidR="00120CE8">
              <w:t>R</w:t>
            </w:r>
            <w:r w:rsidRPr="000901AE">
              <w:t>econnect and re-engag</w:t>
            </w:r>
            <w:r w:rsidR="00120CE8">
              <w:t>ing</w:t>
            </w:r>
            <w:r w:rsidRPr="000901AE">
              <w:t xml:space="preserve"> after a negative reaction. Teachers can support this by providing examples and modelling how this can occur</w:t>
            </w:r>
            <w:r w:rsidR="0059452A">
              <w:t>, such as</w:t>
            </w:r>
            <w:r w:rsidRPr="000901AE">
              <w:t xml:space="preserve"> by demonstrating self-awareness of issues, accepting </w:t>
            </w:r>
            <w:proofErr w:type="gramStart"/>
            <w:r w:rsidRPr="000901AE">
              <w:t>fault</w:t>
            </w:r>
            <w:proofErr w:type="gramEnd"/>
            <w:r w:rsidRPr="000901AE">
              <w:t xml:space="preserve"> and collaborating with students on strategies to avoid situations (</w:t>
            </w:r>
            <w:proofErr w:type="spellStart"/>
            <w:r w:rsidRPr="000901AE">
              <w:t>Poed</w:t>
            </w:r>
            <w:proofErr w:type="spellEnd"/>
            <w:r w:rsidRPr="000901AE">
              <w:t xml:space="preserve">, </w:t>
            </w:r>
            <w:proofErr w:type="spellStart"/>
            <w:r w:rsidRPr="000901AE">
              <w:t>Cown</w:t>
            </w:r>
            <w:proofErr w:type="spellEnd"/>
            <w:r w:rsidRPr="000901AE">
              <w:t xml:space="preserve"> and </w:t>
            </w:r>
            <w:proofErr w:type="spellStart"/>
            <w:r w:rsidRPr="000901AE">
              <w:t>Sain</w:t>
            </w:r>
            <w:proofErr w:type="spellEnd"/>
            <w:r w:rsidRPr="000901AE">
              <w:t xml:space="preserve"> 2020).</w:t>
            </w:r>
          </w:p>
          <w:p w14:paraId="5475BE3B" w14:textId="77777777" w:rsidR="00FB0C73" w:rsidRPr="00F33CEA" w:rsidRDefault="00FB0C73" w:rsidP="00FB0C73">
            <w:pPr>
              <w:rPr>
                <w:b/>
                <w:bCs/>
              </w:rPr>
            </w:pPr>
            <w:r w:rsidRPr="00F33CEA">
              <w:rPr>
                <w:b/>
                <w:bCs/>
              </w:rPr>
              <w:t xml:space="preserve">Shared and responsive teaching and learning model </w:t>
            </w:r>
          </w:p>
          <w:p w14:paraId="36EF2D9F" w14:textId="09A86E89" w:rsidR="00FB0C73" w:rsidRPr="00FB0C73" w:rsidRDefault="00FB0C73" w:rsidP="00FB0C73">
            <w:pPr>
              <w:rPr>
                <w:lang w:val="en-AU"/>
              </w:rPr>
            </w:pPr>
            <w:r>
              <w:rPr>
                <w:lang w:val="en-AU"/>
              </w:rPr>
              <w:t>A s</w:t>
            </w:r>
            <w:r w:rsidRPr="000F2F87">
              <w:rPr>
                <w:lang w:val="en-AU"/>
              </w:rPr>
              <w:t xml:space="preserve">hared teaching and learning model can help teachers align learning </w:t>
            </w:r>
            <w:r>
              <w:rPr>
                <w:lang w:val="en-AU"/>
              </w:rPr>
              <w:t xml:space="preserve">experiences and educational activities with learning </w:t>
            </w:r>
            <w:r w:rsidRPr="000F2F87">
              <w:rPr>
                <w:lang w:val="en-AU"/>
              </w:rPr>
              <w:t>goals</w:t>
            </w:r>
            <w:r w:rsidR="0010088D">
              <w:rPr>
                <w:lang w:val="en-AU"/>
              </w:rPr>
              <w:t>, and with</w:t>
            </w:r>
            <w:r w:rsidRPr="000F2F87">
              <w:rPr>
                <w:lang w:val="en-AU"/>
              </w:rPr>
              <w:t xml:space="preserve"> engag</w:t>
            </w:r>
            <w:r w:rsidR="0010088D">
              <w:rPr>
                <w:lang w:val="en-AU"/>
              </w:rPr>
              <w:t>ing</w:t>
            </w:r>
            <w:r w:rsidRPr="000F2F87">
              <w:rPr>
                <w:lang w:val="en-AU"/>
              </w:rPr>
              <w:t xml:space="preserve"> students in inclusive</w:t>
            </w:r>
            <w:r>
              <w:rPr>
                <w:lang w:val="en-AU"/>
              </w:rPr>
              <w:t xml:space="preserve"> and motivating</w:t>
            </w:r>
            <w:r w:rsidRPr="000F2F87">
              <w:rPr>
                <w:lang w:val="en-AU"/>
              </w:rPr>
              <w:t xml:space="preserve"> environments</w:t>
            </w:r>
            <w:r>
              <w:rPr>
                <w:lang w:val="en-AU"/>
              </w:rPr>
              <w:t xml:space="preserve"> </w:t>
            </w:r>
            <w:r w:rsidRPr="000F2F87">
              <w:rPr>
                <w:lang w:val="en-AU"/>
              </w:rPr>
              <w:t>(Yale, 2021)</w:t>
            </w:r>
            <w:r>
              <w:rPr>
                <w:lang w:val="en-AU"/>
              </w:rPr>
              <w:t xml:space="preserve">. It can also encourage collaboration amongst principals, school leaders, teachers, </w:t>
            </w:r>
            <w:proofErr w:type="gramStart"/>
            <w:r>
              <w:rPr>
                <w:lang w:val="en-AU"/>
              </w:rPr>
              <w:t>students</w:t>
            </w:r>
            <w:proofErr w:type="gramEnd"/>
            <w:r>
              <w:rPr>
                <w:lang w:val="en-AU"/>
              </w:rPr>
              <w:t xml:space="preserve"> and parents/carers and </w:t>
            </w:r>
            <w:r w:rsidR="0010088D">
              <w:rPr>
                <w:lang w:val="en-AU"/>
              </w:rPr>
              <w:t xml:space="preserve">foster </w:t>
            </w:r>
            <w:r>
              <w:rPr>
                <w:lang w:val="en-AU"/>
              </w:rPr>
              <w:t>a shared understanding of effective practice through peer observation, feedback and reflection</w:t>
            </w:r>
            <w:r w:rsidRPr="00246922">
              <w:rPr>
                <w:lang w:val="en-AU"/>
              </w:rPr>
              <w:t xml:space="preserve"> (Macklin and Zbar, 2017).</w:t>
            </w:r>
          </w:p>
        </w:tc>
      </w:tr>
    </w:tbl>
    <w:p w14:paraId="777B57D7" w14:textId="77777777" w:rsidR="00CF17A7" w:rsidRDefault="00CF17A7" w:rsidP="00A360F1">
      <w:pPr>
        <w:pStyle w:val="Heading3"/>
        <w:rPr>
          <w:lang w:val="en-AU"/>
        </w:rPr>
        <w:sectPr w:rsidR="00CF17A7" w:rsidSect="00144FD5">
          <w:headerReference w:type="default" r:id="rId19"/>
          <w:footerReference w:type="default" r:id="rId20"/>
          <w:pgSz w:w="11900" w:h="16840"/>
          <w:pgMar w:top="1134" w:right="1134" w:bottom="1701" w:left="1134" w:header="709" w:footer="709" w:gutter="0"/>
          <w:cols w:space="708"/>
          <w:docGrid w:linePitch="360"/>
        </w:sectPr>
      </w:pPr>
    </w:p>
    <w:p w14:paraId="6B2D7AEB" w14:textId="0F1A1A9B" w:rsidR="001A18A8" w:rsidRDefault="0035192C" w:rsidP="00A360F1">
      <w:pPr>
        <w:pStyle w:val="Heading3"/>
        <w:rPr>
          <w:lang w:val="en-AU"/>
        </w:rPr>
      </w:pPr>
      <w:bookmarkStart w:id="8" w:name="_Toc83882668"/>
      <w:r>
        <w:rPr>
          <w:lang w:val="en-AU"/>
        </w:rPr>
        <w:lastRenderedPageBreak/>
        <w:t>ASSESSMENT</w:t>
      </w:r>
      <w:bookmarkEnd w:id="8"/>
    </w:p>
    <w:p w14:paraId="0D390DD8" w14:textId="1E1AACB7" w:rsidR="004F6E7B" w:rsidRDefault="004F6E7B" w:rsidP="00A360F1">
      <w:pPr>
        <w:pStyle w:val="Heading4"/>
        <w:rPr>
          <w:lang w:val="en-AU"/>
        </w:rPr>
      </w:pPr>
      <w:r w:rsidRPr="004F6E7B">
        <w:rPr>
          <w:lang w:val="en-AU"/>
        </w:rPr>
        <w:t xml:space="preserve">Assessment is the use of evidence </w:t>
      </w:r>
      <w:r w:rsidR="00BB2054">
        <w:rPr>
          <w:lang w:val="en-AU"/>
        </w:rPr>
        <w:t xml:space="preserve">and data by school leaders and teachers </w:t>
      </w:r>
      <w:r w:rsidRPr="004F6E7B">
        <w:rPr>
          <w:lang w:val="en-AU"/>
        </w:rPr>
        <w:t xml:space="preserve">to assess student learning growth, </w:t>
      </w:r>
      <w:proofErr w:type="gramStart"/>
      <w:r w:rsidRPr="004F6E7B">
        <w:rPr>
          <w:lang w:val="en-AU"/>
        </w:rPr>
        <w:t>attainment</w:t>
      </w:r>
      <w:proofErr w:type="gramEnd"/>
      <w:r w:rsidRPr="004F6E7B">
        <w:rPr>
          <w:lang w:val="en-AU"/>
        </w:rPr>
        <w:t xml:space="preserve"> and wellbeing</w:t>
      </w:r>
      <w:r w:rsidR="00BB2054">
        <w:rPr>
          <w:lang w:val="en-AU"/>
        </w:rPr>
        <w:t xml:space="preserve"> capabilities</w:t>
      </w:r>
      <w:r w:rsidRPr="004F6E7B">
        <w:rPr>
          <w:lang w:val="en-AU"/>
        </w:rPr>
        <w:t xml:space="preserve"> </w:t>
      </w:r>
      <w:r w:rsidR="0039738E" w:rsidRPr="0039738E">
        <w:rPr>
          <w:lang w:val="en-AU"/>
        </w:rPr>
        <w:t xml:space="preserve">and </w:t>
      </w:r>
      <w:r w:rsidRPr="004F6E7B">
        <w:rPr>
          <w:lang w:val="en-AU"/>
        </w:rPr>
        <w:t xml:space="preserve">to design and implement priorities for </w:t>
      </w:r>
      <w:r w:rsidR="004D7FEF">
        <w:rPr>
          <w:lang w:val="en-AU"/>
        </w:rPr>
        <w:t>improvement</w:t>
      </w:r>
      <w:r w:rsidRPr="004F6E7B">
        <w:rPr>
          <w:lang w:val="en-AU"/>
        </w:rPr>
        <w:t>.</w:t>
      </w:r>
    </w:p>
    <w:p w14:paraId="0060A434" w14:textId="77777777" w:rsidR="003A4AD0" w:rsidRPr="003A4AD0" w:rsidRDefault="003A4AD0" w:rsidP="003A4AD0">
      <w:pPr>
        <w:rPr>
          <w:lang w:val="en-AU"/>
        </w:rPr>
      </w:pPr>
    </w:p>
    <w:tbl>
      <w:tblPr>
        <w:tblStyle w:val="TableGrid"/>
        <w:tblW w:w="0" w:type="auto"/>
        <w:tblLook w:val="04A0" w:firstRow="1" w:lastRow="0" w:firstColumn="1" w:lastColumn="0" w:noHBand="0" w:noVBand="1"/>
      </w:tblPr>
      <w:tblGrid>
        <w:gridCol w:w="9622"/>
      </w:tblGrid>
      <w:tr w:rsidR="001A3C03" w14:paraId="04CDE8CF" w14:textId="77777777" w:rsidTr="007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E7B21D5" w14:textId="2026A522" w:rsidR="001A3C03" w:rsidRPr="004830C0" w:rsidRDefault="004830C0" w:rsidP="00841675">
            <w:pPr>
              <w:pStyle w:val="Heading4"/>
              <w:outlineLvl w:val="3"/>
              <w:rPr>
                <w:i w:val="0"/>
                <w:iCs w:val="0"/>
                <w:color w:val="FFFFFF" w:themeColor="background1"/>
                <w:lang w:val="en-AU"/>
              </w:rPr>
            </w:pPr>
            <w:r w:rsidRPr="004830C0">
              <w:rPr>
                <w:i w:val="0"/>
                <w:iCs w:val="0"/>
                <w:color w:val="FFFFFF" w:themeColor="background1"/>
                <w:lang w:val="en-US"/>
              </w:rPr>
              <w:t xml:space="preserve">Systematic use of </w:t>
            </w:r>
            <w:r w:rsidRPr="004830C0">
              <w:rPr>
                <w:i w:val="0"/>
                <w:iCs w:val="0"/>
                <w:color w:val="FFFFFF" w:themeColor="background1"/>
                <w:lang w:val="en-AU"/>
              </w:rPr>
              <w:t xml:space="preserve">assessment strategies and measurement practices to obtain and provide feedback on student learning growth, </w:t>
            </w:r>
            <w:proofErr w:type="gramStart"/>
            <w:r w:rsidRPr="004830C0">
              <w:rPr>
                <w:i w:val="0"/>
                <w:iCs w:val="0"/>
                <w:color w:val="FFFFFF" w:themeColor="background1"/>
                <w:lang w:val="en-AU"/>
              </w:rPr>
              <w:t>attainment</w:t>
            </w:r>
            <w:proofErr w:type="gramEnd"/>
            <w:r w:rsidRPr="004830C0">
              <w:rPr>
                <w:i w:val="0"/>
                <w:iCs w:val="0"/>
                <w:color w:val="FFFFFF" w:themeColor="background1"/>
                <w:lang w:val="en-AU"/>
              </w:rPr>
              <w:t xml:space="preserve"> and wellbeing</w:t>
            </w:r>
            <w:r w:rsidR="00745976">
              <w:rPr>
                <w:i w:val="0"/>
                <w:iCs w:val="0"/>
                <w:color w:val="FFFFFF" w:themeColor="background1"/>
                <w:lang w:val="en-AU"/>
              </w:rPr>
              <w:t xml:space="preserve"> capabilities</w:t>
            </w:r>
          </w:p>
        </w:tc>
      </w:tr>
      <w:tr w:rsidR="000901AE" w14:paraId="6127F2E6"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051646DA" w14:textId="2A8B0A29" w:rsidR="003C3B0C" w:rsidRDefault="000901AE" w:rsidP="00FB2164">
            <w:pPr>
              <w:rPr>
                <w:lang w:val="en-AU"/>
              </w:rPr>
            </w:pPr>
            <w:r w:rsidRPr="00FB2164">
              <w:rPr>
                <w:lang w:val="en-AU"/>
              </w:rPr>
              <w:t>Assessment methods and systems influence student behaviour and</w:t>
            </w:r>
            <w:r w:rsidR="00E40530">
              <w:rPr>
                <w:lang w:val="en-AU"/>
              </w:rPr>
              <w:t>,</w:t>
            </w:r>
            <w:r w:rsidRPr="00FB2164">
              <w:rPr>
                <w:lang w:val="en-AU"/>
              </w:rPr>
              <w:t xml:space="preserve"> ultimately</w:t>
            </w:r>
            <w:r w:rsidR="00E40530">
              <w:rPr>
                <w:lang w:val="en-AU"/>
              </w:rPr>
              <w:t>,</w:t>
            </w:r>
            <w:r w:rsidRPr="00FB2164">
              <w:rPr>
                <w:lang w:val="en-AU"/>
              </w:rPr>
              <w:t xml:space="preserve"> student learning. (Rust, 2002</w:t>
            </w:r>
            <w:r w:rsidR="00A50C79">
              <w:rPr>
                <w:lang w:val="en-AU"/>
              </w:rPr>
              <w:t>)</w:t>
            </w:r>
            <w:r w:rsidR="00653207">
              <w:rPr>
                <w:lang w:val="en-AU"/>
              </w:rPr>
              <w:t>. Research shows</w:t>
            </w:r>
            <w:r w:rsidR="00A50C79">
              <w:rPr>
                <w:lang w:val="en-AU"/>
              </w:rPr>
              <w:t xml:space="preserve"> school improvement </w:t>
            </w:r>
            <w:r w:rsidR="00A62169">
              <w:rPr>
                <w:lang w:val="en-AU"/>
              </w:rPr>
              <w:t>is</w:t>
            </w:r>
            <w:r w:rsidR="00A50C79">
              <w:rPr>
                <w:lang w:val="en-AU"/>
              </w:rPr>
              <w:t xml:space="preserve"> driven by effective</w:t>
            </w:r>
            <w:r w:rsidR="003C3B0C">
              <w:rPr>
                <w:lang w:val="en-AU"/>
              </w:rPr>
              <w:t>:</w:t>
            </w:r>
          </w:p>
          <w:p w14:paraId="392589B7" w14:textId="35810703" w:rsidR="003C3B0C" w:rsidRDefault="00A45227" w:rsidP="003C3B0C">
            <w:pPr>
              <w:pStyle w:val="Bullet1"/>
            </w:pPr>
            <w:r>
              <w:t>t</w:t>
            </w:r>
            <w:r w:rsidR="000901AE" w:rsidRPr="00FB2164">
              <w:t>raining in the use of assessment criteria for providing meaningful feedback</w:t>
            </w:r>
          </w:p>
          <w:p w14:paraId="2039E6F8" w14:textId="77777777" w:rsidR="003C3B0C" w:rsidRDefault="000901AE" w:rsidP="003C3B0C">
            <w:pPr>
              <w:pStyle w:val="Bullet1"/>
            </w:pPr>
            <w:r w:rsidRPr="00FB2164">
              <w:t>students seeking and processing feedback (</w:t>
            </w:r>
            <w:proofErr w:type="spellStart"/>
            <w:r w:rsidRPr="00FB2164">
              <w:t>Heitink</w:t>
            </w:r>
            <w:proofErr w:type="spellEnd"/>
            <w:r w:rsidRPr="00FB2164">
              <w:t>, et al., 2016).</w:t>
            </w:r>
            <w:r>
              <w:t xml:space="preserve"> </w:t>
            </w:r>
          </w:p>
          <w:p w14:paraId="429E4C21" w14:textId="1821FC02" w:rsidR="000901AE" w:rsidRPr="006B3A54" w:rsidRDefault="006B3A54" w:rsidP="003C3B0C">
            <w:pPr>
              <w:pStyle w:val="Bullet1"/>
              <w:numPr>
                <w:ilvl w:val="0"/>
                <w:numId w:val="0"/>
              </w:numPr>
              <w:rPr>
                <w:lang w:val="en-GB"/>
              </w:rPr>
            </w:pPr>
            <w:r>
              <w:rPr>
                <w:lang w:val="en-GB"/>
              </w:rPr>
              <w:t>Victorian government schools</w:t>
            </w:r>
            <w:r w:rsidR="00F31210" w:rsidRPr="00F31210">
              <w:rPr>
                <w:lang w:val="en-GB"/>
              </w:rPr>
              <w:t xml:space="preserve"> with high endorsement of </w:t>
            </w:r>
            <w:r w:rsidR="00F31210" w:rsidRPr="00F31210">
              <w:rPr>
                <w:b/>
                <w:bCs/>
                <w:lang w:val="en-GB"/>
              </w:rPr>
              <w:t>‘</w:t>
            </w:r>
            <w:r w:rsidR="00F31210" w:rsidRPr="00015631">
              <w:rPr>
                <w:lang w:val="en-GB"/>
              </w:rPr>
              <w:t>understand formative assessment’</w:t>
            </w:r>
            <w:r w:rsidR="00F31210" w:rsidRPr="00F31210">
              <w:rPr>
                <w:b/>
                <w:bCs/>
                <w:lang w:val="en-GB"/>
              </w:rPr>
              <w:t xml:space="preserve"> </w:t>
            </w:r>
            <w:r w:rsidR="00F31210">
              <w:rPr>
                <w:lang w:val="en-GB"/>
              </w:rPr>
              <w:t xml:space="preserve">in the SSS </w:t>
            </w:r>
            <w:r w:rsidR="00F31210" w:rsidRPr="00F31210">
              <w:rPr>
                <w:lang w:val="en-GB"/>
              </w:rPr>
              <w:t>had a moderate correlation to overall school performance group classification in the Differentiated School Performance Model</w:t>
            </w:r>
            <w:r w:rsidR="00F31210">
              <w:rPr>
                <w:lang w:val="en-GB"/>
              </w:rPr>
              <w:t xml:space="preserve"> (Deloitte Access Economics, 2019). </w:t>
            </w:r>
            <w:r w:rsidR="00D71F57">
              <w:t>Accordingly, a</w:t>
            </w:r>
            <w:r w:rsidR="000901AE" w:rsidRPr="00FB2164">
              <w:t xml:space="preserve"> recent meta-analysis of studies on formative assessment in schools indicates a positive gain of about three months</w:t>
            </w:r>
            <w:r w:rsidR="001B584E">
              <w:t xml:space="preserve"> of</w:t>
            </w:r>
            <w:r w:rsidR="000901AE" w:rsidRPr="00FB2164">
              <w:t xml:space="preserve"> learning when effective feedback is provided to students. When the approach was supported with professional learning</w:t>
            </w:r>
            <w:r w:rsidR="000901AE">
              <w:t>,</w:t>
            </w:r>
            <w:r w:rsidR="000901AE" w:rsidRPr="00FB2164">
              <w:t xml:space="preserve"> the positive gain increased to four months (Evidence for Learning, 2020). </w:t>
            </w:r>
          </w:p>
          <w:p w14:paraId="4DDB67FA" w14:textId="2011AA24" w:rsidR="000901AE" w:rsidRPr="00FB2164" w:rsidRDefault="000901AE" w:rsidP="00FB2164">
            <w:pPr>
              <w:rPr>
                <w:lang w:val="en-AU"/>
              </w:rPr>
            </w:pPr>
            <w:r w:rsidRPr="00FB2164">
              <w:rPr>
                <w:lang w:val="en-AU"/>
              </w:rPr>
              <w:t>A systematic review emphasised five attributes that are critical for implementing effective assessment for learning</w:t>
            </w:r>
            <w:r w:rsidR="00015631">
              <w:rPr>
                <w:lang w:val="en-AU"/>
              </w:rPr>
              <w:t xml:space="preserve"> </w:t>
            </w:r>
            <w:r w:rsidR="00015631" w:rsidRPr="00FB2164">
              <w:t>(</w:t>
            </w:r>
            <w:proofErr w:type="spellStart"/>
            <w:r w:rsidR="00015631" w:rsidRPr="00FB2164">
              <w:t>Heitink</w:t>
            </w:r>
            <w:proofErr w:type="spellEnd"/>
            <w:r w:rsidR="00015631" w:rsidRPr="00FB2164">
              <w:t>, et al., 2016)</w:t>
            </w:r>
            <w:r>
              <w:rPr>
                <w:lang w:val="en-AU"/>
              </w:rPr>
              <w:t>. These include:</w:t>
            </w:r>
          </w:p>
          <w:p w14:paraId="7530C16D" w14:textId="4B661DAD" w:rsidR="000901AE" w:rsidRPr="00FB2164" w:rsidRDefault="00D71F57" w:rsidP="003D4C91">
            <w:pPr>
              <w:pStyle w:val="Bullet1"/>
            </w:pPr>
            <w:r>
              <w:t>i</w:t>
            </w:r>
            <w:r w:rsidR="000901AE" w:rsidRPr="00FB2164">
              <w:t xml:space="preserve">nterpreting assessment information on the spot </w:t>
            </w:r>
          </w:p>
          <w:p w14:paraId="6A796A1B" w14:textId="744AD831" w:rsidR="000901AE" w:rsidRPr="00FB2164" w:rsidRDefault="00D71F57" w:rsidP="003D4C91">
            <w:pPr>
              <w:pStyle w:val="Bullet1"/>
            </w:pPr>
            <w:r>
              <w:t>e</w:t>
            </w:r>
            <w:r w:rsidR="000901AE" w:rsidRPr="00FB2164">
              <w:t xml:space="preserve">ngaging students in the assessment process </w:t>
            </w:r>
          </w:p>
          <w:p w14:paraId="4EE88338" w14:textId="2CDF5D94" w:rsidR="000901AE" w:rsidRPr="00FB2164" w:rsidRDefault="00D71F57" w:rsidP="003D4C91">
            <w:pPr>
              <w:pStyle w:val="Bullet1"/>
            </w:pPr>
            <w:r>
              <w:t>p</w:t>
            </w:r>
            <w:r w:rsidR="000901AE" w:rsidRPr="00FB2164">
              <w:t xml:space="preserve">roviding constructive and focused feedback </w:t>
            </w:r>
          </w:p>
          <w:p w14:paraId="48FEED62" w14:textId="1929995B" w:rsidR="000901AE" w:rsidRPr="00FB2164" w:rsidRDefault="00D71F57" w:rsidP="003D4C91">
            <w:pPr>
              <w:pStyle w:val="Bullet1"/>
            </w:pPr>
            <w:r>
              <w:t xml:space="preserve">a </w:t>
            </w:r>
            <w:r w:rsidR="000901AE" w:rsidRPr="00FB2164">
              <w:t>school-wide assessment culture</w:t>
            </w:r>
          </w:p>
          <w:p w14:paraId="1804F4F4" w14:textId="1E2A8FC8" w:rsidR="007813C2" w:rsidRDefault="00D71F57" w:rsidP="004F1CAD">
            <w:pPr>
              <w:pStyle w:val="Bullet1"/>
            </w:pPr>
            <w:r>
              <w:t>c</w:t>
            </w:r>
            <w:r w:rsidR="000901AE" w:rsidRPr="00FB2164">
              <w:t>ollaboration and autonomy of teacher practice around assessment</w:t>
            </w:r>
            <w:r w:rsidR="000901AE">
              <w:t xml:space="preserve"> </w:t>
            </w:r>
          </w:p>
          <w:p w14:paraId="5B3A2846" w14:textId="4C82277C" w:rsidR="000901AE" w:rsidRPr="001208FE" w:rsidRDefault="00223517" w:rsidP="007813C2">
            <w:pPr>
              <w:pStyle w:val="Bullet1"/>
              <w:numPr>
                <w:ilvl w:val="0"/>
                <w:numId w:val="0"/>
              </w:numPr>
            </w:pPr>
            <w:r>
              <w:t>It is important schools recognise that t</w:t>
            </w:r>
            <w:r w:rsidR="007813C2" w:rsidRPr="00FB2164">
              <w:t>o ensure alignment between learning, teaching and assessment</w:t>
            </w:r>
            <w:r w:rsidR="00D71F57">
              <w:t>, a</w:t>
            </w:r>
            <w:r w:rsidR="00D71F57" w:rsidRPr="00FB2164">
              <w:t>daptations to assessment practices will need to be considered whenever there are changes in pedagogical approaches</w:t>
            </w:r>
            <w:r w:rsidR="007813C2" w:rsidRPr="00FB2164">
              <w:t xml:space="preserve"> (Rust, 2002).</w:t>
            </w:r>
          </w:p>
        </w:tc>
      </w:tr>
      <w:tr w:rsidR="009C4C34" w14:paraId="36548CDF" w14:textId="77777777" w:rsidTr="000901AE">
        <w:tc>
          <w:tcPr>
            <w:cnfStyle w:val="001000000000" w:firstRow="0" w:lastRow="0" w:firstColumn="1" w:lastColumn="0" w:oddVBand="0" w:evenVBand="0" w:oddHBand="0" w:evenHBand="0" w:firstRowFirstColumn="0" w:firstRowLastColumn="0" w:lastRowFirstColumn="0" w:lastRowLastColumn="0"/>
            <w:tcW w:w="9622" w:type="dxa"/>
            <w:shd w:val="clear" w:color="auto" w:fill="004C97" w:themeFill="accent5"/>
          </w:tcPr>
          <w:p w14:paraId="0C83C621" w14:textId="7D815170" w:rsidR="009C4C34" w:rsidRPr="009B5ACE" w:rsidRDefault="009B5ACE" w:rsidP="00771583">
            <w:pPr>
              <w:pStyle w:val="Heading4"/>
              <w:outlineLvl w:val="3"/>
              <w:rPr>
                <w:i w:val="0"/>
                <w:iCs w:val="0"/>
                <w:color w:val="FFFFFF" w:themeColor="background1"/>
                <w:lang w:val="en-AU"/>
              </w:rPr>
            </w:pPr>
            <w:r w:rsidRPr="009B5ACE">
              <w:rPr>
                <w:i w:val="0"/>
                <w:iCs w:val="0"/>
                <w:color w:val="FFFFFF" w:themeColor="background1"/>
                <w:lang w:val="en-AU"/>
              </w:rPr>
              <w:t>Systematic use of data and evidence to drive the prioritisation, development, and implementation of actions in schools and classrooms</w:t>
            </w:r>
          </w:p>
        </w:tc>
      </w:tr>
      <w:tr w:rsidR="000901AE" w14:paraId="75E28314" w14:textId="77777777" w:rsidTr="00EE4B56">
        <w:trPr>
          <w:trHeight w:val="600"/>
        </w:trPr>
        <w:tc>
          <w:tcPr>
            <w:cnfStyle w:val="001000000000" w:firstRow="0" w:lastRow="0" w:firstColumn="1" w:lastColumn="0" w:oddVBand="0" w:evenVBand="0" w:oddHBand="0" w:evenHBand="0" w:firstRowFirstColumn="0" w:firstRowLastColumn="0" w:lastRowFirstColumn="0" w:lastRowLastColumn="0"/>
            <w:tcW w:w="9622" w:type="dxa"/>
          </w:tcPr>
          <w:p w14:paraId="7574574C" w14:textId="172892BE" w:rsidR="000901AE" w:rsidRDefault="000901AE" w:rsidP="00FB2164">
            <w:pPr>
              <w:rPr>
                <w:lang w:val="en-AU"/>
              </w:rPr>
            </w:pPr>
            <w:r>
              <w:rPr>
                <w:lang w:val="en-AU"/>
              </w:rPr>
              <w:t>There is</w:t>
            </w:r>
            <w:r w:rsidRPr="00FB2164">
              <w:rPr>
                <w:lang w:val="en-AU"/>
              </w:rPr>
              <w:t xml:space="preserve"> a significant research body supporting the use of data as a driver of school improvement</w:t>
            </w:r>
            <w:r>
              <w:rPr>
                <w:lang w:val="en-AU"/>
              </w:rPr>
              <w:t xml:space="preserve">, as it </w:t>
            </w:r>
            <w:r w:rsidRPr="00FB2164">
              <w:rPr>
                <w:lang w:val="en-AU"/>
              </w:rPr>
              <w:t xml:space="preserve">supports schools and teachers to evaluate impact on learning (Harris et al., 2020). </w:t>
            </w:r>
            <w:r>
              <w:rPr>
                <w:lang w:val="en-AU"/>
              </w:rPr>
              <w:t>It also provides impetus for data-informed practice (AISNSW 2017).</w:t>
            </w:r>
          </w:p>
          <w:p w14:paraId="0A923454" w14:textId="6567E77F" w:rsidR="00D313E6" w:rsidRDefault="00D313E6" w:rsidP="00FB2164">
            <w:pPr>
              <w:rPr>
                <w:lang w:val="en-AU"/>
              </w:rPr>
            </w:pPr>
            <w:r w:rsidRPr="00D313E6">
              <w:t>Victorian government schools with high endorsement of ‘monitoring effectiveness of using data’, ‘moderation of student assessment’ and ‘use of student feedback to inform teaching practice’ in the SSS had a moderate correlation to overall school performance group classification in the Differentiated School Performance Model (Deloitte Access Economics, 2019).</w:t>
            </w:r>
          </w:p>
          <w:p w14:paraId="5C591A0F" w14:textId="7BED1B6D" w:rsidR="000901AE" w:rsidRDefault="000901AE" w:rsidP="00FB2164">
            <w:pPr>
              <w:rPr>
                <w:lang w:val="en-AU"/>
              </w:rPr>
            </w:pPr>
            <w:r w:rsidRPr="00FB2164">
              <w:rPr>
                <w:lang w:val="en-AU"/>
              </w:rPr>
              <w:t>Using data provides teachers and leaders with the opportunity to understand the underlying barriers</w:t>
            </w:r>
            <w:r w:rsidR="008E7A52">
              <w:rPr>
                <w:lang w:val="en-AU"/>
              </w:rPr>
              <w:t>, or misconceptions,</w:t>
            </w:r>
            <w:r w:rsidRPr="00FB2164">
              <w:rPr>
                <w:lang w:val="en-AU"/>
              </w:rPr>
              <w:t xml:space="preserve"> to student learning</w:t>
            </w:r>
            <w:r w:rsidR="008E7A52">
              <w:rPr>
                <w:lang w:val="en-AU"/>
              </w:rPr>
              <w:t xml:space="preserve"> </w:t>
            </w:r>
            <w:r w:rsidRPr="00FB2164">
              <w:rPr>
                <w:lang w:val="en-AU"/>
              </w:rPr>
              <w:t>and implement programs</w:t>
            </w:r>
            <w:r>
              <w:rPr>
                <w:lang w:val="en-AU"/>
              </w:rPr>
              <w:t xml:space="preserve"> and/or</w:t>
            </w:r>
            <w:r w:rsidRPr="00FB2164">
              <w:rPr>
                <w:lang w:val="en-AU"/>
              </w:rPr>
              <w:t xml:space="preserve"> classroom practices to address these (Brown &amp; </w:t>
            </w:r>
            <w:proofErr w:type="spellStart"/>
            <w:r w:rsidRPr="00FB2164">
              <w:rPr>
                <w:lang w:val="en-AU"/>
              </w:rPr>
              <w:t>Greany</w:t>
            </w:r>
            <w:proofErr w:type="spellEnd"/>
            <w:r w:rsidRPr="00FB2164">
              <w:rPr>
                <w:lang w:val="en-AU"/>
              </w:rPr>
              <w:t xml:space="preserve">, 2018; Knipe, 2019). </w:t>
            </w:r>
            <w:r>
              <w:rPr>
                <w:lang w:val="en-AU"/>
              </w:rPr>
              <w:t xml:space="preserve">Effective analysis involves the use of multiple forms of </w:t>
            </w:r>
            <w:r w:rsidR="00D91272">
              <w:rPr>
                <w:lang w:val="en-AU"/>
              </w:rPr>
              <w:t>high-quality</w:t>
            </w:r>
            <w:r>
              <w:rPr>
                <w:lang w:val="en-AU"/>
              </w:rPr>
              <w:t xml:space="preserve"> data that supports teachers to ask targeted and meaningful questions to explore important development areas of student learning and wellbeing (AISNSW 2017).</w:t>
            </w:r>
          </w:p>
          <w:p w14:paraId="5FAFC9ED" w14:textId="2A1FE9C5" w:rsidR="000901AE" w:rsidRDefault="000901AE" w:rsidP="00DD64B4">
            <w:pPr>
              <w:rPr>
                <w:lang w:val="en-AU"/>
              </w:rPr>
            </w:pPr>
            <w:r>
              <w:rPr>
                <w:lang w:val="en-AU"/>
              </w:rPr>
              <w:lastRenderedPageBreak/>
              <w:t xml:space="preserve">It is important schools support educators to become confident in using data (Chick &amp; Pierce, 2012). </w:t>
            </w:r>
            <w:r w:rsidRPr="00FB2164">
              <w:rPr>
                <w:lang w:val="en-AU"/>
              </w:rPr>
              <w:t xml:space="preserve">Giving teachers the confidence to read data and subsequently implement findings can facilitate the development of a culture of data-driven decision making that fosters change (Bowers, 2017; Harris et al., 2020; </w:t>
            </w:r>
            <w:proofErr w:type="spellStart"/>
            <w:r w:rsidRPr="00FB2164">
              <w:rPr>
                <w:lang w:val="en-AU"/>
              </w:rPr>
              <w:t>Keuning</w:t>
            </w:r>
            <w:proofErr w:type="spellEnd"/>
            <w:r w:rsidRPr="00FB2164">
              <w:rPr>
                <w:lang w:val="en-AU"/>
              </w:rPr>
              <w:t xml:space="preserve"> et al., 2016; Moyle, 2016; Sun et al., 2016).</w:t>
            </w:r>
            <w:r w:rsidR="005B4545">
              <w:rPr>
                <w:lang w:val="en-AU"/>
              </w:rPr>
              <w:t xml:space="preserve"> Also, h</w:t>
            </w:r>
            <w:r>
              <w:rPr>
                <w:lang w:val="en-AU"/>
              </w:rPr>
              <w:t xml:space="preserve">aving formalised opportunities to share data and analysis with teaching teams can support teachers understand how their instruction impacts outcomes and enable them to adjust their practice to enhance outcomes (AISNSW 2017). </w:t>
            </w:r>
          </w:p>
        </w:tc>
      </w:tr>
    </w:tbl>
    <w:p w14:paraId="4670197E" w14:textId="77777777" w:rsidR="00841675" w:rsidRDefault="00841675" w:rsidP="00841675">
      <w:pPr>
        <w:rPr>
          <w:lang w:val="en-AU"/>
        </w:rPr>
      </w:pPr>
    </w:p>
    <w:p w14:paraId="4FED87C9" w14:textId="77777777" w:rsidR="003E6429" w:rsidRDefault="003E6429" w:rsidP="00A360F1">
      <w:pPr>
        <w:pStyle w:val="Heading3"/>
        <w:rPr>
          <w:lang w:val="en-AU"/>
        </w:rPr>
        <w:sectPr w:rsidR="003E6429" w:rsidSect="00144FD5">
          <w:pgSz w:w="11900" w:h="16840"/>
          <w:pgMar w:top="1134" w:right="1134" w:bottom="1701" w:left="1134" w:header="709" w:footer="709" w:gutter="0"/>
          <w:cols w:space="708"/>
          <w:docGrid w:linePitch="360"/>
        </w:sectPr>
      </w:pPr>
    </w:p>
    <w:p w14:paraId="2FD430E8" w14:textId="5D383246" w:rsidR="001A18A8" w:rsidRDefault="0035192C" w:rsidP="00A360F1">
      <w:pPr>
        <w:pStyle w:val="Heading3"/>
        <w:rPr>
          <w:lang w:val="en-AU"/>
        </w:rPr>
      </w:pPr>
      <w:bookmarkStart w:id="9" w:name="_Toc83882669"/>
      <w:r>
        <w:rPr>
          <w:lang w:val="en-AU"/>
        </w:rPr>
        <w:lastRenderedPageBreak/>
        <w:t>ENGAGEMENT</w:t>
      </w:r>
      <w:bookmarkEnd w:id="9"/>
    </w:p>
    <w:p w14:paraId="2356DB58" w14:textId="16880974" w:rsidR="00A93E30" w:rsidRDefault="00A93E30" w:rsidP="00A360F1">
      <w:pPr>
        <w:pStyle w:val="Heading4"/>
        <w:rPr>
          <w:lang w:val="en-AU"/>
        </w:rPr>
      </w:pPr>
      <w:r w:rsidRPr="00A93E30">
        <w:rPr>
          <w:lang w:val="en-AU"/>
        </w:rPr>
        <w:t>Engagement refers to the</w:t>
      </w:r>
      <w:r w:rsidR="004D7FEF">
        <w:rPr>
          <w:lang w:val="en-AU"/>
        </w:rPr>
        <w:t xml:space="preserve"> relationships</w:t>
      </w:r>
      <w:r w:rsidRPr="00A93E30">
        <w:rPr>
          <w:lang w:val="en-AU"/>
        </w:rPr>
        <w:t xml:space="preserve"> and actions that </w:t>
      </w:r>
      <w:r w:rsidR="003C1C44">
        <w:rPr>
          <w:lang w:val="en-AU"/>
        </w:rPr>
        <w:t>support</w:t>
      </w:r>
      <w:r w:rsidRPr="00A93E30">
        <w:rPr>
          <w:lang w:val="en-AU"/>
        </w:rPr>
        <w:t xml:space="preserve"> student</w:t>
      </w:r>
      <w:r w:rsidR="009069B6">
        <w:rPr>
          <w:lang w:val="en-AU"/>
        </w:rPr>
        <w:t xml:space="preserve"> learning,</w:t>
      </w:r>
      <w:r w:rsidRPr="00A93E30">
        <w:rPr>
          <w:lang w:val="en-AU"/>
        </w:rPr>
        <w:t xml:space="preserve"> </w:t>
      </w:r>
      <w:proofErr w:type="gramStart"/>
      <w:r w:rsidRPr="00A93E30">
        <w:rPr>
          <w:lang w:val="en-AU"/>
        </w:rPr>
        <w:t>participation</w:t>
      </w:r>
      <w:proofErr w:type="gramEnd"/>
      <w:r w:rsidRPr="00A93E30">
        <w:rPr>
          <w:lang w:val="en-AU"/>
        </w:rPr>
        <w:t xml:space="preserve"> and sense of belonging to the</w:t>
      </w:r>
      <w:r w:rsidR="00545111">
        <w:rPr>
          <w:lang w:val="en-AU"/>
        </w:rPr>
        <w:t>ir</w:t>
      </w:r>
      <w:r w:rsidRPr="00A93E30">
        <w:rPr>
          <w:lang w:val="en-AU"/>
        </w:rPr>
        <w:t xml:space="preserve"> school community.</w:t>
      </w:r>
    </w:p>
    <w:p w14:paraId="7BDF6135" w14:textId="77777777" w:rsidR="003A4AD0" w:rsidRPr="003A4AD0" w:rsidRDefault="003A4AD0" w:rsidP="003A4AD0">
      <w:pPr>
        <w:rPr>
          <w:lang w:val="en-AU"/>
        </w:rPr>
      </w:pPr>
    </w:p>
    <w:tbl>
      <w:tblPr>
        <w:tblStyle w:val="TableGrid"/>
        <w:tblW w:w="0" w:type="auto"/>
        <w:tblLook w:val="04A0" w:firstRow="1" w:lastRow="0" w:firstColumn="1" w:lastColumn="0" w:noHBand="0" w:noVBand="1"/>
      </w:tblPr>
      <w:tblGrid>
        <w:gridCol w:w="9622"/>
      </w:tblGrid>
      <w:tr w:rsidR="00D10932" w14:paraId="3C88FA6B" w14:textId="77777777" w:rsidTr="007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725B477" w14:textId="7498B9AB" w:rsidR="00D10932" w:rsidRPr="00C116E5" w:rsidRDefault="00C116E5" w:rsidP="000472B2">
            <w:pPr>
              <w:pStyle w:val="Heading4"/>
              <w:outlineLvl w:val="3"/>
              <w:rPr>
                <w:i w:val="0"/>
                <w:iCs w:val="0"/>
                <w:color w:val="FFFFFF" w:themeColor="background1"/>
                <w:lang w:val="en-AU"/>
              </w:rPr>
            </w:pPr>
            <w:r w:rsidRPr="00C116E5">
              <w:rPr>
                <w:i w:val="0"/>
                <w:iCs w:val="0"/>
                <w:color w:val="FFFFFF" w:themeColor="background1"/>
                <w:lang w:val="en-AU"/>
              </w:rPr>
              <w:t xml:space="preserve">Activation of student voice </w:t>
            </w:r>
            <w:r w:rsidR="00D55765">
              <w:rPr>
                <w:i w:val="0"/>
                <w:iCs w:val="0"/>
                <w:color w:val="FFFFFF" w:themeColor="background1"/>
                <w:lang w:val="en-AU"/>
              </w:rPr>
              <w:t>and</w:t>
            </w:r>
            <w:r w:rsidRPr="00C116E5">
              <w:rPr>
                <w:i w:val="0"/>
                <w:iCs w:val="0"/>
                <w:color w:val="FFFFFF" w:themeColor="background1"/>
                <w:lang w:val="en-AU"/>
              </w:rPr>
              <w:t xml:space="preserve"> agency, </w:t>
            </w:r>
            <w:r w:rsidR="009073EC">
              <w:rPr>
                <w:i w:val="0"/>
                <w:iCs w:val="0"/>
                <w:color w:val="FFFFFF" w:themeColor="background1"/>
                <w:lang w:val="en-AU"/>
              </w:rPr>
              <w:t>including in</w:t>
            </w:r>
            <w:r w:rsidRPr="00C116E5">
              <w:rPr>
                <w:i w:val="0"/>
                <w:iCs w:val="0"/>
                <w:color w:val="FFFFFF" w:themeColor="background1"/>
                <w:lang w:val="en-AU"/>
              </w:rPr>
              <w:t xml:space="preserve"> leadership and learning</w:t>
            </w:r>
            <w:r w:rsidR="00542BD2">
              <w:rPr>
                <w:i w:val="0"/>
                <w:iCs w:val="0"/>
                <w:color w:val="FFFFFF" w:themeColor="background1"/>
                <w:lang w:val="en-AU"/>
              </w:rPr>
              <w:t>,</w:t>
            </w:r>
            <w:r w:rsidRPr="00C116E5">
              <w:rPr>
                <w:i w:val="0"/>
                <w:iCs w:val="0"/>
                <w:color w:val="FFFFFF" w:themeColor="background1"/>
                <w:lang w:val="en-AU"/>
              </w:rPr>
              <w:t xml:space="preserve"> to strengthen students’ participation and engagement in school</w:t>
            </w:r>
          </w:p>
        </w:tc>
      </w:tr>
      <w:tr w:rsidR="000901AE" w14:paraId="6E83983D"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0CD23AF1" w14:textId="563C9F1B" w:rsidR="00B40F5E" w:rsidRDefault="00B40F5E" w:rsidP="009B48EA">
            <w:r>
              <w:t>Student attendance and participation are important factors in engagement</w:t>
            </w:r>
            <w:r w:rsidR="00D91272">
              <w:t>.</w:t>
            </w:r>
            <w:r>
              <w:t xml:space="preserve"> </w:t>
            </w:r>
            <w:r w:rsidR="00D91272">
              <w:t>T</w:t>
            </w:r>
            <w:r>
              <w:t>here is a strong correlation between student attendance and student achievement outcomes (Gottfried, 2010) and it is a key predictors of early dropout rates (</w:t>
            </w:r>
            <w:proofErr w:type="spellStart"/>
            <w:r>
              <w:t>Dynarski</w:t>
            </w:r>
            <w:proofErr w:type="spellEnd"/>
            <w:r>
              <w:t xml:space="preserve"> et al., 2008).</w:t>
            </w:r>
          </w:p>
          <w:p w14:paraId="544D00D0" w14:textId="45FCA1CC" w:rsidR="008F6973" w:rsidRPr="00CC3859" w:rsidRDefault="00B40F5E" w:rsidP="008F6973">
            <w:pPr>
              <w:rPr>
                <w:rFonts w:ascii="Arial" w:hAnsi="Arial" w:cs="Arial"/>
                <w:szCs w:val="22"/>
                <w:lang w:val="en-AU"/>
              </w:rPr>
            </w:pPr>
            <w:r>
              <w:t xml:space="preserve">Department data analysis shows student </w:t>
            </w:r>
            <w:r w:rsidRPr="00D91272">
              <w:t>‘attitudes to attendance’</w:t>
            </w:r>
            <w:r>
              <w:t xml:space="preserve"> is correlated with student NAPLAN performance and a predictor of student attendance patter</w:t>
            </w:r>
            <w:r w:rsidR="00B35261">
              <w:t>n</w:t>
            </w:r>
            <w:r>
              <w:t>s.</w:t>
            </w:r>
            <w:r w:rsidR="00B35261">
              <w:t xml:space="preserve"> </w:t>
            </w:r>
            <w:r w:rsidR="00B35261" w:rsidRPr="00CC3859">
              <w:t>Regular school attendance is associated with the development of social skills including making friends, teamwork, communication skills and self-esteem, as well as many abilities necessary to become productive and responsible adults (Australian Institute of Health and Welfare, 2012; Keating &amp; Hertzman, 1999; Zubrick, et al., 2006).</w:t>
            </w:r>
            <w:r w:rsidR="00520D7B">
              <w:t xml:space="preserve"> </w:t>
            </w:r>
            <w:r w:rsidR="00520D7B">
              <w:rPr>
                <w:rFonts w:ascii="Arial" w:hAnsi="Arial" w:cs="Arial"/>
                <w:color w:val="000000"/>
                <w:szCs w:val="22"/>
                <w:lang w:val="en-AU"/>
              </w:rPr>
              <w:t xml:space="preserve">Conversely, children who are often absent from school risk missing out on the development of educational and social skills, as well as potentially exacerbating issues such as low self-esteem, social </w:t>
            </w:r>
            <w:proofErr w:type="gramStart"/>
            <w:r w:rsidR="00520D7B">
              <w:rPr>
                <w:rFonts w:ascii="Arial" w:hAnsi="Arial" w:cs="Arial"/>
                <w:color w:val="000000"/>
                <w:szCs w:val="22"/>
                <w:lang w:val="en-AU"/>
              </w:rPr>
              <w:t>isolation</w:t>
            </w:r>
            <w:proofErr w:type="gramEnd"/>
            <w:r w:rsidR="00520D7B">
              <w:rPr>
                <w:rFonts w:ascii="Arial" w:hAnsi="Arial" w:cs="Arial"/>
                <w:color w:val="000000"/>
                <w:szCs w:val="22"/>
                <w:lang w:val="en-AU"/>
              </w:rPr>
              <w:t xml:space="preserve"> and dissatisfaction (Hancock et al. 2013).</w:t>
            </w:r>
          </w:p>
          <w:p w14:paraId="7EABBC7C" w14:textId="43250F0D" w:rsidR="000901AE" w:rsidRDefault="00655FFA" w:rsidP="00725DE3">
            <w:r>
              <w:t>S</w:t>
            </w:r>
            <w:r w:rsidR="00036E79">
              <w:t>tudent engagement has been linked to both positive learning and wellbeing outcomes (Soutter et al, 2014).</w:t>
            </w:r>
            <w:r w:rsidR="002E53ED" w:rsidRPr="00296E0D">
              <w:t xml:space="preserve"> </w:t>
            </w:r>
            <w:r w:rsidR="000901AE">
              <w:rPr>
                <w:lang w:val="en-AU"/>
              </w:rPr>
              <w:t xml:space="preserve">Students become </w:t>
            </w:r>
            <w:r w:rsidR="000901AE">
              <w:t>more</w:t>
            </w:r>
            <w:r w:rsidR="000901AE">
              <w:rPr>
                <w:spacing w:val="-2"/>
              </w:rPr>
              <w:t xml:space="preserve"> </w:t>
            </w:r>
            <w:r w:rsidR="000901AE">
              <w:t>engaged</w:t>
            </w:r>
            <w:r w:rsidR="000901AE">
              <w:rPr>
                <w:spacing w:val="-1"/>
              </w:rPr>
              <w:t xml:space="preserve"> </w:t>
            </w:r>
            <w:r w:rsidR="000901AE">
              <w:t>in</w:t>
            </w:r>
            <w:r w:rsidR="0086510F">
              <w:t xml:space="preserve"> their</w:t>
            </w:r>
            <w:r w:rsidR="000901AE">
              <w:rPr>
                <w:spacing w:val="-2"/>
              </w:rPr>
              <w:t xml:space="preserve"> </w:t>
            </w:r>
            <w:r w:rsidR="000901AE">
              <w:t>learning</w:t>
            </w:r>
            <w:r w:rsidR="000901AE">
              <w:rPr>
                <w:spacing w:val="-1"/>
              </w:rPr>
              <w:t xml:space="preserve"> </w:t>
            </w:r>
            <w:r w:rsidR="000901AE">
              <w:t>when</w:t>
            </w:r>
            <w:r w:rsidR="000901AE">
              <w:rPr>
                <w:spacing w:val="-2"/>
              </w:rPr>
              <w:t xml:space="preserve"> </w:t>
            </w:r>
            <w:r w:rsidR="000901AE">
              <w:t>they</w:t>
            </w:r>
            <w:r w:rsidR="000901AE">
              <w:rPr>
                <w:spacing w:val="-1"/>
              </w:rPr>
              <w:t xml:space="preserve"> </w:t>
            </w:r>
            <w:r w:rsidR="000901AE">
              <w:t>have</w:t>
            </w:r>
            <w:r w:rsidR="000901AE">
              <w:rPr>
                <w:spacing w:val="-1"/>
              </w:rPr>
              <w:t xml:space="preserve"> </w:t>
            </w:r>
            <w:r w:rsidR="000901AE">
              <w:t>opportunities</w:t>
            </w:r>
            <w:r w:rsidR="000901AE">
              <w:rPr>
                <w:spacing w:val="-2"/>
              </w:rPr>
              <w:t xml:space="preserve"> </w:t>
            </w:r>
            <w:r w:rsidR="000901AE">
              <w:t>to:</w:t>
            </w:r>
          </w:p>
          <w:p w14:paraId="1D6AEAD8" w14:textId="54164AF2" w:rsidR="000901AE" w:rsidRDefault="00B97B2B" w:rsidP="00725DE3">
            <w:pPr>
              <w:pStyle w:val="Bullet1"/>
            </w:pPr>
            <w:r>
              <w:t>e</w:t>
            </w:r>
            <w:r w:rsidR="000901AE">
              <w:t>xercise agency in their own learning</w:t>
            </w:r>
          </w:p>
          <w:p w14:paraId="7449CED4" w14:textId="7A8AA895" w:rsidR="000901AE" w:rsidRDefault="00B97B2B" w:rsidP="00725DE3">
            <w:pPr>
              <w:pStyle w:val="Bullet1"/>
            </w:pPr>
            <w:r>
              <w:t>c</w:t>
            </w:r>
            <w:r w:rsidR="000901AE">
              <w:t>ontribute to the communities in which they learn</w:t>
            </w:r>
          </w:p>
          <w:p w14:paraId="40EEF362" w14:textId="25E47D55" w:rsidR="000901AE" w:rsidRDefault="00B97B2B" w:rsidP="00725DE3">
            <w:pPr>
              <w:pStyle w:val="Bullet1"/>
            </w:pPr>
            <w:r>
              <w:t>i</w:t>
            </w:r>
            <w:r w:rsidR="000901AE">
              <w:t>mprove the learning program for themselves and their peers (Hattie, 2009)</w:t>
            </w:r>
            <w:r w:rsidR="009C1683">
              <w:t>.</w:t>
            </w:r>
          </w:p>
          <w:p w14:paraId="57AA0852" w14:textId="552A8087" w:rsidR="00BB6003" w:rsidRDefault="00760076" w:rsidP="00520EEE">
            <w:pPr>
              <w:rPr>
                <w:lang w:val="en-AU"/>
              </w:rPr>
            </w:pPr>
            <w:r w:rsidRPr="00D91272">
              <w:rPr>
                <w:lang w:val="en-AU"/>
              </w:rPr>
              <w:t>S</w:t>
            </w:r>
            <w:r w:rsidR="00520EEE" w:rsidRPr="00D91272">
              <w:rPr>
                <w:lang w:val="en-AU"/>
              </w:rPr>
              <w:t>tudent voice</w:t>
            </w:r>
            <w:r w:rsidR="003241D7" w:rsidRPr="00D91272">
              <w:rPr>
                <w:lang w:val="en-AU"/>
              </w:rPr>
              <w:t xml:space="preserve"> and agency</w:t>
            </w:r>
            <w:r w:rsidR="00520EEE">
              <w:rPr>
                <w:lang w:val="en-AU"/>
              </w:rPr>
              <w:t xml:space="preserve"> have a positive impact on self-worth, engagement, </w:t>
            </w:r>
            <w:proofErr w:type="gramStart"/>
            <w:r w:rsidR="00520EEE">
              <w:rPr>
                <w:lang w:val="en-AU"/>
              </w:rPr>
              <w:t>purpose</w:t>
            </w:r>
            <w:proofErr w:type="gramEnd"/>
            <w:r w:rsidR="00520EEE">
              <w:rPr>
                <w:lang w:val="en-AU"/>
              </w:rPr>
              <w:t xml:space="preserve"> and academic motivation (</w:t>
            </w:r>
            <w:proofErr w:type="spellStart"/>
            <w:r w:rsidR="00520EEE">
              <w:rPr>
                <w:lang w:val="en-AU"/>
              </w:rPr>
              <w:t>Quaglia</w:t>
            </w:r>
            <w:proofErr w:type="spellEnd"/>
            <w:r w:rsidR="00520EEE">
              <w:rPr>
                <w:lang w:val="en-AU"/>
              </w:rPr>
              <w:t>, 2016), which contribute to improved student learning outcomes (Hattie, 2019).</w:t>
            </w:r>
            <w:r w:rsidR="00616971">
              <w:rPr>
                <w:lang w:val="en-AU"/>
              </w:rPr>
              <w:t xml:space="preserve"> This is supported by other studies, which </w:t>
            </w:r>
            <w:r w:rsidR="001E132D">
              <w:rPr>
                <w:lang w:val="en-AU"/>
              </w:rPr>
              <w:t>indicate</w:t>
            </w:r>
            <w:r w:rsidR="00BB6003">
              <w:rPr>
                <w:lang w:val="en-AU"/>
              </w:rPr>
              <w:t>:</w:t>
            </w:r>
          </w:p>
          <w:p w14:paraId="4E933A47" w14:textId="641C29D5" w:rsidR="008403BC" w:rsidRDefault="001E132D" w:rsidP="008403BC">
            <w:pPr>
              <w:pStyle w:val="Bullet1"/>
            </w:pPr>
            <w:r>
              <w:t>student agency and voice</w:t>
            </w:r>
            <w:r w:rsidR="00616971">
              <w:t xml:space="preserve"> positively </w:t>
            </w:r>
            <w:r w:rsidR="00655FFA">
              <w:t>impact</w:t>
            </w:r>
            <w:r w:rsidR="00616971">
              <w:t xml:space="preserve"> student learning and engagement in school, which drives better academic outcomes (Mitra &amp; Goss, 2009).</w:t>
            </w:r>
          </w:p>
          <w:p w14:paraId="03816D31" w14:textId="571FE77C" w:rsidR="003241D7" w:rsidRDefault="008403BC" w:rsidP="00495AA2">
            <w:pPr>
              <w:pStyle w:val="Bullet1"/>
            </w:pPr>
            <w:r>
              <w:t>i</w:t>
            </w:r>
            <w:r w:rsidRPr="008403BC">
              <w:t xml:space="preserve">f students </w:t>
            </w:r>
            <w:r w:rsidR="00655FFA" w:rsidRPr="008403BC">
              <w:t xml:space="preserve">are </w:t>
            </w:r>
            <w:r w:rsidR="0070165F" w:rsidRPr="008403BC">
              <w:t>involved in</w:t>
            </w:r>
            <w:r w:rsidRPr="008403BC">
              <w:t xml:space="preserve"> activities in which they have a high degree of voice and</w:t>
            </w:r>
            <w:r w:rsidR="0070165F">
              <w:t xml:space="preserve"> </w:t>
            </w:r>
            <w:r w:rsidRPr="008403BC">
              <w:t xml:space="preserve">ownership, their self-concept and engagement increases (Morgan &amp; </w:t>
            </w:r>
            <w:proofErr w:type="spellStart"/>
            <w:r w:rsidRPr="008403BC">
              <w:t>Streb</w:t>
            </w:r>
            <w:proofErr w:type="spellEnd"/>
            <w:r w:rsidRPr="008403BC">
              <w:t>, 2001)</w:t>
            </w:r>
            <w:r w:rsidR="0070165F">
              <w:t>.</w:t>
            </w:r>
            <w:r w:rsidRPr="008403BC">
              <w:t xml:space="preserve"> </w:t>
            </w:r>
            <w:r w:rsidR="0070165F">
              <w:t>T</w:t>
            </w:r>
            <w:r w:rsidRPr="008403BC">
              <w:t>his opens the avenues for student centred learning as students begin to see how their own thinking, emotions, and experiences shape their learning (</w:t>
            </w:r>
            <w:proofErr w:type="spellStart"/>
            <w:r w:rsidRPr="008403BC">
              <w:t>Toshalis</w:t>
            </w:r>
            <w:proofErr w:type="spellEnd"/>
            <w:r w:rsidRPr="008403BC">
              <w:t xml:space="preserve"> &amp; </w:t>
            </w:r>
            <w:proofErr w:type="spellStart"/>
            <w:r w:rsidRPr="008403BC">
              <w:t>Nakkula</w:t>
            </w:r>
            <w:proofErr w:type="spellEnd"/>
            <w:r w:rsidRPr="008403BC">
              <w:t>, 2012).</w:t>
            </w:r>
          </w:p>
          <w:p w14:paraId="2C1E8EC4" w14:textId="74B94FDA" w:rsidR="00185D0B" w:rsidRPr="00756A55" w:rsidRDefault="00310586" w:rsidP="00AD3AB8">
            <w:pPr>
              <w:pStyle w:val="Bullet1"/>
            </w:pPr>
            <w:r w:rsidRPr="003241D7">
              <w:t>authentic student voice occurs when</w:t>
            </w:r>
            <w:r w:rsidRPr="003241D7">
              <w:rPr>
                <w:spacing w:val="-3"/>
              </w:rPr>
              <w:t xml:space="preserve"> </w:t>
            </w:r>
            <w:r w:rsidRPr="003241D7">
              <w:t>students</w:t>
            </w:r>
            <w:r w:rsidRPr="003241D7">
              <w:rPr>
                <w:spacing w:val="-3"/>
              </w:rPr>
              <w:t xml:space="preserve"> </w:t>
            </w:r>
            <w:r w:rsidRPr="003241D7">
              <w:t>have</w:t>
            </w:r>
            <w:r w:rsidRPr="003241D7">
              <w:rPr>
                <w:spacing w:val="-3"/>
              </w:rPr>
              <w:t xml:space="preserve"> </w:t>
            </w:r>
            <w:r w:rsidRPr="003241D7">
              <w:t>genuine</w:t>
            </w:r>
            <w:r w:rsidRPr="003241D7">
              <w:rPr>
                <w:spacing w:val="-3"/>
              </w:rPr>
              <w:t xml:space="preserve"> </w:t>
            </w:r>
            <w:r w:rsidRPr="003241D7">
              <w:t>opportunities</w:t>
            </w:r>
            <w:r w:rsidRPr="003241D7">
              <w:rPr>
                <w:spacing w:val="-3"/>
              </w:rPr>
              <w:t xml:space="preserve"> </w:t>
            </w:r>
            <w:r w:rsidRPr="003241D7">
              <w:t>to</w:t>
            </w:r>
            <w:r w:rsidRPr="003241D7">
              <w:rPr>
                <w:spacing w:val="-4"/>
              </w:rPr>
              <w:t xml:space="preserve"> </w:t>
            </w:r>
            <w:r w:rsidRPr="003241D7">
              <w:t>participate</w:t>
            </w:r>
            <w:r w:rsidRPr="003241D7">
              <w:rPr>
                <w:spacing w:val="-3"/>
              </w:rPr>
              <w:t xml:space="preserve"> </w:t>
            </w:r>
            <w:r w:rsidRPr="003241D7">
              <w:t>in</w:t>
            </w:r>
            <w:r w:rsidRPr="003241D7">
              <w:rPr>
                <w:spacing w:val="-48"/>
              </w:rPr>
              <w:t xml:space="preserve"> </w:t>
            </w:r>
            <w:r w:rsidRPr="003241D7">
              <w:t>shared</w:t>
            </w:r>
            <w:r w:rsidRPr="003241D7">
              <w:rPr>
                <w:spacing w:val="-1"/>
              </w:rPr>
              <w:t xml:space="preserve"> </w:t>
            </w:r>
            <w:r w:rsidRPr="003241D7">
              <w:t>decision-making and</w:t>
            </w:r>
            <w:r w:rsidRPr="003241D7">
              <w:rPr>
                <w:spacing w:val="-1"/>
              </w:rPr>
              <w:t xml:space="preserve"> </w:t>
            </w:r>
            <w:r w:rsidRPr="003241D7">
              <w:t>consequent actions</w:t>
            </w:r>
            <w:r w:rsidRPr="003241D7">
              <w:rPr>
                <w:spacing w:val="-1"/>
              </w:rPr>
              <w:t xml:space="preserve"> </w:t>
            </w:r>
            <w:r w:rsidRPr="003241D7">
              <w:t>(</w:t>
            </w:r>
            <w:proofErr w:type="spellStart"/>
            <w:r w:rsidRPr="003241D7">
              <w:t>Baroutsis</w:t>
            </w:r>
            <w:proofErr w:type="spellEnd"/>
            <w:r w:rsidRPr="003241D7">
              <w:t xml:space="preserve"> et al.,</w:t>
            </w:r>
            <w:r w:rsidRPr="003241D7">
              <w:rPr>
                <w:spacing w:val="-1"/>
              </w:rPr>
              <w:t xml:space="preserve"> </w:t>
            </w:r>
            <w:r w:rsidRPr="003241D7">
              <w:t xml:space="preserve">2016). </w:t>
            </w:r>
          </w:p>
          <w:p w14:paraId="1655A45C" w14:textId="77777777" w:rsidR="0040266D" w:rsidRDefault="001456AA" w:rsidP="00185D0B">
            <w:pPr>
              <w:rPr>
                <w:lang w:val="en-AU"/>
              </w:rPr>
            </w:pPr>
            <w:r>
              <w:rPr>
                <w:lang w:val="en-AU"/>
              </w:rPr>
              <w:t>S</w:t>
            </w:r>
            <w:r w:rsidR="00185D0B" w:rsidRPr="004D2A42">
              <w:rPr>
                <w:lang w:val="en-AU"/>
              </w:rPr>
              <w:t>everal systematic reviews and meta-analyses have consistently found strategies related to metacognition and self-regulation to have large positive impacts on student learning (</w:t>
            </w:r>
            <w:proofErr w:type="spellStart"/>
            <w:r w:rsidR="00185D0B" w:rsidRPr="004D2A42">
              <w:rPr>
                <w:lang w:val="en-AU"/>
              </w:rPr>
              <w:t>Dignath</w:t>
            </w:r>
            <w:proofErr w:type="spellEnd"/>
            <w:r w:rsidR="00185D0B" w:rsidRPr="004D2A42">
              <w:rPr>
                <w:lang w:val="en-AU"/>
              </w:rPr>
              <w:t xml:space="preserve"> et al., 2008; </w:t>
            </w:r>
            <w:proofErr w:type="spellStart"/>
            <w:r w:rsidR="00185D0B" w:rsidRPr="004D2A42">
              <w:rPr>
                <w:lang w:val="en-AU"/>
              </w:rPr>
              <w:t>Donker</w:t>
            </w:r>
            <w:proofErr w:type="spellEnd"/>
            <w:r w:rsidR="00185D0B" w:rsidRPr="004D2A42">
              <w:rPr>
                <w:lang w:val="en-AU"/>
              </w:rPr>
              <w:t xml:space="preserve"> et la., 2014; Goldberg et al., 2019; Taylor et al., 2017). Self</w:t>
            </w:r>
            <w:r w:rsidR="00185D0B" w:rsidRPr="004D2A42">
              <w:rPr>
                <w:rFonts w:ascii="Cambria Math" w:hAnsi="Cambria Math" w:cs="Cambria Math"/>
                <w:lang w:val="en-AU"/>
              </w:rPr>
              <w:t>‑</w:t>
            </w:r>
            <w:r w:rsidR="00185D0B" w:rsidRPr="004D2A42">
              <w:rPr>
                <w:lang w:val="en-AU"/>
              </w:rPr>
              <w:t xml:space="preserve">regulated learners are aware of their strengths and </w:t>
            </w:r>
          </w:p>
          <w:p w14:paraId="02570FEB" w14:textId="77777777" w:rsidR="0040266D" w:rsidRDefault="0040266D" w:rsidP="00185D0B">
            <w:pPr>
              <w:rPr>
                <w:lang w:val="en-AU"/>
              </w:rPr>
            </w:pPr>
          </w:p>
          <w:p w14:paraId="602AC7A3" w14:textId="6E8F164A" w:rsidR="00185D0B" w:rsidRDefault="00185D0B" w:rsidP="00185D0B">
            <w:pPr>
              <w:rPr>
                <w:lang w:val="en-AU"/>
              </w:rPr>
            </w:pPr>
            <w:r w:rsidRPr="004D2A42">
              <w:rPr>
                <w:lang w:val="en-AU"/>
              </w:rPr>
              <w:t>weaknesses, and can motivate themselves to engage in, and improve, their learning. Metacognitive strategies improve learning across all domains or subjects and are effective from primary school ages onwards. The greatest positive learning impacts were found for interventions that combined the instruction of different types of strategies and had consideration of motivational factors when investigating self-regulated learning (</w:t>
            </w:r>
            <w:proofErr w:type="spellStart"/>
            <w:r w:rsidRPr="004D2A42">
              <w:rPr>
                <w:lang w:val="en-AU"/>
              </w:rPr>
              <w:t>Donker</w:t>
            </w:r>
            <w:proofErr w:type="spellEnd"/>
            <w:r w:rsidRPr="004D2A42">
              <w:rPr>
                <w:lang w:val="en-AU"/>
              </w:rPr>
              <w:t xml:space="preserve"> et al., 2014; </w:t>
            </w:r>
            <w:proofErr w:type="spellStart"/>
            <w:r w:rsidRPr="004D2A42">
              <w:rPr>
                <w:lang w:val="en-AU"/>
              </w:rPr>
              <w:t>Dignath</w:t>
            </w:r>
            <w:proofErr w:type="spellEnd"/>
            <w:r w:rsidRPr="004D2A42">
              <w:rPr>
                <w:lang w:val="en-AU"/>
              </w:rPr>
              <w:t>, et al., 2008; Evidence for Learning, 2019b).</w:t>
            </w:r>
          </w:p>
          <w:p w14:paraId="2717EC63" w14:textId="04949096" w:rsidR="000901AE" w:rsidRPr="0059010F" w:rsidRDefault="000901AE" w:rsidP="00AD3AB8">
            <w:pPr>
              <w:rPr>
                <w:lang w:val="en-AU"/>
              </w:rPr>
            </w:pPr>
            <w:r w:rsidRPr="0059010F">
              <w:rPr>
                <w:lang w:val="en-AU"/>
              </w:rPr>
              <w:lastRenderedPageBreak/>
              <w:t>Providing students opportunities to engage in school leadership can improve students' self-per</w:t>
            </w:r>
            <w:r>
              <w:rPr>
                <w:lang w:val="en-AU"/>
              </w:rPr>
              <w:t>cept</w:t>
            </w:r>
            <w:r w:rsidRPr="0059010F">
              <w:rPr>
                <w:lang w:val="en-AU"/>
              </w:rPr>
              <w:t>ion</w:t>
            </w:r>
            <w:r>
              <w:rPr>
                <w:lang w:val="en-AU"/>
              </w:rPr>
              <w:t xml:space="preserve">, </w:t>
            </w:r>
            <w:r w:rsidRPr="0059010F">
              <w:rPr>
                <w:lang w:val="en-AU"/>
              </w:rPr>
              <w:t>including feelings of competence</w:t>
            </w:r>
            <w:r>
              <w:rPr>
                <w:lang w:val="en-AU"/>
              </w:rPr>
              <w:t xml:space="preserve">, </w:t>
            </w:r>
            <w:r w:rsidRPr="0059010F">
              <w:rPr>
                <w:lang w:val="en-AU"/>
              </w:rPr>
              <w:t xml:space="preserve">and engagement (Lyons &amp; </w:t>
            </w:r>
            <w:proofErr w:type="spellStart"/>
            <w:r w:rsidRPr="0059010F">
              <w:rPr>
                <w:lang w:val="en-AU"/>
              </w:rPr>
              <w:t>Brasof</w:t>
            </w:r>
            <w:proofErr w:type="spellEnd"/>
            <w:r w:rsidR="006F4946">
              <w:rPr>
                <w:lang w:val="en-AU"/>
              </w:rPr>
              <w:t>,</w:t>
            </w:r>
            <w:r w:rsidRPr="0059010F">
              <w:rPr>
                <w:lang w:val="en-AU"/>
              </w:rPr>
              <w:t xml:space="preserve"> 2020). </w:t>
            </w:r>
            <w:r>
              <w:rPr>
                <w:lang w:val="en-AU"/>
              </w:rPr>
              <w:t>Their participation</w:t>
            </w:r>
            <w:r w:rsidRPr="0059010F">
              <w:rPr>
                <w:lang w:val="en-AU"/>
              </w:rPr>
              <w:t xml:space="preserve"> in school reform efforts is intrinsic to student engagement and has been argued to be fundamental to sustained school success (Andrews, 2007; Crowther et al., 2001). </w:t>
            </w:r>
          </w:p>
          <w:p w14:paraId="5AAC5B2A" w14:textId="499AF8A8" w:rsidR="000901AE" w:rsidRDefault="000901AE" w:rsidP="0059010F">
            <w:pPr>
              <w:rPr>
                <w:lang w:val="en-AU"/>
              </w:rPr>
            </w:pPr>
            <w:r w:rsidRPr="0059010F">
              <w:rPr>
                <w:lang w:val="en-AU"/>
              </w:rPr>
              <w:t>Five mechanisms found to foster student leadership in schools include:</w:t>
            </w:r>
          </w:p>
          <w:p w14:paraId="1F228960" w14:textId="2494B08D" w:rsidR="000901AE" w:rsidRDefault="000901AE" w:rsidP="00BA096F">
            <w:pPr>
              <w:pStyle w:val="Bullet1"/>
            </w:pPr>
            <w:r>
              <w:t>r</w:t>
            </w:r>
            <w:r w:rsidRPr="0059010F">
              <w:t>esearch (often participatory) to inform decision-making</w:t>
            </w:r>
          </w:p>
          <w:p w14:paraId="5DE9DEFE" w14:textId="77777777" w:rsidR="000901AE" w:rsidRDefault="000901AE" w:rsidP="00BA096F">
            <w:pPr>
              <w:pStyle w:val="Bullet1"/>
            </w:pPr>
            <w:r w:rsidRPr="0059010F">
              <w:t>consistent opportunities for student participation and voice in meetings</w:t>
            </w:r>
          </w:p>
          <w:p w14:paraId="6FC0C249" w14:textId="77777777" w:rsidR="000901AE" w:rsidRDefault="000901AE" w:rsidP="00BA096F">
            <w:pPr>
              <w:pStyle w:val="Bullet1"/>
            </w:pPr>
            <w:r w:rsidRPr="0059010F">
              <w:t>a governance structure that supports student contributions</w:t>
            </w:r>
          </w:p>
          <w:p w14:paraId="6C78B9FA" w14:textId="527B7F04" w:rsidR="000901AE" w:rsidRPr="00756A55" w:rsidRDefault="000901AE" w:rsidP="00725DE3">
            <w:pPr>
              <w:pStyle w:val="Bullet1"/>
            </w:pPr>
            <w:r w:rsidRPr="0059010F">
              <w:t>recognition for students' participation and having smaller - rather than larger - groups (</w:t>
            </w:r>
            <w:proofErr w:type="gramStart"/>
            <w:r w:rsidRPr="0059010F">
              <w:t>e.g.</w:t>
            </w:r>
            <w:proofErr w:type="gramEnd"/>
            <w:r w:rsidRPr="0059010F">
              <w:t xml:space="preserve"> smaller class sizes) (Lyons &amp; </w:t>
            </w:r>
            <w:proofErr w:type="spellStart"/>
            <w:r w:rsidRPr="0059010F">
              <w:t>Brasof</w:t>
            </w:r>
            <w:proofErr w:type="spellEnd"/>
            <w:r w:rsidR="006F4946">
              <w:t>,</w:t>
            </w:r>
            <w:r w:rsidRPr="0059010F">
              <w:t xml:space="preserve"> 2020).</w:t>
            </w:r>
          </w:p>
        </w:tc>
      </w:tr>
      <w:tr w:rsidR="00B8298E" w14:paraId="13250E74" w14:textId="77777777" w:rsidTr="003E63DD">
        <w:tc>
          <w:tcPr>
            <w:cnfStyle w:val="001000000000" w:firstRow="0" w:lastRow="0" w:firstColumn="1" w:lastColumn="0" w:oddVBand="0" w:evenVBand="0" w:oddHBand="0" w:evenHBand="0" w:firstRowFirstColumn="0" w:firstRowLastColumn="0" w:lastRowFirstColumn="0" w:lastRowLastColumn="0"/>
            <w:tcW w:w="9622" w:type="dxa"/>
            <w:shd w:val="clear" w:color="auto" w:fill="004C97" w:themeFill="accent5"/>
          </w:tcPr>
          <w:p w14:paraId="4739E578" w14:textId="078FEBD9" w:rsidR="00B8298E" w:rsidRPr="00E91DDD" w:rsidRDefault="00E91DDD" w:rsidP="000472B2">
            <w:pPr>
              <w:pStyle w:val="Heading4"/>
              <w:outlineLvl w:val="3"/>
              <w:rPr>
                <w:i w:val="0"/>
                <w:iCs w:val="0"/>
                <w:color w:val="FFFFFF" w:themeColor="background1"/>
                <w:lang w:val="en-AU"/>
              </w:rPr>
            </w:pPr>
            <w:r w:rsidRPr="00E91DDD">
              <w:rPr>
                <w:i w:val="0"/>
                <w:iCs w:val="0"/>
                <w:color w:val="FFFFFF" w:themeColor="background1"/>
                <w:lang w:val="en-AU"/>
              </w:rPr>
              <w:lastRenderedPageBreak/>
              <w:t>Strong relationships and active partnerships between schools and families</w:t>
            </w:r>
            <w:r w:rsidR="00D342F2">
              <w:rPr>
                <w:i w:val="0"/>
                <w:iCs w:val="0"/>
                <w:color w:val="FFFFFF" w:themeColor="background1"/>
                <w:lang w:val="en-AU"/>
              </w:rPr>
              <w:t>/carers</w:t>
            </w:r>
            <w:r w:rsidRPr="00E91DDD">
              <w:rPr>
                <w:i w:val="0"/>
                <w:iCs w:val="0"/>
                <w:color w:val="FFFFFF" w:themeColor="background1"/>
                <w:lang w:val="en-AU"/>
              </w:rPr>
              <w:t xml:space="preserve">, communities, and </w:t>
            </w:r>
            <w:r w:rsidR="00D342F2">
              <w:rPr>
                <w:i w:val="0"/>
                <w:iCs w:val="0"/>
                <w:color w:val="FFFFFF" w:themeColor="background1"/>
                <w:lang w:val="en-AU"/>
              </w:rPr>
              <w:t>organisations</w:t>
            </w:r>
            <w:r w:rsidRPr="00E91DDD">
              <w:rPr>
                <w:i w:val="0"/>
                <w:iCs w:val="0"/>
                <w:color w:val="FFFFFF" w:themeColor="background1"/>
                <w:lang w:val="en-AU"/>
              </w:rPr>
              <w:t xml:space="preserve"> to strengthen students’ participation and engagement in school</w:t>
            </w:r>
          </w:p>
        </w:tc>
      </w:tr>
      <w:tr w:rsidR="003E63DD" w14:paraId="054F9978"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1C9F122D" w14:textId="726D9052" w:rsidR="003E63DD" w:rsidRPr="0025458F" w:rsidRDefault="003E63DD" w:rsidP="003A355F">
            <w:pPr>
              <w:rPr>
                <w:lang w:val="en-AU"/>
              </w:rPr>
            </w:pPr>
            <w:r w:rsidRPr="0025458F">
              <w:rPr>
                <w:lang w:val="en-AU"/>
              </w:rPr>
              <w:t xml:space="preserve">Strong student-teacher relationships increase teachers’ expectations and beliefs in student capabilities and are important in preventing disengagement from school and risk-taking behaviour. Effective schools ensure that every child has a secure, </w:t>
            </w:r>
            <w:proofErr w:type="gramStart"/>
            <w:r w:rsidRPr="0025458F">
              <w:rPr>
                <w:lang w:val="en-AU"/>
              </w:rPr>
              <w:t>positive</w:t>
            </w:r>
            <w:proofErr w:type="gramEnd"/>
            <w:r w:rsidRPr="0025458F">
              <w:rPr>
                <w:lang w:val="en-AU"/>
              </w:rPr>
              <w:t xml:space="preserve"> and ongoing relationship with at least one staff member</w:t>
            </w:r>
            <w:r w:rsidR="00FA68EF">
              <w:rPr>
                <w:lang w:val="en-AU"/>
              </w:rPr>
              <w:t>, and recognise that n</w:t>
            </w:r>
            <w:r w:rsidRPr="0025458F">
              <w:rPr>
                <w:lang w:val="en-AU"/>
              </w:rPr>
              <w:t xml:space="preserve">egative relationships can make students less happy about coming to school or participating in class. Teachers can improve relationships by showing they understand and care about individual students and trying to see student perspectives (Hattie, 2009; Jamal et al., 2013; Nicholson &amp; </w:t>
            </w:r>
            <w:proofErr w:type="spellStart"/>
            <w:r w:rsidRPr="0025458F">
              <w:rPr>
                <w:lang w:val="en-AU"/>
              </w:rPr>
              <w:t>Putwain</w:t>
            </w:r>
            <w:proofErr w:type="spellEnd"/>
            <w:r w:rsidRPr="0025458F">
              <w:rPr>
                <w:lang w:val="en-AU"/>
              </w:rPr>
              <w:t>, 2015).</w:t>
            </w:r>
          </w:p>
          <w:p w14:paraId="183DBB4C" w14:textId="1C841815" w:rsidR="003E63DD" w:rsidRPr="002564A7" w:rsidRDefault="003E63DD" w:rsidP="00074580">
            <w:r w:rsidRPr="002564A7">
              <w:t>Engaging the community through developing and maintaining relationships with a broad range of stakeholders is recognised as a driver for enhancing teaching and non-teaching capacity within schools. Relationships between teachers and with the broader community strengthen the professional capital of those working within a school and of the community (Salinas, et al., 2019).</w:t>
            </w:r>
          </w:p>
          <w:p w14:paraId="59036A52" w14:textId="23169B62" w:rsidR="003E63DD" w:rsidRDefault="003E63DD" w:rsidP="00074580">
            <w:r w:rsidRPr="002564A7">
              <w:t>The work of building communities is complex and multifaceted. The Measure of School, Family, and Community Partnerships developed by Johns Hopkins University is an instrument designed to measure how schools engage with parents</w:t>
            </w:r>
            <w:r w:rsidR="00BB3072">
              <w:t>/carers</w:t>
            </w:r>
            <w:r w:rsidRPr="002564A7">
              <w:t>, community members and students</w:t>
            </w:r>
            <w:r w:rsidR="00210CF6">
              <w:t xml:space="preserve">. It </w:t>
            </w:r>
            <w:r w:rsidRPr="002564A7">
              <w:t>includes six types of involvement: parenting, communication, volunteering, learning at home, decision-making and collaborating with the community (Salinas, et al., 2019).</w:t>
            </w:r>
          </w:p>
          <w:p w14:paraId="05538AE3" w14:textId="2217BD6C" w:rsidR="003E63DD" w:rsidRDefault="003E63DD" w:rsidP="00950463">
            <w:r>
              <w:t>Shared decision-making and consultation with families and the wider community are vital in planning and designing supports for students, as this ensures supports are tailored based on all available information from teachers and parents/carers (</w:t>
            </w:r>
            <w:proofErr w:type="spellStart"/>
            <w:r>
              <w:t>Attree</w:t>
            </w:r>
            <w:proofErr w:type="spellEnd"/>
            <w:r>
              <w:t>, 2011). Collaborative partnerships between parents</w:t>
            </w:r>
            <w:r w:rsidR="0087475F">
              <w:t>/carers</w:t>
            </w:r>
            <w:r>
              <w:t xml:space="preserve">, communities and schools are particularly important for driving improvement in culturally diverse schools and can significantly improve students’ health and wellbeing outcomes (Bradford &amp; Clarke, 2015; Sheridan, et al., 2019; Wang et al., 2016). </w:t>
            </w:r>
          </w:p>
          <w:p w14:paraId="18F92EFA" w14:textId="66117DBF" w:rsidR="003E63DD" w:rsidRDefault="003E63DD" w:rsidP="000269F2">
            <w:r>
              <w:t xml:space="preserve">While there is no one-size-fits-all approach for engaging parents/carers in student learning, there is strong consensus in contemporary </w:t>
            </w:r>
            <w:r w:rsidR="000C4192">
              <w:t>research</w:t>
            </w:r>
            <w:r>
              <w:t xml:space="preserve"> that the development of partnerships with parents/carers is a critical driver of school improvement. Effective partnerships include participation in school culture and opportunities for parents/carers to be active in decision-making. The involvement of parents/carers fosters student engagement through intrinsic motivation, increased confidence, a sense of control over academic performance and more positive associations with education (Barker &amp; Harris, 2020; Clark, 2017; Liu, 2017 and </w:t>
            </w:r>
            <w:proofErr w:type="spellStart"/>
            <w:r>
              <w:t>Okilwa</w:t>
            </w:r>
            <w:proofErr w:type="spellEnd"/>
            <w:r>
              <w:t xml:space="preserve"> &amp; Barnett, 2017). </w:t>
            </w:r>
          </w:p>
          <w:p w14:paraId="2F5FD9CB" w14:textId="7F7F1D5A" w:rsidR="00825201" w:rsidRDefault="00825201" w:rsidP="000269F2">
            <w:r w:rsidRPr="00825201">
              <w:t xml:space="preserve">Department data analysis shows </w:t>
            </w:r>
            <w:r w:rsidRPr="005836A9">
              <w:t>students’ ‘sense of confidence’</w:t>
            </w:r>
            <w:r w:rsidRPr="00E24310">
              <w:rPr>
                <w:b/>
                <w:bCs/>
              </w:rPr>
              <w:t xml:space="preserve"> </w:t>
            </w:r>
            <w:r w:rsidRPr="00825201">
              <w:t xml:space="preserve">aligns with the </w:t>
            </w:r>
            <w:r w:rsidR="00920214">
              <w:t xml:space="preserve">factor ‘perceived good academic performance’ in the </w:t>
            </w:r>
            <w:r w:rsidRPr="00825201">
              <w:t>V</w:t>
            </w:r>
            <w:r w:rsidR="00920214">
              <w:t xml:space="preserve">ictorian </w:t>
            </w:r>
            <w:r w:rsidRPr="00825201">
              <w:t>S</w:t>
            </w:r>
            <w:r w:rsidR="00920214">
              <w:t xml:space="preserve">tudent Health and </w:t>
            </w:r>
            <w:r w:rsidRPr="00825201">
              <w:t>W</w:t>
            </w:r>
            <w:r w:rsidR="00920214">
              <w:t xml:space="preserve">ellbeing </w:t>
            </w:r>
            <w:r w:rsidRPr="00825201">
              <w:t>S</w:t>
            </w:r>
            <w:r w:rsidR="00920214">
              <w:t>urvey</w:t>
            </w:r>
            <w:r w:rsidR="00182408">
              <w:t xml:space="preserve"> (VSHAWS)</w:t>
            </w:r>
            <w:r w:rsidRPr="00825201">
              <w:t xml:space="preserve">. </w:t>
            </w:r>
            <w:r w:rsidR="005836A9">
              <w:t>R</w:t>
            </w:r>
            <w:r w:rsidRPr="00825201">
              <w:t>egression analysis, using Data from Victorian Government schools, showed this is a statistically significant predictor of high levels of resilience</w:t>
            </w:r>
            <w:r w:rsidR="00920214">
              <w:t>.</w:t>
            </w:r>
          </w:p>
          <w:p w14:paraId="7A0C8D00" w14:textId="481207B1" w:rsidR="003E63DD" w:rsidRDefault="003E63DD" w:rsidP="00771583">
            <w:r>
              <w:lastRenderedPageBreak/>
              <w:t>Contemporary research consistently finds a strong and positive correlation between parents</w:t>
            </w:r>
            <w:r w:rsidR="00605452">
              <w:t>/carers</w:t>
            </w:r>
            <w:r>
              <w:t xml:space="preserve"> actively supporting their child’s learning and student achievement (Education Endowment Foundation, 2018; Barker &amp; Harris, 2020). Effective teachers take deliberate steps to increase discussions with parents/carers about student learning and progress, which increases families’ confidence in the school environment and can transform parents</w:t>
            </w:r>
            <w:r w:rsidR="00DE4EE8">
              <w:t>/carers</w:t>
            </w:r>
            <w:r>
              <w:t xml:space="preserve"> into advocates for the school. Sharing individual student performance data with families, as well as drawing information from families about students’ interests, behaviours, and challenges, can deepen the conversation on a students’ progress (Weiss &amp; Lopez, 2011).</w:t>
            </w:r>
          </w:p>
          <w:p w14:paraId="6A75F174" w14:textId="6CB0CFBE" w:rsidR="007437F8" w:rsidRDefault="003E63DD" w:rsidP="00771583">
            <w:r>
              <w:t xml:space="preserve">Informing parents/carers of how they can best help students meet learning </w:t>
            </w:r>
            <w:proofErr w:type="gramStart"/>
            <w:r>
              <w:t>standards</w:t>
            </w:r>
            <w:r w:rsidR="000C6E9E">
              <w:t>,</w:t>
            </w:r>
            <w:r>
              <w:t xml:space="preserve"> and</w:t>
            </w:r>
            <w:proofErr w:type="gramEnd"/>
            <w:r>
              <w:t xml:space="preserve"> ensuring that there are ongoing conversations between teachers and parents/carers about their roles and expectations in supporting student learning</w:t>
            </w:r>
            <w:r w:rsidR="000C6E9E">
              <w:t>,</w:t>
            </w:r>
            <w:r>
              <w:t xml:space="preserve"> have a positive influence on learning outcomes (</w:t>
            </w:r>
            <w:proofErr w:type="spellStart"/>
            <w:r>
              <w:t>Jeynes</w:t>
            </w:r>
            <w:proofErr w:type="spellEnd"/>
            <w:r>
              <w:t xml:space="preserve">, 2012; Redding et al, 2004). </w:t>
            </w:r>
            <w:r w:rsidR="00261032">
              <w:t>It is important for schools to be aware of</w:t>
            </w:r>
            <w:r w:rsidR="00341CAD">
              <w:t xml:space="preserve"> the following:</w:t>
            </w:r>
          </w:p>
          <w:p w14:paraId="727E061D" w14:textId="561E9C31" w:rsidR="00261032" w:rsidRPr="00261032" w:rsidRDefault="00341CAD" w:rsidP="00261032">
            <w:pPr>
              <w:pStyle w:val="Bullet1"/>
              <w:rPr>
                <w:sz w:val="24"/>
              </w:rPr>
            </w:pPr>
            <w:r>
              <w:t>T</w:t>
            </w:r>
            <w:r w:rsidR="00261032">
              <w:t>he</w:t>
            </w:r>
            <w:r w:rsidR="00330ABB" w:rsidRPr="00330ABB">
              <w:t xml:space="preserve"> strong link between parent</w:t>
            </w:r>
            <w:r w:rsidR="00E00497">
              <w:t>/carers</w:t>
            </w:r>
            <w:r w:rsidR="00330ABB" w:rsidRPr="00330ABB">
              <w:t>’ educational attainment and the quality of the home learning environment, with parents</w:t>
            </w:r>
            <w:r w:rsidR="00CB4584">
              <w:t>/carers</w:t>
            </w:r>
            <w:r w:rsidR="00330ABB" w:rsidRPr="00330ABB">
              <w:t xml:space="preserve"> who have higher levels of education more likely to engage in daily home-based literacy activities (</w:t>
            </w:r>
            <w:proofErr w:type="spellStart"/>
            <w:r w:rsidR="00330ABB" w:rsidRPr="00330ABB">
              <w:t>Niklas</w:t>
            </w:r>
            <w:proofErr w:type="spellEnd"/>
            <w:r w:rsidR="00330ABB" w:rsidRPr="00330ABB">
              <w:t xml:space="preserve">, et al., 2015). </w:t>
            </w:r>
          </w:p>
          <w:p w14:paraId="14D51D98" w14:textId="6F5ADA7E" w:rsidR="00D8191E" w:rsidRPr="00D8191E" w:rsidRDefault="00341CAD" w:rsidP="00A550C8">
            <w:pPr>
              <w:pStyle w:val="Bullet1"/>
              <w:rPr>
                <w:sz w:val="24"/>
              </w:rPr>
            </w:pPr>
            <w:r>
              <w:t>C</w:t>
            </w:r>
            <w:r w:rsidR="00330ABB" w:rsidRPr="00330ABB">
              <w:t>hildren experiencing factors of disadvantage, such as low socioeconomic status (Crampton &amp; Hall, 2017), poor parental mental and physical health, and poor parenting readiness are also more likely to experience a poor home learning environment (Tayler, et al., 2016), with negative consequences for their later achievement and academic self-concept.</w:t>
            </w:r>
            <w:r w:rsidR="004D7278">
              <w:t xml:space="preserve"> Given parents/carer engagement in child’s learning is important, schools can support them engage.</w:t>
            </w:r>
          </w:p>
          <w:p w14:paraId="0685CEBE" w14:textId="77777777" w:rsidR="00B12915" w:rsidRPr="00B12915" w:rsidRDefault="00341CAD" w:rsidP="00771583">
            <w:pPr>
              <w:pStyle w:val="Bullet1"/>
              <w:rPr>
                <w:sz w:val="24"/>
              </w:rPr>
            </w:pPr>
            <w:r w:rsidRPr="00D8191E">
              <w:t>C</w:t>
            </w:r>
            <w:r w:rsidR="003E63DD" w:rsidRPr="00D8191E">
              <w:t>hecking of homework and reading with students are effective home learning practices. The Longitudinal Study of Australian Children found that children who are read to 6-7 times per week are more than twice as likely to record the highest reading test score than children read to 0-2 times per week, and 16 to18 per cent less likely to record the lowest score. This is a similar effect to an additional year of learning (</w:t>
            </w:r>
            <w:proofErr w:type="spellStart"/>
            <w:r w:rsidR="003E63DD" w:rsidRPr="00D8191E">
              <w:t>Kalb</w:t>
            </w:r>
            <w:proofErr w:type="spellEnd"/>
            <w:r w:rsidR="003E63DD" w:rsidRPr="00D8191E">
              <w:t xml:space="preserve"> &amp; van Ours, 2013).</w:t>
            </w:r>
          </w:p>
          <w:p w14:paraId="42E5CF54" w14:textId="390C23F1" w:rsidR="007826F9" w:rsidRPr="00B12915" w:rsidRDefault="007826F9" w:rsidP="00771583">
            <w:pPr>
              <w:pStyle w:val="Bullet1"/>
              <w:rPr>
                <w:sz w:val="24"/>
              </w:rPr>
            </w:pPr>
            <w:r w:rsidRPr="00B12915">
              <w:t xml:space="preserve">To be impactful, communication and partnerships must be tailored to the context of students’ backgrounds, family/carer characteristics and the needs of their communities. For example, culture and language may be barriers to some families engaging in their child’s learning, including a lack of translated information and resources about what their child is learning (Sheridan, et al., 2019). </w:t>
            </w:r>
          </w:p>
        </w:tc>
      </w:tr>
    </w:tbl>
    <w:p w14:paraId="6A5BDB13" w14:textId="23E5C6DA" w:rsidR="00B8298E" w:rsidRPr="00B8298E" w:rsidRDefault="00B8298E" w:rsidP="00B8298E">
      <w:pPr>
        <w:rPr>
          <w:lang w:val="en-AU"/>
        </w:rPr>
        <w:sectPr w:rsidR="00B8298E" w:rsidRPr="00B8298E" w:rsidSect="00144FD5">
          <w:pgSz w:w="11900" w:h="16840"/>
          <w:pgMar w:top="1134" w:right="1134" w:bottom="1701" w:left="1134" w:header="709" w:footer="709" w:gutter="0"/>
          <w:cols w:space="708"/>
          <w:docGrid w:linePitch="360"/>
        </w:sectPr>
      </w:pPr>
    </w:p>
    <w:p w14:paraId="33D369E9" w14:textId="453083C2" w:rsidR="001A18A8" w:rsidRDefault="0035192C" w:rsidP="00A360F1">
      <w:pPr>
        <w:pStyle w:val="Heading3"/>
        <w:rPr>
          <w:lang w:val="en-AU"/>
        </w:rPr>
      </w:pPr>
      <w:bookmarkStart w:id="10" w:name="_Toc83882670"/>
      <w:r>
        <w:rPr>
          <w:lang w:val="en-AU"/>
        </w:rPr>
        <w:lastRenderedPageBreak/>
        <w:t>SUPPORT</w:t>
      </w:r>
      <w:bookmarkEnd w:id="10"/>
      <w:r w:rsidR="00D67B92">
        <w:rPr>
          <w:lang w:val="en-AU"/>
        </w:rPr>
        <w:t xml:space="preserve"> AND RESOURCES</w:t>
      </w:r>
    </w:p>
    <w:p w14:paraId="1F870D4B" w14:textId="43A1340F" w:rsidR="00A93E30" w:rsidRDefault="00A93E30" w:rsidP="00A360F1">
      <w:pPr>
        <w:pStyle w:val="Heading4"/>
        <w:rPr>
          <w:lang w:val="en-AU"/>
        </w:rPr>
      </w:pPr>
      <w:r w:rsidRPr="00A93E30">
        <w:rPr>
          <w:lang w:val="en-AU"/>
        </w:rPr>
        <w:t xml:space="preserve">Support </w:t>
      </w:r>
      <w:r w:rsidR="00D67B92">
        <w:rPr>
          <w:lang w:val="en-AU"/>
        </w:rPr>
        <w:t xml:space="preserve">and resources </w:t>
      </w:r>
      <w:proofErr w:type="gramStart"/>
      <w:r w:rsidRPr="00A93E30">
        <w:rPr>
          <w:lang w:val="en-AU"/>
        </w:rPr>
        <w:t>refers</w:t>
      </w:r>
      <w:proofErr w:type="gramEnd"/>
      <w:r w:rsidRPr="00A93E30">
        <w:rPr>
          <w:lang w:val="en-AU"/>
        </w:rPr>
        <w:t xml:space="preserve"> to the processes,</w:t>
      </w:r>
      <w:r w:rsidR="00FA7943">
        <w:rPr>
          <w:lang w:val="en-AU"/>
        </w:rPr>
        <w:t xml:space="preserve"> products, services</w:t>
      </w:r>
      <w:r w:rsidRPr="00A93E30">
        <w:rPr>
          <w:lang w:val="en-AU"/>
        </w:rPr>
        <w:t xml:space="preserve"> and</w:t>
      </w:r>
      <w:r w:rsidR="00545111">
        <w:rPr>
          <w:lang w:val="en-AU"/>
        </w:rPr>
        <w:t xml:space="preserve"> partnerships</w:t>
      </w:r>
      <w:r w:rsidRPr="00A93E30">
        <w:rPr>
          <w:lang w:val="en-AU"/>
        </w:rPr>
        <w:t xml:space="preserve"> </w:t>
      </w:r>
      <w:r w:rsidR="00DA65CD">
        <w:rPr>
          <w:lang w:val="en-AU"/>
        </w:rPr>
        <w:t>that enable</w:t>
      </w:r>
      <w:r w:rsidRPr="00A93E30">
        <w:rPr>
          <w:lang w:val="en-AU"/>
        </w:rPr>
        <w:t xml:space="preserve"> every student to strengthen their wellbeing</w:t>
      </w:r>
      <w:r w:rsidR="00644AF4">
        <w:rPr>
          <w:lang w:val="en-AU"/>
        </w:rPr>
        <w:t xml:space="preserve"> capabilities</w:t>
      </w:r>
      <w:r w:rsidRPr="00A93E30">
        <w:rPr>
          <w:lang w:val="en-AU"/>
        </w:rPr>
        <w:t xml:space="preserve"> and achieve the highest levels of learning growth. </w:t>
      </w:r>
    </w:p>
    <w:p w14:paraId="1A56EE9B" w14:textId="77777777" w:rsidR="003A4AD0" w:rsidRPr="003A4AD0" w:rsidRDefault="003A4AD0" w:rsidP="003A4AD0">
      <w:pPr>
        <w:rPr>
          <w:lang w:val="en-AU"/>
        </w:rPr>
      </w:pPr>
    </w:p>
    <w:tbl>
      <w:tblPr>
        <w:tblStyle w:val="TableGrid"/>
        <w:tblW w:w="0" w:type="auto"/>
        <w:tblLook w:val="04A0" w:firstRow="1" w:lastRow="0" w:firstColumn="1" w:lastColumn="0" w:noHBand="0" w:noVBand="1"/>
      </w:tblPr>
      <w:tblGrid>
        <w:gridCol w:w="9622"/>
      </w:tblGrid>
      <w:tr w:rsidR="004647E2" w14:paraId="40F376E6" w14:textId="77777777" w:rsidTr="0077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F948D09" w14:textId="6D576F53" w:rsidR="004647E2" w:rsidRPr="00011FE8" w:rsidRDefault="00D547BA" w:rsidP="000472B2">
            <w:pPr>
              <w:pStyle w:val="Heading4"/>
              <w:outlineLvl w:val="3"/>
              <w:rPr>
                <w:i w:val="0"/>
                <w:iCs w:val="0"/>
                <w:color w:val="FFFFFF" w:themeColor="background1"/>
                <w:lang w:val="en-AU"/>
              </w:rPr>
            </w:pPr>
            <w:r>
              <w:rPr>
                <w:i w:val="0"/>
                <w:iCs w:val="0"/>
                <w:color w:val="FFFFFF" w:themeColor="background1"/>
                <w:lang w:val="en-US"/>
              </w:rPr>
              <w:t>R</w:t>
            </w:r>
            <w:r w:rsidR="00011FE8" w:rsidRPr="00011FE8">
              <w:rPr>
                <w:i w:val="0"/>
                <w:iCs w:val="0"/>
                <w:color w:val="FFFFFF" w:themeColor="background1"/>
                <w:lang w:val="en-US"/>
              </w:rPr>
              <w:t>esponsive,</w:t>
            </w:r>
            <w:r>
              <w:rPr>
                <w:i w:val="0"/>
                <w:iCs w:val="0"/>
                <w:color w:val="FFFFFF" w:themeColor="background1"/>
                <w:lang w:val="en-US"/>
              </w:rPr>
              <w:t xml:space="preserve"> </w:t>
            </w:r>
            <w:proofErr w:type="gramStart"/>
            <w:r>
              <w:rPr>
                <w:i w:val="0"/>
                <w:iCs w:val="0"/>
                <w:color w:val="FFFFFF" w:themeColor="background1"/>
                <w:lang w:val="en-US"/>
              </w:rPr>
              <w:t>tiered</w:t>
            </w:r>
            <w:proofErr w:type="gramEnd"/>
            <w:r w:rsidR="00011FE8" w:rsidRPr="00011FE8">
              <w:rPr>
                <w:i w:val="0"/>
                <w:iCs w:val="0"/>
                <w:color w:val="FFFFFF" w:themeColor="background1"/>
                <w:lang w:val="en-US"/>
              </w:rPr>
              <w:t xml:space="preserve"> and </w:t>
            </w:r>
            <w:proofErr w:type="spellStart"/>
            <w:r w:rsidR="00011FE8" w:rsidRPr="00011FE8">
              <w:rPr>
                <w:i w:val="0"/>
                <w:iCs w:val="0"/>
                <w:color w:val="FFFFFF" w:themeColor="background1"/>
                <w:lang w:val="en-US"/>
              </w:rPr>
              <w:t>contextualised</w:t>
            </w:r>
            <w:proofErr w:type="spellEnd"/>
            <w:r w:rsidR="00011FE8" w:rsidRPr="00011FE8">
              <w:rPr>
                <w:i w:val="0"/>
                <w:iCs w:val="0"/>
                <w:color w:val="FFFFFF" w:themeColor="background1"/>
                <w:lang w:val="en-US"/>
              </w:rPr>
              <w:t xml:space="preserve"> approaches and strong relationships to support student learning, wellbeing and inclusion</w:t>
            </w:r>
          </w:p>
        </w:tc>
      </w:tr>
      <w:tr w:rsidR="003E63DD" w14:paraId="0D655559"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4F06B129" w14:textId="77777777" w:rsidR="003E63DD" w:rsidRPr="00F51C37" w:rsidRDefault="003E63DD" w:rsidP="007B3AE8">
            <w:pPr>
              <w:rPr>
                <w:b/>
                <w:bCs/>
                <w:lang w:val="en-US"/>
              </w:rPr>
            </w:pPr>
            <w:r w:rsidRPr="00F51C37">
              <w:rPr>
                <w:b/>
                <w:bCs/>
                <w:lang w:val="en-AU"/>
              </w:rPr>
              <w:t>Tiered, responsive and contextualised approaches</w:t>
            </w:r>
            <w:r w:rsidRPr="00F51C37">
              <w:rPr>
                <w:b/>
                <w:bCs/>
                <w:lang w:val="en-US"/>
              </w:rPr>
              <w:t xml:space="preserve"> </w:t>
            </w:r>
          </w:p>
          <w:p w14:paraId="28C4DC63" w14:textId="5B74BF6E" w:rsidR="009F733F" w:rsidRDefault="006004F0" w:rsidP="007B3AE8">
            <w:pPr>
              <w:rPr>
                <w:lang w:val="en-US"/>
              </w:rPr>
            </w:pPr>
            <w:r>
              <w:rPr>
                <w:lang w:val="en-AU"/>
              </w:rPr>
              <w:t>A multi-tiered system of support is a strengths-based approach, based on early identification and intervention. It enhances student achievement and wellbeing through preventative instruction</w:t>
            </w:r>
            <w:r w:rsidRPr="000438A4">
              <w:rPr>
                <w:lang w:val="en-AU"/>
              </w:rPr>
              <w:t xml:space="preserve"> </w:t>
            </w:r>
            <w:r w:rsidRPr="000438A4">
              <w:rPr>
                <w:lang w:val="en-US"/>
              </w:rPr>
              <w:t>(NCSMH, 2020)</w:t>
            </w:r>
            <w:r>
              <w:rPr>
                <w:lang w:val="en-US"/>
              </w:rPr>
              <w:t>. When</w:t>
            </w:r>
            <w:r w:rsidR="003E63DD" w:rsidRPr="000438A4">
              <w:rPr>
                <w:lang w:val="en-US"/>
              </w:rPr>
              <w:t xml:space="preserve"> provided to students across different tiers of intensity based on need</w:t>
            </w:r>
            <w:r w:rsidR="003E63DD">
              <w:rPr>
                <w:lang w:val="en-US"/>
              </w:rPr>
              <w:t>,</w:t>
            </w:r>
            <w:r>
              <w:rPr>
                <w:lang w:val="en-US"/>
              </w:rPr>
              <w:t xml:space="preserve"> it</w:t>
            </w:r>
            <w:r w:rsidR="003E63DD">
              <w:rPr>
                <w:lang w:val="en-US"/>
              </w:rPr>
              <w:t xml:space="preserve"> is associated with instruction and interventions that lead to positive student outcomes</w:t>
            </w:r>
            <w:r w:rsidR="003E63DD" w:rsidRPr="000438A4">
              <w:rPr>
                <w:lang w:val="en-US"/>
              </w:rPr>
              <w:t xml:space="preserve"> </w:t>
            </w:r>
            <w:r w:rsidR="003E63DD">
              <w:rPr>
                <w:lang w:val="en-US"/>
              </w:rPr>
              <w:t xml:space="preserve">in schools </w:t>
            </w:r>
            <w:r w:rsidR="003E63DD" w:rsidRPr="000438A4">
              <w:rPr>
                <w:lang w:val="en-US"/>
              </w:rPr>
              <w:t>(NCSMH, 2020)</w:t>
            </w:r>
            <w:r w:rsidR="003E63DD">
              <w:rPr>
                <w:lang w:val="en-US"/>
              </w:rPr>
              <w:t xml:space="preserve">. </w:t>
            </w:r>
          </w:p>
          <w:p w14:paraId="1ABE3263" w14:textId="03DFE2EE" w:rsidR="003E63DD" w:rsidRDefault="003E63DD" w:rsidP="00F51C37">
            <w:pPr>
              <w:rPr>
                <w:lang w:val="en-AU"/>
              </w:rPr>
            </w:pPr>
            <w:r>
              <w:rPr>
                <w:lang w:val="en-AU"/>
              </w:rPr>
              <w:t xml:space="preserve">Tiered, responsive and contextualised approaches, that are evidence-based, can promote positive social and emotional learning, positive </w:t>
            </w:r>
            <w:proofErr w:type="gramStart"/>
            <w:r>
              <w:rPr>
                <w:lang w:val="en-AU"/>
              </w:rPr>
              <w:t>behaviour</w:t>
            </w:r>
            <w:proofErr w:type="gramEnd"/>
            <w:r>
              <w:rPr>
                <w:lang w:val="en-AU"/>
              </w:rPr>
              <w:t xml:space="preserve"> and positive outcomes for all members of a school community (Centre of Multi-Tiered System of Supports, 2021).</w:t>
            </w:r>
            <w:r w:rsidR="00A47D2E">
              <w:rPr>
                <w:lang w:val="en-AU"/>
              </w:rPr>
              <w:t xml:space="preserve"> </w:t>
            </w:r>
            <w:r>
              <w:rPr>
                <w:lang w:val="en-AU"/>
              </w:rPr>
              <w:t xml:space="preserve">Successful health and wellbeing initiatives include policies that support students’ health and wellbeing and strong networks of communication between staff, </w:t>
            </w:r>
            <w:proofErr w:type="gramStart"/>
            <w:r>
              <w:rPr>
                <w:lang w:val="en-AU"/>
              </w:rPr>
              <w:t>students</w:t>
            </w:r>
            <w:proofErr w:type="gramEnd"/>
            <w:r>
              <w:rPr>
                <w:lang w:val="en-AU"/>
              </w:rPr>
              <w:t xml:space="preserve"> and parents</w:t>
            </w:r>
            <w:r w:rsidR="008E5B8E">
              <w:rPr>
                <w:lang w:val="en-AU"/>
              </w:rPr>
              <w:t>/carers</w:t>
            </w:r>
            <w:r>
              <w:rPr>
                <w:lang w:val="en-AU"/>
              </w:rPr>
              <w:t xml:space="preserve"> (Dilley, 2009).</w:t>
            </w:r>
          </w:p>
          <w:p w14:paraId="0D9FCD5F" w14:textId="0A157DA8" w:rsidR="003E63DD" w:rsidRPr="000D5600" w:rsidRDefault="003E63DD" w:rsidP="003E63DD">
            <w:pPr>
              <w:rPr>
                <w:b/>
                <w:bCs/>
                <w:lang w:val="en-AU"/>
              </w:rPr>
            </w:pPr>
            <w:r w:rsidRPr="000D5600">
              <w:rPr>
                <w:b/>
                <w:bCs/>
                <w:lang w:val="en-AU"/>
              </w:rPr>
              <w:t xml:space="preserve">Strong relationships </w:t>
            </w:r>
            <w:r w:rsidR="00881BFC">
              <w:rPr>
                <w:b/>
                <w:bCs/>
                <w:lang w:val="en-AU"/>
              </w:rPr>
              <w:t xml:space="preserve">to support learning, </w:t>
            </w:r>
            <w:proofErr w:type="gramStart"/>
            <w:r w:rsidR="00881BFC">
              <w:rPr>
                <w:b/>
                <w:bCs/>
                <w:lang w:val="en-AU"/>
              </w:rPr>
              <w:t>wellbeing</w:t>
            </w:r>
            <w:proofErr w:type="gramEnd"/>
            <w:r w:rsidR="00881BFC">
              <w:rPr>
                <w:b/>
                <w:bCs/>
                <w:lang w:val="en-AU"/>
              </w:rPr>
              <w:t xml:space="preserve"> and inclusion</w:t>
            </w:r>
          </w:p>
          <w:p w14:paraId="75734311" w14:textId="77777777" w:rsidR="00E420B8" w:rsidRDefault="008E1CBD" w:rsidP="003E63DD">
            <w:pPr>
              <w:rPr>
                <w:lang w:val="en-AU"/>
              </w:rPr>
            </w:pPr>
            <w:r w:rsidRPr="00BA440A">
              <w:rPr>
                <w:lang w:val="en-AU"/>
              </w:rPr>
              <w:t>Department analysis shows the VSHAW</w:t>
            </w:r>
            <w:r w:rsidR="00182408" w:rsidRPr="00BA440A">
              <w:rPr>
                <w:lang w:val="en-AU"/>
              </w:rPr>
              <w:t>S</w:t>
            </w:r>
            <w:r w:rsidRPr="00BA440A">
              <w:rPr>
                <w:lang w:val="en-AU"/>
              </w:rPr>
              <w:t xml:space="preserve"> factor ‘</w:t>
            </w:r>
            <w:r w:rsidR="00182408" w:rsidRPr="00BA440A">
              <w:rPr>
                <w:lang w:val="en-AU"/>
              </w:rPr>
              <w:t>trusted</w:t>
            </w:r>
            <w:r w:rsidRPr="00BA440A">
              <w:rPr>
                <w:lang w:val="en-AU"/>
              </w:rPr>
              <w:t xml:space="preserve"> adult’ is a statistically significant predictor of high levels of student resilience. It is also aligned to </w:t>
            </w:r>
            <w:r w:rsidR="00182408" w:rsidRPr="00BA440A">
              <w:rPr>
                <w:lang w:val="en-AU"/>
              </w:rPr>
              <w:t xml:space="preserve">the ‘advocate at school’ factor in </w:t>
            </w:r>
            <w:proofErr w:type="spellStart"/>
            <w:r w:rsidR="00182408" w:rsidRPr="00BA440A">
              <w:rPr>
                <w:lang w:val="en-AU"/>
              </w:rPr>
              <w:t>AtoSS</w:t>
            </w:r>
            <w:proofErr w:type="spellEnd"/>
            <w:r w:rsidR="00182408" w:rsidRPr="00BA440A">
              <w:rPr>
                <w:lang w:val="en-AU"/>
              </w:rPr>
              <w:t>.</w:t>
            </w:r>
            <w:r w:rsidR="00BA440A">
              <w:rPr>
                <w:lang w:val="en-AU"/>
              </w:rPr>
              <w:t xml:space="preserve"> </w:t>
            </w:r>
            <w:r w:rsidR="00993330" w:rsidRPr="00BA440A">
              <w:rPr>
                <w:lang w:val="en-AU"/>
              </w:rPr>
              <w:t xml:space="preserve">Experiences of bullying, and victimisation, are a predictor of higher levels of psychological distress, including the onset of mental health concerns (Moore, et al. 2017) and suicidal ideation (Holt, et al. 2015), as well as higher rates of school absenteeism and reduced achievement on standardised testing (Fry, et al., 2018). </w:t>
            </w:r>
          </w:p>
          <w:p w14:paraId="79828850" w14:textId="4E0176A5" w:rsidR="00F5144A" w:rsidRDefault="00993330" w:rsidP="003E63DD">
            <w:pPr>
              <w:rPr>
                <w:lang w:val="en-AU"/>
              </w:rPr>
            </w:pPr>
            <w:r w:rsidRPr="00BA440A">
              <w:rPr>
                <w:lang w:val="en-AU"/>
              </w:rPr>
              <w:t xml:space="preserve">Research suggests that bully-victims report the highest feelings of insecurity and lowest level of teacher support in schools (Berkowitz &amp; </w:t>
            </w:r>
            <w:proofErr w:type="spellStart"/>
            <w:r w:rsidRPr="00BA440A">
              <w:rPr>
                <w:lang w:val="en-AU"/>
              </w:rPr>
              <w:t>Benbenishty</w:t>
            </w:r>
            <w:proofErr w:type="spellEnd"/>
            <w:r w:rsidRPr="00BA440A">
              <w:rPr>
                <w:lang w:val="en-AU"/>
              </w:rPr>
              <w:t xml:space="preserve">, 2012). Prior research also confirms that </w:t>
            </w:r>
            <w:proofErr w:type="gramStart"/>
            <w:r w:rsidRPr="00BA440A">
              <w:rPr>
                <w:lang w:val="en-AU"/>
              </w:rPr>
              <w:t>students’</w:t>
            </w:r>
            <w:proofErr w:type="gramEnd"/>
            <w:r w:rsidRPr="00BA440A">
              <w:rPr>
                <w:lang w:val="en-AU"/>
              </w:rPr>
              <w:t xml:space="preserve"> perceived social support connects strongly with their feelings of safety (Furlong et al., 1995).</w:t>
            </w:r>
            <w:r w:rsidR="00E420B8">
              <w:rPr>
                <w:lang w:val="en-AU"/>
              </w:rPr>
              <w:t xml:space="preserve"> </w:t>
            </w:r>
            <w:r w:rsidR="003E63DD" w:rsidRPr="000438A4">
              <w:rPr>
                <w:lang w:val="en-AU"/>
              </w:rPr>
              <w:t>School connectedness, supportive educators, anti-bullying policies, inclusive curricula, and professional learning on inclusion are beneficial for building an inclusive school culture (</w:t>
            </w:r>
            <w:proofErr w:type="spellStart"/>
            <w:r w:rsidR="003E63DD" w:rsidRPr="000438A4">
              <w:rPr>
                <w:lang w:val="en-AU"/>
              </w:rPr>
              <w:t>Bonell</w:t>
            </w:r>
            <w:proofErr w:type="spellEnd"/>
            <w:r w:rsidR="003E63DD" w:rsidRPr="000438A4">
              <w:rPr>
                <w:lang w:val="en-AU"/>
              </w:rPr>
              <w:t xml:space="preserve"> et al., 2013; Johns et al, 2018; Thapa et al., 2013).</w:t>
            </w:r>
            <w:r w:rsidR="003E63DD">
              <w:rPr>
                <w:lang w:val="en-AU"/>
              </w:rPr>
              <w:t xml:space="preserve"> </w:t>
            </w:r>
            <w:r w:rsidR="00553FC5" w:rsidRPr="0025458F">
              <w:rPr>
                <w:lang w:val="en-AU"/>
              </w:rPr>
              <w:t xml:space="preserve">Feeling safe, </w:t>
            </w:r>
            <w:proofErr w:type="gramStart"/>
            <w:r w:rsidR="00553FC5" w:rsidRPr="0025458F">
              <w:rPr>
                <w:lang w:val="en-AU"/>
              </w:rPr>
              <w:t>connected</w:t>
            </w:r>
            <w:proofErr w:type="gramEnd"/>
            <w:r w:rsidR="00553FC5" w:rsidRPr="0025458F">
              <w:rPr>
                <w:lang w:val="en-AU"/>
              </w:rPr>
              <w:t xml:space="preserve"> and having support are all predictive factors of wellbeing</w:t>
            </w:r>
            <w:r w:rsidR="00553FC5">
              <w:rPr>
                <w:lang w:val="en-AU"/>
              </w:rPr>
              <w:t xml:space="preserve"> </w:t>
            </w:r>
            <w:r w:rsidR="00553FC5" w:rsidRPr="0025458F">
              <w:rPr>
                <w:lang w:val="en-AU"/>
              </w:rPr>
              <w:t>(Lester &amp; Cross, 2015)</w:t>
            </w:r>
            <w:r w:rsidR="00853380">
              <w:rPr>
                <w:lang w:val="en-AU"/>
              </w:rPr>
              <w:t xml:space="preserve">. </w:t>
            </w:r>
          </w:p>
          <w:p w14:paraId="5DD2B47B" w14:textId="52307C41" w:rsidR="00553FC5" w:rsidRDefault="00F5144A" w:rsidP="003E63DD">
            <w:pPr>
              <w:rPr>
                <w:lang w:val="en-AU"/>
              </w:rPr>
            </w:pPr>
            <w:r>
              <w:rPr>
                <w:lang w:val="en-AU"/>
              </w:rPr>
              <w:t>Contemporary research into positive relationships show</w:t>
            </w:r>
            <w:r w:rsidR="008547F9">
              <w:rPr>
                <w:lang w:val="en-AU"/>
              </w:rPr>
              <w:t>:</w:t>
            </w:r>
          </w:p>
          <w:p w14:paraId="2F6FD6ED" w14:textId="77777777" w:rsidR="002F3AC0" w:rsidRDefault="002F3AC0" w:rsidP="008547F9">
            <w:pPr>
              <w:pStyle w:val="Bullet1"/>
            </w:pPr>
            <w:r>
              <w:t>Positive and supportive relationships between students and staff is associated with enhanced mental health outcomes, particularly for marginalised students who are more likely to exhibit symptoms of poor mental health</w:t>
            </w:r>
            <w:r w:rsidRPr="0025458F">
              <w:t xml:space="preserve"> (Colvin, </w:t>
            </w:r>
            <w:proofErr w:type="gramStart"/>
            <w:r w:rsidRPr="0025458F">
              <w:t>Egan</w:t>
            </w:r>
            <w:proofErr w:type="gramEnd"/>
            <w:r w:rsidRPr="0025458F">
              <w:t xml:space="preserve"> and Coulter 2019</w:t>
            </w:r>
            <w:r>
              <w:t xml:space="preserve">). </w:t>
            </w:r>
          </w:p>
          <w:p w14:paraId="3C09E763" w14:textId="61D66A02" w:rsidR="00E74FAD" w:rsidRDefault="003E63DD" w:rsidP="00F439D5">
            <w:pPr>
              <w:pStyle w:val="Bullet1"/>
            </w:pPr>
            <w:r>
              <w:t xml:space="preserve">Schools that affirm diversity, ensuring students feel comfortable in reporting and seeking help, can reduce the extent of bullying in schools and enhance student sense of connectedness and engagement </w:t>
            </w:r>
            <w:r w:rsidRPr="0025458F">
              <w:t>(Aldridge and McChesney, 2018).</w:t>
            </w:r>
            <w:r>
              <w:t xml:space="preserve"> </w:t>
            </w:r>
          </w:p>
          <w:p w14:paraId="6BDD6EC7" w14:textId="61534634" w:rsidR="008547F9" w:rsidRDefault="005C5D55" w:rsidP="008547F9">
            <w:pPr>
              <w:pStyle w:val="Bullet1"/>
            </w:pPr>
            <w:r w:rsidRPr="00C87525">
              <w:t>Respect for diversity</w:t>
            </w:r>
            <w:r>
              <w:t xml:space="preserve"> is important: c</w:t>
            </w:r>
            <w:r w:rsidR="008E5A8B" w:rsidRPr="00BC4E3D">
              <w:t>lassroom environments that</w:t>
            </w:r>
            <w:r w:rsidR="009305E3">
              <w:t xml:space="preserve"> </w:t>
            </w:r>
            <w:r w:rsidR="008E5A8B" w:rsidRPr="00BC4E3D">
              <w:t xml:space="preserve">have been informed by principles of equity and inclusion are associated with improved wellbeing, academic </w:t>
            </w:r>
            <w:proofErr w:type="gramStart"/>
            <w:r w:rsidR="008E5A8B" w:rsidRPr="00BC4E3D">
              <w:t>outcomes</w:t>
            </w:r>
            <w:proofErr w:type="gramEnd"/>
            <w:r w:rsidR="008E5A8B" w:rsidRPr="00BC4E3D">
              <w:t xml:space="preserve"> and social participation, particularly for students and cohorts experiencing vulnerability (</w:t>
            </w:r>
            <w:r w:rsidR="008E5A8B" w:rsidRPr="00C0529A">
              <w:t>Thapa, et al. 2013</w:t>
            </w:r>
            <w:r w:rsidR="008E5A8B" w:rsidRPr="00BC4E3D">
              <w:t>).</w:t>
            </w:r>
            <w:r w:rsidR="008E5A8B">
              <w:rPr>
                <w:rStyle w:val="FootnoteReference"/>
              </w:rPr>
              <w:footnoteReference w:id="3"/>
            </w:r>
          </w:p>
          <w:p w14:paraId="3DFE93E6" w14:textId="22AC0DC9" w:rsidR="00E44A62" w:rsidRDefault="003E63DD" w:rsidP="00E44A62">
            <w:pPr>
              <w:pStyle w:val="Bullet1"/>
            </w:pPr>
            <w:r>
              <w:lastRenderedPageBreak/>
              <w:t>Co-authoring examples of positive behaviour and success can ensure school expectations and practices are culturally and developmentally relevant (</w:t>
            </w:r>
            <w:proofErr w:type="spellStart"/>
            <w:r>
              <w:t>Poed</w:t>
            </w:r>
            <w:proofErr w:type="spellEnd"/>
            <w:r>
              <w:t xml:space="preserve">, Cowan and </w:t>
            </w:r>
            <w:proofErr w:type="spellStart"/>
            <w:r>
              <w:t>Sain</w:t>
            </w:r>
            <w:proofErr w:type="spellEnd"/>
            <w:r w:rsidR="005D7F3A">
              <w:t>,</w:t>
            </w:r>
            <w:r>
              <w:t xml:space="preserve"> 2020).</w:t>
            </w:r>
          </w:p>
          <w:p w14:paraId="450AFABF" w14:textId="185577A1" w:rsidR="003E63DD" w:rsidRDefault="003E63DD" w:rsidP="00E44A62">
            <w:pPr>
              <w:pStyle w:val="Bullet1"/>
            </w:pPr>
            <w:r w:rsidRPr="0025458F">
              <w:t>It is critical that students are supported in building connections with peers to support transitions between primary and secondary school</w:t>
            </w:r>
            <w:r w:rsidR="00DD5374">
              <w:t>, as</w:t>
            </w:r>
            <w:r w:rsidRPr="0025458F">
              <w:t xml:space="preserve"> </w:t>
            </w:r>
            <w:r w:rsidR="00DD5374">
              <w:t>f</w:t>
            </w:r>
            <w:r w:rsidRPr="0025458F">
              <w:t>eeling saf</w:t>
            </w:r>
            <w:r w:rsidR="005D7F3A">
              <w:t>e</w:t>
            </w:r>
            <w:r w:rsidRPr="0025458F">
              <w:t xml:space="preserve"> was the strongest protective factor for wellbeing in the first year of secondary school, while peer support was the strongest in students' second year</w:t>
            </w:r>
            <w:r>
              <w:t xml:space="preserve"> </w:t>
            </w:r>
            <w:r w:rsidRPr="0025458F">
              <w:t>(Lester &amp; Cross, 2015).</w:t>
            </w:r>
          </w:p>
          <w:p w14:paraId="5792EA73" w14:textId="77777777" w:rsidR="00F141D2" w:rsidRDefault="00500F5D" w:rsidP="00296379">
            <w:pPr>
              <w:pStyle w:val="Bullet1"/>
            </w:pPr>
            <w:r>
              <w:t xml:space="preserve">Positive peer relationships can be supported through teaching students the </w:t>
            </w:r>
            <w:r w:rsidR="00296379">
              <w:t>skills</w:t>
            </w:r>
            <w:r>
              <w:t xml:space="preserve"> for empathic responding and pro-social behaviour</w:t>
            </w:r>
            <w:r w:rsidR="00296379">
              <w:t>, ensuring they have opportunities to develop these in authentic settings (McGrath, 2005).</w:t>
            </w:r>
          </w:p>
          <w:p w14:paraId="4844AB1D" w14:textId="11A588F5" w:rsidR="003E63DD" w:rsidRPr="004F0655" w:rsidRDefault="004F0655" w:rsidP="00AD0FE5">
            <w:pPr>
              <w:rPr>
                <w:rFonts w:ascii="Calibri" w:hAnsi="Calibri"/>
                <w:sz w:val="24"/>
                <w:lang w:val="en-AU"/>
              </w:rPr>
            </w:pPr>
            <w:r w:rsidRPr="00AD0FE5">
              <w:rPr>
                <w:lang w:val="en-AU"/>
              </w:rPr>
              <w:t>To cultivate a feeling of inclusion, researchers suggest that teachers need to be culturally responsive and demonstrate values which respect children from all backgrounds (Richards, Brown &amp; Forde, 2007). It has been also found that higher classroom diversity is connected with feelings of safety and social satisfaction, and ethnically diverse students felt safer in school, were less harassed by peers, felt less lonely, and had higher self-worth when their classrooms were more ethnically diverse (Juvonen et al., 2006).</w:t>
            </w:r>
            <w:r>
              <w:rPr>
                <w:rFonts w:ascii="Calibri" w:hAnsi="Calibri" w:cs="Calibri"/>
                <w:color w:val="000000"/>
                <w:szCs w:val="22"/>
                <w:lang w:val="en-AU"/>
              </w:rPr>
              <w:t xml:space="preserve"> </w:t>
            </w:r>
          </w:p>
        </w:tc>
      </w:tr>
      <w:tr w:rsidR="004647E2" w14:paraId="4D0170D1" w14:textId="77777777" w:rsidTr="003E63DD">
        <w:tc>
          <w:tcPr>
            <w:cnfStyle w:val="001000000000" w:firstRow="0" w:lastRow="0" w:firstColumn="1" w:lastColumn="0" w:oddVBand="0" w:evenVBand="0" w:oddHBand="0" w:evenHBand="0" w:firstRowFirstColumn="0" w:firstRowLastColumn="0" w:lastRowFirstColumn="0" w:lastRowLastColumn="0"/>
            <w:tcW w:w="9622" w:type="dxa"/>
            <w:shd w:val="clear" w:color="auto" w:fill="004C97" w:themeFill="accent5"/>
          </w:tcPr>
          <w:p w14:paraId="075B1A02" w14:textId="144CBA19" w:rsidR="004647E2" w:rsidRPr="007C594F" w:rsidRDefault="00884364" w:rsidP="000472B2">
            <w:pPr>
              <w:pStyle w:val="Heading4"/>
              <w:outlineLvl w:val="3"/>
              <w:rPr>
                <w:i w:val="0"/>
                <w:iCs w:val="0"/>
                <w:color w:val="FFFFFF" w:themeColor="background1"/>
                <w:lang w:val="en-AU"/>
              </w:rPr>
            </w:pPr>
            <w:r>
              <w:rPr>
                <w:i w:val="0"/>
                <w:iCs w:val="0"/>
                <w:color w:val="FFFFFF" w:themeColor="background1"/>
                <w:lang w:val="en-US"/>
              </w:rPr>
              <w:lastRenderedPageBreak/>
              <w:t>Effective use of resources</w:t>
            </w:r>
            <w:r w:rsidR="001D75B7">
              <w:rPr>
                <w:i w:val="0"/>
                <w:iCs w:val="0"/>
                <w:color w:val="FFFFFF" w:themeColor="background1"/>
                <w:lang w:val="en-US"/>
              </w:rPr>
              <w:t xml:space="preserve"> and </w:t>
            </w:r>
            <w:r>
              <w:rPr>
                <w:i w:val="0"/>
                <w:iCs w:val="0"/>
                <w:color w:val="FFFFFF" w:themeColor="background1"/>
                <w:lang w:val="en-US"/>
              </w:rPr>
              <w:t>a</w:t>
            </w:r>
            <w:r w:rsidR="007C594F" w:rsidRPr="007C594F">
              <w:rPr>
                <w:i w:val="0"/>
                <w:iCs w:val="0"/>
                <w:color w:val="FFFFFF" w:themeColor="background1"/>
                <w:lang w:val="en-US"/>
              </w:rPr>
              <w:t>ctive partnerships with</w:t>
            </w:r>
            <w:r w:rsidR="001D75B7">
              <w:rPr>
                <w:i w:val="0"/>
                <w:iCs w:val="0"/>
                <w:color w:val="FFFFFF" w:themeColor="background1"/>
                <w:lang w:val="en-US"/>
              </w:rPr>
              <w:t xml:space="preserve"> families/</w:t>
            </w:r>
            <w:proofErr w:type="spellStart"/>
            <w:r w:rsidR="001D75B7">
              <w:rPr>
                <w:i w:val="0"/>
                <w:iCs w:val="0"/>
                <w:color w:val="FFFFFF" w:themeColor="background1"/>
                <w:lang w:val="en-US"/>
              </w:rPr>
              <w:t>carers</w:t>
            </w:r>
            <w:proofErr w:type="spellEnd"/>
            <w:r w:rsidR="001D75B7">
              <w:rPr>
                <w:i w:val="0"/>
                <w:iCs w:val="0"/>
                <w:color w:val="FFFFFF" w:themeColor="background1"/>
                <w:lang w:val="en-US"/>
              </w:rPr>
              <w:t>,</w:t>
            </w:r>
            <w:r w:rsidR="007C594F" w:rsidRPr="007C594F">
              <w:rPr>
                <w:i w:val="0"/>
                <w:iCs w:val="0"/>
                <w:color w:val="FFFFFF" w:themeColor="background1"/>
                <w:lang w:val="en-US"/>
              </w:rPr>
              <w:t xml:space="preserve"> specialist </w:t>
            </w:r>
            <w:r w:rsidR="001D75B7">
              <w:rPr>
                <w:i w:val="0"/>
                <w:iCs w:val="0"/>
                <w:color w:val="FFFFFF" w:themeColor="background1"/>
                <w:lang w:val="en-US"/>
              </w:rPr>
              <w:t>providers</w:t>
            </w:r>
            <w:r w:rsidR="007C594F" w:rsidRPr="007C594F">
              <w:rPr>
                <w:i w:val="0"/>
                <w:iCs w:val="0"/>
                <w:color w:val="FFFFFF" w:themeColor="background1"/>
                <w:lang w:val="en-US"/>
              </w:rPr>
              <w:t xml:space="preserve"> and community organisations to provide responsive support to students</w:t>
            </w:r>
          </w:p>
        </w:tc>
      </w:tr>
      <w:tr w:rsidR="003E63DD" w14:paraId="0C43DAEF" w14:textId="77777777" w:rsidTr="00EE4B56">
        <w:tc>
          <w:tcPr>
            <w:cnfStyle w:val="001000000000" w:firstRow="0" w:lastRow="0" w:firstColumn="1" w:lastColumn="0" w:oddVBand="0" w:evenVBand="0" w:oddHBand="0" w:evenHBand="0" w:firstRowFirstColumn="0" w:firstRowLastColumn="0" w:lastRowFirstColumn="0" w:lastRowLastColumn="0"/>
            <w:tcW w:w="9622" w:type="dxa"/>
          </w:tcPr>
          <w:p w14:paraId="5ED07A1D" w14:textId="05383DDA" w:rsidR="003E63DD" w:rsidRDefault="003E63DD" w:rsidP="00682C31">
            <w:pPr>
              <w:rPr>
                <w:lang w:val="en-US"/>
              </w:rPr>
            </w:pPr>
            <w:r>
              <w:t>Schools that are effective in supporting student wellbeing advocate for improved health programs and develop strong networks and alliances to improve capabilit</w:t>
            </w:r>
            <w:r w:rsidR="00B3549E">
              <w:t>y</w:t>
            </w:r>
            <w:r>
              <w:t xml:space="preserve"> </w:t>
            </w:r>
            <w:r w:rsidRPr="000438A4">
              <w:rPr>
                <w:lang w:val="en-AU"/>
              </w:rPr>
              <w:t>(</w:t>
            </w:r>
            <w:r>
              <w:rPr>
                <w:lang w:val="en-AU"/>
              </w:rPr>
              <w:t>UNESCO</w:t>
            </w:r>
            <w:r w:rsidRPr="000438A4">
              <w:rPr>
                <w:lang w:val="en-AU"/>
              </w:rPr>
              <w:t>, 2021).</w:t>
            </w:r>
            <w:r>
              <w:rPr>
                <w:lang w:val="en-AU"/>
              </w:rPr>
              <w:t xml:space="preserve"> The implementation of tiered systems for support is supported by pa</w:t>
            </w:r>
            <w:r w:rsidRPr="000438A4">
              <w:rPr>
                <w:lang w:val="en-AU"/>
              </w:rPr>
              <w:t xml:space="preserve">rtnerships between school administrators, educators, specialised support staff, students, </w:t>
            </w:r>
            <w:proofErr w:type="gramStart"/>
            <w:r w:rsidRPr="000438A4">
              <w:rPr>
                <w:lang w:val="en-AU"/>
              </w:rPr>
              <w:t>families</w:t>
            </w:r>
            <w:proofErr w:type="gramEnd"/>
            <w:r w:rsidRPr="000438A4">
              <w:rPr>
                <w:lang w:val="en-AU"/>
              </w:rPr>
              <w:t xml:space="preserve"> and community health providers </w:t>
            </w:r>
            <w:r w:rsidRPr="000438A4">
              <w:rPr>
                <w:lang w:val="en-US"/>
              </w:rPr>
              <w:t>(NCSMH, 2020)</w:t>
            </w:r>
            <w:r>
              <w:rPr>
                <w:lang w:val="en-US"/>
              </w:rPr>
              <w:t xml:space="preserve">. </w:t>
            </w:r>
          </w:p>
          <w:p w14:paraId="2368CDDE" w14:textId="081E371D" w:rsidR="003E63DD" w:rsidRDefault="003E63DD" w:rsidP="00636DD7">
            <w:r>
              <w:rPr>
                <w:lang w:val="en-US"/>
              </w:rPr>
              <w:t xml:space="preserve">School connections to social services, that provide additional support to students with their health and wellbeing, benefit both academic achievement and wellbeing </w:t>
            </w:r>
            <w:r>
              <w:t>(Moore</w:t>
            </w:r>
            <w:r>
              <w:rPr>
                <w:spacing w:val="-1"/>
              </w:rPr>
              <w:t xml:space="preserve"> </w:t>
            </w:r>
            <w:r>
              <w:t>et</w:t>
            </w:r>
            <w:r>
              <w:rPr>
                <w:spacing w:val="-1"/>
              </w:rPr>
              <w:t xml:space="preserve"> </w:t>
            </w:r>
            <w:r>
              <w:t xml:space="preserve">al., 2013). </w:t>
            </w:r>
            <w:r>
              <w:rPr>
                <w:lang w:val="en-AU"/>
              </w:rPr>
              <w:t xml:space="preserve">Effective </w:t>
            </w:r>
            <w:r>
              <w:t>initiatives</w:t>
            </w:r>
            <w:r>
              <w:rPr>
                <w:spacing w:val="-3"/>
              </w:rPr>
              <w:t xml:space="preserve"> </w:t>
            </w:r>
            <w:r>
              <w:t>focus</w:t>
            </w:r>
            <w:r>
              <w:rPr>
                <w:spacing w:val="-3"/>
              </w:rPr>
              <w:t xml:space="preserve"> </w:t>
            </w:r>
            <w:r>
              <w:t>on</w:t>
            </w:r>
            <w:r>
              <w:rPr>
                <w:spacing w:val="-3"/>
              </w:rPr>
              <w:t xml:space="preserve"> </w:t>
            </w:r>
            <w:r>
              <w:t>the</w:t>
            </w:r>
            <w:r>
              <w:rPr>
                <w:spacing w:val="-3"/>
              </w:rPr>
              <w:t xml:space="preserve"> </w:t>
            </w:r>
            <w:r>
              <w:t>quality</w:t>
            </w:r>
            <w:r>
              <w:rPr>
                <w:spacing w:val="-2"/>
              </w:rPr>
              <w:t xml:space="preserve"> </w:t>
            </w:r>
            <w:r>
              <w:t>of</w:t>
            </w:r>
            <w:r>
              <w:rPr>
                <w:spacing w:val="-3"/>
              </w:rPr>
              <w:t xml:space="preserve"> </w:t>
            </w:r>
            <w:r>
              <w:t>intervention</w:t>
            </w:r>
            <w:r>
              <w:rPr>
                <w:spacing w:val="-3"/>
              </w:rPr>
              <w:t xml:space="preserve"> </w:t>
            </w:r>
            <w:r>
              <w:t>programs,</w:t>
            </w:r>
            <w:r>
              <w:rPr>
                <w:spacing w:val="-3"/>
              </w:rPr>
              <w:t xml:space="preserve"> </w:t>
            </w:r>
            <w:r>
              <w:t>more so than the</w:t>
            </w:r>
            <w:r>
              <w:rPr>
                <w:spacing w:val="-1"/>
              </w:rPr>
              <w:t xml:space="preserve"> </w:t>
            </w:r>
            <w:r>
              <w:t>frequency or</w:t>
            </w:r>
            <w:r>
              <w:rPr>
                <w:spacing w:val="-1"/>
              </w:rPr>
              <w:t xml:space="preserve"> </w:t>
            </w:r>
            <w:r>
              <w:t>duration</w:t>
            </w:r>
            <w:r>
              <w:rPr>
                <w:spacing w:val="-1"/>
              </w:rPr>
              <w:t xml:space="preserve"> </w:t>
            </w:r>
            <w:r>
              <w:t xml:space="preserve">(Dilley, 2009). </w:t>
            </w:r>
          </w:p>
          <w:p w14:paraId="03594C29" w14:textId="4ECFA448" w:rsidR="001020FF" w:rsidRDefault="001020FF" w:rsidP="001020FF">
            <w:pPr>
              <w:rPr>
                <w:sz w:val="24"/>
                <w:lang w:val="en-AU"/>
              </w:rPr>
            </w:pPr>
            <w:r w:rsidRPr="001020FF">
              <w:rPr>
                <w:lang w:val="en-AU"/>
              </w:rPr>
              <w:t xml:space="preserve">Coordination with support </w:t>
            </w:r>
            <w:proofErr w:type="gramStart"/>
            <w:r w:rsidRPr="001020FF">
              <w:rPr>
                <w:lang w:val="en-AU"/>
              </w:rPr>
              <w:t>staff</w:t>
            </w:r>
            <w:r>
              <w:rPr>
                <w:lang w:val="en-AU"/>
              </w:rPr>
              <w:t>, and</w:t>
            </w:r>
            <w:proofErr w:type="gramEnd"/>
            <w:r>
              <w:rPr>
                <w:lang w:val="en-AU"/>
              </w:rPr>
              <w:t xml:space="preserve"> ensuring that students experiencing ill-health are referred to the right staff at the right time, is another strategy for improving overall student wellbeing. School Health Services (SHS) are defined as health services provided to enrolled pupils by healthcare professionals and/or allied professionals, such as social workers, health visitors, counsellors, </w:t>
            </w:r>
            <w:proofErr w:type="gramStart"/>
            <w:r>
              <w:rPr>
                <w:lang w:val="en-AU"/>
              </w:rPr>
              <w:t>psychologists</w:t>
            </w:r>
            <w:proofErr w:type="gramEnd"/>
            <w:r>
              <w:rPr>
                <w:lang w:val="en-AU"/>
              </w:rPr>
              <w:t xml:space="preserve"> and dental hygienists, irrespective of the site of service provision. Jansen et al. (2019) identify </w:t>
            </w:r>
            <w:r w:rsidR="000E66FF">
              <w:rPr>
                <w:lang w:val="en-AU"/>
              </w:rPr>
              <w:t>several</w:t>
            </w:r>
            <w:r>
              <w:rPr>
                <w:lang w:val="en-AU"/>
              </w:rPr>
              <w:t xml:space="preserve"> key functions served by SHS initiatives</w:t>
            </w:r>
            <w:r w:rsidR="000E66FF">
              <w:rPr>
                <w:lang w:val="en-AU"/>
              </w:rPr>
              <w:t>:</w:t>
            </w:r>
          </w:p>
          <w:p w14:paraId="13CB8156" w14:textId="01641D4A" w:rsidR="001020FF" w:rsidRDefault="001020FF" w:rsidP="001020FF">
            <w:pPr>
              <w:pStyle w:val="Bullet1"/>
              <w:rPr>
                <w:sz w:val="24"/>
              </w:rPr>
            </w:pPr>
            <w:r>
              <w:t xml:space="preserve">SHSs </w:t>
            </w:r>
            <w:r w:rsidR="000E66FF">
              <w:t>can</w:t>
            </w:r>
            <w:r>
              <w:t xml:space="preserve"> reach a large group of pupils and influence their health behaviour during different stages of life (</w:t>
            </w:r>
            <w:proofErr w:type="spellStart"/>
            <w:r>
              <w:t>Baltag</w:t>
            </w:r>
            <w:proofErr w:type="spellEnd"/>
            <w:r>
              <w:t xml:space="preserve">, </w:t>
            </w:r>
            <w:proofErr w:type="spellStart"/>
            <w:r>
              <w:t>Pachyna</w:t>
            </w:r>
            <w:proofErr w:type="spellEnd"/>
            <w:r>
              <w:t xml:space="preserve">, &amp; Hall, 2015; </w:t>
            </w:r>
            <w:proofErr w:type="spellStart"/>
            <w:r>
              <w:t>Bersamin</w:t>
            </w:r>
            <w:proofErr w:type="spellEnd"/>
            <w:r w:rsidR="007E731E">
              <w:t xml:space="preserve"> et al.</w:t>
            </w:r>
            <w:r>
              <w:t>, 2016).</w:t>
            </w:r>
          </w:p>
          <w:p w14:paraId="012D7BD0" w14:textId="290E307F" w:rsidR="001020FF" w:rsidRDefault="001020FF" w:rsidP="001020FF">
            <w:pPr>
              <w:pStyle w:val="Bullet1"/>
              <w:rPr>
                <w:sz w:val="24"/>
              </w:rPr>
            </w:pPr>
            <w:r>
              <w:t xml:space="preserve">Evidence exists that when SHSs are available, pupils are more likely to access health care and thus eliminate barriers to access to care (Anderson &amp; </w:t>
            </w:r>
            <w:proofErr w:type="spellStart"/>
            <w:r>
              <w:t>Lowen</w:t>
            </w:r>
            <w:proofErr w:type="spellEnd"/>
            <w:r>
              <w:t xml:space="preserve">, 2010; Bains &amp; Diallo, 2016; </w:t>
            </w:r>
            <w:proofErr w:type="spellStart"/>
            <w:r>
              <w:t>Bersamin</w:t>
            </w:r>
            <w:proofErr w:type="spellEnd"/>
            <w:r>
              <w:t xml:space="preserve"> et al., 2016).</w:t>
            </w:r>
          </w:p>
          <w:p w14:paraId="48F39D8C" w14:textId="20674F35" w:rsidR="001020FF" w:rsidRDefault="001020FF" w:rsidP="001020FF">
            <w:pPr>
              <w:pStyle w:val="Bullet1"/>
              <w:rPr>
                <w:sz w:val="24"/>
              </w:rPr>
            </w:pPr>
            <w:r>
              <w:t>High-quality SHS is related to positive health and educational outcomes in disadvantaged pupils (</w:t>
            </w:r>
            <w:proofErr w:type="spellStart"/>
            <w:r>
              <w:t>Bersamin</w:t>
            </w:r>
            <w:proofErr w:type="spellEnd"/>
            <w:r>
              <w:t xml:space="preserve"> et al., 2016; Knopf et al., 2016).</w:t>
            </w:r>
          </w:p>
          <w:p w14:paraId="6736B96B" w14:textId="36565A47" w:rsidR="00501FA1" w:rsidRPr="001020FF" w:rsidRDefault="001020FF" w:rsidP="001020FF">
            <w:pPr>
              <w:pStyle w:val="Bullet1"/>
              <w:rPr>
                <w:sz w:val="24"/>
              </w:rPr>
            </w:pPr>
            <w:r>
              <w:t xml:space="preserve">SHS may have an important role in supporting children with chronic illnesses, such as diabetes. Integrating care needs of these children may help pupils to stay at school and prevent missing school (Leroy, </w:t>
            </w:r>
            <w:proofErr w:type="spellStart"/>
            <w:r>
              <w:t>Wallin</w:t>
            </w:r>
            <w:proofErr w:type="spellEnd"/>
            <w:r>
              <w:t xml:space="preserve">, &amp; Lee, 2017). SHS might also reduce the use of </w:t>
            </w:r>
            <w:r>
              <w:lastRenderedPageBreak/>
              <w:t>other healthcare services such as emergency care or hospitalisation (</w:t>
            </w:r>
            <w:proofErr w:type="spellStart"/>
            <w:r>
              <w:t>Bersamin</w:t>
            </w:r>
            <w:proofErr w:type="spellEnd"/>
            <w:r>
              <w:t xml:space="preserve"> et al., 2016).</w:t>
            </w:r>
          </w:p>
          <w:p w14:paraId="5EAD8846" w14:textId="77777777" w:rsidR="00AE0A81" w:rsidRDefault="003E63DD" w:rsidP="00257349">
            <w:pPr>
              <w:rPr>
                <w:lang w:val="en-AU"/>
              </w:rPr>
            </w:pPr>
            <w:r>
              <w:rPr>
                <w:lang w:val="en-AU"/>
              </w:rPr>
              <w:t>In respect to student-level partnerships, c</w:t>
            </w:r>
            <w:r w:rsidRPr="0025458F">
              <w:rPr>
                <w:lang w:val="en-AU"/>
              </w:rPr>
              <w:t xml:space="preserve">ontemporary research shows that drawing on real life intercultural experiences and supporting students to learn about cultural diversity reduces prejudice and that positive interracial contact between school-aged young people can encourage positive intercultural attitudes (Pettigrew &amp; </w:t>
            </w:r>
            <w:proofErr w:type="spellStart"/>
            <w:r w:rsidRPr="0025458F">
              <w:rPr>
                <w:lang w:val="en-AU"/>
              </w:rPr>
              <w:t>Tropp</w:t>
            </w:r>
            <w:proofErr w:type="spellEnd"/>
            <w:r w:rsidRPr="0025458F">
              <w:rPr>
                <w:lang w:val="en-AU"/>
              </w:rPr>
              <w:t>, 2006; White et al, 2009).</w:t>
            </w:r>
            <w:r w:rsidR="00BC511E">
              <w:rPr>
                <w:lang w:val="en-AU"/>
              </w:rPr>
              <w:t xml:space="preserve"> </w:t>
            </w:r>
          </w:p>
          <w:p w14:paraId="6CF67F0C" w14:textId="253ADFEF" w:rsidR="003E63DD" w:rsidRPr="0025458F" w:rsidRDefault="00BC511E" w:rsidP="00257349">
            <w:pPr>
              <w:rPr>
                <w:lang w:val="en-AU"/>
              </w:rPr>
            </w:pPr>
            <w:r>
              <w:rPr>
                <w:lang w:val="en-AU"/>
              </w:rPr>
              <w:t>School engagement with industry partners is a key to supporting students access the expertise and resources relevant to real world contexts.</w:t>
            </w:r>
            <w:r w:rsidR="00F53536">
              <w:rPr>
                <w:lang w:val="en-AU"/>
              </w:rPr>
              <w:t xml:space="preserve"> </w:t>
            </w:r>
            <w:r w:rsidR="00963F1C">
              <w:rPr>
                <w:lang w:val="en-AU"/>
              </w:rPr>
              <w:t>This</w:t>
            </w:r>
            <w:r w:rsidR="000000A9">
              <w:rPr>
                <w:lang w:val="en-AU"/>
              </w:rPr>
              <w:t xml:space="preserve"> can</w:t>
            </w:r>
            <w:r w:rsidR="00F46A20">
              <w:rPr>
                <w:lang w:val="en-AU"/>
              </w:rPr>
              <w:t xml:space="preserve"> support students with developing the necessary capabilities for the workforce </w:t>
            </w:r>
            <w:r w:rsidR="00123745">
              <w:rPr>
                <w:lang w:val="en-AU"/>
              </w:rPr>
              <w:t xml:space="preserve">whilst fostering </w:t>
            </w:r>
            <w:r w:rsidR="000000A9">
              <w:rPr>
                <w:lang w:val="en-AU"/>
              </w:rPr>
              <w:t>career awareness and aspirations</w:t>
            </w:r>
            <w:r w:rsidR="00963F1C">
              <w:rPr>
                <w:lang w:val="en-AU"/>
              </w:rPr>
              <w:t>.</w:t>
            </w:r>
            <w:r w:rsidR="00132DDB">
              <w:rPr>
                <w:lang w:val="en-AU"/>
              </w:rPr>
              <w:t xml:space="preserve"> Industry partnerships can also support </w:t>
            </w:r>
            <w:r w:rsidR="00190086">
              <w:rPr>
                <w:lang w:val="en-AU"/>
              </w:rPr>
              <w:t>teachers with</w:t>
            </w:r>
            <w:r w:rsidR="00132DDB">
              <w:rPr>
                <w:lang w:val="en-AU"/>
              </w:rPr>
              <w:t xml:space="preserve"> their professional development, their ability to</w:t>
            </w:r>
            <w:r w:rsidR="00190086">
              <w:rPr>
                <w:lang w:val="en-AU"/>
              </w:rPr>
              <w:t xml:space="preserve"> contextualis</w:t>
            </w:r>
            <w:r w:rsidR="00132DDB">
              <w:rPr>
                <w:lang w:val="en-AU"/>
              </w:rPr>
              <w:t>e</w:t>
            </w:r>
            <w:r w:rsidR="00190086">
              <w:rPr>
                <w:lang w:val="en-AU"/>
              </w:rPr>
              <w:t xml:space="preserve"> the curriculum</w:t>
            </w:r>
            <w:r w:rsidR="00AB61DC">
              <w:rPr>
                <w:lang w:val="en-AU"/>
              </w:rPr>
              <w:t xml:space="preserve"> </w:t>
            </w:r>
            <w:r w:rsidR="00132DDB">
              <w:rPr>
                <w:lang w:val="en-AU"/>
              </w:rPr>
              <w:t>and</w:t>
            </w:r>
            <w:r w:rsidR="00123745">
              <w:rPr>
                <w:lang w:val="en-AU"/>
              </w:rPr>
              <w:t xml:space="preserve"> their</w:t>
            </w:r>
            <w:r w:rsidR="00132DDB">
              <w:rPr>
                <w:lang w:val="en-AU"/>
              </w:rPr>
              <w:t xml:space="preserve"> capacity to use innovative learning approaches that prepare students for the workforce</w:t>
            </w:r>
            <w:r w:rsidR="00123745">
              <w:rPr>
                <w:lang w:val="en-AU"/>
              </w:rPr>
              <w:t xml:space="preserve"> (</w:t>
            </w:r>
            <w:r w:rsidR="006B278C">
              <w:rPr>
                <w:lang w:val="en-AU"/>
              </w:rPr>
              <w:t>Torii, 2018).</w:t>
            </w:r>
          </w:p>
          <w:p w14:paraId="1DFCF4B1" w14:textId="356383DC" w:rsidR="003E63DD" w:rsidRDefault="003E63DD" w:rsidP="00771583">
            <w:pPr>
              <w:rPr>
                <w:lang w:val="en-AU"/>
              </w:rPr>
            </w:pPr>
            <w:r w:rsidRPr="0025458F">
              <w:rPr>
                <w:lang w:val="en-AU"/>
              </w:rPr>
              <w:t xml:space="preserve">A report documenting the benefits of sister school relationships in Victoria found that such programs can have positive effects on student global awareness, </w:t>
            </w:r>
            <w:proofErr w:type="gramStart"/>
            <w:r w:rsidRPr="0025458F">
              <w:rPr>
                <w:lang w:val="en-AU"/>
              </w:rPr>
              <w:t>attitudes</w:t>
            </w:r>
            <w:proofErr w:type="gramEnd"/>
            <w:r w:rsidRPr="0025458F">
              <w:rPr>
                <w:lang w:val="en-AU"/>
              </w:rPr>
              <w:t xml:space="preserve"> and responses. These benefits are of greatest significance during the third year, once relationships had been well established and embedded within the school (Department of Education and Early Childhood Development, 2013). </w:t>
            </w:r>
          </w:p>
        </w:tc>
      </w:tr>
    </w:tbl>
    <w:p w14:paraId="14D5CDB3" w14:textId="77777777" w:rsidR="00344A23" w:rsidRDefault="00344A23" w:rsidP="00344A23">
      <w:pPr>
        <w:rPr>
          <w:lang w:val="en-AU"/>
        </w:rPr>
        <w:sectPr w:rsidR="00344A23" w:rsidSect="00144FD5">
          <w:pgSz w:w="11900" w:h="16840"/>
          <w:pgMar w:top="1134" w:right="1134" w:bottom="1701" w:left="1134" w:header="709" w:footer="709" w:gutter="0"/>
          <w:cols w:space="708"/>
          <w:docGrid w:linePitch="360"/>
        </w:sectPr>
      </w:pPr>
    </w:p>
    <w:p w14:paraId="6E6868DC" w14:textId="40DB38EE" w:rsidR="00624A55" w:rsidRPr="00624A55" w:rsidRDefault="00490C6D" w:rsidP="00624A55">
      <w:pPr>
        <w:pStyle w:val="Heading2"/>
        <w:rPr>
          <w:lang w:val="en-AU"/>
        </w:rPr>
      </w:pPr>
      <w:bookmarkStart w:id="11" w:name="_Toc83882671"/>
      <w:r>
        <w:rPr>
          <w:lang w:val="en-AU"/>
        </w:rPr>
        <w:lastRenderedPageBreak/>
        <w:t>REFERENCES</w:t>
      </w:r>
      <w:bookmarkEnd w:id="11"/>
    </w:p>
    <w:p w14:paraId="67601FF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Aas, M. (2017). Leaders as learners: Developing new leadership practices. </w:t>
      </w:r>
      <w:r w:rsidRPr="00471C22">
        <w:rPr>
          <w:rFonts w:asciiTheme="minorHAnsi" w:hAnsiTheme="minorHAnsi" w:cstheme="minorHAnsi"/>
          <w:i/>
          <w:noProof/>
          <w:sz w:val="22"/>
          <w:szCs w:val="22"/>
        </w:rPr>
        <w:t>Professional Development in Education, 43</w:t>
      </w:r>
      <w:r w:rsidRPr="00471C22">
        <w:rPr>
          <w:rFonts w:asciiTheme="minorHAnsi" w:hAnsiTheme="minorHAnsi" w:cstheme="minorHAnsi"/>
          <w:noProof/>
          <w:sz w:val="22"/>
          <w:szCs w:val="22"/>
        </w:rPr>
        <w:t xml:space="preserve">(3), 439-453. </w:t>
      </w:r>
    </w:p>
    <w:p w14:paraId="6DB61958" w14:textId="77777777" w:rsidR="00011D0B" w:rsidRPr="00011D0B" w:rsidRDefault="00011D0B" w:rsidP="00700979">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Agteren, J., Woodyatt, L., Iasiello, M., Rayner, J. and Kyrios, M., 2019. Make It Measurable: Assessing Psychological Distress, Wellbeing and Resilience at Scale in Higher Education. Student Success, 10(3), pp.1a-1a.</w:t>
      </w:r>
    </w:p>
    <w:p w14:paraId="7DF73907" w14:textId="77777777" w:rsidR="00EE7F52" w:rsidRPr="00706550" w:rsidRDefault="00EE7F52" w:rsidP="00304544">
      <w:pPr>
        <w:pStyle w:val="EndNoteBibliography"/>
        <w:spacing w:beforeLines="24" w:before="57"/>
        <w:ind w:left="720" w:hanging="720"/>
        <w:rPr>
          <w:rFonts w:asciiTheme="minorHAnsi" w:hAnsiTheme="minorHAnsi" w:cstheme="minorHAnsi"/>
          <w:noProof/>
          <w:sz w:val="22"/>
          <w:szCs w:val="22"/>
        </w:rPr>
      </w:pPr>
      <w:r w:rsidRPr="00706550">
        <w:rPr>
          <w:rFonts w:asciiTheme="minorHAnsi" w:hAnsiTheme="minorHAnsi" w:cstheme="minorHAnsi"/>
          <w:noProof/>
          <w:sz w:val="22"/>
          <w:szCs w:val="22"/>
        </w:rPr>
        <w:t>Ainley, J., &amp; Ainley, M. (1999). School environments and student social development. In M. American Educational Research Association (Ed.).</w:t>
      </w:r>
    </w:p>
    <w:p w14:paraId="1053CFA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Ainscow, M., Dyson, A., Goldrick, S., &amp; West, M. (2016). Using collaborative inquiry to foster equity within school systems: Opportunities and barriers. School Effectiveness and School Improvement, 27(1), 7-23.</w:t>
      </w:r>
    </w:p>
    <w:p w14:paraId="7A533613"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AISNSW. (2017). Bridging the research to practice gap: data informed practice. </w:t>
      </w:r>
      <w:r w:rsidRPr="00471C22">
        <w:rPr>
          <w:rFonts w:cstheme="minorHAnsi"/>
          <w:i/>
          <w:iCs/>
          <w:szCs w:val="22"/>
        </w:rPr>
        <w:t>The Link</w:t>
      </w:r>
      <w:r w:rsidRPr="00471C22">
        <w:rPr>
          <w:rFonts w:cstheme="minorHAnsi"/>
          <w:szCs w:val="22"/>
        </w:rPr>
        <w:t xml:space="preserve"> (5), 1-4.</w:t>
      </w:r>
    </w:p>
    <w:p w14:paraId="654E7E5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AU"/>
        </w:rPr>
      </w:pPr>
      <w:r w:rsidRPr="00471C22">
        <w:rPr>
          <w:rFonts w:asciiTheme="minorHAnsi" w:hAnsiTheme="minorHAnsi" w:cstheme="minorHAnsi"/>
          <w:noProof/>
          <w:sz w:val="22"/>
          <w:szCs w:val="22"/>
        </w:rPr>
        <w:t xml:space="preserve">AITSL (2015). Preparing future leaders: Effective preparation for aspiring school principals. Retrieved from </w:t>
      </w:r>
      <w:r w:rsidRPr="00624A1A">
        <w:rPr>
          <w:rFonts w:asciiTheme="minorHAnsi" w:hAnsiTheme="minorHAnsi" w:cstheme="minorHAnsi"/>
          <w:sz w:val="22"/>
          <w:szCs w:val="22"/>
        </w:rPr>
        <w:t>https://www.aitsl.edu.au/tools-resources/resource/preparing-future-leaders-effective-preparation-for-aspiring-school-principals</w:t>
      </w:r>
      <w:r>
        <w:rPr>
          <w:rFonts w:asciiTheme="minorHAnsi" w:hAnsiTheme="minorHAnsi" w:cstheme="minorHAnsi"/>
          <w:sz w:val="22"/>
          <w:szCs w:val="22"/>
        </w:rPr>
        <w:t>.</w:t>
      </w:r>
    </w:p>
    <w:p w14:paraId="0F52EBF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AITSL (2018). The essential guide to professional learning: collaboration. Retrieved from </w:t>
      </w:r>
      <w:r w:rsidRPr="00624A1A">
        <w:rPr>
          <w:rFonts w:asciiTheme="minorHAnsi" w:hAnsiTheme="minorHAnsi" w:cstheme="minorHAnsi"/>
          <w:noProof/>
          <w:sz w:val="22"/>
          <w:szCs w:val="22"/>
        </w:rPr>
        <w:t>https://www.aitsl.edu.au/tools-resources/resource/the-essential-guide-to-professional-learning-collaboration</w:t>
      </w:r>
      <w:r>
        <w:rPr>
          <w:rFonts w:asciiTheme="minorHAnsi" w:hAnsiTheme="minorHAnsi" w:cstheme="minorHAnsi"/>
          <w:noProof/>
          <w:sz w:val="22"/>
          <w:szCs w:val="22"/>
        </w:rPr>
        <w:t>.</w:t>
      </w:r>
    </w:p>
    <w:p w14:paraId="7B321F77"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t xml:space="preserve">Aldridge, J. M., McChesney, K., &amp; </w:t>
      </w:r>
      <w:proofErr w:type="spellStart"/>
      <w:r w:rsidRPr="00471C22">
        <w:rPr>
          <w:rFonts w:cstheme="minorHAnsi"/>
          <w:szCs w:val="22"/>
          <w:lang w:val="en-AU"/>
        </w:rPr>
        <w:t>Afari</w:t>
      </w:r>
      <w:proofErr w:type="spellEnd"/>
      <w:r w:rsidRPr="00471C22">
        <w:rPr>
          <w:rFonts w:cstheme="minorHAnsi"/>
          <w:szCs w:val="22"/>
          <w:lang w:val="en-AU"/>
        </w:rPr>
        <w:t xml:space="preserve">, E. (2018). Relationships between school climate, bullying and delinquent behaviours. </w:t>
      </w:r>
      <w:r w:rsidRPr="00471C22">
        <w:rPr>
          <w:rFonts w:cstheme="minorHAnsi"/>
          <w:i/>
          <w:iCs/>
          <w:szCs w:val="22"/>
          <w:lang w:val="en-AU"/>
        </w:rPr>
        <w:t>Learning Environments Research</w:t>
      </w:r>
      <w:r w:rsidRPr="00471C22">
        <w:rPr>
          <w:rFonts w:cstheme="minorHAnsi"/>
          <w:szCs w:val="22"/>
          <w:lang w:val="en-AU"/>
        </w:rPr>
        <w:t>, 21(2), 153-172.</w:t>
      </w:r>
    </w:p>
    <w:p w14:paraId="4CEE0ACC"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Allensworth, D.D., Wyche, J., Lawson, E. and Nicholson, L. (1995). Defining a Comprehensive School Health Program: An Interim Statement. Washington, DC: The National Academic Press.</w:t>
      </w:r>
    </w:p>
    <w:p w14:paraId="5EC1CD28" w14:textId="77777777" w:rsidR="007F79C2" w:rsidRPr="007F79C2" w:rsidRDefault="007F79C2" w:rsidP="007F79C2">
      <w:pPr>
        <w:spacing w:beforeLines="24" w:before="57"/>
        <w:ind w:left="709" w:hanging="720"/>
        <w:rPr>
          <w:rFonts w:cstheme="minorHAnsi"/>
          <w:szCs w:val="22"/>
        </w:rPr>
      </w:pPr>
      <w:r w:rsidRPr="007F79C2">
        <w:rPr>
          <w:rFonts w:cstheme="minorHAnsi"/>
          <w:szCs w:val="22"/>
        </w:rPr>
        <w:t xml:space="preserve">Anderson, J. E. &amp; </w:t>
      </w:r>
      <w:proofErr w:type="spellStart"/>
      <w:r w:rsidRPr="007F79C2">
        <w:rPr>
          <w:rFonts w:cstheme="minorHAnsi"/>
          <w:szCs w:val="22"/>
        </w:rPr>
        <w:t>Lowen</w:t>
      </w:r>
      <w:proofErr w:type="spellEnd"/>
      <w:r w:rsidRPr="007F79C2">
        <w:rPr>
          <w:rFonts w:cstheme="minorHAnsi"/>
          <w:szCs w:val="22"/>
        </w:rPr>
        <w:t>, C. A., 2010. Connecting youth with health services: Systematic review. Canadian Family Physician, Vol. 56, No.8, pp. 778–784.</w:t>
      </w:r>
    </w:p>
    <w:p w14:paraId="6321039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Andrews, D., &amp; Crowther F. (2006). Teachers as leaders in a knowledge society: Encouraging signs of a new professionalism. </w:t>
      </w:r>
      <w:r w:rsidRPr="00471C22">
        <w:rPr>
          <w:rFonts w:asciiTheme="minorHAnsi" w:hAnsiTheme="minorHAnsi" w:cstheme="minorHAnsi"/>
          <w:i/>
          <w:iCs/>
          <w:noProof/>
          <w:sz w:val="22"/>
          <w:szCs w:val="22"/>
          <w:lang w:val="en-GB"/>
        </w:rPr>
        <w:t>Journal of School Leadership, 16</w:t>
      </w:r>
      <w:r w:rsidRPr="00471C22">
        <w:rPr>
          <w:rFonts w:asciiTheme="minorHAnsi" w:hAnsiTheme="minorHAnsi" w:cstheme="minorHAnsi"/>
          <w:noProof/>
          <w:sz w:val="22"/>
          <w:szCs w:val="22"/>
          <w:lang w:val="en-GB"/>
        </w:rPr>
        <w:t>(5), 534–549.</w:t>
      </w:r>
    </w:p>
    <w:p w14:paraId="049446C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ARACY – See Barker &amp; Harris, 2020.</w:t>
      </w:r>
    </w:p>
    <w:p w14:paraId="476CD2C1" w14:textId="77777777" w:rsidR="00EE7F52" w:rsidRPr="00471C22" w:rsidRDefault="00EE7F52" w:rsidP="00471C22">
      <w:pPr>
        <w:spacing w:beforeLines="24" w:before="57"/>
        <w:ind w:left="709" w:hanging="720"/>
        <w:rPr>
          <w:rStyle w:val="FootnoteReference"/>
          <w:rFonts w:cstheme="minorHAnsi"/>
          <w:color w:val="auto"/>
          <w:sz w:val="22"/>
          <w:szCs w:val="22"/>
        </w:rPr>
      </w:pPr>
      <w:r w:rsidRPr="00471C22">
        <w:rPr>
          <w:rFonts w:cstheme="minorHAnsi"/>
          <w:szCs w:val="22"/>
          <w:lang w:val="en-AU"/>
        </w:rPr>
        <w:t xml:space="preserve">ARACY. (2021). The Nest </w:t>
      </w:r>
      <w:proofErr w:type="gramStart"/>
      <w:r w:rsidRPr="00471C22">
        <w:rPr>
          <w:rFonts w:cstheme="minorHAnsi"/>
          <w:szCs w:val="22"/>
          <w:lang w:val="en-AU"/>
        </w:rPr>
        <w:t>In</w:t>
      </w:r>
      <w:proofErr w:type="gramEnd"/>
      <w:r w:rsidRPr="00471C22">
        <w:rPr>
          <w:rFonts w:cstheme="minorHAnsi"/>
          <w:szCs w:val="22"/>
          <w:lang w:val="en-AU"/>
        </w:rPr>
        <w:t xml:space="preserve"> Action. Retrieved from https://www.aracy.org.au/the-nest-in-action.</w:t>
      </w:r>
    </w:p>
    <w:p w14:paraId="34DE1D5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Arseneault, L. 2017. The long-term impact of bullying victimisation on mental health. </w:t>
      </w:r>
      <w:r w:rsidRPr="00471C22">
        <w:rPr>
          <w:rFonts w:asciiTheme="minorHAnsi" w:hAnsiTheme="minorHAnsi" w:cstheme="minorHAnsi"/>
          <w:i/>
          <w:iCs/>
          <w:noProof/>
          <w:sz w:val="22"/>
          <w:szCs w:val="22"/>
        </w:rPr>
        <w:t>World Psychiatry, 16</w:t>
      </w:r>
      <w:r w:rsidRPr="00471C22">
        <w:rPr>
          <w:rFonts w:asciiTheme="minorHAnsi" w:hAnsiTheme="minorHAnsi" w:cstheme="minorHAnsi"/>
          <w:noProof/>
          <w:sz w:val="22"/>
          <w:szCs w:val="22"/>
        </w:rPr>
        <w:t>(1), 27-28.</w:t>
      </w:r>
    </w:p>
    <w:p w14:paraId="48195E2A" w14:textId="77777777" w:rsidR="00011D0B" w:rsidRPr="00011D0B" w:rsidRDefault="00011D0B" w:rsidP="00471C22">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 xml:space="preserve">Association for Supervision and Curriculum Development (2012). Making the case for educating the whole child. Retrieved from http://www. wholechildeducation.org/assets/content/mx-resources/WholeChild-MakingTheCase.pdf Ata, A., Bastian, B., &amp; Lusher, D. (2009) Intergroup contact in context: The mediating role of social norms and group-based perceptions on the contact–prejudice link. International Journal of Intercultural Relations, 33(6), 498–506. </w:t>
      </w:r>
    </w:p>
    <w:p w14:paraId="103E41E2" w14:textId="77777777" w:rsidR="00011D0B" w:rsidRPr="00011D0B" w:rsidRDefault="00011D0B" w:rsidP="00FA7BF1">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Aston, R. (2018), "Physical health and well-being in children and youth: Review of the literature", OECD Education Working Papers, No. 170, OECD Publishing, Paris</w:t>
      </w:r>
    </w:p>
    <w:p w14:paraId="3F723FA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Attree, P. (2011). The experience of community engagement for individuals: a rapid review of evidence. Health and social care in the community, 19(3), 250-260.</w:t>
      </w:r>
    </w:p>
    <w:p w14:paraId="1D0117F4" w14:textId="77777777" w:rsidR="00011D0B" w:rsidRPr="00011D0B" w:rsidRDefault="00011D0B" w:rsidP="004D660D">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Australian Institute of Health and Welfare. (2012). A picture of Australia’s children 2012. Cat. no. PHE 167. Canberra: AIHW.</w:t>
      </w:r>
    </w:p>
    <w:p w14:paraId="12D02BD6" w14:textId="2CA75CC0" w:rsidR="00FE26CA" w:rsidRPr="00FE26CA" w:rsidRDefault="00FE26CA" w:rsidP="00FE26CA">
      <w:pPr>
        <w:pStyle w:val="EndNoteBibliography"/>
        <w:spacing w:beforeLines="24" w:before="57"/>
        <w:ind w:left="720" w:hanging="720"/>
        <w:rPr>
          <w:rFonts w:asciiTheme="minorHAnsi" w:hAnsiTheme="minorHAnsi" w:cstheme="minorHAnsi"/>
          <w:noProof/>
          <w:sz w:val="22"/>
          <w:szCs w:val="22"/>
          <w:lang w:val="en-GB"/>
        </w:rPr>
      </w:pPr>
      <w:r w:rsidRPr="00FE26CA">
        <w:rPr>
          <w:rFonts w:asciiTheme="minorHAnsi" w:hAnsiTheme="minorHAnsi" w:cstheme="minorHAnsi"/>
          <w:noProof/>
          <w:sz w:val="22"/>
          <w:szCs w:val="22"/>
          <w:lang w:val="en-GB"/>
        </w:rPr>
        <w:t xml:space="preserve">Baltag, V. Pachyna, A., &amp; Hall, J. </w:t>
      </w:r>
      <w:r w:rsidR="005B7454">
        <w:rPr>
          <w:rFonts w:asciiTheme="minorHAnsi" w:hAnsiTheme="minorHAnsi" w:cstheme="minorHAnsi"/>
          <w:noProof/>
          <w:sz w:val="22"/>
          <w:szCs w:val="22"/>
          <w:lang w:val="en-GB"/>
        </w:rPr>
        <w:t>(</w:t>
      </w:r>
      <w:r w:rsidRPr="00FE26CA">
        <w:rPr>
          <w:rFonts w:asciiTheme="minorHAnsi" w:hAnsiTheme="minorHAnsi" w:cstheme="minorHAnsi"/>
          <w:noProof/>
          <w:sz w:val="22"/>
          <w:szCs w:val="22"/>
          <w:lang w:val="en-GB"/>
        </w:rPr>
        <w:t>2015</w:t>
      </w:r>
      <w:r w:rsidR="005B7454">
        <w:rPr>
          <w:rFonts w:asciiTheme="minorHAnsi" w:hAnsiTheme="minorHAnsi" w:cstheme="minorHAnsi"/>
          <w:noProof/>
          <w:sz w:val="22"/>
          <w:szCs w:val="22"/>
          <w:lang w:val="en-GB"/>
        </w:rPr>
        <w:t>)</w:t>
      </w:r>
      <w:r w:rsidRPr="00FE26CA">
        <w:rPr>
          <w:rFonts w:asciiTheme="minorHAnsi" w:hAnsiTheme="minorHAnsi" w:cstheme="minorHAnsi"/>
          <w:noProof/>
          <w:sz w:val="22"/>
          <w:szCs w:val="22"/>
          <w:lang w:val="en-GB"/>
        </w:rPr>
        <w:t>. Global overview of school health services: Data from 102 countries. Health Behavior and Policy Review, Vol. 2 No. 4, pp. 268–283.</w:t>
      </w:r>
    </w:p>
    <w:p w14:paraId="4E00B22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Barber, M., &amp; Mourshed, M. (2007). How the world's best-performing schools systems come out on top. McKinsey &amp; Company. Retrieved online: </w:t>
      </w:r>
      <w:r w:rsidRPr="00314974">
        <w:rPr>
          <w:rFonts w:asciiTheme="minorHAnsi" w:hAnsiTheme="minorHAnsi" w:cstheme="minorHAnsi"/>
          <w:noProof/>
          <w:sz w:val="22"/>
          <w:szCs w:val="22"/>
        </w:rPr>
        <w:t>https://www.mckinsey.com/industries/public-</w:t>
      </w:r>
      <w:r w:rsidRPr="00314974">
        <w:rPr>
          <w:rFonts w:asciiTheme="minorHAnsi" w:hAnsiTheme="minorHAnsi" w:cstheme="minorHAnsi"/>
          <w:noProof/>
          <w:sz w:val="22"/>
          <w:szCs w:val="22"/>
        </w:rPr>
        <w:lastRenderedPageBreak/>
        <w:t>and-social-sector/our-insights/how-the-worlds-best-performing-school-systems-come-out-on-top</w:t>
      </w:r>
      <w:r>
        <w:rPr>
          <w:rFonts w:asciiTheme="minorHAnsi" w:hAnsiTheme="minorHAnsi" w:cstheme="minorHAnsi"/>
          <w:noProof/>
          <w:sz w:val="22"/>
          <w:szCs w:val="22"/>
        </w:rPr>
        <w:t>.</w:t>
      </w:r>
    </w:p>
    <w:p w14:paraId="0BBF32B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Barber, M., Whelan, F., &amp; Clark, M. (2010). Capturing the leadership premium: How the world's top school systems are building leadership capacity for the future. McKinsey.</w:t>
      </w:r>
    </w:p>
    <w:p w14:paraId="4109B1A8" w14:textId="77777777" w:rsidR="00011D0B" w:rsidRPr="00011D0B" w:rsidRDefault="00011D0B" w:rsidP="004D660D">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Barbero, J., Hernandez, R., &amp; Llor-Zaragoza, L. (2015). Effectiveness of anti-bullying school programs: a meta-analysis. Children and Youth Services Review, 61.</w:t>
      </w:r>
    </w:p>
    <w:p w14:paraId="2BF15AB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Barker, B., &amp; Harris, D. (2020). Parent and Family Engagement: An Implementation Guide for School Communities. Canberra: ARACY. Retrieved online: </w:t>
      </w:r>
      <w:r w:rsidRPr="00314974">
        <w:rPr>
          <w:rFonts w:asciiTheme="minorHAnsi" w:hAnsiTheme="minorHAnsi" w:cstheme="minorHAnsi"/>
          <w:noProof/>
          <w:sz w:val="22"/>
          <w:szCs w:val="22"/>
          <w:lang w:val="en-GB"/>
        </w:rPr>
        <w:t>https://www.aracy.org.au/documents/item/647</w:t>
      </w:r>
      <w:r>
        <w:rPr>
          <w:rFonts w:asciiTheme="minorHAnsi" w:hAnsiTheme="minorHAnsi" w:cstheme="minorHAnsi"/>
          <w:noProof/>
          <w:sz w:val="22"/>
          <w:szCs w:val="22"/>
          <w:lang w:val="en-GB"/>
        </w:rPr>
        <w:t>.</w:t>
      </w:r>
    </w:p>
    <w:p w14:paraId="6530F7E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Barker, S., (2018). Student Voice to Improve Instruction: Leading transformation of a school system (Doctoral dissertation). Abilene Christian University. Retrieved online: </w:t>
      </w:r>
      <w:r w:rsidRPr="00314974">
        <w:rPr>
          <w:rFonts w:asciiTheme="minorHAnsi" w:hAnsiTheme="minorHAnsi" w:cstheme="minorHAnsi"/>
          <w:noProof/>
          <w:sz w:val="22"/>
          <w:szCs w:val="22"/>
        </w:rPr>
        <w:t>https://digitalcommons.acu.edu/etd/112/</w:t>
      </w:r>
      <w:r>
        <w:rPr>
          <w:rFonts w:asciiTheme="minorHAnsi" w:hAnsiTheme="minorHAnsi" w:cstheme="minorHAnsi"/>
          <w:noProof/>
          <w:sz w:val="22"/>
          <w:szCs w:val="22"/>
        </w:rPr>
        <w:t>.</w:t>
      </w:r>
    </w:p>
    <w:p w14:paraId="22A3AE04"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Baron, A., </w:t>
      </w:r>
      <w:proofErr w:type="spellStart"/>
      <w:r w:rsidRPr="00471C22">
        <w:rPr>
          <w:rFonts w:cstheme="minorHAnsi"/>
          <w:szCs w:val="22"/>
        </w:rPr>
        <w:t>Evangelou</w:t>
      </w:r>
      <w:proofErr w:type="spellEnd"/>
      <w:r w:rsidRPr="00471C22">
        <w:rPr>
          <w:rFonts w:cstheme="minorHAnsi"/>
          <w:szCs w:val="22"/>
        </w:rPr>
        <w:t xml:space="preserve">, M., </w:t>
      </w:r>
      <w:proofErr w:type="spellStart"/>
      <w:r w:rsidRPr="00471C22">
        <w:rPr>
          <w:rFonts w:cstheme="minorHAnsi"/>
          <w:szCs w:val="22"/>
        </w:rPr>
        <w:t>Malmberg</w:t>
      </w:r>
      <w:proofErr w:type="spellEnd"/>
      <w:r w:rsidRPr="00471C22">
        <w:rPr>
          <w:rFonts w:cstheme="minorHAnsi"/>
          <w:szCs w:val="22"/>
        </w:rPr>
        <w:t>, L. E., &amp; Melendez-Torres, G. J. (2016). Protocol for a systematic review: The Tools of the Mind curriculum for improving self-regulation in early childhood: A systematic review. Philadelphia, Pennsylvania: Campbell Collaboration.</w:t>
      </w:r>
    </w:p>
    <w:p w14:paraId="7C579967" w14:textId="77777777" w:rsidR="00EE7F52" w:rsidRPr="00471C22" w:rsidRDefault="00EE7F52" w:rsidP="00471C22">
      <w:pPr>
        <w:spacing w:beforeLines="24" w:before="57"/>
        <w:ind w:left="709" w:hanging="720"/>
        <w:rPr>
          <w:rFonts w:cstheme="minorHAnsi"/>
          <w:szCs w:val="22"/>
        </w:rPr>
      </w:pPr>
      <w:proofErr w:type="spellStart"/>
      <w:r w:rsidRPr="00471C22">
        <w:rPr>
          <w:rFonts w:cstheme="minorHAnsi"/>
          <w:szCs w:val="22"/>
        </w:rPr>
        <w:t>Baroutsis</w:t>
      </w:r>
      <w:proofErr w:type="spellEnd"/>
      <w:r w:rsidRPr="00471C22">
        <w:rPr>
          <w:rFonts w:cstheme="minorHAnsi"/>
          <w:szCs w:val="22"/>
        </w:rPr>
        <w:t>, A., McGregor, G. &amp; Mills, M. (2016).</w:t>
      </w:r>
      <w:r w:rsidRPr="00471C22">
        <w:rPr>
          <w:rFonts w:cstheme="minorHAnsi"/>
          <w:spacing w:val="1"/>
          <w:szCs w:val="22"/>
        </w:rPr>
        <w:t xml:space="preserve"> </w:t>
      </w:r>
      <w:r w:rsidRPr="00471C22">
        <w:rPr>
          <w:rFonts w:cstheme="minorHAnsi"/>
          <w:szCs w:val="22"/>
        </w:rPr>
        <w:t>Pedagogic</w:t>
      </w:r>
      <w:r w:rsidRPr="00471C22">
        <w:rPr>
          <w:rFonts w:cstheme="minorHAnsi"/>
          <w:spacing w:val="-5"/>
          <w:szCs w:val="22"/>
        </w:rPr>
        <w:t xml:space="preserve"> </w:t>
      </w:r>
      <w:r w:rsidRPr="00471C22">
        <w:rPr>
          <w:rFonts w:cstheme="minorHAnsi"/>
          <w:szCs w:val="22"/>
        </w:rPr>
        <w:t>voice:</w:t>
      </w:r>
      <w:r w:rsidRPr="00471C22">
        <w:rPr>
          <w:rFonts w:cstheme="minorHAnsi"/>
          <w:spacing w:val="-5"/>
          <w:szCs w:val="22"/>
        </w:rPr>
        <w:t xml:space="preserve"> </w:t>
      </w:r>
      <w:r w:rsidRPr="00471C22">
        <w:rPr>
          <w:rFonts w:cstheme="minorHAnsi"/>
          <w:szCs w:val="22"/>
        </w:rPr>
        <w:t>Student</w:t>
      </w:r>
      <w:r w:rsidRPr="00471C22">
        <w:rPr>
          <w:rFonts w:cstheme="minorHAnsi"/>
          <w:spacing w:val="-4"/>
          <w:szCs w:val="22"/>
        </w:rPr>
        <w:t xml:space="preserve"> </w:t>
      </w:r>
      <w:r w:rsidRPr="00471C22">
        <w:rPr>
          <w:rFonts w:cstheme="minorHAnsi"/>
          <w:szCs w:val="22"/>
        </w:rPr>
        <w:t>voice</w:t>
      </w:r>
      <w:r w:rsidRPr="00471C22">
        <w:rPr>
          <w:rFonts w:cstheme="minorHAnsi"/>
          <w:spacing w:val="-5"/>
          <w:szCs w:val="22"/>
        </w:rPr>
        <w:t xml:space="preserve"> </w:t>
      </w:r>
      <w:r w:rsidRPr="00471C22">
        <w:rPr>
          <w:rFonts w:cstheme="minorHAnsi"/>
          <w:szCs w:val="22"/>
        </w:rPr>
        <w:t>in</w:t>
      </w:r>
      <w:r w:rsidRPr="00471C22">
        <w:rPr>
          <w:rFonts w:cstheme="minorHAnsi"/>
          <w:spacing w:val="-5"/>
          <w:szCs w:val="22"/>
        </w:rPr>
        <w:t xml:space="preserve"> </w:t>
      </w:r>
      <w:r w:rsidRPr="00471C22">
        <w:rPr>
          <w:rFonts w:cstheme="minorHAnsi"/>
          <w:szCs w:val="22"/>
        </w:rPr>
        <w:t>teaching</w:t>
      </w:r>
      <w:r w:rsidRPr="00471C22">
        <w:rPr>
          <w:rFonts w:cstheme="minorHAnsi"/>
          <w:spacing w:val="-4"/>
          <w:szCs w:val="22"/>
        </w:rPr>
        <w:t xml:space="preserve"> </w:t>
      </w:r>
      <w:r w:rsidRPr="00471C22">
        <w:rPr>
          <w:rFonts w:cstheme="minorHAnsi"/>
          <w:szCs w:val="22"/>
        </w:rPr>
        <w:t>and</w:t>
      </w:r>
      <w:r w:rsidRPr="00471C22">
        <w:rPr>
          <w:rFonts w:cstheme="minorHAnsi"/>
          <w:spacing w:val="-48"/>
          <w:szCs w:val="22"/>
        </w:rPr>
        <w:t xml:space="preserve"> </w:t>
      </w:r>
      <w:r w:rsidRPr="00471C22">
        <w:rPr>
          <w:rFonts w:cstheme="minorHAnsi"/>
          <w:szCs w:val="22"/>
        </w:rPr>
        <w:t xml:space="preserve">engagement pedagogies. </w:t>
      </w:r>
      <w:r w:rsidRPr="00471C22">
        <w:rPr>
          <w:rFonts w:cstheme="minorHAnsi"/>
          <w:i/>
          <w:iCs/>
          <w:szCs w:val="22"/>
        </w:rPr>
        <w:t>Pedagogy, Culture &amp;</w:t>
      </w:r>
      <w:r w:rsidRPr="00471C22">
        <w:rPr>
          <w:rFonts w:cstheme="minorHAnsi"/>
          <w:i/>
          <w:iCs/>
          <w:spacing w:val="1"/>
          <w:szCs w:val="22"/>
        </w:rPr>
        <w:t xml:space="preserve"> </w:t>
      </w:r>
      <w:r w:rsidRPr="00471C22">
        <w:rPr>
          <w:rFonts w:cstheme="minorHAnsi"/>
          <w:i/>
          <w:iCs/>
          <w:szCs w:val="22"/>
        </w:rPr>
        <w:t>Society</w:t>
      </w:r>
      <w:r w:rsidRPr="00471C22">
        <w:rPr>
          <w:rFonts w:cstheme="minorHAnsi"/>
          <w:szCs w:val="22"/>
        </w:rPr>
        <w:t>,</w:t>
      </w:r>
      <w:r w:rsidRPr="00471C22">
        <w:rPr>
          <w:rFonts w:cstheme="minorHAnsi"/>
          <w:spacing w:val="-1"/>
          <w:szCs w:val="22"/>
        </w:rPr>
        <w:t xml:space="preserve"> </w:t>
      </w:r>
      <w:r w:rsidRPr="00471C22">
        <w:rPr>
          <w:rFonts w:cstheme="minorHAnsi"/>
          <w:szCs w:val="22"/>
        </w:rPr>
        <w:t>24(1),</w:t>
      </w:r>
      <w:r w:rsidRPr="00471C22">
        <w:rPr>
          <w:rFonts w:cstheme="minorHAnsi"/>
          <w:spacing w:val="-1"/>
          <w:szCs w:val="22"/>
        </w:rPr>
        <w:t xml:space="preserve"> </w:t>
      </w:r>
      <w:r w:rsidRPr="00471C22">
        <w:rPr>
          <w:rFonts w:cstheme="minorHAnsi"/>
          <w:szCs w:val="22"/>
        </w:rPr>
        <w:t>123-140.</w:t>
      </w:r>
    </w:p>
    <w:p w14:paraId="47A50F5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Battersby, S. L., &amp; Verdi, B. (2015). The culture of professional learning communities and connections to improve teacher efficacy and support student learning. </w:t>
      </w:r>
      <w:r w:rsidRPr="00471C22">
        <w:rPr>
          <w:rFonts w:asciiTheme="minorHAnsi" w:hAnsiTheme="minorHAnsi" w:cstheme="minorHAnsi"/>
          <w:i/>
          <w:iCs/>
          <w:noProof/>
          <w:sz w:val="22"/>
          <w:szCs w:val="22"/>
        </w:rPr>
        <w:t>Arts Education Policy Review, 116</w:t>
      </w:r>
      <w:r w:rsidRPr="00471C22">
        <w:rPr>
          <w:rFonts w:asciiTheme="minorHAnsi" w:hAnsiTheme="minorHAnsi" w:cstheme="minorHAnsi"/>
          <w:noProof/>
          <w:sz w:val="22"/>
          <w:szCs w:val="22"/>
        </w:rPr>
        <w:t xml:space="preserve">(1), 22-29. </w:t>
      </w:r>
    </w:p>
    <w:p w14:paraId="224A2718" w14:textId="77777777" w:rsidR="00EE7F52" w:rsidRPr="00706550" w:rsidRDefault="00EE7F52" w:rsidP="00304544">
      <w:pPr>
        <w:pStyle w:val="EndNoteBibliography"/>
        <w:spacing w:beforeLines="24" w:before="57"/>
        <w:ind w:left="720" w:hanging="720"/>
        <w:rPr>
          <w:rFonts w:asciiTheme="minorHAnsi" w:hAnsiTheme="minorHAnsi" w:cstheme="minorHAnsi"/>
          <w:noProof/>
          <w:sz w:val="22"/>
          <w:szCs w:val="22"/>
        </w:rPr>
      </w:pPr>
      <w:r w:rsidRPr="00706550">
        <w:rPr>
          <w:rFonts w:asciiTheme="minorHAnsi" w:hAnsiTheme="minorHAnsi" w:cstheme="minorHAnsi"/>
          <w:noProof/>
          <w:sz w:val="22"/>
          <w:szCs w:val="22"/>
        </w:rPr>
        <w:t>Battistich, V., Solomon, D., &amp; Watson, M. S. (1997). Caring school communities.Educational Psychologist, 32(Summer 1997), 137-151.</w:t>
      </w:r>
    </w:p>
    <w:p w14:paraId="11CA76D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Bauman, C. (2015). A refreshing perspective on teacher leadership : How teacher leaders effectively combine the use of autonomy and collaboration to enhance school improvement. </w:t>
      </w:r>
      <w:r w:rsidRPr="00471C22">
        <w:rPr>
          <w:rFonts w:asciiTheme="minorHAnsi" w:hAnsiTheme="minorHAnsi" w:cstheme="minorHAnsi"/>
          <w:i/>
          <w:noProof/>
          <w:sz w:val="22"/>
          <w:szCs w:val="22"/>
        </w:rPr>
        <w:t>Leading &amp; Managing, 21</w:t>
      </w:r>
      <w:r w:rsidRPr="00471C22">
        <w:rPr>
          <w:rFonts w:asciiTheme="minorHAnsi" w:hAnsiTheme="minorHAnsi" w:cstheme="minorHAnsi"/>
          <w:noProof/>
          <w:sz w:val="22"/>
          <w:szCs w:val="22"/>
        </w:rPr>
        <w:t xml:space="preserve">(2), 46-59. </w:t>
      </w:r>
    </w:p>
    <w:p w14:paraId="1F3D2B7C"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Beckett, L. (2000). Education, health and welfare – issues for scoail justice. Australian Educational Researcher, 27(3), 131-142.</w:t>
      </w:r>
    </w:p>
    <w:p w14:paraId="08B9FBAF" w14:textId="77777777" w:rsidR="00EE7F52" w:rsidRPr="00706550" w:rsidRDefault="00EE7F52" w:rsidP="00304544">
      <w:pPr>
        <w:pStyle w:val="EndNoteBibliography"/>
        <w:spacing w:beforeLines="24" w:before="57"/>
        <w:ind w:left="720" w:hanging="720"/>
        <w:rPr>
          <w:rFonts w:asciiTheme="minorHAnsi" w:hAnsiTheme="minorHAnsi" w:cstheme="minorHAnsi"/>
          <w:noProof/>
          <w:sz w:val="22"/>
          <w:szCs w:val="22"/>
        </w:rPr>
      </w:pPr>
      <w:r w:rsidRPr="00706550">
        <w:rPr>
          <w:rFonts w:asciiTheme="minorHAnsi" w:hAnsiTheme="minorHAnsi" w:cstheme="minorHAnsi"/>
          <w:noProof/>
          <w:sz w:val="22"/>
          <w:szCs w:val="22"/>
        </w:rPr>
        <w:t>Beckett, L. (2000). Education, health and welfare : issues for social justice. Australian Educational Researcher, 27(3), 131-142.</w:t>
      </w:r>
    </w:p>
    <w:p w14:paraId="61F90E9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Bendikson, L. (2017). </w:t>
      </w:r>
      <w:r w:rsidRPr="00471C22">
        <w:rPr>
          <w:rFonts w:asciiTheme="minorHAnsi" w:hAnsiTheme="minorHAnsi" w:cstheme="minorHAnsi"/>
          <w:i/>
          <w:noProof/>
          <w:sz w:val="22"/>
          <w:szCs w:val="22"/>
        </w:rPr>
        <w:t>Courageous and coherent leadership required for excellent and equitable outcomes</w:t>
      </w:r>
      <w:r w:rsidRPr="00471C22">
        <w:rPr>
          <w:rFonts w:asciiTheme="minorHAnsi" w:hAnsiTheme="minorHAnsi" w:cstheme="minorHAnsi"/>
          <w:noProof/>
          <w:sz w:val="22"/>
          <w:szCs w:val="22"/>
        </w:rPr>
        <w:t xml:space="preserve">. Paper presented at the Research Conference 2017: Leadership for Improving Learning : Insights from Research. Retrieved from, </w:t>
      </w:r>
      <w:r w:rsidRPr="00314974">
        <w:rPr>
          <w:rFonts w:asciiTheme="minorHAnsi" w:hAnsiTheme="minorHAnsi" w:cstheme="minorHAnsi"/>
          <w:noProof/>
          <w:sz w:val="22"/>
          <w:szCs w:val="22"/>
        </w:rPr>
        <w:t>https://research.acer.edu.au/cgi/viewcontent.cgi?article=1309&amp;context=research_conference</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2AB087A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Bennett, R. E. (2011) Formative assessment: a critical review. </w:t>
      </w:r>
      <w:r w:rsidRPr="00471C22">
        <w:rPr>
          <w:rFonts w:asciiTheme="minorHAnsi" w:hAnsiTheme="minorHAnsi" w:cstheme="minorHAnsi"/>
          <w:i/>
          <w:iCs/>
          <w:noProof/>
          <w:sz w:val="22"/>
          <w:szCs w:val="22"/>
        </w:rPr>
        <w:t>Assessment in Education: Principles, Policy &amp; Practice, 18</w:t>
      </w:r>
      <w:r w:rsidRPr="00471C22">
        <w:rPr>
          <w:rFonts w:asciiTheme="minorHAnsi" w:hAnsiTheme="minorHAnsi" w:cstheme="minorHAnsi"/>
          <w:noProof/>
          <w:sz w:val="22"/>
          <w:szCs w:val="22"/>
        </w:rPr>
        <w:t xml:space="preserve">(1), 5–25. </w:t>
      </w:r>
    </w:p>
    <w:p w14:paraId="5151B7C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Benoliel, P., &amp; Berkovich, I. (2017). There is no “T” in school improvement: The missing team perspective. </w:t>
      </w:r>
      <w:r w:rsidRPr="00471C22">
        <w:rPr>
          <w:rFonts w:asciiTheme="minorHAnsi" w:hAnsiTheme="minorHAnsi" w:cstheme="minorHAnsi"/>
          <w:i/>
          <w:iCs/>
          <w:noProof/>
          <w:sz w:val="22"/>
          <w:szCs w:val="22"/>
        </w:rPr>
        <w:t>International Journal of Educational Management, 31</w:t>
      </w:r>
      <w:r w:rsidRPr="00471C22">
        <w:rPr>
          <w:rFonts w:asciiTheme="minorHAnsi" w:hAnsiTheme="minorHAnsi" w:cstheme="minorHAnsi"/>
          <w:noProof/>
          <w:sz w:val="22"/>
          <w:szCs w:val="22"/>
        </w:rPr>
        <w:t xml:space="preserve">(7), 922-929. </w:t>
      </w:r>
    </w:p>
    <w:p w14:paraId="47038B5B"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Berkowitz, R. &amp; Benbenishty, R., 2012. Perceptions of teachers’ support, safety, and absence from school because of fear among victims, bullies, and bully</w:t>
      </w:r>
      <w:r w:rsidRPr="00011D0B">
        <w:rPr>
          <w:rFonts w:ascii="Cambria Math" w:hAnsi="Cambria Math" w:cs="Cambria Math"/>
          <w:noProof/>
          <w:sz w:val="22"/>
          <w:szCs w:val="22"/>
          <w:lang w:val="en-GB"/>
        </w:rPr>
        <w:t>‐</w:t>
      </w:r>
      <w:r w:rsidRPr="00011D0B">
        <w:rPr>
          <w:rFonts w:asciiTheme="minorHAnsi" w:hAnsiTheme="minorHAnsi" w:cstheme="minorHAnsi"/>
          <w:noProof/>
          <w:sz w:val="22"/>
          <w:szCs w:val="22"/>
          <w:lang w:val="en-GB"/>
        </w:rPr>
        <w:t>victims. American journal of orthopsychiatry, 82(1), p.67.</w:t>
      </w:r>
    </w:p>
    <w:p w14:paraId="67E7C045" w14:textId="77777777" w:rsidR="005B7454" w:rsidRPr="005B7454" w:rsidRDefault="005B7454" w:rsidP="005B7454">
      <w:pPr>
        <w:pStyle w:val="EndNoteBibliography"/>
        <w:spacing w:beforeLines="24" w:before="57"/>
        <w:ind w:left="720" w:hanging="720"/>
        <w:rPr>
          <w:rFonts w:asciiTheme="minorHAnsi" w:hAnsiTheme="minorHAnsi" w:cstheme="minorHAnsi"/>
          <w:noProof/>
          <w:sz w:val="22"/>
          <w:szCs w:val="22"/>
          <w:lang w:val="en-GB"/>
        </w:rPr>
      </w:pPr>
      <w:r w:rsidRPr="005B7454">
        <w:rPr>
          <w:rFonts w:asciiTheme="minorHAnsi" w:hAnsiTheme="minorHAnsi" w:cstheme="minorHAnsi"/>
          <w:noProof/>
          <w:sz w:val="22"/>
          <w:szCs w:val="22"/>
          <w:lang w:val="en-GB"/>
        </w:rPr>
        <w:t>Bersamin, M., Garbers, S., Gaarde, J., &amp; Santelli, J., 2016. Assessing the impact of school-based health centers on academic achievement and college preparation efforts: Using propensity score matching to assess school-level data in California. The Journal of School Nursing, Vol. 32 No. 4, pp. 241-245.</w:t>
      </w:r>
    </w:p>
    <w:p w14:paraId="6E0601E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Berthelsen, D., &amp; Walker, S. (2008). Parents' involvement in their children's education. </w:t>
      </w:r>
      <w:r w:rsidRPr="00471C22">
        <w:rPr>
          <w:rFonts w:asciiTheme="minorHAnsi" w:hAnsiTheme="minorHAnsi" w:cstheme="minorHAnsi"/>
          <w:i/>
          <w:iCs/>
          <w:noProof/>
          <w:sz w:val="22"/>
          <w:szCs w:val="22"/>
          <w:lang w:val="en-GB"/>
        </w:rPr>
        <w:t>Family matters, 79</w:t>
      </w:r>
      <w:r w:rsidRPr="00471C22">
        <w:rPr>
          <w:rFonts w:asciiTheme="minorHAnsi" w:hAnsiTheme="minorHAnsi" w:cstheme="minorHAnsi"/>
          <w:noProof/>
          <w:sz w:val="22"/>
          <w:szCs w:val="22"/>
          <w:lang w:val="en-GB"/>
        </w:rPr>
        <w:t>(1), 34.</w:t>
      </w:r>
    </w:p>
    <w:p w14:paraId="77836DE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Bill &amp; Melinda Gates Foundation (2013) Ensuring Fair and Reliable Measures of Effective Teaching: Culminating Findings from the MET Project’s Three-Year Study. Seattle: Bill &amp; Melinda Gates Foundation. Retrieved November 22, 2014, from </w:t>
      </w:r>
      <w:r w:rsidRPr="001A4DD4">
        <w:rPr>
          <w:rFonts w:asciiTheme="minorHAnsi" w:hAnsiTheme="minorHAnsi" w:cstheme="minorHAnsi"/>
          <w:noProof/>
          <w:sz w:val="22"/>
          <w:szCs w:val="22"/>
        </w:rPr>
        <w:lastRenderedPageBreak/>
        <w:t>http://www.google.com.au/url?sa=t&amp;rct=j&amp;q=&amp;esrc=s&amp;source=web&amp;cd=1&amp;cad=rja&amp;uact=8&amp;sqi=2&amp;ved=0CCIQFjAA&amp;url=http%3A%2F%2Fwww.metproject.org%2Fdownloads%2FMET_Ensuring_Fair_and_Reliable_Measures_Practitioner_Brief.pdf&amp;ei=7wtwVNmsKZTi8AW60YKwBA&amp;usg=AFQjCNEoH_4L8Y3qQ2-6CIKiV13BeZAFFw&amp;bvm=bv.80185997,d.dGY</w:t>
      </w:r>
      <w:r w:rsidRPr="00471C22">
        <w:rPr>
          <w:rFonts w:asciiTheme="minorHAnsi" w:hAnsiTheme="minorHAnsi" w:cstheme="minorHAnsi"/>
          <w:noProof/>
          <w:sz w:val="22"/>
          <w:szCs w:val="22"/>
        </w:rPr>
        <w:t xml:space="preserve"> </w:t>
      </w:r>
    </w:p>
    <w:p w14:paraId="081B39D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Bills, A., &amp; Giles, D. (2016). Repositioning diagnostic school reviews using appreciative inquiry: A way of eliciting student voice for school improvement. </w:t>
      </w:r>
      <w:r w:rsidRPr="00471C22">
        <w:rPr>
          <w:rFonts w:asciiTheme="minorHAnsi" w:hAnsiTheme="minorHAnsi" w:cstheme="minorHAnsi"/>
          <w:i/>
          <w:iCs/>
          <w:noProof/>
          <w:sz w:val="22"/>
          <w:szCs w:val="22"/>
        </w:rPr>
        <w:t>Journal of Educational Leadership, Policy &amp; Practice, 31</w:t>
      </w:r>
      <w:r w:rsidRPr="00471C22">
        <w:rPr>
          <w:rFonts w:asciiTheme="minorHAnsi" w:hAnsiTheme="minorHAnsi" w:cstheme="minorHAnsi"/>
          <w:noProof/>
          <w:sz w:val="22"/>
          <w:szCs w:val="22"/>
        </w:rPr>
        <w:t xml:space="preserve">(1/2), 165-179. </w:t>
      </w:r>
    </w:p>
    <w:p w14:paraId="1787A72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Blank, R. K., &amp; de las Alas, N. (2009). Effects of teacher professional development on gains in student achievement: How meta-analysis provides scientific evidence useful to education leaders. The Council of Chief State School Officers. Retrieved online: </w:t>
      </w:r>
      <w:r w:rsidRPr="001A4DD4">
        <w:rPr>
          <w:rFonts w:asciiTheme="minorHAnsi" w:hAnsiTheme="minorHAnsi" w:cstheme="minorHAnsi"/>
          <w:noProof/>
          <w:sz w:val="22"/>
          <w:szCs w:val="22"/>
        </w:rPr>
        <w:t>https://files.eric.ed.gov/fulltext/ED544700.pdf</w:t>
      </w:r>
      <w:r>
        <w:rPr>
          <w:rFonts w:asciiTheme="minorHAnsi" w:hAnsiTheme="minorHAnsi" w:cstheme="minorHAnsi"/>
          <w:noProof/>
          <w:sz w:val="22"/>
          <w:szCs w:val="22"/>
        </w:rPr>
        <w:t>.</w:t>
      </w:r>
    </w:p>
    <w:p w14:paraId="4A2380A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Boberg, J. E., &amp; Bourgeois, S. J. (2016). The effects of integrated transformational leadership on achievement. </w:t>
      </w:r>
      <w:r w:rsidRPr="00471C22">
        <w:rPr>
          <w:rFonts w:asciiTheme="minorHAnsi" w:hAnsiTheme="minorHAnsi" w:cstheme="minorHAnsi"/>
          <w:i/>
          <w:iCs/>
          <w:noProof/>
          <w:sz w:val="22"/>
          <w:szCs w:val="22"/>
        </w:rPr>
        <w:t>Journal of Educational Administration, 54</w:t>
      </w:r>
      <w:r w:rsidRPr="00471C22">
        <w:rPr>
          <w:rFonts w:asciiTheme="minorHAnsi" w:hAnsiTheme="minorHAnsi" w:cstheme="minorHAnsi"/>
          <w:noProof/>
          <w:sz w:val="22"/>
          <w:szCs w:val="22"/>
        </w:rPr>
        <w:t xml:space="preserve">(3), 357-374. </w:t>
      </w:r>
    </w:p>
    <w:p w14:paraId="4F0B03B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Bonell, A.,  Fletcher, F., Wells, A., Harden, S., Murphy, J, &amp; Thomas J. (2013) Theories of how the school environment impacts on student health: Systematic review and synthesis. </w:t>
      </w:r>
      <w:r w:rsidRPr="00471C22">
        <w:rPr>
          <w:rFonts w:asciiTheme="minorHAnsi" w:hAnsiTheme="minorHAnsi" w:cstheme="minorHAnsi"/>
          <w:i/>
          <w:iCs/>
          <w:noProof/>
          <w:sz w:val="22"/>
          <w:szCs w:val="22"/>
        </w:rPr>
        <w:t>Health and Place, 24</w:t>
      </w:r>
      <w:r w:rsidRPr="00471C22">
        <w:rPr>
          <w:rFonts w:asciiTheme="minorHAnsi" w:hAnsiTheme="minorHAnsi" w:cstheme="minorHAnsi"/>
          <w:noProof/>
          <w:sz w:val="22"/>
          <w:szCs w:val="22"/>
        </w:rPr>
        <w:t xml:space="preserve">(2), 242-249. </w:t>
      </w:r>
    </w:p>
    <w:p w14:paraId="749B8D0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Bouchamma, Y., April, D., &amp; Basque, M. (2019). Principals' leadership practices in guiding professional learning communities to institutionalization. </w:t>
      </w:r>
      <w:r w:rsidRPr="00471C22">
        <w:rPr>
          <w:rFonts w:asciiTheme="minorHAnsi" w:hAnsiTheme="minorHAnsi" w:cstheme="minorHAnsi"/>
          <w:i/>
          <w:iCs/>
          <w:noProof/>
          <w:sz w:val="22"/>
          <w:szCs w:val="22"/>
        </w:rPr>
        <w:t>International Studies in Educational Administration, 47</w:t>
      </w:r>
      <w:r w:rsidRPr="00471C22">
        <w:rPr>
          <w:rFonts w:asciiTheme="minorHAnsi" w:hAnsiTheme="minorHAnsi" w:cstheme="minorHAnsi"/>
          <w:noProof/>
          <w:sz w:val="22"/>
          <w:szCs w:val="22"/>
        </w:rPr>
        <w:t xml:space="preserve">(1), 38-60. </w:t>
      </w:r>
    </w:p>
    <w:p w14:paraId="0E7D384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Bowers, A. J. (2017). Quantitative research methods training in education leadership and administration preparation programs as disciplined inquiry for building school improvement capacity. </w:t>
      </w:r>
      <w:r w:rsidRPr="00471C22">
        <w:rPr>
          <w:rFonts w:asciiTheme="minorHAnsi" w:hAnsiTheme="minorHAnsi" w:cstheme="minorHAnsi"/>
          <w:i/>
          <w:iCs/>
          <w:noProof/>
          <w:sz w:val="22"/>
          <w:szCs w:val="22"/>
        </w:rPr>
        <w:t>Journal of Research on Leadership Education, 12</w:t>
      </w:r>
      <w:r w:rsidRPr="00471C22">
        <w:rPr>
          <w:rFonts w:asciiTheme="minorHAnsi" w:hAnsiTheme="minorHAnsi" w:cstheme="minorHAnsi"/>
          <w:noProof/>
          <w:sz w:val="22"/>
          <w:szCs w:val="22"/>
        </w:rPr>
        <w:t xml:space="preserve">(1), 72-96. </w:t>
      </w:r>
    </w:p>
    <w:p w14:paraId="74E5D33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Bowman-Perrott, L., Davis, H., Vannest, K., Williams, L., Greenwood, C., &amp; Parket, R. (2013) Academic Benefits of Peer Tutoring: A Meta-Analytic Review of Single-Case Research. </w:t>
      </w:r>
      <w:r w:rsidRPr="00471C22">
        <w:rPr>
          <w:rFonts w:asciiTheme="minorHAnsi" w:hAnsiTheme="minorHAnsi" w:cstheme="minorHAnsi"/>
          <w:i/>
          <w:iCs/>
          <w:noProof/>
          <w:sz w:val="22"/>
          <w:szCs w:val="22"/>
        </w:rPr>
        <w:t>School Psychology Review, 42</w:t>
      </w:r>
      <w:r w:rsidRPr="00471C22">
        <w:rPr>
          <w:rFonts w:asciiTheme="minorHAnsi" w:hAnsiTheme="minorHAnsi" w:cstheme="minorHAnsi"/>
          <w:noProof/>
          <w:sz w:val="22"/>
          <w:szCs w:val="22"/>
        </w:rPr>
        <w:t>(1), 39–55.</w:t>
      </w:r>
    </w:p>
    <w:p w14:paraId="2FE3C3E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Bradford, D., &amp; Clarke, S. (2015). High value-add schools : key drivers of school improvement. Retrieved online, </w:t>
      </w:r>
      <w:r w:rsidRPr="001A4DD4">
        <w:rPr>
          <w:rFonts w:asciiTheme="minorHAnsi" w:hAnsiTheme="minorHAnsi" w:cstheme="minorHAnsi"/>
          <w:noProof/>
          <w:sz w:val="22"/>
          <w:szCs w:val="22"/>
        </w:rPr>
        <w:t>http://nla.gov.au/nla.arc-158409-20160517-0329-www.cese.nsw.gov.au/images/stories/PDF/HighValueAddReport_Oct2015.pdf</w:t>
      </w:r>
      <w:r>
        <w:rPr>
          <w:rFonts w:asciiTheme="minorHAnsi" w:hAnsiTheme="minorHAnsi" w:cstheme="minorHAnsi"/>
          <w:noProof/>
          <w:sz w:val="22"/>
          <w:szCs w:val="22"/>
        </w:rPr>
        <w:t>.</w:t>
      </w:r>
    </w:p>
    <w:p w14:paraId="4FDEA139"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Branch, G., Hanushek, E., &amp; Rivkin, S. (2013) School </w:t>
      </w:r>
      <w:proofErr w:type="gramStart"/>
      <w:r w:rsidRPr="00011D0B">
        <w:rPr>
          <w:rFonts w:asciiTheme="minorHAnsi" w:hAnsiTheme="minorHAnsi" w:cstheme="minorHAnsi"/>
          <w:sz w:val="22"/>
          <w:szCs w:val="22"/>
          <w:shd w:val="clear" w:color="auto" w:fill="FFFFFF"/>
        </w:rPr>
        <w:t>leaders</w:t>
      </w:r>
      <w:proofErr w:type="gramEnd"/>
      <w:r w:rsidRPr="00011D0B">
        <w:rPr>
          <w:rFonts w:asciiTheme="minorHAnsi" w:hAnsiTheme="minorHAnsi" w:cstheme="minorHAnsi"/>
          <w:sz w:val="22"/>
          <w:szCs w:val="22"/>
          <w:shd w:val="clear" w:color="auto" w:fill="FFFFFF"/>
        </w:rPr>
        <w:t xml:space="preserve"> matter. </w:t>
      </w:r>
      <w:r w:rsidRPr="00011D0B">
        <w:rPr>
          <w:rFonts w:asciiTheme="minorHAnsi" w:hAnsiTheme="minorHAnsi" w:cstheme="minorHAnsi"/>
          <w:i/>
          <w:sz w:val="22"/>
          <w:szCs w:val="22"/>
          <w:shd w:val="clear" w:color="auto" w:fill="FFFFFF"/>
        </w:rPr>
        <w:t>Education Next, 13</w:t>
      </w:r>
      <w:r w:rsidRPr="00011D0B">
        <w:rPr>
          <w:rFonts w:asciiTheme="minorHAnsi" w:hAnsiTheme="minorHAnsi" w:cstheme="minorHAnsi"/>
          <w:sz w:val="22"/>
          <w:szCs w:val="22"/>
          <w:shd w:val="clear" w:color="auto" w:fill="FFFFFF"/>
        </w:rPr>
        <w:t>(2), 62–69.</w:t>
      </w:r>
    </w:p>
    <w:p w14:paraId="2ADBE5AB"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lang w:val="en-GB"/>
        </w:rPr>
      </w:pPr>
      <w:r w:rsidRPr="00011D0B">
        <w:rPr>
          <w:rFonts w:asciiTheme="minorHAnsi" w:hAnsiTheme="minorHAnsi" w:cstheme="minorHAnsi"/>
          <w:sz w:val="22"/>
          <w:szCs w:val="22"/>
          <w:shd w:val="clear" w:color="auto" w:fill="FFFFFF"/>
          <w:lang w:val="en-GB"/>
        </w:rPr>
        <w:t>Breakspear, S. (2017). Embracing Agile Leadership for Learning-how leaders can create impact despite growing complexity. </w:t>
      </w:r>
      <w:r w:rsidRPr="00011D0B">
        <w:rPr>
          <w:rFonts w:asciiTheme="minorHAnsi" w:hAnsiTheme="minorHAnsi" w:cstheme="minorHAnsi"/>
          <w:i/>
          <w:sz w:val="22"/>
          <w:szCs w:val="22"/>
          <w:shd w:val="clear" w:color="auto" w:fill="FFFFFF"/>
          <w:lang w:val="en-GB"/>
        </w:rPr>
        <w:t>Australian Educational Leader</w:t>
      </w:r>
      <w:r w:rsidRPr="00011D0B">
        <w:rPr>
          <w:rFonts w:asciiTheme="minorHAnsi" w:hAnsiTheme="minorHAnsi" w:cstheme="minorHAnsi"/>
          <w:sz w:val="22"/>
          <w:szCs w:val="22"/>
          <w:shd w:val="clear" w:color="auto" w:fill="FFFFFF"/>
          <w:lang w:val="en-GB"/>
        </w:rPr>
        <w:t>, </w:t>
      </w:r>
      <w:r w:rsidRPr="00011D0B">
        <w:rPr>
          <w:rFonts w:asciiTheme="minorHAnsi" w:hAnsiTheme="minorHAnsi" w:cstheme="minorHAnsi"/>
          <w:i/>
          <w:sz w:val="22"/>
          <w:szCs w:val="22"/>
          <w:shd w:val="clear" w:color="auto" w:fill="FFFFFF"/>
          <w:lang w:val="en-GB"/>
        </w:rPr>
        <w:t>39</w:t>
      </w:r>
      <w:r w:rsidRPr="00011D0B">
        <w:rPr>
          <w:rFonts w:asciiTheme="minorHAnsi" w:hAnsiTheme="minorHAnsi" w:cstheme="minorHAnsi"/>
          <w:sz w:val="22"/>
          <w:szCs w:val="22"/>
          <w:shd w:val="clear" w:color="auto" w:fill="FFFFFF"/>
          <w:lang w:val="en-GB"/>
        </w:rPr>
        <w:t xml:space="preserve">(3), 68. </w:t>
      </w:r>
    </w:p>
    <w:p w14:paraId="5106A26B" w14:textId="77777777" w:rsidR="00EE7F52" w:rsidRDefault="00EE7F52" w:rsidP="00F7276B">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Brooks, F. (2014). The link between pupil health and wellbeing and attainment. London: Public Health England.</w:t>
      </w:r>
    </w:p>
    <w:p w14:paraId="0691BFC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Brophy, J. E. (2013). </w:t>
      </w:r>
      <w:r w:rsidRPr="00471C22">
        <w:rPr>
          <w:rFonts w:asciiTheme="minorHAnsi" w:hAnsiTheme="minorHAnsi" w:cstheme="minorHAnsi"/>
          <w:i/>
          <w:iCs/>
          <w:noProof/>
          <w:sz w:val="22"/>
          <w:szCs w:val="22"/>
          <w:lang w:val="en-GB"/>
        </w:rPr>
        <w:t>Motivating students to learn</w:t>
      </w:r>
      <w:r w:rsidRPr="00471C22">
        <w:rPr>
          <w:rFonts w:asciiTheme="minorHAnsi" w:hAnsiTheme="minorHAnsi" w:cstheme="minorHAnsi"/>
          <w:noProof/>
          <w:sz w:val="22"/>
          <w:szCs w:val="22"/>
          <w:lang w:val="en-GB"/>
        </w:rPr>
        <w:t>. London: Routledge.</w:t>
      </w:r>
    </w:p>
    <w:p w14:paraId="20773E7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Brown, C., &amp; Greany, T. (2018). The evidence-informed school system in England: Where should school leaders be focusing their efforts? </w:t>
      </w:r>
      <w:r w:rsidRPr="00471C22">
        <w:rPr>
          <w:rFonts w:asciiTheme="minorHAnsi" w:hAnsiTheme="minorHAnsi" w:cstheme="minorHAnsi"/>
          <w:i/>
          <w:iCs/>
          <w:noProof/>
          <w:sz w:val="22"/>
          <w:szCs w:val="22"/>
        </w:rPr>
        <w:t>Leadership and Policy in Schools, 17</w:t>
      </w:r>
      <w:r w:rsidRPr="00471C22">
        <w:rPr>
          <w:rFonts w:asciiTheme="minorHAnsi" w:hAnsiTheme="minorHAnsi" w:cstheme="minorHAnsi"/>
          <w:noProof/>
          <w:sz w:val="22"/>
          <w:szCs w:val="22"/>
        </w:rPr>
        <w:t xml:space="preserve">(1), 115-137; </w:t>
      </w:r>
    </w:p>
    <w:p w14:paraId="19A50B4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Brown, M., McNamara, G., O'Hara, J., Hood, S., Burns, D., &amp; Kurum, G. (2019). Evaluating the impact of distributed culturally responsive leadership in a disadvantaged rural primary school in Ireland. </w:t>
      </w:r>
      <w:r w:rsidRPr="00471C22">
        <w:rPr>
          <w:rFonts w:asciiTheme="minorHAnsi" w:hAnsiTheme="minorHAnsi" w:cstheme="minorHAnsi"/>
          <w:i/>
          <w:iCs/>
          <w:noProof/>
          <w:sz w:val="22"/>
          <w:szCs w:val="22"/>
        </w:rPr>
        <w:t>Educational Management Administration &amp; Leadership, 47</w:t>
      </w:r>
      <w:r w:rsidRPr="00471C22">
        <w:rPr>
          <w:rFonts w:asciiTheme="minorHAnsi" w:hAnsiTheme="minorHAnsi" w:cstheme="minorHAnsi"/>
          <w:noProof/>
          <w:sz w:val="22"/>
          <w:szCs w:val="22"/>
        </w:rPr>
        <w:t xml:space="preserve">(3), 457-474. </w:t>
      </w:r>
    </w:p>
    <w:p w14:paraId="6BAEF37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Browning, P. (2018). Creating the conditions for transformational change. </w:t>
      </w:r>
      <w:r w:rsidRPr="00471C22">
        <w:rPr>
          <w:rFonts w:asciiTheme="minorHAnsi" w:hAnsiTheme="minorHAnsi" w:cstheme="minorHAnsi"/>
          <w:i/>
          <w:noProof/>
          <w:sz w:val="22"/>
          <w:szCs w:val="22"/>
        </w:rPr>
        <w:t>Australian Educational Leader, 40</w:t>
      </w:r>
      <w:r w:rsidRPr="00471C22">
        <w:rPr>
          <w:rFonts w:asciiTheme="minorHAnsi" w:hAnsiTheme="minorHAnsi" w:cstheme="minorHAnsi"/>
          <w:noProof/>
          <w:sz w:val="22"/>
          <w:szCs w:val="22"/>
        </w:rPr>
        <w:t xml:space="preserve">(1), 50-53. </w:t>
      </w:r>
    </w:p>
    <w:p w14:paraId="31BF176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Buchanan Hill, J. (2016). Questioning techniques: A study of instructional practice. </w:t>
      </w:r>
      <w:r w:rsidRPr="00471C22">
        <w:rPr>
          <w:rFonts w:asciiTheme="minorHAnsi" w:hAnsiTheme="minorHAnsi" w:cstheme="minorHAnsi"/>
          <w:i/>
          <w:iCs/>
          <w:noProof/>
          <w:sz w:val="22"/>
          <w:szCs w:val="22"/>
          <w:lang w:val="en-GB"/>
        </w:rPr>
        <w:t>Peabody Journal of Education</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91</w:t>
      </w:r>
      <w:r w:rsidRPr="00471C22">
        <w:rPr>
          <w:rFonts w:asciiTheme="minorHAnsi" w:hAnsiTheme="minorHAnsi" w:cstheme="minorHAnsi"/>
          <w:noProof/>
          <w:sz w:val="22"/>
          <w:szCs w:val="22"/>
          <w:lang w:val="en-GB"/>
        </w:rPr>
        <w:t>(5), 660-671.</w:t>
      </w:r>
    </w:p>
    <w:p w14:paraId="0AF208A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Burns, M. K., &amp; Symington, T. (2002). A meta-analysis of prereferral intervention teams: Student and systemic outcomes. </w:t>
      </w:r>
      <w:r w:rsidRPr="00471C22">
        <w:rPr>
          <w:rFonts w:asciiTheme="minorHAnsi" w:hAnsiTheme="minorHAnsi" w:cstheme="minorHAnsi"/>
          <w:i/>
          <w:iCs/>
          <w:noProof/>
          <w:sz w:val="22"/>
          <w:szCs w:val="22"/>
        </w:rPr>
        <w:t>Journal of School Psychology, 40</w:t>
      </w:r>
      <w:r w:rsidRPr="00471C22">
        <w:rPr>
          <w:rFonts w:asciiTheme="minorHAnsi" w:hAnsiTheme="minorHAnsi" w:cstheme="minorHAnsi"/>
          <w:noProof/>
          <w:sz w:val="22"/>
          <w:szCs w:val="22"/>
        </w:rPr>
        <w:t>(5), 437-447.</w:t>
      </w:r>
    </w:p>
    <w:p w14:paraId="02431C5B" w14:textId="77777777" w:rsidR="00EE7F52" w:rsidRPr="00471C22" w:rsidRDefault="00EE7F52" w:rsidP="00471C22">
      <w:pPr>
        <w:pStyle w:val="EndNoteBibliography"/>
        <w:spacing w:beforeLines="24" w:before="57" w:after="120"/>
        <w:ind w:left="709"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Caldwell, B. J. (2017). </w:t>
      </w:r>
      <w:r w:rsidRPr="00471C22">
        <w:rPr>
          <w:rFonts w:asciiTheme="minorHAnsi" w:hAnsiTheme="minorHAnsi" w:cstheme="minorHAnsi"/>
          <w:i/>
          <w:noProof/>
          <w:sz w:val="22"/>
          <w:szCs w:val="22"/>
        </w:rPr>
        <w:t>Leadership that transforms schools and school systems</w:t>
      </w:r>
      <w:r w:rsidRPr="00471C22">
        <w:rPr>
          <w:rFonts w:asciiTheme="minorHAnsi" w:hAnsiTheme="minorHAnsi" w:cstheme="minorHAnsi"/>
          <w:noProof/>
          <w:sz w:val="22"/>
          <w:szCs w:val="22"/>
        </w:rPr>
        <w:t xml:space="preserve">. Paper presented at the Research Conference 2017: Leadership for Improving Learning: Insights from Research. Retrieved from </w:t>
      </w:r>
      <w:r w:rsidRPr="001A4DD4">
        <w:rPr>
          <w:rFonts w:asciiTheme="minorHAnsi" w:hAnsiTheme="minorHAnsi" w:cstheme="minorHAnsi"/>
          <w:noProof/>
          <w:sz w:val="22"/>
          <w:szCs w:val="22"/>
        </w:rPr>
        <w:t>https://research.acer.edu.au/cgi/viewcontent.cgi?article=1323&amp;context=research_conference</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63A3842E" w14:textId="77777777"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lastRenderedPageBreak/>
        <w:t>Campbell, M., Spears, B., Slee, P., Butler, D. and Kift, S., 2012. Victims’ perceptions of traditional and cyberbullying, and the psychosocial correlates of their victimisation. Emotional and Behavioural Difficulties, 17(3-4), pp.389-401.</w:t>
      </w:r>
    </w:p>
    <w:p w14:paraId="1312D09A" w14:textId="77777777" w:rsidR="00011D0B" w:rsidRPr="00011D0B" w:rsidRDefault="00011D0B" w:rsidP="009B0753">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Catalano, R.F., Haggerty, K.P., Oesterle, S., Fleming, C.B. and Hawkins, J.D., 2004. The importance of bonding to school for healthy development: Findings from the Social Development Research Group. Journal of school health, 74, pp.252-261.</w:t>
      </w:r>
    </w:p>
    <w:p w14:paraId="53D96009"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Cave, C., Shepherd, C.C.J., Cooper, M.N. &amp; Zubrick, S.R. (2019). Racial discrimination and the health and wellbeing of Aboriginal and Torres Strait Islander children: Does the timing of first exposure matter? SSM Population Health, Vol. 9.</w:t>
      </w:r>
    </w:p>
    <w:p w14:paraId="55462D08" w14:textId="77777777" w:rsidR="00EE7F52" w:rsidRPr="00EE7F52" w:rsidRDefault="00EE7F52" w:rsidP="00F7276B">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Centre for Educational Statistics and Evaluation. (2015). Effective leadership. Australia.</w:t>
      </w:r>
    </w:p>
    <w:p w14:paraId="003A7E1A"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Centre on Multi-Tiered System of Supports. (2021). Essential Components of MTSS. American Institutes for Research.</w:t>
      </w:r>
    </w:p>
    <w:p w14:paraId="5F04580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CESE, (2020). What works best: 2020 update. Centre for Education Statistics and Evaluation. Retrieved from: </w:t>
      </w:r>
      <w:r w:rsidRPr="001A4DD4">
        <w:rPr>
          <w:rFonts w:asciiTheme="minorHAnsi" w:hAnsiTheme="minorHAnsi" w:cstheme="minorHAnsi"/>
          <w:noProof/>
          <w:sz w:val="22"/>
          <w:szCs w:val="22"/>
        </w:rPr>
        <w:t>https://www.cese.nsw.gov.au/publications-filter/what-works-best-2020-update</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44B1E14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Chen, O., Retnowati, E., &amp; Kalyuga, S. (2019). Effects of worked examples on step performance in solving complex problems. </w:t>
      </w:r>
      <w:r w:rsidRPr="00471C22">
        <w:rPr>
          <w:rFonts w:asciiTheme="minorHAnsi" w:hAnsiTheme="minorHAnsi" w:cstheme="minorHAnsi"/>
          <w:i/>
          <w:iCs/>
          <w:noProof/>
          <w:sz w:val="22"/>
          <w:szCs w:val="22"/>
          <w:lang w:val="en-GB"/>
        </w:rPr>
        <w:t>Educational Psychology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39</w:t>
      </w:r>
      <w:r w:rsidRPr="00471C22">
        <w:rPr>
          <w:rFonts w:asciiTheme="minorHAnsi" w:hAnsiTheme="minorHAnsi" w:cstheme="minorHAnsi"/>
          <w:noProof/>
          <w:sz w:val="22"/>
          <w:szCs w:val="22"/>
          <w:lang w:val="en-GB"/>
        </w:rPr>
        <w:t>(2), 188-202.</w:t>
      </w:r>
    </w:p>
    <w:p w14:paraId="771D509D"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Chick, H.L. &amp; Pierce, R. (2012). Teaching for statistical literacy: Utilising affordances in real-world data. </w:t>
      </w:r>
      <w:r w:rsidRPr="00471C22">
        <w:rPr>
          <w:rFonts w:cstheme="minorHAnsi"/>
          <w:i/>
          <w:iCs/>
          <w:szCs w:val="22"/>
        </w:rPr>
        <w:t>International Journal of Science and Mathematics Education</w:t>
      </w:r>
      <w:r w:rsidRPr="00471C22">
        <w:rPr>
          <w:rFonts w:cstheme="minorHAnsi"/>
          <w:szCs w:val="22"/>
        </w:rPr>
        <w:t>, 10 (2), 339.</w:t>
      </w:r>
    </w:p>
    <w:p w14:paraId="3AAA8AB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Childs, J., &amp; Russell, J. L. (2017). Improving low-achieving schools: Building state capacity to support school improvement through Race to the Top. </w:t>
      </w:r>
      <w:r w:rsidRPr="00471C22">
        <w:rPr>
          <w:rFonts w:asciiTheme="minorHAnsi" w:hAnsiTheme="minorHAnsi" w:cstheme="minorHAnsi"/>
          <w:i/>
          <w:iCs/>
          <w:noProof/>
          <w:sz w:val="22"/>
          <w:szCs w:val="22"/>
        </w:rPr>
        <w:t>Urban Education, 52</w:t>
      </w:r>
      <w:r w:rsidRPr="00471C22">
        <w:rPr>
          <w:rFonts w:asciiTheme="minorHAnsi" w:hAnsiTheme="minorHAnsi" w:cstheme="minorHAnsi"/>
          <w:noProof/>
          <w:sz w:val="22"/>
          <w:szCs w:val="22"/>
        </w:rPr>
        <w:t xml:space="preserve">(2), 236-266. </w:t>
      </w:r>
    </w:p>
    <w:p w14:paraId="3B98C66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Clark, A. J. (2017). Sustainable school improvement: Suburban elementary principals' capacity building. </w:t>
      </w:r>
      <w:r w:rsidRPr="00471C22">
        <w:rPr>
          <w:rFonts w:asciiTheme="minorHAnsi" w:hAnsiTheme="minorHAnsi" w:cstheme="minorHAnsi"/>
          <w:i/>
          <w:iCs/>
          <w:noProof/>
          <w:sz w:val="22"/>
          <w:szCs w:val="22"/>
        </w:rPr>
        <w:t>Journal for Leadership and Instruction, 16</w:t>
      </w:r>
      <w:r w:rsidRPr="00471C22">
        <w:rPr>
          <w:rFonts w:asciiTheme="minorHAnsi" w:hAnsiTheme="minorHAnsi" w:cstheme="minorHAnsi"/>
          <w:noProof/>
          <w:sz w:val="22"/>
          <w:szCs w:val="22"/>
        </w:rPr>
        <w:t xml:space="preserve">(1), 5-8. </w:t>
      </w:r>
    </w:p>
    <w:p w14:paraId="6F01410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Coe, R., Aloisi, C., Higgins, S., &amp; Major, L. E. (2014). What makes great teaching? Review of the underpinning research. Retrieved from </w:t>
      </w:r>
      <w:r w:rsidRPr="001A4DD4">
        <w:rPr>
          <w:rFonts w:asciiTheme="minorHAnsi" w:hAnsiTheme="minorHAnsi" w:cstheme="minorHAnsi"/>
          <w:noProof/>
          <w:sz w:val="22"/>
          <w:szCs w:val="22"/>
        </w:rPr>
        <w:t>http://dro.dur.ac.uk/13747/</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1E2885EF"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t xml:space="preserve">Colvin, S., Egan, J. E., &amp; Coulter, R. W. S. (2019). School climate &amp; sexual and gender minority adolescent mental health. </w:t>
      </w:r>
      <w:r w:rsidRPr="00471C22">
        <w:rPr>
          <w:rFonts w:cstheme="minorHAnsi"/>
          <w:i/>
          <w:iCs/>
          <w:szCs w:val="22"/>
          <w:lang w:val="en-AU"/>
        </w:rPr>
        <w:t>Journal of Youth and Adolescence</w:t>
      </w:r>
      <w:r w:rsidRPr="00471C22">
        <w:rPr>
          <w:rFonts w:cstheme="minorHAnsi"/>
          <w:szCs w:val="22"/>
          <w:lang w:val="en-AU"/>
        </w:rPr>
        <w:t>, 48(10), 1938-1951.</w:t>
      </w:r>
    </w:p>
    <w:p w14:paraId="13A6D3F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Corrales, A. (2017). Not watching the fight: Examining the dynamics of school turnaround. </w:t>
      </w:r>
      <w:r w:rsidRPr="00471C22">
        <w:rPr>
          <w:rFonts w:asciiTheme="minorHAnsi" w:hAnsiTheme="minorHAnsi" w:cstheme="minorHAnsi"/>
          <w:i/>
          <w:iCs/>
          <w:noProof/>
          <w:sz w:val="22"/>
          <w:szCs w:val="22"/>
        </w:rPr>
        <w:t>Journal of Cases in Educational Leadership, 20</w:t>
      </w:r>
      <w:r w:rsidRPr="00471C22">
        <w:rPr>
          <w:rFonts w:asciiTheme="minorHAnsi" w:hAnsiTheme="minorHAnsi" w:cstheme="minorHAnsi"/>
          <w:noProof/>
          <w:sz w:val="22"/>
          <w:szCs w:val="22"/>
        </w:rPr>
        <w:t xml:space="preserve">(3), 76-85. </w:t>
      </w:r>
    </w:p>
    <w:p w14:paraId="021DFEF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Cox, D. (2005) Evidence-based Interventions Using Home-School Collaboration School </w:t>
      </w:r>
      <w:r w:rsidRPr="00471C22">
        <w:rPr>
          <w:rFonts w:asciiTheme="minorHAnsi" w:hAnsiTheme="minorHAnsi" w:cstheme="minorHAnsi"/>
          <w:i/>
          <w:iCs/>
          <w:noProof/>
          <w:sz w:val="22"/>
          <w:szCs w:val="22"/>
        </w:rPr>
        <w:t>Psychology Quarterly, 20</w:t>
      </w:r>
      <w:r w:rsidRPr="00471C22">
        <w:rPr>
          <w:rFonts w:asciiTheme="minorHAnsi" w:hAnsiTheme="minorHAnsi" w:cstheme="minorHAnsi"/>
          <w:noProof/>
          <w:sz w:val="22"/>
          <w:szCs w:val="22"/>
        </w:rPr>
        <w:t>(4), 473–497.</w:t>
      </w:r>
    </w:p>
    <w:p w14:paraId="53CB6D4C" w14:textId="77777777" w:rsidR="00011D0B" w:rsidRPr="00011D0B" w:rsidRDefault="00011D0B" w:rsidP="00D1122D">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 xml:space="preserve">Crowder, M., Gordon, R., Brown, R., Davidson, L., &amp; Domitrovich, C. (2019). Linking Social and Emotional Learning </w:t>
      </w:r>
    </w:p>
    <w:p w14:paraId="3E2CEA7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 xml:space="preserve">Crowther, F., Hann, L., &amp; McMaster, J., (2001). Parallel leadership: A new strategy for successful school reform. </w:t>
      </w:r>
      <w:r w:rsidRPr="00471C22">
        <w:rPr>
          <w:rFonts w:asciiTheme="minorHAnsi" w:hAnsiTheme="minorHAnsi" w:cstheme="minorHAnsi"/>
          <w:i/>
          <w:iCs/>
          <w:noProof/>
          <w:sz w:val="22"/>
          <w:szCs w:val="22"/>
          <w:lang w:val="en-GB"/>
        </w:rPr>
        <w:t>Practising Administrator, 23</w:t>
      </w:r>
      <w:r w:rsidRPr="00471C22">
        <w:rPr>
          <w:rFonts w:asciiTheme="minorHAnsi" w:hAnsiTheme="minorHAnsi" w:cstheme="minorHAnsi"/>
          <w:noProof/>
          <w:sz w:val="22"/>
          <w:szCs w:val="22"/>
          <w:lang w:val="en-GB"/>
        </w:rPr>
        <w:t>(4), 12-14.</w:t>
      </w:r>
    </w:p>
    <w:p w14:paraId="5C2B5FEC" w14:textId="77777777" w:rsidR="00011D0B" w:rsidRPr="00011D0B" w:rsidRDefault="00011D0B" w:rsidP="00706550">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sz w:val="22"/>
          <w:szCs w:val="22"/>
        </w:rPr>
        <w:t xml:space="preserve">Cummins, J. (2006). Multiliteracies pedagogy and the role of identity texts. In K. </w:t>
      </w:r>
      <w:proofErr w:type="spellStart"/>
      <w:r w:rsidRPr="00011D0B">
        <w:rPr>
          <w:rFonts w:asciiTheme="minorHAnsi" w:hAnsiTheme="minorHAnsi" w:cstheme="minorHAnsi"/>
          <w:sz w:val="22"/>
          <w:szCs w:val="22"/>
        </w:rPr>
        <w:t>Leithwood</w:t>
      </w:r>
      <w:proofErr w:type="spellEnd"/>
      <w:r w:rsidRPr="00011D0B">
        <w:rPr>
          <w:rFonts w:asciiTheme="minorHAnsi" w:hAnsiTheme="minorHAnsi" w:cstheme="minorHAnsi"/>
          <w:sz w:val="22"/>
          <w:szCs w:val="22"/>
        </w:rPr>
        <w:t xml:space="preserve">, P. </w:t>
      </w:r>
      <w:proofErr w:type="spellStart"/>
      <w:r w:rsidRPr="00011D0B">
        <w:rPr>
          <w:rFonts w:asciiTheme="minorHAnsi" w:hAnsiTheme="minorHAnsi" w:cstheme="minorHAnsi"/>
          <w:sz w:val="22"/>
          <w:szCs w:val="22"/>
        </w:rPr>
        <w:t>McAdie</w:t>
      </w:r>
      <w:proofErr w:type="spellEnd"/>
      <w:r w:rsidRPr="00011D0B">
        <w:rPr>
          <w:rFonts w:asciiTheme="minorHAnsi" w:hAnsiTheme="minorHAnsi" w:cstheme="minorHAnsi"/>
          <w:sz w:val="22"/>
          <w:szCs w:val="22"/>
        </w:rPr>
        <w:t xml:space="preserve">, N. </w:t>
      </w:r>
      <w:proofErr w:type="spellStart"/>
      <w:r w:rsidRPr="00011D0B">
        <w:rPr>
          <w:rFonts w:asciiTheme="minorHAnsi" w:hAnsiTheme="minorHAnsi" w:cstheme="minorHAnsi"/>
          <w:sz w:val="22"/>
          <w:szCs w:val="22"/>
        </w:rPr>
        <w:t>Bascia</w:t>
      </w:r>
      <w:proofErr w:type="spellEnd"/>
      <w:r w:rsidRPr="00011D0B">
        <w:rPr>
          <w:rFonts w:asciiTheme="minorHAnsi" w:hAnsiTheme="minorHAnsi" w:cstheme="minorHAnsi"/>
          <w:sz w:val="22"/>
          <w:szCs w:val="22"/>
        </w:rPr>
        <w:t>, &amp; A. Rodrigue. (Eds.), Teaching for deep understanding: What every educator should know, (pp. 85–93). Thousand Oaks, CA: Corwin Press. Thousand Oaks, CA: Corwin Press.</w:t>
      </w:r>
    </w:p>
    <w:p w14:paraId="070BBD46"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Dalsgaard, S., McGrath, J., Ostergaard, S., Wray, N., Pedersen, C., Mortensen, P., &amp; Petersen, L. (2020). Association of Mental Disorder in Childhood and Adolescence with Subsequent Educational Achievement. Jama Psychiatry, 77(8), 797-805.</w:t>
      </w:r>
    </w:p>
    <w:p w14:paraId="6868E66B"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Day, C., &amp; Sammons, P. (2013) Successful leadership: a review of the international literature. </w:t>
      </w:r>
      <w:proofErr w:type="spellStart"/>
      <w:r w:rsidRPr="00011D0B">
        <w:rPr>
          <w:rFonts w:asciiTheme="minorHAnsi" w:hAnsiTheme="minorHAnsi" w:cstheme="minorHAnsi"/>
          <w:sz w:val="22"/>
          <w:szCs w:val="22"/>
          <w:shd w:val="clear" w:color="auto" w:fill="FFFFFF"/>
        </w:rPr>
        <w:t>CfBT</w:t>
      </w:r>
      <w:proofErr w:type="spellEnd"/>
      <w:r w:rsidRPr="00011D0B">
        <w:rPr>
          <w:rFonts w:asciiTheme="minorHAnsi" w:hAnsiTheme="minorHAnsi" w:cstheme="minorHAnsi"/>
          <w:sz w:val="22"/>
          <w:szCs w:val="22"/>
          <w:shd w:val="clear" w:color="auto" w:fill="FFFFFF"/>
        </w:rPr>
        <w:t xml:space="preserve"> Education Trust. Retrieved February 9, 2015, from </w:t>
      </w:r>
      <w:r w:rsidRPr="001A4DD4">
        <w:rPr>
          <w:rFonts w:asciiTheme="minorHAnsi" w:hAnsiTheme="minorHAnsi" w:cstheme="minorHAnsi"/>
          <w:sz w:val="22"/>
          <w:szCs w:val="22"/>
          <w:shd w:val="clear" w:color="auto" w:fill="FFFFFF"/>
        </w:rPr>
        <w:t>https://www.cfbt.com/~/media/cfbtcorporate/files/research/2013/r-successful-leadership-2013.pdf</w:t>
      </w:r>
      <w:r>
        <w:rPr>
          <w:rFonts w:asciiTheme="minorHAnsi" w:hAnsiTheme="minorHAnsi" w:cstheme="minorHAnsi"/>
          <w:sz w:val="22"/>
          <w:szCs w:val="22"/>
          <w:shd w:val="clear" w:color="auto" w:fill="FFFFFF"/>
        </w:rPr>
        <w:t>.</w:t>
      </w:r>
      <w:r w:rsidRPr="00011D0B">
        <w:rPr>
          <w:rFonts w:asciiTheme="minorHAnsi" w:hAnsiTheme="minorHAnsi" w:cstheme="minorHAnsi"/>
          <w:sz w:val="22"/>
          <w:szCs w:val="22"/>
          <w:shd w:val="clear" w:color="auto" w:fill="FFFFFF"/>
        </w:rPr>
        <w:t xml:space="preserve"> </w:t>
      </w:r>
    </w:p>
    <w:p w14:paraId="1B5C755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Day, C., Gu, Q., &amp; Sammons, P. (2016). The impact of leadership on student outcomes: How successful school leaders use transformational and instructional strategies to make a difference. </w:t>
      </w:r>
      <w:r w:rsidRPr="00471C22">
        <w:rPr>
          <w:rFonts w:asciiTheme="minorHAnsi" w:hAnsiTheme="minorHAnsi" w:cstheme="minorHAnsi"/>
          <w:i/>
          <w:iCs/>
          <w:noProof/>
          <w:sz w:val="22"/>
          <w:szCs w:val="22"/>
        </w:rPr>
        <w:t>Educational Administration Quarterly, 52</w:t>
      </w:r>
      <w:r w:rsidRPr="00471C22">
        <w:rPr>
          <w:rFonts w:asciiTheme="minorHAnsi" w:hAnsiTheme="minorHAnsi" w:cstheme="minorHAnsi"/>
          <w:noProof/>
          <w:sz w:val="22"/>
          <w:szCs w:val="22"/>
        </w:rPr>
        <w:t xml:space="preserve">(2), 221-258. </w:t>
      </w:r>
    </w:p>
    <w:p w14:paraId="450EFFC5" w14:textId="77777777" w:rsidR="00EE7F52" w:rsidRPr="00EE7F5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lastRenderedPageBreak/>
        <w:t>DEECD</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(2009). Signposts: Research points to how Victorian government schools have improved student performance. Melbourne: Education Policy and Research Division, Office for Policy, Research and Innovation, Department of Education and Early Childhood </w:t>
      </w:r>
      <w:r w:rsidRPr="00EE7F52">
        <w:rPr>
          <w:rFonts w:asciiTheme="minorHAnsi" w:hAnsiTheme="minorHAnsi" w:cstheme="minorHAnsi"/>
          <w:noProof/>
          <w:sz w:val="22"/>
          <w:szCs w:val="22"/>
        </w:rPr>
        <w:t>Development.</w:t>
      </w:r>
    </w:p>
    <w:p w14:paraId="6B770EFE"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Dell’Anna, S., Pellegrini, M., Ianes, D. &amp; Vivanet, G. (2020). Learning, social and psychological outcomes of students with moderate, severe and complex disabilities in inclusive education: a systematic review. International Journal of Disability, Development and Education, Open Access, 22/11/2020.</w:t>
      </w:r>
    </w:p>
    <w:p w14:paraId="51870BBA" w14:textId="77777777" w:rsidR="00EE7F52" w:rsidRPr="00EE7F52" w:rsidRDefault="00EE7F52" w:rsidP="00F7276B">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Deloitte Access Economics. (2019). Strategic Evaluation of School Reform.</w:t>
      </w:r>
    </w:p>
    <w:p w14:paraId="44D9B65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Department of Education and Early Childhood Development</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(2013)</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The benefits, impacts and success factors for successful sister school relationships. Melbourne, Victoria: Department of Education and Early Childhood Development, Victoria. Retrieved online: </w:t>
      </w:r>
      <w:r w:rsidRPr="001A4DD4">
        <w:rPr>
          <w:rFonts w:asciiTheme="minorHAnsi" w:hAnsiTheme="minorHAnsi" w:cstheme="minorHAnsi"/>
          <w:noProof/>
          <w:sz w:val="22"/>
          <w:szCs w:val="22"/>
        </w:rPr>
        <w:t>http://www.education.vic.gov.au/Documents/school/principals/management/IRU-SSkit-SisSchFindings.pdf</w:t>
      </w:r>
      <w:r>
        <w:rPr>
          <w:rFonts w:asciiTheme="minorHAnsi" w:hAnsiTheme="minorHAnsi" w:cstheme="minorHAnsi"/>
          <w:noProof/>
          <w:sz w:val="22"/>
          <w:szCs w:val="22"/>
        </w:rPr>
        <w:t>.</w:t>
      </w:r>
    </w:p>
    <w:p w14:paraId="6F33E96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Department of Education and Training (2018). Through growth to achievement: Report of the review to achieve educational excellence in Australian schools. Retrived online: </w:t>
      </w:r>
      <w:r w:rsidRPr="001A4DD4">
        <w:rPr>
          <w:rFonts w:asciiTheme="minorHAnsi" w:hAnsiTheme="minorHAnsi" w:cstheme="minorHAnsi"/>
          <w:noProof/>
          <w:sz w:val="22"/>
          <w:szCs w:val="22"/>
          <w:lang w:val="en-GB"/>
        </w:rPr>
        <w:t>https://www.dese.gov.au/uncategorised/resources/through-growth-achievement-report-review-achieve-educational-excellence-australian-schools</w:t>
      </w:r>
      <w:r>
        <w:rPr>
          <w:rFonts w:asciiTheme="minorHAnsi" w:hAnsiTheme="minorHAnsi" w:cstheme="minorHAnsi"/>
          <w:noProof/>
          <w:sz w:val="22"/>
          <w:szCs w:val="22"/>
          <w:lang w:val="en-GB"/>
        </w:rPr>
        <w:t>.</w:t>
      </w:r>
    </w:p>
    <w:p w14:paraId="358F476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Desimone, L. M. (2009). Improving impact studies of teachers’ professional development: Toward better conceptualizations and measures. </w:t>
      </w:r>
      <w:r w:rsidRPr="00471C22">
        <w:rPr>
          <w:rFonts w:asciiTheme="minorHAnsi" w:hAnsiTheme="minorHAnsi" w:cstheme="minorHAnsi"/>
          <w:i/>
          <w:iCs/>
          <w:noProof/>
          <w:sz w:val="22"/>
          <w:szCs w:val="22"/>
        </w:rPr>
        <w:t>Educational Researcher, 38</w:t>
      </w:r>
      <w:r w:rsidRPr="00471C22">
        <w:rPr>
          <w:rFonts w:asciiTheme="minorHAnsi" w:hAnsiTheme="minorHAnsi" w:cstheme="minorHAnsi"/>
          <w:noProof/>
          <w:sz w:val="22"/>
          <w:szCs w:val="22"/>
        </w:rPr>
        <w:t>(3), 181–199.</w:t>
      </w:r>
    </w:p>
    <w:p w14:paraId="54B2180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Dignath, C., Buettner, G., &amp; Langfeldt, H. P. (2008). How can primary school students learn self-regulated learning strategies most effectively?: A meta-analysis on self-regulation training programmes. </w:t>
      </w:r>
      <w:r w:rsidRPr="00471C22">
        <w:rPr>
          <w:rFonts w:asciiTheme="minorHAnsi" w:hAnsiTheme="minorHAnsi" w:cstheme="minorHAnsi"/>
          <w:i/>
          <w:iCs/>
          <w:noProof/>
          <w:sz w:val="22"/>
          <w:szCs w:val="22"/>
        </w:rPr>
        <w:t>Educational Research Review, 3</w:t>
      </w:r>
      <w:r w:rsidRPr="00471C22">
        <w:rPr>
          <w:rFonts w:asciiTheme="minorHAnsi" w:hAnsiTheme="minorHAnsi" w:cstheme="minorHAnsi"/>
          <w:noProof/>
          <w:sz w:val="22"/>
          <w:szCs w:val="22"/>
        </w:rPr>
        <w:t>(2), 101-129.</w:t>
      </w:r>
    </w:p>
    <w:p w14:paraId="4F516CF5"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Dilley, J. (2009) Research Review: School-based Health Interventions and Academic Achievement. Washington State Board of Heal</w:t>
      </w:r>
      <w:proofErr w:type="spellStart"/>
      <w:r w:rsidRPr="00471C22">
        <w:rPr>
          <w:rFonts w:asciiTheme="minorHAnsi" w:hAnsiTheme="minorHAnsi" w:cstheme="minorHAnsi"/>
          <w:sz w:val="22"/>
          <w:szCs w:val="22"/>
        </w:rPr>
        <w:t>th.</w:t>
      </w:r>
      <w:proofErr w:type="spellEnd"/>
      <w:r w:rsidRPr="00471C22">
        <w:rPr>
          <w:rFonts w:asciiTheme="minorHAnsi" w:hAnsiTheme="minorHAnsi" w:cstheme="minorHAnsi"/>
          <w:sz w:val="22"/>
          <w:szCs w:val="22"/>
        </w:rPr>
        <w:t xml:space="preserve"> Retrieved from </w:t>
      </w:r>
      <w:r w:rsidRPr="001A4DD4">
        <w:rPr>
          <w:rFonts w:asciiTheme="minorHAnsi" w:hAnsiTheme="minorHAnsi" w:cstheme="minorHAnsi"/>
          <w:sz w:val="22"/>
          <w:szCs w:val="22"/>
        </w:rPr>
        <w:t>http://here.doh.wa.gov/materials/research-review-school-based-health-interventions-and-academic-achievement/12_HealthAcademic_E09L.pdf</w:t>
      </w:r>
      <w:r>
        <w:rPr>
          <w:rFonts w:asciiTheme="minorHAnsi" w:hAnsiTheme="minorHAnsi" w:cstheme="minorHAnsi"/>
          <w:sz w:val="22"/>
          <w:szCs w:val="22"/>
        </w:rPr>
        <w:t>.</w:t>
      </w:r>
      <w:r w:rsidRPr="00471C22">
        <w:rPr>
          <w:rFonts w:asciiTheme="minorHAnsi" w:hAnsiTheme="minorHAnsi" w:cstheme="minorHAnsi"/>
          <w:sz w:val="22"/>
          <w:szCs w:val="22"/>
        </w:rPr>
        <w:t xml:space="preserve"> </w:t>
      </w:r>
    </w:p>
    <w:p w14:paraId="01CDE2B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Dix, K, Kashfee, S.A, Carslake, T, Sniedze-Gregory, S, O’Grady, E, &amp; Trevitt, J (2020). A systematic review of intervention research examining effective student wellbeing in schools and their academic outcomes. Evidence for Learning: Melbourne.</w:t>
      </w:r>
    </w:p>
    <w:p w14:paraId="527FA660"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Dix, K., Slee, P., Lawson, M. &amp; Keeves, J. (2012). Implementation quality of whole-school mental           </w:t>
      </w:r>
      <w:r w:rsidRPr="00471C22">
        <w:rPr>
          <w:rFonts w:asciiTheme="minorHAnsi" w:hAnsiTheme="minorHAnsi" w:cstheme="minorHAnsi"/>
          <w:sz w:val="22"/>
          <w:szCs w:val="22"/>
          <w:lang w:val="en-GB"/>
        </w:rPr>
        <w:t xml:space="preserve">health promotion and students’ academic performance. </w:t>
      </w:r>
      <w:r w:rsidRPr="00471C22">
        <w:rPr>
          <w:rFonts w:asciiTheme="minorHAnsi" w:hAnsiTheme="minorHAnsi" w:cstheme="minorHAnsi"/>
          <w:i/>
          <w:sz w:val="22"/>
          <w:szCs w:val="22"/>
          <w:lang w:val="en-GB"/>
        </w:rPr>
        <w:t>Child and Adolescent Mental Health, 17</w:t>
      </w:r>
      <w:r w:rsidRPr="00471C22">
        <w:rPr>
          <w:rFonts w:asciiTheme="minorHAnsi" w:hAnsiTheme="minorHAnsi" w:cstheme="minorHAnsi"/>
          <w:sz w:val="22"/>
          <w:szCs w:val="22"/>
          <w:lang w:val="en-GB"/>
        </w:rPr>
        <w:t>(1), 45-51.</w:t>
      </w:r>
    </w:p>
    <w:p w14:paraId="061EA28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Dogan, M. (2017). School culture and effectiveness. </w:t>
      </w:r>
      <w:r w:rsidRPr="00471C22">
        <w:rPr>
          <w:rFonts w:asciiTheme="minorHAnsi" w:hAnsiTheme="minorHAnsi" w:cstheme="minorHAnsi"/>
          <w:i/>
          <w:iCs/>
          <w:noProof/>
          <w:sz w:val="22"/>
          <w:szCs w:val="22"/>
        </w:rPr>
        <w:t>Okul Kültürü Ve Etkİlİlİk., 12</w:t>
      </w:r>
      <w:r w:rsidRPr="00471C22">
        <w:rPr>
          <w:rFonts w:asciiTheme="minorHAnsi" w:hAnsiTheme="minorHAnsi" w:cstheme="minorHAnsi"/>
          <w:noProof/>
          <w:sz w:val="22"/>
          <w:szCs w:val="22"/>
        </w:rPr>
        <w:t xml:space="preserve">(25), 253-264. </w:t>
      </w:r>
    </w:p>
    <w:p w14:paraId="604E8E0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Donker, A. S., De Boer, H., Kostons, D., Van Ewijk, C. D., &amp; van der Werf, M. P. (2014). Effectiveness of learning strategy instruction on academic performance: A meta-analysis. </w:t>
      </w:r>
      <w:r w:rsidRPr="00471C22">
        <w:rPr>
          <w:rFonts w:asciiTheme="minorHAnsi" w:hAnsiTheme="minorHAnsi" w:cstheme="minorHAnsi"/>
          <w:i/>
          <w:iCs/>
          <w:noProof/>
          <w:sz w:val="22"/>
          <w:szCs w:val="22"/>
        </w:rPr>
        <w:t>Educational Research Review, 11</w:t>
      </w:r>
      <w:r w:rsidRPr="00471C22">
        <w:rPr>
          <w:rFonts w:asciiTheme="minorHAnsi" w:hAnsiTheme="minorHAnsi" w:cstheme="minorHAnsi"/>
          <w:noProof/>
          <w:sz w:val="22"/>
          <w:szCs w:val="22"/>
        </w:rPr>
        <w:t>, 1-26.</w:t>
      </w:r>
    </w:p>
    <w:p w14:paraId="40AB931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Donohoo, J., Hattie, J. &amp; Eells, R. (2018). The power of collective efficacy. </w:t>
      </w:r>
      <w:r w:rsidRPr="00471C22">
        <w:rPr>
          <w:rFonts w:asciiTheme="minorHAnsi" w:hAnsiTheme="minorHAnsi" w:cstheme="minorHAnsi"/>
          <w:i/>
          <w:iCs/>
          <w:noProof/>
          <w:sz w:val="22"/>
          <w:szCs w:val="22"/>
        </w:rPr>
        <w:t>Educational Leadership, 75</w:t>
      </w:r>
      <w:r w:rsidRPr="00471C22">
        <w:rPr>
          <w:rFonts w:asciiTheme="minorHAnsi" w:hAnsiTheme="minorHAnsi" w:cstheme="minorHAnsi"/>
          <w:noProof/>
          <w:sz w:val="22"/>
          <w:szCs w:val="22"/>
        </w:rPr>
        <w:t>(6), 40-44.</w:t>
      </w:r>
    </w:p>
    <w:p w14:paraId="11368617"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Duong, M. T., </w:t>
      </w:r>
      <w:proofErr w:type="spellStart"/>
      <w:r w:rsidRPr="00471C22">
        <w:rPr>
          <w:rFonts w:cstheme="minorHAnsi"/>
          <w:szCs w:val="22"/>
        </w:rPr>
        <w:t>Pullmann</w:t>
      </w:r>
      <w:proofErr w:type="spellEnd"/>
      <w:r w:rsidRPr="00471C22">
        <w:rPr>
          <w:rFonts w:cstheme="minorHAnsi"/>
          <w:szCs w:val="22"/>
        </w:rPr>
        <w:t xml:space="preserve">, M. D., </w:t>
      </w:r>
      <w:proofErr w:type="spellStart"/>
      <w:r w:rsidRPr="00471C22">
        <w:rPr>
          <w:rFonts w:cstheme="minorHAnsi"/>
          <w:szCs w:val="22"/>
        </w:rPr>
        <w:t>Buntain-Ricklefs</w:t>
      </w:r>
      <w:proofErr w:type="spellEnd"/>
      <w:r w:rsidRPr="00471C22">
        <w:rPr>
          <w:rFonts w:cstheme="minorHAnsi"/>
          <w:szCs w:val="22"/>
        </w:rPr>
        <w:t xml:space="preserve">, J., Lee, K., Benjamin, K. S., Nguyen, L., &amp; Cook, C. R. (2018). Brief Teacher Training Improves Student </w:t>
      </w:r>
      <w:proofErr w:type="spellStart"/>
      <w:r w:rsidRPr="00471C22">
        <w:rPr>
          <w:rFonts w:cstheme="minorHAnsi"/>
          <w:szCs w:val="22"/>
        </w:rPr>
        <w:t>Behavior</w:t>
      </w:r>
      <w:proofErr w:type="spellEnd"/>
      <w:r w:rsidRPr="00471C22">
        <w:rPr>
          <w:rFonts w:cstheme="minorHAnsi"/>
          <w:szCs w:val="22"/>
        </w:rPr>
        <w:t xml:space="preserve"> and Student-Teacher Relationships in Middle School. </w:t>
      </w:r>
      <w:r w:rsidRPr="00471C22">
        <w:rPr>
          <w:rFonts w:cstheme="minorHAnsi"/>
          <w:i/>
          <w:iCs/>
          <w:szCs w:val="22"/>
        </w:rPr>
        <w:t>School Psychology Quarterly</w:t>
      </w:r>
      <w:r w:rsidRPr="00471C22">
        <w:rPr>
          <w:rFonts w:cstheme="minorHAnsi"/>
          <w:szCs w:val="22"/>
        </w:rPr>
        <w:t>, 34(2), 212–221.</w:t>
      </w:r>
    </w:p>
    <w:p w14:paraId="73C2E4B0" w14:textId="77777777" w:rsidR="00EE7F52" w:rsidRPr="00471C22" w:rsidRDefault="00EE7F52" w:rsidP="00471C22">
      <w:pPr>
        <w:spacing w:beforeLines="24" w:before="57"/>
        <w:ind w:left="709" w:hanging="720"/>
        <w:rPr>
          <w:rFonts w:cstheme="minorHAnsi"/>
          <w:szCs w:val="22"/>
        </w:rPr>
      </w:pPr>
      <w:proofErr w:type="spellStart"/>
      <w:r w:rsidRPr="00471C22">
        <w:rPr>
          <w:rFonts w:cstheme="minorHAnsi"/>
          <w:szCs w:val="22"/>
        </w:rPr>
        <w:t>Durak</w:t>
      </w:r>
      <w:proofErr w:type="spellEnd"/>
      <w:r w:rsidRPr="00471C22">
        <w:rPr>
          <w:rFonts w:cstheme="minorHAnsi"/>
          <w:szCs w:val="22"/>
        </w:rPr>
        <w:t xml:space="preserve">, Weissberg, </w:t>
      </w:r>
      <w:proofErr w:type="spellStart"/>
      <w:r w:rsidRPr="00471C22">
        <w:rPr>
          <w:rFonts w:cstheme="minorHAnsi"/>
          <w:szCs w:val="22"/>
        </w:rPr>
        <w:t>Dymicki</w:t>
      </w:r>
      <w:proofErr w:type="spellEnd"/>
      <w:r w:rsidRPr="00471C22">
        <w:rPr>
          <w:rFonts w:cstheme="minorHAnsi"/>
          <w:szCs w:val="22"/>
        </w:rPr>
        <w:t xml:space="preserve">, Taylor and </w:t>
      </w:r>
      <w:proofErr w:type="spellStart"/>
      <w:r w:rsidRPr="00471C22">
        <w:rPr>
          <w:rFonts w:cstheme="minorHAnsi"/>
          <w:szCs w:val="22"/>
        </w:rPr>
        <w:t>Schellinger</w:t>
      </w:r>
      <w:proofErr w:type="spellEnd"/>
      <w:r w:rsidRPr="00471C22">
        <w:rPr>
          <w:rFonts w:cstheme="minorHAnsi"/>
          <w:szCs w:val="22"/>
        </w:rPr>
        <w:t xml:space="preserve"> (2011). The impact of enhancing students’ social and emotional learning: a meta-</w:t>
      </w:r>
      <w:proofErr w:type="spellStart"/>
      <w:r w:rsidRPr="00471C22">
        <w:rPr>
          <w:rFonts w:cstheme="minorHAnsi"/>
          <w:szCs w:val="22"/>
        </w:rPr>
        <w:t>aanlysis</w:t>
      </w:r>
      <w:proofErr w:type="spellEnd"/>
      <w:r w:rsidRPr="00471C22">
        <w:rPr>
          <w:rFonts w:cstheme="minorHAnsi"/>
          <w:szCs w:val="22"/>
        </w:rPr>
        <w:t xml:space="preserve"> of school-based universal interventions. </w:t>
      </w:r>
      <w:r w:rsidRPr="00471C22">
        <w:rPr>
          <w:rFonts w:cstheme="minorHAnsi"/>
          <w:i/>
          <w:iCs/>
          <w:szCs w:val="22"/>
        </w:rPr>
        <w:t xml:space="preserve">Child Development, </w:t>
      </w:r>
      <w:r w:rsidRPr="00471C22">
        <w:rPr>
          <w:rFonts w:cstheme="minorHAnsi"/>
          <w:szCs w:val="22"/>
        </w:rPr>
        <w:t>82(1), 405-432.</w:t>
      </w:r>
    </w:p>
    <w:p w14:paraId="16CC26F5" w14:textId="77777777" w:rsidR="00011D0B" w:rsidRPr="00011D0B" w:rsidRDefault="00011D0B" w:rsidP="00471C22">
      <w:pPr>
        <w:spacing w:beforeLines="24" w:before="57"/>
        <w:ind w:left="709" w:hanging="720"/>
        <w:rPr>
          <w:rFonts w:cstheme="minorHAnsi"/>
          <w:szCs w:val="22"/>
        </w:rPr>
      </w:pPr>
      <w:r w:rsidRPr="00011D0B">
        <w:t>Dweck, C. (2006). Mindset. New York: Random House.</w:t>
      </w:r>
    </w:p>
    <w:p w14:paraId="30FF3196" w14:textId="04CE6B16" w:rsidR="00011D0B" w:rsidRPr="00011D0B" w:rsidRDefault="00011D0B" w:rsidP="00F962E4">
      <w:pPr>
        <w:spacing w:beforeLines="24" w:before="57"/>
        <w:ind w:left="709" w:hanging="720"/>
        <w:rPr>
          <w:rFonts w:cstheme="minorHAnsi"/>
          <w:szCs w:val="22"/>
        </w:rPr>
      </w:pPr>
      <w:proofErr w:type="spellStart"/>
      <w:r w:rsidRPr="00011D0B">
        <w:rPr>
          <w:rFonts w:cstheme="minorHAnsi"/>
          <w:szCs w:val="22"/>
        </w:rPr>
        <w:t>Dynarski</w:t>
      </w:r>
      <w:proofErr w:type="spellEnd"/>
      <w:r w:rsidRPr="00011D0B">
        <w:rPr>
          <w:rFonts w:cstheme="minorHAnsi"/>
          <w:szCs w:val="22"/>
        </w:rPr>
        <w:t xml:space="preserve">, M., Clarke, L., Cobb, B., Finn, J., </w:t>
      </w:r>
      <w:proofErr w:type="spellStart"/>
      <w:r w:rsidRPr="00011D0B">
        <w:rPr>
          <w:rFonts w:cstheme="minorHAnsi"/>
          <w:szCs w:val="22"/>
        </w:rPr>
        <w:t>Rumberger</w:t>
      </w:r>
      <w:proofErr w:type="spellEnd"/>
      <w:r w:rsidRPr="00011D0B">
        <w:rPr>
          <w:rFonts w:cstheme="minorHAnsi"/>
          <w:szCs w:val="22"/>
        </w:rPr>
        <w:t xml:space="preserve">, R. and </w:t>
      </w:r>
      <w:proofErr w:type="spellStart"/>
      <w:r w:rsidRPr="00011D0B">
        <w:rPr>
          <w:rFonts w:cstheme="minorHAnsi"/>
          <w:szCs w:val="22"/>
        </w:rPr>
        <w:t>Smink</w:t>
      </w:r>
      <w:proofErr w:type="spellEnd"/>
      <w:r w:rsidRPr="00011D0B">
        <w:rPr>
          <w:rFonts w:cstheme="minorHAnsi"/>
          <w:szCs w:val="22"/>
        </w:rPr>
        <w:t xml:space="preserve">, </w:t>
      </w:r>
      <w:proofErr w:type="gramStart"/>
      <w:r w:rsidRPr="00011D0B">
        <w:rPr>
          <w:rFonts w:cstheme="minorHAnsi"/>
          <w:szCs w:val="22"/>
        </w:rPr>
        <w:t>J.</w:t>
      </w:r>
      <w:r w:rsidR="003D2E07">
        <w:rPr>
          <w:rFonts w:cstheme="minorHAnsi"/>
          <w:szCs w:val="22"/>
        </w:rPr>
        <w:t>.</w:t>
      </w:r>
      <w:proofErr w:type="gramEnd"/>
      <w:r w:rsidR="003D2E07">
        <w:rPr>
          <w:rFonts w:cstheme="minorHAnsi"/>
          <w:szCs w:val="22"/>
        </w:rPr>
        <w:t xml:space="preserve"> (</w:t>
      </w:r>
      <w:r w:rsidRPr="00011D0B">
        <w:rPr>
          <w:rFonts w:cstheme="minorHAnsi"/>
          <w:szCs w:val="22"/>
        </w:rPr>
        <w:t>2008</w:t>
      </w:r>
      <w:r w:rsidR="003D2E07">
        <w:rPr>
          <w:rFonts w:cstheme="minorHAnsi"/>
          <w:szCs w:val="22"/>
        </w:rPr>
        <w:t>)</w:t>
      </w:r>
      <w:r w:rsidRPr="00011D0B">
        <w:rPr>
          <w:rFonts w:cstheme="minorHAnsi"/>
          <w:szCs w:val="22"/>
        </w:rPr>
        <w:t xml:space="preserve">. Dropout Prevention. IES Practice Guide. NCEE 2008-4025. National </w:t>
      </w:r>
      <w:proofErr w:type="spellStart"/>
      <w:r w:rsidRPr="00011D0B">
        <w:rPr>
          <w:rFonts w:cstheme="minorHAnsi"/>
          <w:szCs w:val="22"/>
        </w:rPr>
        <w:t>Center</w:t>
      </w:r>
      <w:proofErr w:type="spellEnd"/>
      <w:r w:rsidRPr="00011D0B">
        <w:rPr>
          <w:rFonts w:cstheme="minorHAnsi"/>
          <w:szCs w:val="22"/>
        </w:rPr>
        <w:t xml:space="preserve"> for Education Evaluation and Regional Assistance.</w:t>
      </w:r>
    </w:p>
    <w:p w14:paraId="491E244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lastRenderedPageBreak/>
        <w:t xml:space="preserve">Ebell, S., Hughes, H., Bockart, S., Silva, S., &amp; McBride, S. (2017). Principal communities of practice inspire learning in Texas district. </w:t>
      </w:r>
      <w:r w:rsidRPr="00471C22">
        <w:rPr>
          <w:rFonts w:asciiTheme="minorHAnsi" w:hAnsiTheme="minorHAnsi" w:cstheme="minorHAnsi"/>
          <w:i/>
          <w:iCs/>
          <w:noProof/>
          <w:sz w:val="22"/>
          <w:szCs w:val="22"/>
        </w:rPr>
        <w:t>Learning Professional, 38</w:t>
      </w:r>
      <w:r w:rsidRPr="00471C22">
        <w:rPr>
          <w:rFonts w:asciiTheme="minorHAnsi" w:hAnsiTheme="minorHAnsi" w:cstheme="minorHAnsi"/>
          <w:noProof/>
          <w:sz w:val="22"/>
          <w:szCs w:val="22"/>
        </w:rPr>
        <w:t xml:space="preserve">(4), 58-62. </w:t>
      </w:r>
    </w:p>
    <w:p w14:paraId="2461A68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Edmonds, M. S., Vaughn, S., Wexler, J., Reutebuch, C., Cable, A., Tackett, K. K., &amp; Schnakenberg, J. W. (2009). A Synthesis of Reading Interventions and Effects on Reading Comprehension Outcomes for Older Struggling Readers. </w:t>
      </w:r>
      <w:r w:rsidRPr="00471C22">
        <w:rPr>
          <w:rFonts w:asciiTheme="minorHAnsi" w:hAnsiTheme="minorHAnsi" w:cstheme="minorHAnsi"/>
          <w:i/>
          <w:iCs/>
          <w:noProof/>
          <w:sz w:val="22"/>
          <w:szCs w:val="22"/>
        </w:rPr>
        <w:t>Review of Educational Research, 79</w:t>
      </w:r>
      <w:r w:rsidRPr="00471C22">
        <w:rPr>
          <w:rFonts w:asciiTheme="minorHAnsi" w:hAnsiTheme="minorHAnsi" w:cstheme="minorHAnsi"/>
          <w:noProof/>
          <w:sz w:val="22"/>
          <w:szCs w:val="22"/>
        </w:rPr>
        <w:t xml:space="preserve">(1), 262–300. </w:t>
      </w:r>
    </w:p>
    <w:p w14:paraId="513D9B5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Education Endowment Foundation (2015). Teaching and Learning Toolkit - Australia. Retrieved from </w:t>
      </w:r>
      <w:r w:rsidRPr="001A4DD4">
        <w:rPr>
          <w:rFonts w:asciiTheme="minorHAnsi" w:hAnsiTheme="minorHAnsi" w:cstheme="minorHAnsi"/>
          <w:noProof/>
          <w:sz w:val="22"/>
          <w:szCs w:val="22"/>
        </w:rPr>
        <w:t>http://australia.teachingandlearningtoolkit.net.au/</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437D822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Education Endowment Foundation (2018). Parental engagement, Teaching and Learning Toolkit. Retrieved online: </w:t>
      </w:r>
      <w:r w:rsidRPr="001A4DD4">
        <w:rPr>
          <w:rFonts w:asciiTheme="minorHAnsi" w:hAnsiTheme="minorHAnsi" w:cstheme="minorHAnsi"/>
          <w:noProof/>
          <w:sz w:val="22"/>
          <w:szCs w:val="22"/>
        </w:rPr>
        <w:t>https://educationendowmentfoundation.org.uk/evidence-summaries/teaching-learning-toolkit/parental-engagement/</w:t>
      </w:r>
      <w:r>
        <w:rPr>
          <w:rFonts w:asciiTheme="minorHAnsi" w:hAnsiTheme="minorHAnsi" w:cstheme="minorHAnsi"/>
          <w:noProof/>
          <w:sz w:val="22"/>
          <w:szCs w:val="22"/>
        </w:rPr>
        <w:t>.</w:t>
      </w:r>
    </w:p>
    <w:p w14:paraId="40F7877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Education Endowment Foundation (2020). The EEF Guide to Supporting School Planning: A Tiered Approach to 2020-21. Retrieved online </w:t>
      </w:r>
      <w:r w:rsidRPr="001A4DD4">
        <w:rPr>
          <w:rFonts w:asciiTheme="minorHAnsi" w:hAnsiTheme="minorHAnsi" w:cstheme="minorHAnsi"/>
          <w:noProof/>
          <w:sz w:val="22"/>
          <w:szCs w:val="22"/>
        </w:rPr>
        <w:t>https://educationendowmentfoundation.org.uk/covid-19-resources/guide-to-supporting-schools-planning/</w:t>
      </w:r>
      <w:r>
        <w:rPr>
          <w:rFonts w:asciiTheme="minorHAnsi" w:hAnsiTheme="minorHAnsi" w:cstheme="minorHAnsi"/>
          <w:noProof/>
          <w:sz w:val="22"/>
          <w:szCs w:val="22"/>
        </w:rPr>
        <w:t>.</w:t>
      </w:r>
    </w:p>
    <w:p w14:paraId="73156E0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Edwards-Groves, C., Grootenboer, P., &amp; Ronnerman, K. (2016). Facilitating a culture of relational trust in school-based action research: Recognising the role of middle leaders</w:t>
      </w:r>
      <w:r w:rsidRPr="00471C22">
        <w:rPr>
          <w:rFonts w:asciiTheme="minorHAnsi" w:hAnsiTheme="minorHAnsi" w:cstheme="minorHAnsi"/>
          <w:i/>
          <w:iCs/>
          <w:noProof/>
          <w:sz w:val="22"/>
          <w:szCs w:val="22"/>
        </w:rPr>
        <w:t>. Educational Action Research, 24</w:t>
      </w:r>
      <w:r w:rsidRPr="00471C22">
        <w:rPr>
          <w:rFonts w:asciiTheme="minorHAnsi" w:hAnsiTheme="minorHAnsi" w:cstheme="minorHAnsi"/>
          <w:noProof/>
          <w:sz w:val="22"/>
          <w:szCs w:val="22"/>
        </w:rPr>
        <w:t>(3), 369-386.</w:t>
      </w:r>
    </w:p>
    <w:p w14:paraId="182B9F93" w14:textId="77777777" w:rsidR="00EE7F52" w:rsidRPr="00471C22" w:rsidRDefault="00EE7F52" w:rsidP="00EE7F5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Ehinola, B. G., &amp; Akinfolarin, A. V. (2018). Total Quality Management (TQM) practices adopted by Head teachers for sustainable primary education in Northern Senatorial District of Ondo State, Nigeria. </w:t>
      </w:r>
      <w:r w:rsidRPr="00471C22">
        <w:rPr>
          <w:rFonts w:asciiTheme="minorHAnsi" w:hAnsiTheme="minorHAnsi" w:cstheme="minorHAnsi"/>
          <w:i/>
          <w:noProof/>
          <w:sz w:val="22"/>
          <w:szCs w:val="22"/>
        </w:rPr>
        <w:t>EPRA International Journal of Multidisciplinary Research (IJMR), 4</w:t>
      </w:r>
      <w:r w:rsidRPr="00471C22">
        <w:rPr>
          <w:rFonts w:asciiTheme="minorHAnsi" w:hAnsiTheme="minorHAnsi" w:cstheme="minorHAnsi"/>
          <w:noProof/>
          <w:sz w:val="22"/>
          <w:szCs w:val="22"/>
        </w:rPr>
        <w:t xml:space="preserve">(7), 182-188. </w:t>
      </w:r>
    </w:p>
    <w:p w14:paraId="5C957C61"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Elaldi, S., Cifci, T. &amp; Yerliyurt, N.S. (2021). A meta-analytical investigation of the effectiveness of inclusive practices on learning outcomes. Education and Science, Vol. 46, No. 207, pp. 231-258.</w:t>
      </w:r>
    </w:p>
    <w:p w14:paraId="6DD174F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Emerson, L., Fear, J., Fox, S., &amp; Sanders, E. (2012). Parental engagement in learning and schooling: Lessons from research. Canberra, ACT: Australian Research Alliance for Children and Youth. Retrieved online: </w:t>
      </w:r>
      <w:r w:rsidRPr="001A4DD4">
        <w:rPr>
          <w:rFonts w:asciiTheme="minorHAnsi" w:hAnsiTheme="minorHAnsi" w:cstheme="minorHAnsi"/>
          <w:noProof/>
          <w:sz w:val="22"/>
          <w:szCs w:val="22"/>
        </w:rPr>
        <w:t>http://www.familyschool.org.au/files/3313/7955/2295/parental-engagement-in-learning-and-schooling.pdf</w:t>
      </w:r>
      <w:r>
        <w:rPr>
          <w:rFonts w:asciiTheme="minorHAnsi" w:hAnsiTheme="minorHAnsi" w:cstheme="minorHAnsi"/>
          <w:noProof/>
          <w:sz w:val="22"/>
          <w:szCs w:val="22"/>
        </w:rPr>
        <w:t>.</w:t>
      </w:r>
    </w:p>
    <w:p w14:paraId="178239B9" w14:textId="77777777" w:rsidR="00EE7F52" w:rsidRPr="00E63ADE" w:rsidRDefault="00EE7F52" w:rsidP="00471C22">
      <w:pPr>
        <w:spacing w:beforeLines="24" w:before="57"/>
        <w:ind w:left="709" w:hanging="720"/>
        <w:rPr>
          <w:rFonts w:cstheme="minorHAnsi"/>
          <w:szCs w:val="22"/>
        </w:rPr>
      </w:pPr>
      <w:r w:rsidRPr="00E63ADE">
        <w:rPr>
          <w:rFonts w:cstheme="minorHAnsi"/>
          <w:szCs w:val="22"/>
        </w:rPr>
        <w:t xml:space="preserve">Evidence for Learning (2019a). Metacognition and </w:t>
      </w:r>
      <w:proofErr w:type="spellStart"/>
      <w:r w:rsidRPr="00E63ADE">
        <w:rPr>
          <w:rFonts w:cstheme="minorHAnsi"/>
          <w:szCs w:val="22"/>
        </w:rPr>
        <w:t>self regulated</w:t>
      </w:r>
      <w:proofErr w:type="spellEnd"/>
      <w:r w:rsidRPr="00E63ADE">
        <w:rPr>
          <w:rFonts w:cstheme="minorHAnsi"/>
          <w:szCs w:val="22"/>
        </w:rPr>
        <w:t xml:space="preserve"> learning. Retrieved from https:// evidenceforlearning.org.au/the-toolkits/the- teaching-and-learning-toolkit/all-approaches/ metacognition-and-self-regulation/.</w:t>
      </w:r>
    </w:p>
    <w:p w14:paraId="79ED3503" w14:textId="77777777" w:rsidR="00EE7F52" w:rsidRPr="00E63ADE" w:rsidRDefault="00EE7F52" w:rsidP="00471C22">
      <w:pPr>
        <w:pStyle w:val="EndNoteBibliography"/>
        <w:spacing w:beforeLines="24" w:before="57"/>
        <w:ind w:left="720" w:hanging="720"/>
        <w:rPr>
          <w:rFonts w:asciiTheme="minorHAnsi" w:hAnsiTheme="minorHAnsi" w:cstheme="minorHAnsi"/>
          <w:noProof/>
          <w:sz w:val="22"/>
          <w:szCs w:val="22"/>
        </w:rPr>
      </w:pPr>
      <w:r w:rsidRPr="00E63ADE">
        <w:rPr>
          <w:rFonts w:asciiTheme="minorHAnsi" w:hAnsiTheme="minorHAnsi" w:cstheme="minorHAnsi"/>
          <w:noProof/>
          <w:sz w:val="22"/>
          <w:szCs w:val="22"/>
        </w:rPr>
        <w:t xml:space="preserve">Evidence for Learning (2019b). Social and emotional learning, Sydney. Retrieved from </w:t>
      </w:r>
      <w:hyperlink r:id="rId21" w:history="1">
        <w:r w:rsidRPr="00E63ADE">
          <w:rPr>
            <w:rFonts w:asciiTheme="minorHAnsi" w:hAnsiTheme="minorHAnsi" w:cstheme="minorHAnsi"/>
            <w:noProof/>
            <w:sz w:val="22"/>
            <w:szCs w:val="22"/>
          </w:rPr>
          <w:t>https://www.evidenceforlearning.org.au/the-toolkits/the-teaching-and-learning-toolkit/all-approaches/social-and-emotional-learning/</w:t>
        </w:r>
      </w:hyperlink>
      <w:r w:rsidRPr="00E63ADE">
        <w:rPr>
          <w:rFonts w:asciiTheme="minorHAnsi" w:hAnsiTheme="minorHAnsi" w:cstheme="minorHAnsi"/>
          <w:noProof/>
          <w:sz w:val="22"/>
          <w:szCs w:val="22"/>
        </w:rPr>
        <w:t>.</w:t>
      </w:r>
    </w:p>
    <w:p w14:paraId="1C17A6E2" w14:textId="77777777" w:rsidR="00EE7F52" w:rsidRPr="00E63ADE" w:rsidRDefault="00EE7F52" w:rsidP="00E63ADE">
      <w:pPr>
        <w:pStyle w:val="EndNoteBibliography"/>
        <w:spacing w:beforeLines="24" w:before="57"/>
        <w:ind w:left="720" w:hanging="720"/>
        <w:rPr>
          <w:rFonts w:asciiTheme="minorHAnsi" w:hAnsiTheme="minorHAnsi" w:cstheme="minorHAnsi"/>
          <w:noProof/>
          <w:sz w:val="22"/>
          <w:szCs w:val="22"/>
        </w:rPr>
      </w:pPr>
      <w:r w:rsidRPr="00E63ADE">
        <w:rPr>
          <w:rFonts w:asciiTheme="minorHAnsi" w:hAnsiTheme="minorHAnsi" w:cstheme="minorHAnsi"/>
          <w:noProof/>
          <w:sz w:val="22"/>
          <w:szCs w:val="22"/>
        </w:rPr>
        <w:t xml:space="preserve">Evidence for Learning (2019c). The Toolkits. Retrieved from https://evidenceforlearning.org.au/the-toolkits/. </w:t>
      </w:r>
    </w:p>
    <w:p w14:paraId="5269EA11" w14:textId="77777777" w:rsidR="00EE7F52" w:rsidRPr="00E63ADE" w:rsidRDefault="00EE7F52" w:rsidP="00E63ADE">
      <w:pPr>
        <w:pStyle w:val="EndNoteBibliography"/>
        <w:spacing w:beforeLines="24" w:before="57"/>
        <w:ind w:left="720" w:hanging="720"/>
        <w:rPr>
          <w:rFonts w:asciiTheme="minorHAnsi" w:hAnsiTheme="minorHAnsi" w:cstheme="minorHAnsi"/>
          <w:noProof/>
          <w:sz w:val="22"/>
          <w:szCs w:val="22"/>
        </w:rPr>
      </w:pPr>
      <w:r w:rsidRPr="00E63ADE">
        <w:rPr>
          <w:rFonts w:asciiTheme="minorHAnsi" w:hAnsiTheme="minorHAnsi" w:cstheme="minorHAnsi"/>
          <w:noProof/>
          <w:sz w:val="22"/>
          <w:szCs w:val="22"/>
        </w:rPr>
        <w:t>Evidence for Learning (2019d). Putting evidence to work: A school’s guide to implementation. Retrieved online https://evidenceforlearning.org.au/guidance-reports/putting-evidence-to-work-a-schools-guide-to-implementation/.</w:t>
      </w:r>
    </w:p>
    <w:p w14:paraId="4445705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920646">
        <w:rPr>
          <w:rFonts w:asciiTheme="minorHAnsi" w:hAnsiTheme="minorHAnsi" w:cstheme="minorHAnsi"/>
          <w:noProof/>
          <w:sz w:val="22"/>
          <w:szCs w:val="22"/>
        </w:rPr>
        <w:t>Evidence for Learning, (2020). Feedback: Teaching and Learning Toolkit. Retrieved online https:// evidenceforlearning.org.au/the-toolkits/the-teaching-and-learning-toolkit/all-approaches/feedback/.</w:t>
      </w:r>
    </w:p>
    <w:p w14:paraId="36F344C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Fehrer, K., &amp; Leos-Urbel, J. (2016). "We're one team": Examining community school implementation strategies in Oakland. </w:t>
      </w:r>
      <w:r w:rsidRPr="00471C22">
        <w:rPr>
          <w:rFonts w:asciiTheme="minorHAnsi" w:hAnsiTheme="minorHAnsi" w:cstheme="minorHAnsi"/>
          <w:i/>
          <w:noProof/>
          <w:sz w:val="22"/>
          <w:szCs w:val="22"/>
        </w:rPr>
        <w:t>Education Sciences, 6</w:t>
      </w:r>
      <w:r w:rsidRPr="00471C22">
        <w:rPr>
          <w:rFonts w:asciiTheme="minorHAnsi" w:hAnsiTheme="minorHAnsi" w:cstheme="minorHAnsi"/>
          <w:noProof/>
          <w:sz w:val="22"/>
          <w:szCs w:val="22"/>
        </w:rPr>
        <w:t xml:space="preserve">, 1-24. </w:t>
      </w:r>
    </w:p>
    <w:p w14:paraId="2DA215E1"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Fielding, M. (2001) Beyond the Rhetoric of Student Voice: new departures or new constraints in the transformation of 21st century schooling? </w:t>
      </w:r>
      <w:r w:rsidRPr="00471C22">
        <w:rPr>
          <w:rFonts w:asciiTheme="minorHAnsi" w:hAnsiTheme="minorHAnsi" w:cstheme="minorHAnsi"/>
          <w:i/>
          <w:iCs/>
          <w:noProof/>
          <w:sz w:val="22"/>
          <w:szCs w:val="22"/>
        </w:rPr>
        <w:t>FORUM, 43</w:t>
      </w:r>
      <w:r w:rsidRPr="00471C22">
        <w:rPr>
          <w:rFonts w:asciiTheme="minorHAnsi" w:hAnsiTheme="minorHAnsi" w:cstheme="minorHAnsi"/>
          <w:noProof/>
          <w:sz w:val="22"/>
          <w:szCs w:val="22"/>
        </w:rPr>
        <w:t xml:space="preserve">(2), 100. </w:t>
      </w:r>
    </w:p>
    <w:p w14:paraId="3E2E2A30"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Filges, T., Torgerson, C., Gascoine, L., Dietrichson, J., Nielsen, C. &amp; Viinholt, B. A. (2019). Effectiveness of continuing professional development training of welfare professionals on </w:t>
      </w:r>
      <w:r w:rsidRPr="00471C22">
        <w:rPr>
          <w:rFonts w:asciiTheme="minorHAnsi" w:hAnsiTheme="minorHAnsi" w:cstheme="minorHAnsi"/>
          <w:noProof/>
          <w:sz w:val="22"/>
          <w:szCs w:val="22"/>
        </w:rPr>
        <w:lastRenderedPageBreak/>
        <w:t xml:space="preserve">outcomes for children and young people: </w:t>
      </w:r>
      <w:r w:rsidRPr="00471C22">
        <w:rPr>
          <w:rFonts w:asciiTheme="minorHAnsi" w:hAnsiTheme="minorHAnsi" w:cstheme="minorHAnsi"/>
          <w:sz w:val="22"/>
          <w:szCs w:val="22"/>
          <w:lang w:val="en-GB"/>
        </w:rPr>
        <w:t xml:space="preserve">A systematic review. </w:t>
      </w:r>
      <w:r w:rsidRPr="00471C22">
        <w:rPr>
          <w:rFonts w:asciiTheme="minorHAnsi" w:hAnsiTheme="minorHAnsi" w:cstheme="minorHAnsi"/>
          <w:i/>
          <w:sz w:val="22"/>
          <w:szCs w:val="22"/>
          <w:lang w:val="en-GB"/>
        </w:rPr>
        <w:t>Campbell Systematic Reviews, 15</w:t>
      </w:r>
      <w:r w:rsidRPr="00471C22">
        <w:rPr>
          <w:rFonts w:asciiTheme="minorHAnsi" w:hAnsiTheme="minorHAnsi" w:cstheme="minorHAnsi"/>
          <w:sz w:val="22"/>
          <w:szCs w:val="22"/>
          <w:lang w:val="en-GB"/>
        </w:rPr>
        <w:t>(4), 1-31.</w:t>
      </w:r>
    </w:p>
    <w:p w14:paraId="0C1537ED" w14:textId="77777777" w:rsidR="00EE7F52" w:rsidRDefault="00EE7F52" w:rsidP="00304544">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Fraillon, J. (2004). Measuring Student Well-Being in the Context of Australian Schooling: Discussion Paper. Australian Council for Educational Research.</w:t>
      </w:r>
    </w:p>
    <w:p w14:paraId="250F3353"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Fry, D., Fang, X., Elliott, S., Casey, T., Zheng, X., Li, J., Florian, L. &amp; McCluskey, G. (2018). The relationships between violence in childhood and educational outcomes: a global systematic review and meta-analysis. Child Abuse and Neglect, Vol. 75, pp. 6-28.</w:t>
      </w:r>
    </w:p>
    <w:p w14:paraId="5330C1C8"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Fullan, M, and Quinn, J. (2015). Coherence: The right drivers in action for schools, districts, and systems. California: Corwin Press.</w:t>
      </w:r>
    </w:p>
    <w:p w14:paraId="1086EC34"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Fullan, M. (2007). The new meaning of educational change. New York: Teacher’s College Press.</w:t>
      </w:r>
    </w:p>
    <w:p w14:paraId="23203280" w14:textId="77777777" w:rsidR="00EE7F52" w:rsidRDefault="00EE7F52" w:rsidP="00304544">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Fullan, M. (2021). The right drivers for whole system success. Centre for Strategic Education &amp; New Pedagogies for Deep Learning: A global partnership.</w:t>
      </w:r>
    </w:p>
    <w:p w14:paraId="253E2767"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 xml:space="preserve">Furlong, M.J., Chung, A., Bates, M. and Morrison, R.L., 1995. Who are the victims of school violence? A comparison of </w:t>
      </w:r>
    </w:p>
    <w:p w14:paraId="5C7A582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Gerber, M., Ludyga, S., Mücke, M., Colledge, F., Brand, S., &amp; Pühse, U. (2017). Low vigorous physical activity is associated with increased adrenocortical reactivity to psychosocial stress in students with high stress perceptions. </w:t>
      </w:r>
      <w:r w:rsidRPr="00471C22">
        <w:rPr>
          <w:rFonts w:asciiTheme="minorHAnsi" w:hAnsiTheme="minorHAnsi" w:cstheme="minorHAnsi"/>
          <w:i/>
          <w:iCs/>
          <w:noProof/>
          <w:sz w:val="22"/>
          <w:szCs w:val="22"/>
          <w:lang w:val="en-GB"/>
        </w:rPr>
        <w:t>Psychoneuroendocrinology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80</w:t>
      </w:r>
      <w:r w:rsidRPr="00471C22">
        <w:rPr>
          <w:rFonts w:asciiTheme="minorHAnsi" w:hAnsiTheme="minorHAnsi" w:cstheme="minorHAnsi"/>
          <w:noProof/>
          <w:sz w:val="22"/>
          <w:szCs w:val="22"/>
          <w:lang w:val="en-GB"/>
        </w:rPr>
        <w:t>, 104-113.</w:t>
      </w:r>
    </w:p>
    <w:p w14:paraId="5C94EA2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AU"/>
        </w:rPr>
      </w:pPr>
      <w:r w:rsidRPr="00471C22">
        <w:rPr>
          <w:rFonts w:asciiTheme="minorHAnsi" w:hAnsiTheme="minorHAnsi" w:cstheme="minorHAnsi"/>
          <w:noProof/>
          <w:sz w:val="22"/>
          <w:szCs w:val="22"/>
          <w:lang w:val="en-AU"/>
        </w:rPr>
        <w:t xml:space="preserve">Gibbons, L. K., Kazemi, E., &amp; Lewis, R. M. (2017). Developing collective capacity to improve mathematics instruction: Coaching as a lever for school-wide improvement. </w:t>
      </w:r>
      <w:r w:rsidRPr="00471C22">
        <w:rPr>
          <w:rFonts w:asciiTheme="minorHAnsi" w:hAnsiTheme="minorHAnsi" w:cstheme="minorHAnsi"/>
          <w:i/>
          <w:iCs/>
          <w:noProof/>
          <w:sz w:val="22"/>
          <w:szCs w:val="22"/>
          <w:lang w:val="en-AU"/>
        </w:rPr>
        <w:t>The Journal of Mathematical Behavior, 46</w:t>
      </w:r>
      <w:r w:rsidRPr="00471C22">
        <w:rPr>
          <w:rFonts w:asciiTheme="minorHAnsi" w:hAnsiTheme="minorHAnsi" w:cstheme="minorHAnsi"/>
          <w:noProof/>
          <w:sz w:val="22"/>
          <w:szCs w:val="22"/>
          <w:lang w:val="en-AU"/>
        </w:rPr>
        <w:t xml:space="preserve">(1), 231-250. </w:t>
      </w:r>
    </w:p>
    <w:p w14:paraId="57E771B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Ginsburg-Block, M., Rohrbeck, C., &amp; Fantuzzo, J. (2006). A meta-analytic review of social, self-concept, and behavioral outcomes of peer-assisted learning. </w:t>
      </w:r>
      <w:r w:rsidRPr="00471C22">
        <w:rPr>
          <w:rFonts w:asciiTheme="minorHAnsi" w:hAnsiTheme="minorHAnsi" w:cstheme="minorHAnsi"/>
          <w:i/>
          <w:iCs/>
          <w:noProof/>
          <w:sz w:val="22"/>
          <w:szCs w:val="22"/>
        </w:rPr>
        <w:t>Journal of Educational Psychology, 98(</w:t>
      </w:r>
      <w:r w:rsidRPr="00471C22">
        <w:rPr>
          <w:rFonts w:asciiTheme="minorHAnsi" w:hAnsiTheme="minorHAnsi" w:cstheme="minorHAnsi"/>
          <w:noProof/>
          <w:sz w:val="22"/>
          <w:szCs w:val="22"/>
        </w:rPr>
        <w:t>4), 732–749.</w:t>
      </w:r>
    </w:p>
    <w:p w14:paraId="650194D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Glen, M., Blackberry, G., &amp; Kearney, J. (2017). Leading school improvement, innovation and professional learning through action research: A policy and practice review. </w:t>
      </w:r>
      <w:r w:rsidRPr="00471C22">
        <w:rPr>
          <w:rFonts w:asciiTheme="minorHAnsi" w:hAnsiTheme="minorHAnsi" w:cstheme="minorHAnsi"/>
          <w:i/>
          <w:iCs/>
          <w:noProof/>
          <w:sz w:val="22"/>
          <w:szCs w:val="22"/>
        </w:rPr>
        <w:t>Leading &amp; Managing, 23</w:t>
      </w:r>
      <w:r w:rsidRPr="00471C22">
        <w:rPr>
          <w:rFonts w:asciiTheme="minorHAnsi" w:hAnsiTheme="minorHAnsi" w:cstheme="minorHAnsi"/>
          <w:noProof/>
          <w:sz w:val="22"/>
          <w:szCs w:val="22"/>
        </w:rPr>
        <w:t xml:space="preserve">(1), 1-11. </w:t>
      </w:r>
    </w:p>
    <w:p w14:paraId="08B84B3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Glew, G. M., Fan, M. Y., Katon, W., Rivara, F. P., &amp; Kernic, M. A. (2005). Bullying, psychosocial adjustment, and academic performance in elementary school. A</w:t>
      </w:r>
      <w:r w:rsidRPr="00471C22">
        <w:rPr>
          <w:rFonts w:asciiTheme="minorHAnsi" w:hAnsiTheme="minorHAnsi" w:cstheme="minorHAnsi"/>
          <w:i/>
          <w:iCs/>
          <w:noProof/>
          <w:sz w:val="22"/>
          <w:szCs w:val="22"/>
        </w:rPr>
        <w:t>rchives of pediatrics &amp; adolescent medicine, 159</w:t>
      </w:r>
      <w:r w:rsidRPr="00471C22">
        <w:rPr>
          <w:rFonts w:asciiTheme="minorHAnsi" w:hAnsiTheme="minorHAnsi" w:cstheme="minorHAnsi"/>
          <w:noProof/>
          <w:sz w:val="22"/>
          <w:szCs w:val="22"/>
        </w:rPr>
        <w:t>(11), 1026-1031.</w:t>
      </w:r>
    </w:p>
    <w:p w14:paraId="212A0C3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Goldberg, J., Sklad, M., Elfrink, T., Schruers, K. M. G., Bohlmeijer, E. T. &amp; Clarke, A. M. (2019). Effectiveness of interventions adopting a whole school to enhancing social and emotional development: a meta-analysis. </w:t>
      </w:r>
      <w:r w:rsidRPr="00471C22">
        <w:rPr>
          <w:rFonts w:asciiTheme="minorHAnsi" w:hAnsiTheme="minorHAnsi" w:cstheme="minorHAnsi"/>
          <w:i/>
          <w:iCs/>
          <w:noProof/>
          <w:sz w:val="22"/>
          <w:szCs w:val="22"/>
        </w:rPr>
        <w:t>European Journal of Psychology of Education, 34</w:t>
      </w:r>
      <w:r w:rsidRPr="00471C22">
        <w:rPr>
          <w:rFonts w:asciiTheme="minorHAnsi" w:hAnsiTheme="minorHAnsi" w:cstheme="minorHAnsi"/>
          <w:noProof/>
          <w:sz w:val="22"/>
          <w:szCs w:val="22"/>
        </w:rPr>
        <w:t>, 755-782.</w:t>
      </w:r>
    </w:p>
    <w:p w14:paraId="652288C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Gonski, D., Arcus, T., Boston, K., Gould, V., Johnson, W., O’Brien, L., &amp; Roberts, M. (2018). Through growth to achievement: Report of the review to achieve educational excellence in Australian schools. </w:t>
      </w:r>
      <w:r w:rsidRPr="00471C22">
        <w:rPr>
          <w:rFonts w:asciiTheme="minorHAnsi" w:hAnsiTheme="minorHAnsi" w:cstheme="minorHAnsi"/>
          <w:noProof/>
          <w:sz w:val="22"/>
          <w:szCs w:val="22"/>
        </w:rPr>
        <w:t>Canberra: Commonwealth of Australia</w:t>
      </w:r>
      <w:r w:rsidRPr="00471C22">
        <w:rPr>
          <w:rFonts w:asciiTheme="minorHAnsi" w:hAnsiTheme="minorHAnsi" w:cstheme="minorHAnsi"/>
          <w:noProof/>
          <w:sz w:val="22"/>
          <w:szCs w:val="22"/>
          <w:lang w:val="en-GB"/>
        </w:rPr>
        <w:t>.</w:t>
      </w:r>
    </w:p>
    <w:p w14:paraId="78E5C6A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Gonzalez, T. E., Hernandez-Saca, D. I., &amp; Artiles, A. J. (2017). In search of voice: Theory and methods in K-12 student voice research in the US, 1990–2010. </w:t>
      </w:r>
      <w:r w:rsidRPr="00471C22">
        <w:rPr>
          <w:rFonts w:asciiTheme="minorHAnsi" w:hAnsiTheme="minorHAnsi" w:cstheme="minorHAnsi"/>
          <w:i/>
          <w:iCs/>
          <w:noProof/>
          <w:sz w:val="22"/>
          <w:szCs w:val="22"/>
        </w:rPr>
        <w:t>Educational Review, 69</w:t>
      </w:r>
      <w:r w:rsidRPr="00471C22">
        <w:rPr>
          <w:rFonts w:asciiTheme="minorHAnsi" w:hAnsiTheme="minorHAnsi" w:cstheme="minorHAnsi"/>
          <w:noProof/>
          <w:sz w:val="22"/>
          <w:szCs w:val="22"/>
        </w:rPr>
        <w:t>(4), 451-473.</w:t>
      </w:r>
    </w:p>
    <w:p w14:paraId="2202F3C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Goss, P., &amp; Sonnemann, J. (2020). Top teachers: sharing expertise to improve teaching. Melbourne: Grattan Institute. Retrived online: </w:t>
      </w:r>
      <w:r w:rsidRPr="001A4DD4">
        <w:rPr>
          <w:rFonts w:asciiTheme="minorHAnsi" w:hAnsiTheme="minorHAnsi" w:cstheme="minorHAnsi"/>
          <w:noProof/>
          <w:sz w:val="22"/>
          <w:szCs w:val="22"/>
          <w:lang w:val="en-GB"/>
        </w:rPr>
        <w:t>https://grattan.edu.au/wp-content/uploads/2020/02/928-top-teachers.pdf</w:t>
      </w:r>
      <w:r>
        <w:rPr>
          <w:rFonts w:asciiTheme="minorHAnsi" w:hAnsiTheme="minorHAnsi" w:cstheme="minorHAnsi"/>
          <w:noProof/>
          <w:sz w:val="22"/>
          <w:szCs w:val="22"/>
          <w:lang w:val="en-GB"/>
        </w:rPr>
        <w:t>.</w:t>
      </w:r>
    </w:p>
    <w:p w14:paraId="664DC29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Goss, P., Sonnemann, J., &amp; Griffiths, K. (2017). Engaging students: creating classrooms that improve learning. Grattan Institute. Retrived online: </w:t>
      </w:r>
      <w:r w:rsidRPr="001A4DD4">
        <w:rPr>
          <w:rFonts w:asciiTheme="minorHAnsi" w:hAnsiTheme="minorHAnsi" w:cstheme="minorHAnsi"/>
          <w:noProof/>
          <w:sz w:val="22"/>
          <w:szCs w:val="22"/>
          <w:lang w:val="en-GB"/>
        </w:rPr>
        <w:t>https://grattan.edu.au/wp-content/uploads/2017/02/Engaging-students-creating-classrooms-that-improve-learning.pdf</w:t>
      </w:r>
      <w:r>
        <w:rPr>
          <w:rFonts w:asciiTheme="minorHAnsi" w:hAnsiTheme="minorHAnsi" w:cstheme="minorHAnsi"/>
          <w:noProof/>
          <w:sz w:val="22"/>
          <w:szCs w:val="22"/>
          <w:lang w:val="en-GB"/>
        </w:rPr>
        <w:t>.</w:t>
      </w:r>
    </w:p>
    <w:p w14:paraId="50303E9A" w14:textId="6E9479D8" w:rsidR="00011D0B" w:rsidRPr="00011D0B" w:rsidRDefault="00011D0B" w:rsidP="009D3F74">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Gottfried, M.A.</w:t>
      </w:r>
      <w:r w:rsidR="00126616">
        <w:rPr>
          <w:rFonts w:asciiTheme="minorHAnsi" w:hAnsiTheme="minorHAnsi" w:cstheme="minorHAnsi"/>
          <w:noProof/>
          <w:sz w:val="22"/>
          <w:szCs w:val="22"/>
          <w:lang w:val="en-GB"/>
        </w:rPr>
        <w:t xml:space="preserve"> (</w:t>
      </w:r>
      <w:r w:rsidRPr="00011D0B">
        <w:rPr>
          <w:rFonts w:asciiTheme="minorHAnsi" w:hAnsiTheme="minorHAnsi" w:cstheme="minorHAnsi"/>
          <w:noProof/>
          <w:sz w:val="22"/>
          <w:szCs w:val="22"/>
          <w:lang w:val="en-GB"/>
        </w:rPr>
        <w:t>2010</w:t>
      </w:r>
      <w:r w:rsidR="00126616">
        <w:rPr>
          <w:rFonts w:asciiTheme="minorHAnsi" w:hAnsiTheme="minorHAnsi" w:cstheme="minorHAnsi"/>
          <w:noProof/>
          <w:sz w:val="22"/>
          <w:szCs w:val="22"/>
          <w:lang w:val="en-GB"/>
        </w:rPr>
        <w:t>)</w:t>
      </w:r>
      <w:r w:rsidRPr="00011D0B">
        <w:rPr>
          <w:rFonts w:asciiTheme="minorHAnsi" w:hAnsiTheme="minorHAnsi" w:cstheme="minorHAnsi"/>
          <w:noProof/>
          <w:sz w:val="22"/>
          <w:szCs w:val="22"/>
          <w:lang w:val="en-GB"/>
        </w:rPr>
        <w:t>. Evaluating the relationship between student attendance and achievement in urban elementary and middle schools: An instrumental variables approach. American Educational Research Journal, 47(2), pp.434-465.</w:t>
      </w:r>
    </w:p>
    <w:p w14:paraId="65DE88E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Hajisoteriou, C., Karousiou, C., &amp; Angelides, P. (2018). Successful components of school improvement in culturally diverse schools. </w:t>
      </w:r>
      <w:r w:rsidRPr="00471C22">
        <w:rPr>
          <w:rFonts w:asciiTheme="minorHAnsi" w:hAnsiTheme="minorHAnsi" w:cstheme="minorHAnsi"/>
          <w:i/>
          <w:iCs/>
          <w:noProof/>
          <w:sz w:val="22"/>
          <w:szCs w:val="22"/>
        </w:rPr>
        <w:t>School Effectiveness and School Improvement, 29</w:t>
      </w:r>
      <w:r w:rsidRPr="00471C22">
        <w:rPr>
          <w:rFonts w:asciiTheme="minorHAnsi" w:hAnsiTheme="minorHAnsi" w:cstheme="minorHAnsi"/>
          <w:noProof/>
          <w:sz w:val="22"/>
          <w:szCs w:val="22"/>
        </w:rPr>
        <w:t xml:space="preserve">(1), 91-112. </w:t>
      </w:r>
    </w:p>
    <w:p w14:paraId="2537533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lastRenderedPageBreak/>
        <w:t xml:space="preserve">Hajisoteriou, C., Maniatis, P., &amp; Angelides, P. (2019). Teacher professional development for improving the intercultural school: An example of a participatory course on stereotypes. Education Inquiry, 10(2), 166-188. </w:t>
      </w:r>
    </w:p>
    <w:p w14:paraId="56620C5D" w14:textId="6930D0B0" w:rsidR="00EF5F2F" w:rsidRPr="00EF5F2F" w:rsidRDefault="00EF5F2F" w:rsidP="00EF5F2F">
      <w:pPr>
        <w:pStyle w:val="EndNoteBibliography"/>
        <w:spacing w:beforeLines="24" w:before="57"/>
        <w:ind w:left="720" w:hanging="720"/>
        <w:rPr>
          <w:rFonts w:asciiTheme="minorHAnsi" w:hAnsiTheme="minorHAnsi" w:cstheme="minorHAnsi"/>
          <w:noProof/>
          <w:sz w:val="22"/>
          <w:szCs w:val="22"/>
        </w:rPr>
      </w:pPr>
      <w:r w:rsidRPr="00EF5F2F">
        <w:rPr>
          <w:rFonts w:asciiTheme="minorHAnsi" w:hAnsiTheme="minorHAnsi" w:cstheme="minorHAnsi"/>
          <w:noProof/>
          <w:sz w:val="22"/>
          <w:szCs w:val="22"/>
        </w:rPr>
        <w:t xml:space="preserve">Hancock, K. J., Shepherd, C. C., Lawrence, D., &amp; Zubrick, S.R., </w:t>
      </w:r>
      <w:r w:rsidR="00126616">
        <w:rPr>
          <w:rFonts w:asciiTheme="minorHAnsi" w:hAnsiTheme="minorHAnsi" w:cstheme="minorHAnsi"/>
          <w:noProof/>
          <w:sz w:val="22"/>
          <w:szCs w:val="22"/>
        </w:rPr>
        <w:t>(</w:t>
      </w:r>
      <w:r w:rsidRPr="00EF5F2F">
        <w:rPr>
          <w:rFonts w:asciiTheme="minorHAnsi" w:hAnsiTheme="minorHAnsi" w:cstheme="minorHAnsi"/>
          <w:noProof/>
          <w:sz w:val="22"/>
          <w:szCs w:val="22"/>
        </w:rPr>
        <w:t>2013</w:t>
      </w:r>
      <w:r w:rsidR="00126616">
        <w:rPr>
          <w:rFonts w:asciiTheme="minorHAnsi" w:hAnsiTheme="minorHAnsi" w:cstheme="minorHAnsi"/>
          <w:noProof/>
          <w:sz w:val="22"/>
          <w:szCs w:val="22"/>
        </w:rPr>
        <w:t>)</w:t>
      </w:r>
      <w:r w:rsidRPr="00EF5F2F">
        <w:rPr>
          <w:rFonts w:asciiTheme="minorHAnsi" w:hAnsiTheme="minorHAnsi" w:cstheme="minorHAnsi"/>
          <w:noProof/>
          <w:sz w:val="22"/>
          <w:szCs w:val="22"/>
        </w:rPr>
        <w:t>. Student attendance and educational outcomes: Every day counts. Canberra: Department of Education, Employment and Workplace Relations.</w:t>
      </w:r>
    </w:p>
    <w:p w14:paraId="56807FD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Hands, C. (2013). Including all families in education: School district-level efforts to promote parent engagement in Ontario, Canada. </w:t>
      </w:r>
      <w:r w:rsidRPr="00471C22">
        <w:rPr>
          <w:rFonts w:asciiTheme="minorHAnsi" w:hAnsiTheme="minorHAnsi" w:cstheme="minorHAnsi"/>
          <w:i/>
          <w:iCs/>
          <w:noProof/>
          <w:sz w:val="22"/>
          <w:szCs w:val="22"/>
          <w:lang w:val="en-GB"/>
        </w:rPr>
        <w:t>Teaching Education</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24</w:t>
      </w:r>
      <w:r w:rsidRPr="00471C22">
        <w:rPr>
          <w:rFonts w:asciiTheme="minorHAnsi" w:hAnsiTheme="minorHAnsi" w:cstheme="minorHAnsi"/>
          <w:noProof/>
          <w:sz w:val="22"/>
          <w:szCs w:val="22"/>
          <w:lang w:val="en-GB"/>
        </w:rPr>
        <w:t>(2), 134-149.</w:t>
      </w:r>
    </w:p>
    <w:p w14:paraId="1AB5DFB5"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Hargreaves, D. (2005) Personalising Learning: Next Steps in Working Laterally In Children Taken Seriously in Theory, Policy and Practice. London: Jessica Kingsley Publishers.</w:t>
      </w:r>
    </w:p>
    <w:p w14:paraId="4E53F2DA"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lang w:val="en-GB"/>
        </w:rPr>
        <w:t>Harris, A. (2006). Leading change in schools in difficulty. </w:t>
      </w:r>
      <w:r w:rsidRPr="00011D0B">
        <w:rPr>
          <w:rFonts w:asciiTheme="minorHAnsi" w:hAnsiTheme="minorHAnsi" w:cstheme="minorHAnsi"/>
          <w:i/>
          <w:sz w:val="22"/>
          <w:szCs w:val="22"/>
          <w:shd w:val="clear" w:color="auto" w:fill="FFFFFF"/>
          <w:lang w:val="en-GB"/>
        </w:rPr>
        <w:t>Journal of Educational Change</w:t>
      </w:r>
      <w:r w:rsidRPr="00011D0B">
        <w:rPr>
          <w:rFonts w:asciiTheme="minorHAnsi" w:hAnsiTheme="minorHAnsi" w:cstheme="minorHAnsi"/>
          <w:sz w:val="22"/>
          <w:szCs w:val="22"/>
          <w:shd w:val="clear" w:color="auto" w:fill="FFFFFF"/>
          <w:lang w:val="en-GB"/>
        </w:rPr>
        <w:t>, </w:t>
      </w:r>
      <w:r w:rsidRPr="00011D0B">
        <w:rPr>
          <w:rFonts w:asciiTheme="minorHAnsi" w:hAnsiTheme="minorHAnsi" w:cstheme="minorHAnsi"/>
          <w:i/>
          <w:sz w:val="22"/>
          <w:szCs w:val="22"/>
          <w:shd w:val="clear" w:color="auto" w:fill="FFFFFF"/>
          <w:lang w:val="en-GB"/>
        </w:rPr>
        <w:t>7</w:t>
      </w:r>
      <w:r w:rsidRPr="00011D0B">
        <w:rPr>
          <w:rFonts w:asciiTheme="minorHAnsi" w:hAnsiTheme="minorHAnsi" w:cstheme="minorHAnsi"/>
          <w:sz w:val="22"/>
          <w:szCs w:val="22"/>
          <w:shd w:val="clear" w:color="auto" w:fill="FFFFFF"/>
          <w:lang w:val="en-GB"/>
        </w:rPr>
        <w:t>(1-2), 9-18.</w:t>
      </w:r>
    </w:p>
    <w:p w14:paraId="059875B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Harris, J. Knipe, S. Smithers, K. Ross, M. (2020a). School Improvement: A review of empirical research into the drivers and practices of school improvement (2015 – 2020). A paper developed for DET in collaboration with the University of Newcastle.</w:t>
      </w:r>
    </w:p>
    <w:p w14:paraId="44E8526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Harris, J. Knipe, S. Smithers, K. Ross, M. (2020b). Transitions for remote delivery to reopening: A review of evidence on school improvement for schools impacted by COVID 19. Melbourne: Departmemt of Education and Training. </w:t>
      </w:r>
    </w:p>
    <w:p w14:paraId="1FAF303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Hartman, J. J. (2018). See the connections? Addressing leadership and supervision challenges to support improved student achievement in a small rural school. </w:t>
      </w:r>
      <w:r w:rsidRPr="00471C22">
        <w:rPr>
          <w:rFonts w:asciiTheme="minorHAnsi" w:hAnsiTheme="minorHAnsi" w:cstheme="minorHAnsi"/>
          <w:i/>
          <w:iCs/>
          <w:noProof/>
          <w:sz w:val="22"/>
          <w:szCs w:val="22"/>
        </w:rPr>
        <w:t>Journal of Cases in Educational Leadership, 21</w:t>
      </w:r>
      <w:r w:rsidRPr="00471C22">
        <w:rPr>
          <w:rFonts w:asciiTheme="minorHAnsi" w:hAnsiTheme="minorHAnsi" w:cstheme="minorHAnsi"/>
          <w:noProof/>
          <w:sz w:val="22"/>
          <w:szCs w:val="22"/>
        </w:rPr>
        <w:t xml:space="preserve">(3), 36-47. </w:t>
      </w:r>
    </w:p>
    <w:p w14:paraId="1ED950D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Hattie, J. (2003). Teachers make a difference: what is the research evidence? Australian Council for Educational Research Melbourne. Retrieved online: </w:t>
      </w:r>
      <w:r w:rsidRPr="001A4DD4">
        <w:rPr>
          <w:rFonts w:asciiTheme="minorHAnsi" w:hAnsiTheme="minorHAnsi" w:cstheme="minorHAnsi"/>
          <w:noProof/>
          <w:sz w:val="22"/>
          <w:szCs w:val="22"/>
        </w:rPr>
        <w:t>http://www.decd.sa.gov.au/limestonecoast/files/pages/new%20page/PLC/teachers_make_a_difference.pdf</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11FE73E4"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Hattie, J. (2009) Visible Learning:</w:t>
      </w:r>
      <w:r w:rsidRPr="00471C22">
        <w:rPr>
          <w:rFonts w:asciiTheme="minorHAnsi" w:hAnsiTheme="minorHAnsi" w:cstheme="minorHAnsi"/>
          <w:sz w:val="22"/>
          <w:szCs w:val="22"/>
        </w:rPr>
        <w:t xml:space="preserve"> A synthesis of over 800 meta-analyses relating to achievement. Milton Park, UK: Routledge.</w:t>
      </w:r>
    </w:p>
    <w:p w14:paraId="69B09F0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Hattie, J. (2013). Calibration and confidence: Where to next?. Learning and instruction, 24, 62-66.Hattie, J., &amp; Timperley, H. (2007) The Power of Feedback. </w:t>
      </w:r>
      <w:r w:rsidRPr="00471C22">
        <w:rPr>
          <w:rFonts w:asciiTheme="minorHAnsi" w:hAnsiTheme="minorHAnsi" w:cstheme="minorHAnsi"/>
          <w:i/>
          <w:iCs/>
          <w:noProof/>
          <w:sz w:val="22"/>
          <w:szCs w:val="22"/>
        </w:rPr>
        <w:t>Review of Educational Research, 77</w:t>
      </w:r>
      <w:r w:rsidRPr="00471C22">
        <w:rPr>
          <w:rFonts w:asciiTheme="minorHAnsi" w:hAnsiTheme="minorHAnsi" w:cstheme="minorHAnsi"/>
          <w:noProof/>
          <w:sz w:val="22"/>
          <w:szCs w:val="22"/>
        </w:rPr>
        <w:t xml:space="preserve">(1), 81–112. </w:t>
      </w:r>
    </w:p>
    <w:p w14:paraId="37D0FDDF"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Hattie, J. (2015) High Impact Leadership. </w:t>
      </w:r>
      <w:r w:rsidRPr="00011D0B">
        <w:rPr>
          <w:rFonts w:asciiTheme="minorHAnsi" w:hAnsiTheme="minorHAnsi" w:cstheme="minorHAnsi"/>
          <w:i/>
          <w:sz w:val="22"/>
          <w:szCs w:val="22"/>
          <w:shd w:val="clear" w:color="auto" w:fill="FFFFFF"/>
        </w:rPr>
        <w:t>Educational Leadership</w:t>
      </w:r>
      <w:r w:rsidRPr="00011D0B">
        <w:rPr>
          <w:rFonts w:asciiTheme="minorHAnsi" w:hAnsiTheme="minorHAnsi" w:cstheme="minorHAnsi"/>
          <w:sz w:val="22"/>
          <w:szCs w:val="22"/>
          <w:shd w:val="clear" w:color="auto" w:fill="FFFFFF"/>
        </w:rPr>
        <w:t>, (February 2015), 36–40.</w:t>
      </w:r>
    </w:p>
    <w:p w14:paraId="67A82E4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0573BA">
        <w:rPr>
          <w:rFonts w:asciiTheme="minorHAnsi" w:hAnsiTheme="minorHAnsi" w:cstheme="minorHAnsi"/>
          <w:noProof/>
          <w:sz w:val="22"/>
          <w:szCs w:val="22"/>
        </w:rPr>
        <w:t xml:space="preserve">Hegberg, N. J. &amp; Tone, E. B., 2015. Physical activity and stress resilience: Considering those at-risk for developing mental health problems. </w:t>
      </w:r>
      <w:r w:rsidRPr="000573BA">
        <w:rPr>
          <w:rFonts w:asciiTheme="minorHAnsi" w:hAnsiTheme="minorHAnsi" w:cstheme="minorHAnsi"/>
          <w:i/>
          <w:iCs/>
          <w:noProof/>
          <w:sz w:val="22"/>
          <w:szCs w:val="22"/>
        </w:rPr>
        <w:t>Mental Health and Physical Activity, 8</w:t>
      </w:r>
      <w:r w:rsidRPr="000573BA">
        <w:rPr>
          <w:rFonts w:asciiTheme="minorHAnsi" w:hAnsiTheme="minorHAnsi" w:cstheme="minorHAnsi"/>
          <w:noProof/>
          <w:sz w:val="22"/>
          <w:szCs w:val="22"/>
        </w:rPr>
        <w:t>, 1-7.</w:t>
      </w:r>
    </w:p>
    <w:p w14:paraId="3A05151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Heitink, M., Van der Kleij, F. M., Veldkamp, B. P., Schildkamp, K., Kippers, W. B. (2016). A systematic review of prerequisites for implementing assessment for learning, </w:t>
      </w:r>
      <w:r w:rsidRPr="00471C22">
        <w:rPr>
          <w:rFonts w:asciiTheme="minorHAnsi" w:hAnsiTheme="minorHAnsi" w:cstheme="minorHAnsi"/>
          <w:i/>
          <w:iCs/>
          <w:noProof/>
          <w:sz w:val="22"/>
          <w:szCs w:val="22"/>
        </w:rPr>
        <w:t>Educational Research Review, 17</w:t>
      </w:r>
      <w:r w:rsidRPr="00471C22">
        <w:rPr>
          <w:rFonts w:asciiTheme="minorHAnsi" w:hAnsiTheme="minorHAnsi" w:cstheme="minorHAnsi"/>
          <w:noProof/>
          <w:sz w:val="22"/>
          <w:szCs w:val="22"/>
        </w:rPr>
        <w:t>(1)</w:t>
      </w:r>
      <w:r w:rsidRPr="00471C22">
        <w:rPr>
          <w:rFonts w:asciiTheme="minorHAnsi" w:hAnsiTheme="minorHAnsi" w:cstheme="minorHAnsi"/>
          <w:i/>
          <w:iCs/>
          <w:noProof/>
          <w:sz w:val="22"/>
          <w:szCs w:val="22"/>
        </w:rPr>
        <w:t>,</w:t>
      </w:r>
      <w:r w:rsidRPr="00471C22">
        <w:rPr>
          <w:rFonts w:asciiTheme="minorHAnsi" w:hAnsiTheme="minorHAnsi" w:cstheme="minorHAnsi"/>
          <w:noProof/>
          <w:sz w:val="22"/>
          <w:szCs w:val="22"/>
        </w:rPr>
        <w:t xml:space="preserve"> 50-62.</w:t>
      </w:r>
    </w:p>
    <w:p w14:paraId="7006FA6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 xml:space="preserve">Helal, M., &amp; Coelli, M. B. (2016). How principals affect schools. Melbourne Institute Working Paper Series, Working Paper No. 18/16. The University of Melbourne Faculy of Business and Economics. Retrieved from </w:t>
      </w:r>
      <w:r w:rsidRPr="001A4DD4">
        <w:rPr>
          <w:rFonts w:asciiTheme="minorHAnsi" w:hAnsiTheme="minorHAnsi" w:cstheme="minorHAnsi"/>
          <w:noProof/>
          <w:sz w:val="22"/>
          <w:szCs w:val="22"/>
          <w:lang w:val="en-GB"/>
        </w:rPr>
        <w:t>https://melbourneinstitute.unimelb.edu.au/downloads/working-paper-series/wp2016n18.pdf</w:t>
      </w:r>
      <w:r>
        <w:rPr>
          <w:rFonts w:asciiTheme="minorHAnsi" w:hAnsiTheme="minorHAnsi" w:cstheme="minorHAnsi"/>
          <w:noProof/>
          <w:sz w:val="22"/>
          <w:szCs w:val="22"/>
          <w:lang w:val="en-GB"/>
        </w:rPr>
        <w:t>.</w:t>
      </w:r>
      <w:r w:rsidRPr="00471C22">
        <w:rPr>
          <w:rFonts w:asciiTheme="minorHAnsi" w:hAnsiTheme="minorHAnsi" w:cstheme="minorHAnsi"/>
          <w:noProof/>
          <w:sz w:val="22"/>
          <w:szCs w:val="22"/>
          <w:lang w:val="en-GB"/>
        </w:rPr>
        <w:t xml:space="preserve"> </w:t>
      </w:r>
    </w:p>
    <w:p w14:paraId="56C05213"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Herlitz, L., MacIntyre, H., Osborn, T. &amp; Bonell, C. (2020). The sustainability of public health interventions in schools: a systematic review. </w:t>
      </w:r>
      <w:r w:rsidRPr="00471C22">
        <w:rPr>
          <w:rFonts w:asciiTheme="minorHAnsi" w:hAnsiTheme="minorHAnsi" w:cstheme="minorHAnsi"/>
          <w:i/>
          <w:sz w:val="22"/>
          <w:szCs w:val="22"/>
          <w:lang w:val="en-GB"/>
        </w:rPr>
        <w:t>Implementation Science, 15</w:t>
      </w:r>
      <w:r w:rsidRPr="00471C22">
        <w:rPr>
          <w:rFonts w:asciiTheme="minorHAnsi" w:hAnsiTheme="minorHAnsi" w:cstheme="minorHAnsi"/>
          <w:sz w:val="22"/>
          <w:szCs w:val="22"/>
          <w:lang w:val="en-GB"/>
        </w:rPr>
        <w:t>(4), 1-28.</w:t>
      </w:r>
    </w:p>
    <w:p w14:paraId="2B19800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Hodges, A., Cordier, R., Joosten, A., Bourke-Taylor, H., &amp; Speyer, R. (2018). Evaluating the psychometric quality of school connectedness measures: A systematic review. </w:t>
      </w:r>
      <w:r w:rsidRPr="00471C22">
        <w:rPr>
          <w:rFonts w:asciiTheme="minorHAnsi" w:hAnsiTheme="minorHAnsi" w:cstheme="minorHAnsi"/>
          <w:i/>
          <w:iCs/>
          <w:noProof/>
          <w:sz w:val="22"/>
          <w:szCs w:val="22"/>
          <w:lang w:val="en-GB"/>
        </w:rPr>
        <w:t>PloS one</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13</w:t>
      </w:r>
      <w:r w:rsidRPr="00471C22">
        <w:rPr>
          <w:rFonts w:asciiTheme="minorHAnsi" w:hAnsiTheme="minorHAnsi" w:cstheme="minorHAnsi"/>
          <w:noProof/>
          <w:sz w:val="22"/>
          <w:szCs w:val="22"/>
          <w:lang w:val="en-GB"/>
        </w:rPr>
        <w:t xml:space="preserve">(9), 1-27. </w:t>
      </w:r>
    </w:p>
    <w:p w14:paraId="0C51D102" w14:textId="7FF20AF4"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Holdsworth, R. </w:t>
      </w:r>
      <w:r w:rsidR="00011D0B" w:rsidRPr="00011D0B">
        <w:rPr>
          <w:rFonts w:asciiTheme="minorHAnsi" w:hAnsiTheme="minorHAnsi" w:cstheme="minorHAnsi"/>
          <w:noProof/>
          <w:sz w:val="22"/>
          <w:szCs w:val="22"/>
        </w:rPr>
        <w:t>(2005)</w:t>
      </w:r>
      <w:r w:rsidR="003E59C7">
        <w:rPr>
          <w:rFonts w:asciiTheme="minorHAnsi" w:hAnsiTheme="minorHAnsi" w:cstheme="minorHAnsi"/>
          <w:noProof/>
          <w:sz w:val="22"/>
          <w:szCs w:val="22"/>
        </w:rPr>
        <w:t>.</w:t>
      </w:r>
      <w:r w:rsidRPr="00471C22">
        <w:rPr>
          <w:rFonts w:asciiTheme="minorHAnsi" w:hAnsiTheme="minorHAnsi" w:cstheme="minorHAnsi"/>
          <w:noProof/>
          <w:sz w:val="22"/>
          <w:szCs w:val="22"/>
        </w:rPr>
        <w:t xml:space="preserve"> Taking Young People Seriously Means Giving Them Serious Things To Do In </w:t>
      </w:r>
      <w:r w:rsidRPr="00471C22">
        <w:rPr>
          <w:rFonts w:asciiTheme="minorHAnsi" w:hAnsiTheme="minorHAnsi" w:cstheme="minorHAnsi"/>
          <w:i/>
          <w:sz w:val="22"/>
          <w:szCs w:val="22"/>
        </w:rPr>
        <w:t>Children Taken Seriously in Theory, Policy and Practice</w:t>
      </w:r>
      <w:r w:rsidRPr="00471C22">
        <w:rPr>
          <w:rFonts w:asciiTheme="minorHAnsi" w:hAnsiTheme="minorHAnsi" w:cstheme="minorHAnsi"/>
          <w:sz w:val="22"/>
          <w:szCs w:val="22"/>
        </w:rPr>
        <w:t>. London: Jessica Kingsley Publishers.</w:t>
      </w:r>
    </w:p>
    <w:p w14:paraId="39CBF73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Hollingworth, L., Olsen, D., Asikin-Garmager, A., &amp; Winn, K. M. (2018). Initiating conversations and opening doors: How principals establish a positive building culture to sustain school </w:t>
      </w:r>
      <w:r w:rsidRPr="00471C22">
        <w:rPr>
          <w:rFonts w:asciiTheme="minorHAnsi" w:hAnsiTheme="minorHAnsi" w:cstheme="minorHAnsi"/>
          <w:noProof/>
          <w:sz w:val="22"/>
          <w:szCs w:val="22"/>
        </w:rPr>
        <w:lastRenderedPageBreak/>
        <w:t xml:space="preserve">improvement efforts. </w:t>
      </w:r>
      <w:r w:rsidRPr="00471C22">
        <w:rPr>
          <w:rFonts w:asciiTheme="minorHAnsi" w:hAnsiTheme="minorHAnsi" w:cstheme="minorHAnsi"/>
          <w:i/>
          <w:iCs/>
          <w:noProof/>
          <w:sz w:val="22"/>
          <w:szCs w:val="22"/>
        </w:rPr>
        <w:t>Educational Management Administration &amp; Leadership, 46</w:t>
      </w:r>
      <w:r w:rsidRPr="00471C22">
        <w:rPr>
          <w:rFonts w:asciiTheme="minorHAnsi" w:hAnsiTheme="minorHAnsi" w:cstheme="minorHAnsi"/>
          <w:noProof/>
          <w:sz w:val="22"/>
          <w:szCs w:val="22"/>
        </w:rPr>
        <w:t xml:space="preserve">(6), 1014-1034. </w:t>
      </w:r>
    </w:p>
    <w:p w14:paraId="60D8E43B"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Holt, M.K., Vivolo-Kantor, A.M., Polanin, J.R., Holland, K.M., DeGue, S., Matjasko, J.L., Wolfe, M. &amp; Reid, G. (2015). Bullying and suicidal ideation and behaviours: a meta-analysis. Pediatrics, Vol. 135 No. 2, pp.496-509.</w:t>
      </w:r>
    </w:p>
    <w:p w14:paraId="7BB89C0C" w14:textId="77777777" w:rsidR="00EE7F52" w:rsidRDefault="00EE7F52" w:rsidP="00EE7F52">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Hoogsteen, T. (2020). Collective efficacty: toward a new narrative of its development and role in achievement. Palgrave Communications.</w:t>
      </w:r>
    </w:p>
    <w:p w14:paraId="744778C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Hoover-Dempsey, K. V., Walker, J. M., Sandler, H. M., Whetsel, D., Green, C. L., Wilkins, A. S., &amp; Closson, K. (2005). Why do parents become involved? Research findings and implications. </w:t>
      </w:r>
      <w:r w:rsidRPr="00471C22">
        <w:rPr>
          <w:rFonts w:asciiTheme="minorHAnsi" w:hAnsiTheme="minorHAnsi" w:cstheme="minorHAnsi"/>
          <w:i/>
          <w:iCs/>
          <w:noProof/>
          <w:sz w:val="22"/>
          <w:szCs w:val="22"/>
          <w:lang w:val="en-GB"/>
        </w:rPr>
        <w:t>The elementary school journal</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106</w:t>
      </w:r>
      <w:r w:rsidRPr="00471C22">
        <w:rPr>
          <w:rFonts w:asciiTheme="minorHAnsi" w:hAnsiTheme="minorHAnsi" w:cstheme="minorHAnsi"/>
          <w:noProof/>
          <w:sz w:val="22"/>
          <w:szCs w:val="22"/>
          <w:lang w:val="en-GB"/>
        </w:rPr>
        <w:t>(2), 105-130.</w:t>
      </w:r>
    </w:p>
    <w:p w14:paraId="74F19DBE"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t>Houghton, A., &amp; Anderson, J. (2017). Embedding mental wellbeing in the curriculum: maximising success in higher education. Higher Education Academy. Retrieved from https://s3.eu-west-2.amazonaws.com/assets.creode.advancehe-document-manager/documents/hea/private/hub/download/embedding_wellbeing_in_he_1568037359.pdf.</w:t>
      </w:r>
    </w:p>
    <w:p w14:paraId="743D836C"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Housman, D. K. (2017). The importance of emotional competence and self-regulation from birth: A case for the evidence-based emotional cognitive social early learning approach. </w:t>
      </w:r>
      <w:r w:rsidRPr="00471C22">
        <w:rPr>
          <w:rFonts w:cstheme="minorHAnsi"/>
          <w:i/>
          <w:iCs/>
          <w:szCs w:val="22"/>
        </w:rPr>
        <w:t>International Journal of Child Care and Education Policy</w:t>
      </w:r>
      <w:r w:rsidRPr="00471C22">
        <w:rPr>
          <w:rFonts w:cstheme="minorHAnsi"/>
          <w:szCs w:val="22"/>
        </w:rPr>
        <w:t>, 11(1), 13.</w:t>
      </w:r>
    </w:p>
    <w:p w14:paraId="76E7BABF" w14:textId="77777777" w:rsidR="00EE7F52" w:rsidRPr="00471C22" w:rsidRDefault="00EE7F52" w:rsidP="00471C22">
      <w:pPr>
        <w:spacing w:beforeLines="24" w:before="57"/>
        <w:ind w:left="709" w:hanging="720"/>
        <w:rPr>
          <w:rFonts w:cstheme="minorHAnsi"/>
          <w:szCs w:val="22"/>
          <w:shd w:val="clear" w:color="auto" w:fill="FFFFFF"/>
        </w:rPr>
      </w:pPr>
      <w:r w:rsidRPr="00471C22">
        <w:rPr>
          <w:rFonts w:cstheme="minorHAnsi"/>
          <w:szCs w:val="22"/>
          <w:shd w:val="clear" w:color="auto" w:fill="FFFFFF"/>
        </w:rPr>
        <w:t>Huffman, J. (2003). The role of shared values and vision in creating professional learning communities.</w:t>
      </w:r>
      <w:r w:rsidRPr="00471C22">
        <w:rPr>
          <w:rFonts w:cstheme="minorHAnsi"/>
          <w:i/>
          <w:iCs/>
          <w:szCs w:val="22"/>
          <w:shd w:val="clear" w:color="auto" w:fill="FFFFFF"/>
        </w:rPr>
        <w:t> National Association of Secondary School Principals.</w:t>
      </w:r>
      <w:r>
        <w:rPr>
          <w:rFonts w:cstheme="minorHAnsi"/>
          <w:i/>
          <w:iCs/>
          <w:szCs w:val="22"/>
          <w:shd w:val="clear" w:color="auto" w:fill="FFFFFF"/>
        </w:rPr>
        <w:t xml:space="preserve"> </w:t>
      </w:r>
      <w:r w:rsidRPr="00471C22">
        <w:rPr>
          <w:rFonts w:cstheme="minorHAnsi"/>
          <w:i/>
          <w:iCs/>
          <w:szCs w:val="22"/>
          <w:shd w:val="clear" w:color="auto" w:fill="FFFFFF"/>
        </w:rPr>
        <w:t>NASSP Bulletin, 87</w:t>
      </w:r>
      <w:r w:rsidRPr="00471C22">
        <w:rPr>
          <w:rFonts w:cstheme="minorHAnsi"/>
          <w:szCs w:val="22"/>
          <w:shd w:val="clear" w:color="auto" w:fill="FFFFFF"/>
        </w:rPr>
        <w:t xml:space="preserve">(637), 21-34. </w:t>
      </w:r>
    </w:p>
    <w:p w14:paraId="32F41C9C" w14:textId="77777777" w:rsidR="00EE7F52" w:rsidRPr="00471C22" w:rsidRDefault="00EE7F52" w:rsidP="00471C22">
      <w:pPr>
        <w:spacing w:beforeLines="24" w:before="57"/>
        <w:ind w:left="709" w:hanging="720"/>
        <w:rPr>
          <w:rFonts w:cstheme="minorHAnsi"/>
          <w:szCs w:val="22"/>
          <w:shd w:val="clear" w:color="auto" w:fill="FFFFFF"/>
        </w:rPr>
      </w:pPr>
      <w:r w:rsidRPr="00471C22">
        <w:rPr>
          <w:rFonts w:cstheme="minorHAnsi"/>
          <w:szCs w:val="22"/>
          <w:shd w:val="clear" w:color="auto" w:fill="FFFFFF"/>
        </w:rPr>
        <w:t>Inlay, L. T. (2016). Creating a culture of respect through the implicit curriculum.</w:t>
      </w:r>
      <w:r w:rsidRPr="00471C22">
        <w:rPr>
          <w:rFonts w:cstheme="minorHAnsi"/>
          <w:i/>
          <w:iCs/>
          <w:szCs w:val="22"/>
          <w:shd w:val="clear" w:color="auto" w:fill="FFFFFF"/>
        </w:rPr>
        <w:t> Middle School Journal, </w:t>
      </w:r>
      <w:r w:rsidRPr="00471C22">
        <w:rPr>
          <w:rFonts w:cstheme="minorHAnsi"/>
          <w:szCs w:val="22"/>
          <w:shd w:val="clear" w:color="auto" w:fill="FFFFFF"/>
        </w:rPr>
        <w:t xml:space="preserve">47(2), 23-31. </w:t>
      </w:r>
    </w:p>
    <w:p w14:paraId="59FA63D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Jamal, F., Fletcher, A., Harden, A., Wells, H., Thomas, J., &amp; Bonell, C. (2013). The school environment and student health: a systematic review and meta-ethnography of qualitative research. </w:t>
      </w:r>
      <w:r w:rsidRPr="00471C22">
        <w:rPr>
          <w:rFonts w:asciiTheme="minorHAnsi" w:hAnsiTheme="minorHAnsi" w:cstheme="minorHAnsi"/>
          <w:i/>
          <w:iCs/>
          <w:noProof/>
          <w:sz w:val="22"/>
          <w:szCs w:val="22"/>
          <w:lang w:val="en-GB"/>
        </w:rPr>
        <w:t>BMC public health</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13</w:t>
      </w:r>
      <w:r w:rsidRPr="00471C22">
        <w:rPr>
          <w:rFonts w:asciiTheme="minorHAnsi" w:hAnsiTheme="minorHAnsi" w:cstheme="minorHAnsi"/>
          <w:noProof/>
          <w:sz w:val="22"/>
          <w:szCs w:val="22"/>
          <w:lang w:val="en-GB"/>
        </w:rPr>
        <w:t>(1), 1-11.</w:t>
      </w:r>
    </w:p>
    <w:p w14:paraId="75D405EA"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Jamtsho, S. (2015). Implementing a Whole-School Appr</w:t>
      </w:r>
      <w:proofErr w:type="spellStart"/>
      <w:r w:rsidRPr="00471C22">
        <w:rPr>
          <w:rFonts w:asciiTheme="minorHAnsi" w:hAnsiTheme="minorHAnsi" w:cstheme="minorHAnsi"/>
          <w:sz w:val="22"/>
          <w:szCs w:val="22"/>
          <w:lang w:val="en-GB"/>
        </w:rPr>
        <w:t>oach</w:t>
      </w:r>
      <w:proofErr w:type="spellEnd"/>
      <w:r w:rsidRPr="00471C22">
        <w:rPr>
          <w:rFonts w:asciiTheme="minorHAnsi" w:hAnsiTheme="minorHAnsi" w:cstheme="minorHAnsi"/>
          <w:sz w:val="22"/>
          <w:szCs w:val="22"/>
          <w:lang w:val="en-GB"/>
        </w:rPr>
        <w:t xml:space="preserve"> to Student Wellbeing: A Study Examining the Implementation Experiences of Bhutanese and Australian Teachers in Wellbeing Leadership Roles. Melbourne: Melbourne Graduate School of Education, The University Melbourne.</w:t>
      </w:r>
    </w:p>
    <w:p w14:paraId="026DEF20" w14:textId="74B811AD" w:rsidR="00770CBE" w:rsidRDefault="00770CBE" w:rsidP="00770CBE">
      <w:pPr>
        <w:pStyle w:val="EndNoteBibliography"/>
        <w:spacing w:beforeLines="24" w:before="57"/>
        <w:ind w:left="720" w:hanging="720"/>
        <w:rPr>
          <w:rFonts w:asciiTheme="minorHAnsi" w:hAnsiTheme="minorHAnsi" w:cstheme="minorHAnsi"/>
          <w:noProof/>
          <w:sz w:val="22"/>
          <w:szCs w:val="22"/>
        </w:rPr>
      </w:pPr>
      <w:r w:rsidRPr="00770CBE">
        <w:rPr>
          <w:rFonts w:asciiTheme="minorHAnsi" w:hAnsiTheme="minorHAnsi" w:cstheme="minorHAnsi"/>
          <w:noProof/>
          <w:sz w:val="22"/>
          <w:szCs w:val="22"/>
        </w:rPr>
        <w:t xml:space="preserve">Jansen, D., Vervoort, J., Visser, A., Reijneveld, S., Kocken, P., de Lijster, G. and Michaud, P., </w:t>
      </w:r>
      <w:r w:rsidR="003E59C7">
        <w:rPr>
          <w:rFonts w:asciiTheme="minorHAnsi" w:hAnsiTheme="minorHAnsi" w:cstheme="minorHAnsi"/>
          <w:noProof/>
          <w:sz w:val="22"/>
          <w:szCs w:val="22"/>
        </w:rPr>
        <w:t>(</w:t>
      </w:r>
      <w:r w:rsidRPr="00770CBE">
        <w:rPr>
          <w:rFonts w:asciiTheme="minorHAnsi" w:hAnsiTheme="minorHAnsi" w:cstheme="minorHAnsi"/>
          <w:noProof/>
          <w:sz w:val="22"/>
          <w:szCs w:val="22"/>
        </w:rPr>
        <w:t>2019</w:t>
      </w:r>
      <w:r w:rsidR="003E59C7">
        <w:rPr>
          <w:rFonts w:asciiTheme="minorHAnsi" w:hAnsiTheme="minorHAnsi" w:cstheme="minorHAnsi"/>
          <w:noProof/>
          <w:sz w:val="22"/>
          <w:szCs w:val="22"/>
        </w:rPr>
        <w:t>)</w:t>
      </w:r>
      <w:r w:rsidRPr="00770CBE">
        <w:rPr>
          <w:rFonts w:asciiTheme="minorHAnsi" w:hAnsiTheme="minorHAnsi" w:cstheme="minorHAnsi"/>
          <w:noProof/>
          <w:sz w:val="22"/>
          <w:szCs w:val="22"/>
        </w:rPr>
        <w:t>. School Health Services. Blair, M., Rigby, M. and Alexander, D. (Ed.) Issues and Opportunities in Primary Health Care for Children in Europe. Emerald Publishing Limited, pp. 219-236.</w:t>
      </w:r>
    </w:p>
    <w:p w14:paraId="61F3DCAA" w14:textId="0AEEB3A1"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Jeynes, W. (2012) A Meta-Analysis of the Efficacy of Different Types of Parental Involvement Programs for Urban Students. </w:t>
      </w:r>
      <w:r w:rsidRPr="00471C22">
        <w:rPr>
          <w:rFonts w:asciiTheme="minorHAnsi" w:hAnsiTheme="minorHAnsi" w:cstheme="minorHAnsi"/>
          <w:i/>
          <w:iCs/>
          <w:noProof/>
          <w:sz w:val="22"/>
          <w:szCs w:val="22"/>
        </w:rPr>
        <w:t>Urban Education, 47</w:t>
      </w:r>
      <w:r w:rsidRPr="00471C22">
        <w:rPr>
          <w:rFonts w:asciiTheme="minorHAnsi" w:hAnsiTheme="minorHAnsi" w:cstheme="minorHAnsi"/>
          <w:noProof/>
          <w:sz w:val="22"/>
          <w:szCs w:val="22"/>
        </w:rPr>
        <w:t xml:space="preserve">(4), 706–742. </w:t>
      </w:r>
    </w:p>
    <w:p w14:paraId="63654CE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AU"/>
        </w:rPr>
        <w:t xml:space="preserve">Johns M.M., Lowry R., Rasberry C.N. 2018. Violence Victimisation, Substance Use, and Suicide Risk Among Sexual Minority High School Students — United States, 2015–2017. </w:t>
      </w:r>
      <w:r w:rsidRPr="00471C22">
        <w:rPr>
          <w:rFonts w:asciiTheme="minorHAnsi" w:hAnsiTheme="minorHAnsi" w:cstheme="minorHAnsi"/>
          <w:i/>
          <w:iCs/>
          <w:noProof/>
          <w:sz w:val="22"/>
          <w:szCs w:val="22"/>
          <w:lang w:val="en-AU"/>
        </w:rPr>
        <w:t>Morbidity and Mortality Weekly Report, 67</w:t>
      </w:r>
      <w:r w:rsidRPr="00471C22">
        <w:rPr>
          <w:rFonts w:asciiTheme="minorHAnsi" w:hAnsiTheme="minorHAnsi" w:cstheme="minorHAnsi"/>
          <w:noProof/>
          <w:sz w:val="22"/>
          <w:szCs w:val="22"/>
          <w:lang w:val="en-AU"/>
        </w:rPr>
        <w:t>, 1211-1215.</w:t>
      </w:r>
    </w:p>
    <w:p w14:paraId="40454B3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Jones, C. M., &amp; Thessin, R., A. (2017). Sustaining continous improvement through Professional Learning Communities in a secondary school. </w:t>
      </w:r>
      <w:r w:rsidRPr="00471C22">
        <w:rPr>
          <w:rFonts w:asciiTheme="minorHAnsi" w:hAnsiTheme="minorHAnsi" w:cstheme="minorHAnsi"/>
          <w:i/>
          <w:iCs/>
          <w:noProof/>
          <w:sz w:val="22"/>
          <w:szCs w:val="22"/>
        </w:rPr>
        <w:t>Journal of School Leadership, 27</w:t>
      </w:r>
      <w:r w:rsidRPr="00471C22">
        <w:rPr>
          <w:rFonts w:asciiTheme="minorHAnsi" w:hAnsiTheme="minorHAnsi" w:cstheme="minorHAnsi"/>
          <w:noProof/>
          <w:sz w:val="22"/>
          <w:szCs w:val="22"/>
        </w:rPr>
        <w:t xml:space="preserve">(2), 214-241. </w:t>
      </w:r>
    </w:p>
    <w:p w14:paraId="3D64118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Jones, C. M., &amp; Thessin, R., A. (2017). Sustaining continous improvement through Professional Learning Communities in a secondary school. </w:t>
      </w:r>
      <w:r w:rsidRPr="00471C22">
        <w:rPr>
          <w:rFonts w:asciiTheme="minorHAnsi" w:hAnsiTheme="minorHAnsi" w:cstheme="minorHAnsi"/>
          <w:i/>
          <w:noProof/>
          <w:sz w:val="22"/>
          <w:szCs w:val="22"/>
        </w:rPr>
        <w:t>Journal of School Leadership, 27</w:t>
      </w:r>
      <w:r w:rsidRPr="00471C22">
        <w:rPr>
          <w:rFonts w:asciiTheme="minorHAnsi" w:hAnsiTheme="minorHAnsi" w:cstheme="minorHAnsi"/>
          <w:noProof/>
          <w:sz w:val="22"/>
          <w:szCs w:val="22"/>
        </w:rPr>
        <w:t xml:space="preserve">(2), 214-241. </w:t>
      </w:r>
    </w:p>
    <w:p w14:paraId="4301C5A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Jones, S., Brush, K., Bailey, R., Brion-Meisels, G., McIntyre, J., Kahn, J., Nelson, B. &amp; Stickle, L. (2017). Navigating SEL from the inside out: Looking inside and across 25 leading SEL programs (Elementary school focus). Retrieved online </w:t>
      </w:r>
      <w:hyperlink r:id="rId22" w:history="1">
        <w:r w:rsidRPr="00471C22">
          <w:rPr>
            <w:rFonts w:asciiTheme="minorHAnsi" w:hAnsiTheme="minorHAnsi" w:cstheme="minorHAnsi"/>
            <w:noProof/>
            <w:sz w:val="22"/>
            <w:szCs w:val="22"/>
          </w:rPr>
          <w:t>https://www.wallacefoundation.org/knowledge-center/Documents/Navigating-Social-and-Emotional-Learning-from-the-Inside-Out.pdf</w:t>
        </w:r>
      </w:hyperlink>
      <w:r w:rsidRPr="00471C22">
        <w:rPr>
          <w:rFonts w:asciiTheme="minorHAnsi" w:hAnsiTheme="minorHAnsi" w:cstheme="minorHAnsi"/>
          <w:noProof/>
          <w:sz w:val="22"/>
          <w:szCs w:val="22"/>
        </w:rPr>
        <w:t xml:space="preserve">  </w:t>
      </w:r>
    </w:p>
    <w:p w14:paraId="3609894A" w14:textId="77E91117" w:rsidR="00011D0B" w:rsidRPr="00011D0B" w:rsidRDefault="00011D0B" w:rsidP="00FE0180">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lastRenderedPageBreak/>
        <w:t xml:space="preserve">Juvonen, J., Nishina, A. and Graham, S., </w:t>
      </w:r>
      <w:r w:rsidR="003E59C7">
        <w:rPr>
          <w:rFonts w:asciiTheme="minorHAnsi" w:hAnsiTheme="minorHAnsi" w:cstheme="minorHAnsi"/>
          <w:noProof/>
          <w:sz w:val="22"/>
          <w:szCs w:val="22"/>
        </w:rPr>
        <w:t>(</w:t>
      </w:r>
      <w:r w:rsidRPr="00011D0B">
        <w:rPr>
          <w:rFonts w:asciiTheme="minorHAnsi" w:hAnsiTheme="minorHAnsi" w:cstheme="minorHAnsi"/>
          <w:noProof/>
          <w:sz w:val="22"/>
          <w:szCs w:val="22"/>
        </w:rPr>
        <w:t>2006</w:t>
      </w:r>
      <w:r w:rsidR="003E59C7">
        <w:rPr>
          <w:rFonts w:asciiTheme="minorHAnsi" w:hAnsiTheme="minorHAnsi" w:cstheme="minorHAnsi"/>
          <w:noProof/>
          <w:sz w:val="22"/>
          <w:szCs w:val="22"/>
        </w:rPr>
        <w:t>)</w:t>
      </w:r>
      <w:r w:rsidRPr="00011D0B">
        <w:rPr>
          <w:rFonts w:asciiTheme="minorHAnsi" w:hAnsiTheme="minorHAnsi" w:cstheme="minorHAnsi"/>
          <w:noProof/>
          <w:sz w:val="22"/>
          <w:szCs w:val="22"/>
        </w:rPr>
        <w:t>. Ethnic diversity and perceptions of safety in urban middle schools. Psychological Science, 17(5), pp.393-400.</w:t>
      </w:r>
    </w:p>
    <w:p w14:paraId="26E4B6F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Kalb, G. &amp; van Ours, J. C. (2014). Reading to young children: A head-start in life? </w:t>
      </w:r>
      <w:r w:rsidRPr="00471C22">
        <w:rPr>
          <w:rFonts w:asciiTheme="minorHAnsi" w:hAnsiTheme="minorHAnsi" w:cstheme="minorHAnsi"/>
          <w:i/>
          <w:iCs/>
          <w:noProof/>
          <w:sz w:val="22"/>
          <w:szCs w:val="22"/>
          <w:lang w:val="en-GB"/>
        </w:rPr>
        <w:t>Economics of Education Review</w:t>
      </w:r>
      <w:r w:rsidRPr="00471C22">
        <w:rPr>
          <w:rFonts w:asciiTheme="minorHAnsi" w:hAnsiTheme="minorHAnsi" w:cstheme="minorHAnsi"/>
          <w:noProof/>
          <w:sz w:val="22"/>
          <w:szCs w:val="22"/>
          <w:lang w:val="en-GB"/>
        </w:rPr>
        <w:t>, 40 pp. 1-24.</w:t>
      </w:r>
      <w:r w:rsidRPr="00471C22">
        <w:rPr>
          <w:rFonts w:asciiTheme="minorHAnsi" w:hAnsiTheme="minorHAnsi" w:cstheme="minorHAnsi"/>
          <w:noProof/>
          <w:sz w:val="22"/>
          <w:szCs w:val="22"/>
        </w:rPr>
        <w:t xml:space="preserve"> Retrieved online </w:t>
      </w:r>
      <w:r w:rsidRPr="001A4DD4">
        <w:rPr>
          <w:rFonts w:asciiTheme="minorHAnsi" w:hAnsiTheme="minorHAnsi" w:cstheme="minorHAnsi"/>
          <w:noProof/>
          <w:sz w:val="22"/>
          <w:szCs w:val="22"/>
        </w:rPr>
        <w:t>https://www.melbourneinstitute.com/downloads/working_paper_series/wp2013n17.pdf</w:t>
      </w:r>
      <w:r>
        <w:rPr>
          <w:rFonts w:asciiTheme="minorHAnsi" w:hAnsiTheme="minorHAnsi" w:cstheme="minorHAnsi"/>
          <w:noProof/>
          <w:sz w:val="22"/>
          <w:szCs w:val="22"/>
        </w:rPr>
        <w:t>.</w:t>
      </w:r>
    </w:p>
    <w:p w14:paraId="2F4D29A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Kang, S. H. (2016). Spaced repetition promotes efficient and effective learning: Policy implications for instruction</w:t>
      </w:r>
      <w:r w:rsidRPr="00471C22">
        <w:rPr>
          <w:rFonts w:asciiTheme="minorHAnsi" w:hAnsiTheme="minorHAnsi" w:cstheme="minorHAnsi"/>
          <w:i/>
          <w:iCs/>
          <w:noProof/>
          <w:sz w:val="22"/>
          <w:szCs w:val="22"/>
          <w:lang w:val="en-GB"/>
        </w:rPr>
        <w:t>. </w:t>
      </w:r>
      <w:r w:rsidRPr="00471C22">
        <w:rPr>
          <w:rFonts w:asciiTheme="minorHAnsi" w:hAnsiTheme="minorHAnsi" w:cstheme="minorHAnsi"/>
          <w:noProof/>
          <w:sz w:val="22"/>
          <w:szCs w:val="22"/>
          <w:lang w:val="en-GB"/>
        </w:rPr>
        <w:t>Policy Insights from for instruction.</w:t>
      </w:r>
      <w:r w:rsidRPr="00471C22">
        <w:rPr>
          <w:rFonts w:asciiTheme="minorHAnsi" w:hAnsiTheme="minorHAnsi" w:cstheme="minorHAnsi"/>
          <w:i/>
          <w:iCs/>
          <w:noProof/>
          <w:sz w:val="22"/>
          <w:szCs w:val="22"/>
          <w:lang w:val="en-GB"/>
        </w:rPr>
        <w:t> Policy Insights from the Behavioral and Brain Sciences, 3</w:t>
      </w:r>
      <w:r w:rsidRPr="00471C22">
        <w:rPr>
          <w:rFonts w:asciiTheme="minorHAnsi" w:hAnsiTheme="minorHAnsi" w:cstheme="minorHAnsi"/>
          <w:noProof/>
          <w:sz w:val="22"/>
          <w:szCs w:val="22"/>
          <w:lang w:val="en-GB"/>
        </w:rPr>
        <w:t>(1), 12-19.</w:t>
      </w:r>
      <w:r w:rsidRPr="00471C22">
        <w:rPr>
          <w:rFonts w:asciiTheme="minorHAnsi" w:hAnsiTheme="minorHAnsi" w:cstheme="minorHAnsi"/>
          <w:i/>
          <w:iCs/>
          <w:noProof/>
          <w:sz w:val="22"/>
          <w:szCs w:val="22"/>
          <w:lang w:val="en-GB"/>
        </w:rPr>
        <w:t> </w:t>
      </w:r>
    </w:p>
    <w:p w14:paraId="3E44D84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Karagiorgi, Y., Afantiti-Lamprianou, T., Alexandrou-Leonidou, V., Karamanou, M., &amp; Symeou, L. (2018). 'Out of the Box' leadership: Action research towards school improvement. </w:t>
      </w:r>
      <w:r w:rsidRPr="00471C22">
        <w:rPr>
          <w:rFonts w:asciiTheme="minorHAnsi" w:hAnsiTheme="minorHAnsi" w:cstheme="minorHAnsi"/>
          <w:i/>
          <w:iCs/>
          <w:noProof/>
          <w:sz w:val="22"/>
          <w:szCs w:val="22"/>
        </w:rPr>
        <w:t>Educational Action Research, 26</w:t>
      </w:r>
      <w:r w:rsidRPr="00471C22">
        <w:rPr>
          <w:rFonts w:asciiTheme="minorHAnsi" w:hAnsiTheme="minorHAnsi" w:cstheme="minorHAnsi"/>
          <w:noProof/>
          <w:sz w:val="22"/>
          <w:szCs w:val="22"/>
        </w:rPr>
        <w:t xml:space="preserve">(2), 239-257. </w:t>
      </w:r>
    </w:p>
    <w:p w14:paraId="7229A3A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Karami-Akkary, R., Mahfouz, J., &amp; Mansour, S. (2019). Sustaining school-based improvement: Considering emotional responses to change. Journal of Educational Administration, 57(1), 50-67. </w:t>
      </w:r>
    </w:p>
    <w:p w14:paraId="4278670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Katewa, E., &amp; Heystek, J. (2019). Instructional and distributed self-leadership for school improvement: Experiences of schools in the Kavango Region. </w:t>
      </w:r>
      <w:r w:rsidRPr="00471C22">
        <w:rPr>
          <w:rFonts w:asciiTheme="minorHAnsi" w:hAnsiTheme="minorHAnsi" w:cstheme="minorHAnsi"/>
          <w:i/>
          <w:iCs/>
          <w:noProof/>
          <w:sz w:val="22"/>
          <w:szCs w:val="22"/>
        </w:rPr>
        <w:t>Africa Education Review, 16</w:t>
      </w:r>
      <w:r w:rsidRPr="00471C22">
        <w:rPr>
          <w:rFonts w:asciiTheme="minorHAnsi" w:hAnsiTheme="minorHAnsi" w:cstheme="minorHAnsi"/>
          <w:noProof/>
          <w:sz w:val="22"/>
          <w:szCs w:val="22"/>
        </w:rPr>
        <w:t xml:space="preserve">(2), 69-89. </w:t>
      </w:r>
    </w:p>
    <w:p w14:paraId="20147EB0" w14:textId="77777777" w:rsidR="00011D0B" w:rsidRPr="00011D0B" w:rsidRDefault="00011D0B" w:rsidP="004D660D">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Keating, D. P., &amp; Hertzman, C. (1999). Developmental health and the wealth of nations: Social, biological, and educational dynamics. New York: The Guilford Press.</w:t>
      </w:r>
    </w:p>
    <w:p w14:paraId="4D4CD9F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Kelley, C., &amp; Dikkers, S. (2016). Framing feedback for school improvement around distributed leadership. </w:t>
      </w:r>
      <w:r w:rsidRPr="00471C22">
        <w:rPr>
          <w:rFonts w:asciiTheme="minorHAnsi" w:hAnsiTheme="minorHAnsi" w:cstheme="minorHAnsi"/>
          <w:i/>
          <w:iCs/>
          <w:noProof/>
          <w:sz w:val="22"/>
          <w:szCs w:val="22"/>
        </w:rPr>
        <w:t>Educational Administration Quarterly, 52</w:t>
      </w:r>
      <w:r w:rsidRPr="00471C22">
        <w:rPr>
          <w:rFonts w:asciiTheme="minorHAnsi" w:hAnsiTheme="minorHAnsi" w:cstheme="minorHAnsi"/>
          <w:noProof/>
          <w:sz w:val="22"/>
          <w:szCs w:val="22"/>
        </w:rPr>
        <w:t xml:space="preserve">(3), 392-422. </w:t>
      </w:r>
    </w:p>
    <w:p w14:paraId="1851A847" w14:textId="77777777" w:rsidR="00011D0B" w:rsidRPr="00011D0B" w:rsidRDefault="00011D0B" w:rsidP="009A14F4">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Kern, M. L., Benson, L., Steinberg, E. A., &amp; Steinberg, L. (2016). The EPOCH measure of adolescent well-being. Psychological Assessment, 28(5), 586-597</w:t>
      </w:r>
    </w:p>
    <w:p w14:paraId="0FB16857" w14:textId="77777777" w:rsidR="00011D0B" w:rsidRPr="00011D0B" w:rsidRDefault="00011D0B" w:rsidP="00572DF9">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Kessler, R.C., Andrews, G., Colpe, .et al (2002) Short screening scales to monitor population prevalences and trends in nonspecific psychological distress. Psychological Medicine, 32, 959-956.</w:t>
      </w:r>
    </w:p>
    <w:p w14:paraId="23FC7C1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Keuning, T., van Geel, M., Visscher, A., &amp; Fox, J.-P. (2016). The effects of a schoolwide data-based decision making intervention on elementary schools' student achievement growth for mathematics and spelling. Paper presented at SREE Spring Conference 2016, Washington, United States.</w:t>
      </w:r>
    </w:p>
    <w:p w14:paraId="283157D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Kingston, N., &amp; Nash, B. (2011). Formative Assessment: A Meta-Analysis and a Call for Research. </w:t>
      </w:r>
      <w:r w:rsidRPr="00471C22">
        <w:rPr>
          <w:rFonts w:asciiTheme="minorHAnsi" w:hAnsiTheme="minorHAnsi" w:cstheme="minorHAnsi"/>
          <w:i/>
          <w:iCs/>
          <w:noProof/>
          <w:sz w:val="22"/>
          <w:szCs w:val="22"/>
        </w:rPr>
        <w:t>Educational Measurement: Issues and Practice, 30</w:t>
      </w:r>
      <w:r w:rsidRPr="00471C22">
        <w:rPr>
          <w:rFonts w:asciiTheme="minorHAnsi" w:hAnsiTheme="minorHAnsi" w:cstheme="minorHAnsi"/>
          <w:noProof/>
          <w:sz w:val="22"/>
          <w:szCs w:val="22"/>
        </w:rPr>
        <w:t xml:space="preserve">(4), 28–37. </w:t>
      </w:r>
    </w:p>
    <w:p w14:paraId="0802E87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Knipe, S. (2019). School improvement and effectiveness underpinned by school-based data and research. </w:t>
      </w:r>
      <w:r w:rsidRPr="00471C22">
        <w:rPr>
          <w:rFonts w:asciiTheme="minorHAnsi" w:hAnsiTheme="minorHAnsi" w:cstheme="minorHAnsi"/>
          <w:i/>
          <w:iCs/>
          <w:noProof/>
          <w:sz w:val="22"/>
          <w:szCs w:val="22"/>
        </w:rPr>
        <w:t>Educational Research Quarterly, 43</w:t>
      </w:r>
      <w:r w:rsidRPr="00471C22">
        <w:rPr>
          <w:rFonts w:asciiTheme="minorHAnsi" w:hAnsiTheme="minorHAnsi" w:cstheme="minorHAnsi"/>
          <w:noProof/>
          <w:sz w:val="22"/>
          <w:szCs w:val="22"/>
        </w:rPr>
        <w:t xml:space="preserve">(1), 3-27. </w:t>
      </w:r>
    </w:p>
    <w:p w14:paraId="3B976944" w14:textId="01C5A1F5" w:rsidR="008429D1" w:rsidRPr="008429D1" w:rsidRDefault="008429D1" w:rsidP="008429D1">
      <w:pPr>
        <w:pStyle w:val="EndNoteBibliography"/>
        <w:spacing w:beforeLines="24" w:before="57"/>
        <w:ind w:left="720" w:hanging="720"/>
        <w:rPr>
          <w:rFonts w:asciiTheme="minorHAnsi" w:hAnsiTheme="minorHAnsi" w:cstheme="minorHAnsi"/>
          <w:noProof/>
          <w:sz w:val="22"/>
          <w:szCs w:val="22"/>
        </w:rPr>
      </w:pPr>
      <w:r w:rsidRPr="008429D1">
        <w:rPr>
          <w:rFonts w:asciiTheme="minorHAnsi" w:hAnsiTheme="minorHAnsi" w:cstheme="minorHAnsi"/>
          <w:noProof/>
          <w:sz w:val="22"/>
          <w:szCs w:val="22"/>
        </w:rPr>
        <w:t xml:space="preserve">Knopf, J. A., Finnie, R. K. , Peng, Y. , Hahn, R. A. , Truman, B. I. , Vernon-Smiley, M. </w:t>
      </w:r>
      <w:r>
        <w:rPr>
          <w:rFonts w:asciiTheme="minorHAnsi" w:hAnsiTheme="minorHAnsi" w:cstheme="minorHAnsi"/>
          <w:noProof/>
          <w:sz w:val="22"/>
          <w:szCs w:val="22"/>
        </w:rPr>
        <w:t xml:space="preserve"> (</w:t>
      </w:r>
      <w:r w:rsidRPr="008429D1">
        <w:rPr>
          <w:rFonts w:asciiTheme="minorHAnsi" w:hAnsiTheme="minorHAnsi" w:cstheme="minorHAnsi"/>
          <w:noProof/>
          <w:sz w:val="22"/>
          <w:szCs w:val="22"/>
        </w:rPr>
        <w:t>2016</w:t>
      </w:r>
      <w:r>
        <w:rPr>
          <w:rFonts w:asciiTheme="minorHAnsi" w:hAnsiTheme="minorHAnsi" w:cstheme="minorHAnsi"/>
          <w:noProof/>
          <w:sz w:val="22"/>
          <w:szCs w:val="22"/>
        </w:rPr>
        <w:t>)</w:t>
      </w:r>
      <w:r w:rsidRPr="008429D1">
        <w:rPr>
          <w:rFonts w:asciiTheme="minorHAnsi" w:hAnsiTheme="minorHAnsi" w:cstheme="minorHAnsi"/>
          <w:noProof/>
          <w:sz w:val="22"/>
          <w:szCs w:val="22"/>
        </w:rPr>
        <w:t>. School-based health centers to advance health equity: A community guide systematic review. American Journal of Preventive Medicine, Vol. 51, No. 1 pp. 114-126.</w:t>
      </w:r>
    </w:p>
    <w:p w14:paraId="729DA4A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Ko, J., &amp; Sammons, P. (2013). Effective Teaching: A Review of Research and Evidence. ERIC. Retrieved from </w:t>
      </w:r>
      <w:r w:rsidRPr="00DD75E0">
        <w:rPr>
          <w:rFonts w:asciiTheme="minorHAnsi" w:hAnsiTheme="minorHAnsi" w:cstheme="minorHAnsi"/>
          <w:noProof/>
          <w:sz w:val="22"/>
          <w:szCs w:val="22"/>
        </w:rPr>
        <w:t>http://eric.ed.gov/?id=ED546794</w:t>
      </w:r>
      <w:r>
        <w:rPr>
          <w:rFonts w:asciiTheme="minorHAnsi" w:hAnsiTheme="minorHAnsi" w:cstheme="minorHAnsi"/>
          <w:noProof/>
          <w:sz w:val="22"/>
          <w:szCs w:val="22"/>
        </w:rPr>
        <w:t>.</w:t>
      </w:r>
      <w:r w:rsidRPr="00471C22">
        <w:rPr>
          <w:rFonts w:asciiTheme="minorHAnsi" w:hAnsiTheme="minorHAnsi" w:cstheme="minorHAnsi"/>
          <w:noProof/>
          <w:sz w:val="22"/>
          <w:szCs w:val="22"/>
        </w:rPr>
        <w:t xml:space="preserve"> </w:t>
      </w:r>
    </w:p>
    <w:p w14:paraId="24C37391" w14:textId="77777777" w:rsidR="00EE7F52" w:rsidRPr="00EE7F52" w:rsidRDefault="00EE7F52" w:rsidP="00471C22">
      <w:pPr>
        <w:spacing w:beforeLines="24" w:before="57"/>
        <w:ind w:left="709" w:hanging="720"/>
        <w:rPr>
          <w:rFonts w:cstheme="minorHAnsi"/>
          <w:szCs w:val="22"/>
        </w:rPr>
      </w:pPr>
      <w:proofErr w:type="spellStart"/>
      <w:r>
        <w:rPr>
          <w:rFonts w:cstheme="minorHAnsi"/>
          <w:szCs w:val="22"/>
        </w:rPr>
        <w:t>Konu</w:t>
      </w:r>
      <w:proofErr w:type="spellEnd"/>
      <w:r>
        <w:rPr>
          <w:rFonts w:cstheme="minorHAnsi"/>
          <w:szCs w:val="22"/>
        </w:rPr>
        <w:t xml:space="preserve">, A., &amp; </w:t>
      </w:r>
      <w:proofErr w:type="spellStart"/>
      <w:r>
        <w:rPr>
          <w:rFonts w:cstheme="minorHAnsi"/>
          <w:szCs w:val="22"/>
        </w:rPr>
        <w:t>Rimpela</w:t>
      </w:r>
      <w:proofErr w:type="spellEnd"/>
      <w:r>
        <w:rPr>
          <w:rFonts w:cstheme="minorHAnsi"/>
          <w:szCs w:val="22"/>
        </w:rPr>
        <w:t xml:space="preserve">, M. (2002). Well-being in schools: a conceptual model. </w:t>
      </w:r>
      <w:r>
        <w:rPr>
          <w:rFonts w:cstheme="minorHAnsi"/>
          <w:i/>
          <w:iCs/>
          <w:szCs w:val="22"/>
        </w:rPr>
        <w:t xml:space="preserve">Health promotion </w:t>
      </w:r>
      <w:r w:rsidRPr="00EE7F52">
        <w:rPr>
          <w:rFonts w:cstheme="minorHAnsi"/>
          <w:i/>
          <w:iCs/>
          <w:szCs w:val="22"/>
        </w:rPr>
        <w:t>international.</w:t>
      </w:r>
      <w:r w:rsidRPr="00EE7F52">
        <w:rPr>
          <w:rFonts w:cstheme="minorHAnsi"/>
          <w:szCs w:val="22"/>
        </w:rPr>
        <w:t xml:space="preserve"> Great Britain: Oxford University Press.</w:t>
      </w:r>
    </w:p>
    <w:p w14:paraId="793538BF"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Korpershoek, H., Canrinus, E.T., Fokkens-Bruinsma, M., &amp; De Boer, H. (2019). The relationships between school belonging and students’ motivational, social-emotional, behavioural, and academic outcomes in secondary education: a meta-analytic review. Research Papers in Education, Vol. 35 No. 6, pp.641-680.</w:t>
      </w:r>
    </w:p>
    <w:p w14:paraId="09CEE4A3" w14:textId="77777777" w:rsidR="00EE7F52" w:rsidRPr="00471C22" w:rsidRDefault="00EE7F52" w:rsidP="00471C22">
      <w:pPr>
        <w:spacing w:beforeLines="24" w:before="57"/>
        <w:ind w:left="709" w:hanging="720"/>
        <w:rPr>
          <w:rFonts w:cstheme="minorHAnsi"/>
          <w:szCs w:val="22"/>
        </w:rPr>
      </w:pPr>
      <w:proofErr w:type="spellStart"/>
      <w:r w:rsidRPr="00471C22">
        <w:rPr>
          <w:rFonts w:cstheme="minorHAnsi"/>
          <w:szCs w:val="22"/>
        </w:rPr>
        <w:t>Kotiw</w:t>
      </w:r>
      <w:proofErr w:type="spellEnd"/>
      <w:r w:rsidRPr="00471C22">
        <w:rPr>
          <w:rFonts w:cstheme="minorHAnsi"/>
          <w:szCs w:val="22"/>
        </w:rPr>
        <w:t xml:space="preserve">, J. (2010). Education on just terms: Reflections on pedagogical practice. </w:t>
      </w:r>
      <w:r w:rsidRPr="00471C22">
        <w:rPr>
          <w:rFonts w:cstheme="minorHAnsi"/>
          <w:i/>
          <w:iCs/>
          <w:szCs w:val="22"/>
        </w:rPr>
        <w:t>International Journal of Cross Disciplinary Subjects in Education</w:t>
      </w:r>
      <w:r w:rsidRPr="00471C22">
        <w:rPr>
          <w:rFonts w:cstheme="minorHAnsi"/>
          <w:szCs w:val="22"/>
        </w:rPr>
        <w:t>, 1(2), 110-118.</w:t>
      </w:r>
    </w:p>
    <w:p w14:paraId="6125EE6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Kovačevic, J., &amp; Hallinger, P. (2019). Leading school change and improvement: A bibliometric analysis of the knowledge base (1960-2017). </w:t>
      </w:r>
      <w:r w:rsidRPr="00471C22">
        <w:rPr>
          <w:rFonts w:asciiTheme="minorHAnsi" w:hAnsiTheme="minorHAnsi" w:cstheme="minorHAnsi"/>
          <w:i/>
          <w:noProof/>
          <w:sz w:val="22"/>
          <w:szCs w:val="22"/>
        </w:rPr>
        <w:t>Journal of Educational Adminstration, 57</w:t>
      </w:r>
      <w:r w:rsidRPr="00471C22">
        <w:rPr>
          <w:rFonts w:asciiTheme="minorHAnsi" w:hAnsiTheme="minorHAnsi" w:cstheme="minorHAnsi"/>
          <w:noProof/>
          <w:sz w:val="22"/>
          <w:szCs w:val="22"/>
        </w:rPr>
        <w:t xml:space="preserve">(6), 635-657. </w:t>
      </w:r>
    </w:p>
    <w:p w14:paraId="073786D7"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lastRenderedPageBreak/>
        <w:t>Kraf</w:t>
      </w:r>
      <w:r w:rsidRPr="00471C22">
        <w:rPr>
          <w:rFonts w:asciiTheme="minorHAnsi" w:hAnsiTheme="minorHAnsi" w:cstheme="minorHAnsi"/>
          <w:sz w:val="22"/>
          <w:szCs w:val="22"/>
          <w:lang w:val="en-GB"/>
        </w:rPr>
        <w:t xml:space="preserve">t, M., Blazar, D. &amp; Hogan, D., (2018). The Effect of Teacher Coaching on Instruction and Achievement: A Meta-Analysis of the Causal Evidence. </w:t>
      </w:r>
      <w:r w:rsidRPr="00471C22">
        <w:rPr>
          <w:rFonts w:asciiTheme="minorHAnsi" w:hAnsiTheme="minorHAnsi" w:cstheme="minorHAnsi"/>
          <w:i/>
          <w:sz w:val="22"/>
          <w:szCs w:val="22"/>
          <w:lang w:val="en-GB"/>
        </w:rPr>
        <w:t>Review of Educational Research, 88</w:t>
      </w:r>
      <w:r w:rsidRPr="00471C22">
        <w:rPr>
          <w:rFonts w:asciiTheme="minorHAnsi" w:hAnsiTheme="minorHAnsi" w:cstheme="minorHAnsi"/>
          <w:sz w:val="22"/>
          <w:szCs w:val="22"/>
          <w:lang w:val="en-GB"/>
        </w:rPr>
        <w:t>(4), 547-588.</w:t>
      </w:r>
    </w:p>
    <w:p w14:paraId="783C9A0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Kutsyuruba, B., Klinger, D. A., &amp; Hussain, A. (2015). Relationships among school climate, school safety, and student achievement and well</w:t>
      </w:r>
      <w:r w:rsidRPr="00471C22">
        <w:rPr>
          <w:rFonts w:ascii="Cambria Math" w:hAnsi="Cambria Math" w:cs="Cambria Math"/>
          <w:noProof/>
          <w:sz w:val="22"/>
          <w:szCs w:val="22"/>
          <w:lang w:val="en-GB"/>
        </w:rPr>
        <w:t>‐</w:t>
      </w:r>
      <w:r w:rsidRPr="00471C22">
        <w:rPr>
          <w:rFonts w:asciiTheme="minorHAnsi" w:hAnsiTheme="minorHAnsi" w:cstheme="minorHAnsi"/>
          <w:noProof/>
          <w:sz w:val="22"/>
          <w:szCs w:val="22"/>
          <w:lang w:val="en-GB"/>
        </w:rPr>
        <w:t>being: a review of the literature. </w:t>
      </w:r>
      <w:r w:rsidRPr="00471C22">
        <w:rPr>
          <w:rFonts w:asciiTheme="minorHAnsi" w:hAnsiTheme="minorHAnsi" w:cstheme="minorHAnsi"/>
          <w:i/>
          <w:iCs/>
          <w:noProof/>
          <w:sz w:val="22"/>
          <w:szCs w:val="22"/>
          <w:lang w:val="en-GB"/>
        </w:rPr>
        <w:t>Review of Education</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3</w:t>
      </w:r>
      <w:r w:rsidRPr="00471C22">
        <w:rPr>
          <w:rFonts w:asciiTheme="minorHAnsi" w:hAnsiTheme="minorHAnsi" w:cstheme="minorHAnsi"/>
          <w:noProof/>
          <w:sz w:val="22"/>
          <w:szCs w:val="22"/>
          <w:lang w:val="en-GB"/>
        </w:rPr>
        <w:t>(2), 103-135.</w:t>
      </w:r>
    </w:p>
    <w:p w14:paraId="47EDFA0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Kyndt, E., Raes, E., Lismont, B., Timmers, F., Cascallar, E., &amp; Dochy, F. (2013). A meta-analysis of the effects of face-to-face cooperative learning. Do recent studies falsify or verify earlier findings? </w:t>
      </w:r>
      <w:r w:rsidRPr="00471C22">
        <w:rPr>
          <w:rFonts w:asciiTheme="minorHAnsi" w:hAnsiTheme="minorHAnsi" w:cstheme="minorHAnsi"/>
          <w:i/>
          <w:iCs/>
          <w:noProof/>
          <w:sz w:val="22"/>
          <w:szCs w:val="22"/>
        </w:rPr>
        <w:t>Educational Research Review, 10</w:t>
      </w:r>
      <w:r w:rsidRPr="00471C22">
        <w:rPr>
          <w:rFonts w:asciiTheme="minorHAnsi" w:hAnsiTheme="minorHAnsi" w:cstheme="minorHAnsi"/>
          <w:noProof/>
          <w:sz w:val="22"/>
          <w:szCs w:val="22"/>
        </w:rPr>
        <w:t xml:space="preserve">, 133–149. </w:t>
      </w:r>
    </w:p>
    <w:p w14:paraId="0F9D9F3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Kyriakides, L., Christoforou, C., &amp; Charalambous, C. Y. (2013). What matters for student learning outcomes: A meta-analysis of studies exploring factors of effective teaching. </w:t>
      </w:r>
      <w:r w:rsidRPr="00471C22">
        <w:rPr>
          <w:rFonts w:asciiTheme="minorHAnsi" w:hAnsiTheme="minorHAnsi" w:cstheme="minorHAnsi"/>
          <w:i/>
          <w:iCs/>
          <w:noProof/>
          <w:sz w:val="22"/>
          <w:szCs w:val="22"/>
        </w:rPr>
        <w:t>Teaching and Teacher Education, 36</w:t>
      </w:r>
      <w:r w:rsidRPr="00471C22">
        <w:rPr>
          <w:rFonts w:asciiTheme="minorHAnsi" w:hAnsiTheme="minorHAnsi" w:cstheme="minorHAnsi"/>
          <w:noProof/>
          <w:sz w:val="22"/>
          <w:szCs w:val="22"/>
        </w:rPr>
        <w:t xml:space="preserve">, 143–152. </w:t>
      </w:r>
    </w:p>
    <w:p w14:paraId="2CF184BA" w14:textId="77777777" w:rsidR="00011D0B" w:rsidRPr="00011D0B" w:rsidRDefault="00011D0B" w:rsidP="006A657A">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Lam, S., &amp; Huo, S. (2017). Counting the costs of lost opportunity in Australian education. Mitchell Institute Report No. 02/2017. Mitchell Institute, Melbourne.</w:t>
      </w:r>
    </w:p>
    <w:p w14:paraId="487DB08E" w14:textId="77777777" w:rsidR="00011D0B" w:rsidRPr="00011D0B" w:rsidRDefault="00011D0B" w:rsidP="004D660D">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Lee, S., Kim, C., &amp; Kim, Dong. (2013). A meta-analysis of the effect of school-based anti-bullying prgorams. Journal of Child Health Care, 19(2).</w:t>
      </w:r>
    </w:p>
    <w:p w14:paraId="18EB216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Leigh, A. (2010). Estimating teacher effectiveness from two-year changes in students’ test scores. </w:t>
      </w:r>
      <w:r w:rsidRPr="00471C22">
        <w:rPr>
          <w:rFonts w:asciiTheme="minorHAnsi" w:hAnsiTheme="minorHAnsi" w:cstheme="minorHAnsi"/>
          <w:i/>
          <w:iCs/>
          <w:noProof/>
          <w:sz w:val="22"/>
          <w:szCs w:val="22"/>
          <w:lang w:val="en-GB"/>
        </w:rPr>
        <w:t>Economics of Education Review 29</w:t>
      </w:r>
      <w:r w:rsidRPr="00471C22">
        <w:rPr>
          <w:rFonts w:asciiTheme="minorHAnsi" w:hAnsiTheme="minorHAnsi" w:cstheme="minorHAnsi"/>
          <w:noProof/>
          <w:sz w:val="22"/>
          <w:szCs w:val="22"/>
          <w:lang w:val="en-GB"/>
        </w:rPr>
        <w:t>(3), 480–488.</w:t>
      </w:r>
    </w:p>
    <w:p w14:paraId="0F6C98BA"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Leithwood, K. &amp; Sun, J. (2012). </w:t>
      </w:r>
      <w:r w:rsidRPr="00471C22">
        <w:rPr>
          <w:rFonts w:asciiTheme="minorHAnsi" w:hAnsiTheme="minorHAnsi" w:cstheme="minorHAnsi"/>
          <w:sz w:val="22"/>
          <w:szCs w:val="22"/>
          <w:lang w:val="en-GB"/>
        </w:rPr>
        <w:t xml:space="preserve">The Nature and Effects of Transformational School Leadership: A Meta-Analytic Review of Unpublished Research. </w:t>
      </w:r>
      <w:r w:rsidRPr="00471C22">
        <w:rPr>
          <w:rFonts w:asciiTheme="minorHAnsi" w:hAnsiTheme="minorHAnsi" w:cstheme="minorHAnsi"/>
          <w:i/>
          <w:sz w:val="22"/>
          <w:szCs w:val="22"/>
          <w:lang w:val="en-GB"/>
        </w:rPr>
        <w:t>Educational Administration Quarterly, 48</w:t>
      </w:r>
      <w:r w:rsidRPr="00471C22">
        <w:rPr>
          <w:rFonts w:asciiTheme="minorHAnsi" w:hAnsiTheme="minorHAnsi" w:cstheme="minorHAnsi"/>
          <w:sz w:val="22"/>
          <w:szCs w:val="22"/>
          <w:lang w:val="en-GB"/>
        </w:rPr>
        <w:t>(3), 387-423.</w:t>
      </w:r>
    </w:p>
    <w:p w14:paraId="542BCF2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Leithwood, K. (2016). Department-head leadership for school improvement. </w:t>
      </w:r>
      <w:r w:rsidRPr="00471C22">
        <w:rPr>
          <w:rFonts w:asciiTheme="minorHAnsi" w:hAnsiTheme="minorHAnsi" w:cstheme="minorHAnsi"/>
          <w:i/>
          <w:iCs/>
          <w:noProof/>
          <w:sz w:val="22"/>
          <w:szCs w:val="22"/>
        </w:rPr>
        <w:t>Leadership and Policy in Schools, 15</w:t>
      </w:r>
      <w:r w:rsidRPr="00471C22">
        <w:rPr>
          <w:rFonts w:asciiTheme="minorHAnsi" w:hAnsiTheme="minorHAnsi" w:cstheme="minorHAnsi"/>
          <w:noProof/>
          <w:sz w:val="22"/>
          <w:szCs w:val="22"/>
        </w:rPr>
        <w:t xml:space="preserve">(2), 117-140. </w:t>
      </w:r>
    </w:p>
    <w:p w14:paraId="1440DA2F" w14:textId="4272D957" w:rsidR="001B70CD" w:rsidRPr="001B70CD" w:rsidRDefault="001B70CD" w:rsidP="001B70CD">
      <w:pPr>
        <w:pStyle w:val="EndNoteBibliography"/>
        <w:spacing w:beforeLines="24" w:before="57"/>
        <w:ind w:left="720" w:hanging="720"/>
        <w:rPr>
          <w:rFonts w:asciiTheme="minorHAnsi" w:hAnsiTheme="minorHAnsi" w:cstheme="minorHAnsi"/>
          <w:noProof/>
          <w:sz w:val="22"/>
          <w:szCs w:val="22"/>
        </w:rPr>
      </w:pPr>
      <w:r w:rsidRPr="001B70CD">
        <w:rPr>
          <w:rFonts w:asciiTheme="minorHAnsi" w:hAnsiTheme="minorHAnsi" w:cstheme="minorHAnsi"/>
          <w:noProof/>
          <w:sz w:val="22"/>
          <w:szCs w:val="22"/>
        </w:rPr>
        <w:t>Leroy, Z. C., Wallin, R., &amp; Lee, S.</w:t>
      </w:r>
      <w:r>
        <w:rPr>
          <w:rFonts w:asciiTheme="minorHAnsi" w:hAnsiTheme="minorHAnsi" w:cstheme="minorHAnsi"/>
          <w:noProof/>
          <w:sz w:val="22"/>
          <w:szCs w:val="22"/>
        </w:rPr>
        <w:t xml:space="preserve"> (</w:t>
      </w:r>
      <w:r w:rsidRPr="001B70CD">
        <w:rPr>
          <w:rFonts w:asciiTheme="minorHAnsi" w:hAnsiTheme="minorHAnsi" w:cstheme="minorHAnsi"/>
          <w:noProof/>
          <w:sz w:val="22"/>
          <w:szCs w:val="22"/>
        </w:rPr>
        <w:t>2017</w:t>
      </w:r>
      <w:r>
        <w:rPr>
          <w:rFonts w:asciiTheme="minorHAnsi" w:hAnsiTheme="minorHAnsi" w:cstheme="minorHAnsi"/>
          <w:noProof/>
          <w:sz w:val="22"/>
          <w:szCs w:val="22"/>
        </w:rPr>
        <w:t>)</w:t>
      </w:r>
      <w:r w:rsidRPr="001B70CD">
        <w:rPr>
          <w:rFonts w:asciiTheme="minorHAnsi" w:hAnsiTheme="minorHAnsi" w:cstheme="minorHAnsi"/>
          <w:noProof/>
          <w:sz w:val="22"/>
          <w:szCs w:val="22"/>
        </w:rPr>
        <w:t>. The role of school health services in addressing the</w:t>
      </w:r>
    </w:p>
    <w:p w14:paraId="16FEE730" w14:textId="77777777" w:rsidR="001B70CD" w:rsidRPr="001B70CD" w:rsidRDefault="001B70CD" w:rsidP="001B70CD">
      <w:pPr>
        <w:pStyle w:val="EndNoteBibliography"/>
        <w:spacing w:beforeLines="24" w:before="57"/>
        <w:ind w:left="720" w:hanging="720"/>
        <w:rPr>
          <w:rFonts w:asciiTheme="minorHAnsi" w:hAnsiTheme="minorHAnsi" w:cstheme="minorHAnsi"/>
          <w:noProof/>
          <w:sz w:val="22"/>
          <w:szCs w:val="22"/>
        </w:rPr>
      </w:pPr>
      <w:r w:rsidRPr="001B70CD">
        <w:rPr>
          <w:rFonts w:asciiTheme="minorHAnsi" w:hAnsiTheme="minorHAnsi" w:cstheme="minorHAnsi"/>
          <w:noProof/>
          <w:sz w:val="22"/>
          <w:szCs w:val="22"/>
        </w:rPr>
        <w:t xml:space="preserve">needs of students with chronic health conditions: A systematic review. The Journal of School </w:t>
      </w:r>
    </w:p>
    <w:p w14:paraId="4BF7D30F" w14:textId="77777777" w:rsidR="001B70CD" w:rsidRPr="001B70CD" w:rsidRDefault="001B70CD" w:rsidP="001B70CD">
      <w:pPr>
        <w:pStyle w:val="EndNoteBibliography"/>
        <w:spacing w:beforeLines="24" w:before="57"/>
        <w:ind w:left="720" w:hanging="720"/>
        <w:rPr>
          <w:rFonts w:asciiTheme="minorHAnsi" w:hAnsiTheme="minorHAnsi" w:cstheme="minorHAnsi"/>
          <w:noProof/>
          <w:sz w:val="22"/>
          <w:szCs w:val="22"/>
        </w:rPr>
      </w:pPr>
      <w:r w:rsidRPr="001B70CD">
        <w:rPr>
          <w:rFonts w:asciiTheme="minorHAnsi" w:hAnsiTheme="minorHAnsi" w:cstheme="minorHAnsi"/>
          <w:noProof/>
          <w:sz w:val="22"/>
          <w:szCs w:val="22"/>
        </w:rPr>
        <w:t>Nursing, Vol. 33, No. 1, pp. 64-72.</w:t>
      </w:r>
    </w:p>
    <w:p w14:paraId="2FB775EB" w14:textId="5E4E2440"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Lester, L. and Cross, D.</w:t>
      </w:r>
      <w:r w:rsidR="00C5755F">
        <w:rPr>
          <w:rFonts w:asciiTheme="minorHAnsi" w:hAnsiTheme="minorHAnsi" w:cstheme="minorHAnsi"/>
          <w:noProof/>
          <w:sz w:val="22"/>
          <w:szCs w:val="22"/>
          <w:lang w:val="en-GB"/>
        </w:rPr>
        <w:t xml:space="preserve"> (</w:t>
      </w:r>
      <w:r w:rsidRPr="00011D0B">
        <w:rPr>
          <w:rFonts w:asciiTheme="minorHAnsi" w:hAnsiTheme="minorHAnsi" w:cstheme="minorHAnsi"/>
          <w:noProof/>
          <w:sz w:val="22"/>
          <w:szCs w:val="22"/>
          <w:lang w:val="en-GB"/>
        </w:rPr>
        <w:t>2014</w:t>
      </w:r>
      <w:r w:rsidR="00C5755F">
        <w:rPr>
          <w:rFonts w:asciiTheme="minorHAnsi" w:hAnsiTheme="minorHAnsi" w:cstheme="minorHAnsi"/>
          <w:noProof/>
          <w:sz w:val="22"/>
          <w:szCs w:val="22"/>
          <w:lang w:val="en-GB"/>
        </w:rPr>
        <w:t>)</w:t>
      </w:r>
      <w:r w:rsidRPr="00011D0B">
        <w:rPr>
          <w:rFonts w:asciiTheme="minorHAnsi" w:hAnsiTheme="minorHAnsi" w:cstheme="minorHAnsi"/>
          <w:noProof/>
          <w:sz w:val="22"/>
          <w:szCs w:val="22"/>
          <w:lang w:val="en-GB"/>
        </w:rPr>
        <w:t>. The effect of chronic victimisation on emotional and behavioural difficulties of adolescents. Journal of Psychologists and Counsellors in Schools, 24(2), pp.137-151.</w:t>
      </w:r>
    </w:p>
    <w:p w14:paraId="2C339549" w14:textId="43EDC956"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 xml:space="preserve">Lester, L., Cross, D. and Shaw, T. </w:t>
      </w:r>
      <w:r w:rsidR="00C5755F">
        <w:rPr>
          <w:rFonts w:asciiTheme="minorHAnsi" w:hAnsiTheme="minorHAnsi" w:cstheme="minorHAnsi"/>
          <w:noProof/>
          <w:sz w:val="22"/>
          <w:szCs w:val="22"/>
          <w:lang w:val="en-GB"/>
        </w:rPr>
        <w:t>(</w:t>
      </w:r>
      <w:r w:rsidRPr="00011D0B">
        <w:rPr>
          <w:rFonts w:asciiTheme="minorHAnsi" w:hAnsiTheme="minorHAnsi" w:cstheme="minorHAnsi"/>
          <w:noProof/>
          <w:sz w:val="22"/>
          <w:szCs w:val="22"/>
          <w:lang w:val="en-GB"/>
        </w:rPr>
        <w:t>2012</w:t>
      </w:r>
      <w:r w:rsidR="00C5755F">
        <w:rPr>
          <w:rFonts w:asciiTheme="minorHAnsi" w:hAnsiTheme="minorHAnsi" w:cstheme="minorHAnsi"/>
          <w:noProof/>
          <w:sz w:val="22"/>
          <w:szCs w:val="22"/>
          <w:lang w:val="en-GB"/>
        </w:rPr>
        <w:t>)</w:t>
      </w:r>
      <w:r w:rsidRPr="00011D0B">
        <w:rPr>
          <w:rFonts w:asciiTheme="minorHAnsi" w:hAnsiTheme="minorHAnsi" w:cstheme="minorHAnsi"/>
          <w:noProof/>
          <w:sz w:val="22"/>
          <w:szCs w:val="22"/>
          <w:lang w:val="en-GB"/>
        </w:rPr>
        <w:t xml:space="preserve">. Problem behaviours, traditional bullying and cyberbullying among adolescents: </w:t>
      </w:r>
    </w:p>
    <w:p w14:paraId="51F2CDF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Lewis, C. P. (2005). The relation between extracurricular activities with academic and social competencies in school age children: A meta-analysis (Doctoral dissertation). Texas A&amp;M University. Retrived online: </w:t>
      </w:r>
      <w:r w:rsidRPr="00F0507B">
        <w:rPr>
          <w:rFonts w:asciiTheme="minorHAnsi" w:hAnsiTheme="minorHAnsi" w:cstheme="minorHAnsi"/>
          <w:noProof/>
          <w:sz w:val="22"/>
          <w:szCs w:val="22"/>
        </w:rPr>
        <w:t>https://oaktrust.library.tamu.edu/bitstream/handle/1969.1/2710/etd-tamu-2004B-SPSY-lewis.pdf?sequence=1&amp;isAllowed=y</w:t>
      </w:r>
    </w:p>
    <w:p w14:paraId="6AD52CC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Li, Y. Y. (2017). Processes and dynamics behind whole-school reform: Nine-year journeys of four primary schools. </w:t>
      </w:r>
      <w:r w:rsidRPr="00471C22">
        <w:rPr>
          <w:rFonts w:asciiTheme="minorHAnsi" w:hAnsiTheme="minorHAnsi" w:cstheme="minorHAnsi"/>
          <w:i/>
          <w:iCs/>
          <w:noProof/>
          <w:sz w:val="22"/>
          <w:szCs w:val="22"/>
        </w:rPr>
        <w:t>American Educational Research Journal, 54</w:t>
      </w:r>
      <w:r w:rsidRPr="00471C22">
        <w:rPr>
          <w:rFonts w:asciiTheme="minorHAnsi" w:hAnsiTheme="minorHAnsi" w:cstheme="minorHAnsi"/>
          <w:noProof/>
          <w:sz w:val="22"/>
          <w:szCs w:val="22"/>
        </w:rPr>
        <w:t xml:space="preserve">(2), 279-324. </w:t>
      </w:r>
    </w:p>
    <w:p w14:paraId="0F241EF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Liu, P. (2017). Transforming turnaround schools in China: A review. School Effectiveness and School Improvement, 28(1), 74-101. </w:t>
      </w:r>
    </w:p>
    <w:p w14:paraId="77C4E4F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Liu, S., &amp; Hallinger, P. (2018). Principal instructional leadership, teacher self-efficacy, and teacher professional learning in China: Testing a mediated-effects model. </w:t>
      </w:r>
      <w:r w:rsidRPr="00471C22">
        <w:rPr>
          <w:rFonts w:asciiTheme="minorHAnsi" w:hAnsiTheme="minorHAnsi" w:cstheme="minorHAnsi"/>
          <w:i/>
          <w:iCs/>
          <w:noProof/>
          <w:sz w:val="22"/>
          <w:szCs w:val="22"/>
        </w:rPr>
        <w:t>Educational Administration Quarterly, 54</w:t>
      </w:r>
      <w:r w:rsidRPr="00471C22">
        <w:rPr>
          <w:rFonts w:asciiTheme="minorHAnsi" w:hAnsiTheme="minorHAnsi" w:cstheme="minorHAnsi"/>
          <w:noProof/>
          <w:sz w:val="22"/>
          <w:szCs w:val="22"/>
        </w:rPr>
        <w:t xml:space="preserve">(4), 501-528. </w:t>
      </w:r>
    </w:p>
    <w:p w14:paraId="57919008" w14:textId="77777777"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Longitudinal analyses. Emotional and Behavioural Difficulties, 17(3-4), pp.435-447.</w:t>
      </w:r>
    </w:p>
    <w:p w14:paraId="064F5FB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Lynch, D., &amp; Madden, J. (2015). Consolidating what we know works in schools for student learning effect : A case study. </w:t>
      </w:r>
      <w:r w:rsidRPr="00471C22">
        <w:rPr>
          <w:rFonts w:asciiTheme="minorHAnsi" w:hAnsiTheme="minorHAnsi" w:cstheme="minorHAnsi"/>
          <w:i/>
          <w:iCs/>
          <w:noProof/>
          <w:sz w:val="22"/>
          <w:szCs w:val="22"/>
        </w:rPr>
        <w:t>Australian Educational Leader, 37</w:t>
      </w:r>
      <w:r w:rsidRPr="00471C22">
        <w:rPr>
          <w:rFonts w:asciiTheme="minorHAnsi" w:hAnsiTheme="minorHAnsi" w:cstheme="minorHAnsi"/>
          <w:noProof/>
          <w:sz w:val="22"/>
          <w:szCs w:val="22"/>
        </w:rPr>
        <w:t>(4), 31-34.</w:t>
      </w:r>
    </w:p>
    <w:p w14:paraId="2E18D7E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Lynch, D., Smith, R., Provost, S., &amp; Madden, J. (2016). Improving teaching capacity to increase student achievement: The key role of data interpretation by school leaders. </w:t>
      </w:r>
      <w:r w:rsidRPr="00471C22">
        <w:rPr>
          <w:rFonts w:asciiTheme="minorHAnsi" w:hAnsiTheme="minorHAnsi" w:cstheme="minorHAnsi"/>
          <w:i/>
          <w:iCs/>
          <w:noProof/>
          <w:sz w:val="22"/>
          <w:szCs w:val="22"/>
        </w:rPr>
        <w:t>Journal of Educational Administration, 54</w:t>
      </w:r>
      <w:r w:rsidRPr="00471C22">
        <w:rPr>
          <w:rFonts w:asciiTheme="minorHAnsi" w:hAnsiTheme="minorHAnsi" w:cstheme="minorHAnsi"/>
          <w:noProof/>
          <w:sz w:val="22"/>
          <w:szCs w:val="22"/>
        </w:rPr>
        <w:t xml:space="preserve">(5), 575-592. </w:t>
      </w:r>
    </w:p>
    <w:p w14:paraId="0A1EED78"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lastRenderedPageBreak/>
        <w:t xml:space="preserve">Lyons, L., &amp; </w:t>
      </w:r>
      <w:proofErr w:type="spellStart"/>
      <w:r w:rsidRPr="00471C22">
        <w:rPr>
          <w:rFonts w:cstheme="minorHAnsi"/>
          <w:szCs w:val="22"/>
          <w:lang w:val="en-AU"/>
        </w:rPr>
        <w:t>Brasof</w:t>
      </w:r>
      <w:proofErr w:type="spellEnd"/>
      <w:r w:rsidRPr="00471C22">
        <w:rPr>
          <w:rFonts w:cstheme="minorHAnsi"/>
          <w:szCs w:val="22"/>
          <w:lang w:val="en-AU"/>
        </w:rPr>
        <w:t xml:space="preserve">, M. (2020). Building the capacity for student leadership in high school: A review of organizational mechanisms from the field of student voice. </w:t>
      </w:r>
      <w:r w:rsidRPr="00471C22">
        <w:rPr>
          <w:rFonts w:cstheme="minorHAnsi"/>
          <w:i/>
          <w:iCs/>
          <w:szCs w:val="22"/>
          <w:lang w:val="en-AU"/>
        </w:rPr>
        <w:t>Journal of Educational Administration</w:t>
      </w:r>
      <w:r w:rsidRPr="00471C22">
        <w:rPr>
          <w:rFonts w:cstheme="minorHAnsi"/>
          <w:szCs w:val="22"/>
          <w:lang w:val="en-AU"/>
        </w:rPr>
        <w:t>, 58(3), 357-372.</w:t>
      </w:r>
    </w:p>
    <w:p w14:paraId="5F88CB71"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Maciver, D., Rutherford, M., Arakelyan, S., Kramer, J.M., Richmond, J., Todorova, L., Romero-Ayuso, D., Nakamura-Thomas, H., Velden, M., Finlayson, I., O’Hare, A. &amp; Forsyth, K. (2019). Participation of children with disabilities in school: A realist systematic review of psychosocial and environmental factors. PLOS ONE, Open Access, 29/1/2019.</w:t>
      </w:r>
    </w:p>
    <w:p w14:paraId="1DF18665" w14:textId="77777777" w:rsidR="00EE7F52" w:rsidRPr="00011D0B" w:rsidRDefault="00EE7F52" w:rsidP="00471C22">
      <w:pPr>
        <w:pStyle w:val="EndNoteBibliography"/>
        <w:spacing w:beforeLines="24" w:before="57"/>
        <w:ind w:left="720" w:hanging="720"/>
        <w:rPr>
          <w:rStyle w:val="normaltextrun"/>
          <w:rFonts w:asciiTheme="minorHAnsi" w:hAnsiTheme="minorHAnsi" w:cstheme="minorHAnsi"/>
          <w:sz w:val="22"/>
          <w:szCs w:val="22"/>
          <w:shd w:val="clear" w:color="auto" w:fill="FFFFFF"/>
        </w:rPr>
      </w:pPr>
      <w:r w:rsidRPr="00EE7F52">
        <w:rPr>
          <w:rFonts w:asciiTheme="minorHAnsi" w:hAnsiTheme="minorHAnsi" w:cstheme="minorHAnsi"/>
          <w:sz w:val="22"/>
          <w:szCs w:val="22"/>
          <w:shd w:val="clear" w:color="auto" w:fill="FFFFFF"/>
        </w:rPr>
        <w:t xml:space="preserve">Marzano, R. J., Waters, T., &amp; McNulty, B. A. (2005). School Leadership that Works. Alexandria, </w:t>
      </w:r>
      <w:r w:rsidRPr="00011D0B">
        <w:rPr>
          <w:rFonts w:asciiTheme="minorHAnsi" w:hAnsiTheme="minorHAnsi" w:cstheme="minorHAnsi"/>
          <w:sz w:val="22"/>
          <w:szCs w:val="22"/>
          <w:shd w:val="clear" w:color="auto" w:fill="FFFFFF"/>
        </w:rPr>
        <w:t>VA: ACSD.</w:t>
      </w:r>
    </w:p>
    <w:p w14:paraId="55BD8A1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Marzano, R. J. (2017). The new art and science of reaching. United States: Solution Tree. </w:t>
      </w:r>
    </w:p>
    <w:p w14:paraId="63674D1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Masters, G. (2012). Measuring and Rewarding school Improvement (research disscussion paper). Retrieved online from the Australian Council for Educational Research: </w:t>
      </w:r>
      <w:r w:rsidRPr="006D14A8">
        <w:rPr>
          <w:rFonts w:asciiTheme="minorHAnsi" w:hAnsiTheme="minorHAnsi" w:cstheme="minorHAnsi"/>
          <w:noProof/>
          <w:sz w:val="22"/>
          <w:szCs w:val="22"/>
        </w:rPr>
        <w:t>https://research.acer.edu.au/policy_analysis_misc/15/</w:t>
      </w:r>
    </w:p>
    <w:p w14:paraId="0D04BF0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proofErr w:type="spellStart"/>
      <w:r w:rsidRPr="00011D0B">
        <w:rPr>
          <w:rStyle w:val="normaltextrun"/>
          <w:rFonts w:asciiTheme="minorHAnsi" w:hAnsiTheme="minorHAnsi" w:cstheme="minorHAnsi"/>
          <w:sz w:val="22"/>
          <w:szCs w:val="22"/>
          <w:shd w:val="clear" w:color="auto" w:fill="FFFFFF"/>
          <w:lang w:val="en-GB"/>
        </w:rPr>
        <w:t>Mausbach</w:t>
      </w:r>
      <w:proofErr w:type="spellEnd"/>
      <w:r w:rsidRPr="00011D0B">
        <w:rPr>
          <w:rStyle w:val="normaltextrun"/>
          <w:rFonts w:asciiTheme="minorHAnsi" w:hAnsiTheme="minorHAnsi" w:cstheme="minorHAnsi"/>
          <w:sz w:val="22"/>
          <w:szCs w:val="22"/>
          <w:shd w:val="clear" w:color="auto" w:fill="FFFFFF"/>
          <w:lang w:val="en-GB"/>
        </w:rPr>
        <w:t>, A. T., &amp; Morrison, K. (2016). </w:t>
      </w:r>
      <w:r w:rsidRPr="00011D0B">
        <w:rPr>
          <w:rStyle w:val="normaltextrun"/>
          <w:rFonts w:asciiTheme="minorHAnsi" w:hAnsiTheme="minorHAnsi" w:cstheme="minorHAnsi"/>
          <w:i/>
          <w:sz w:val="22"/>
          <w:szCs w:val="22"/>
          <w:shd w:val="clear" w:color="auto" w:fill="FFFFFF"/>
          <w:lang w:val="en-GB"/>
        </w:rPr>
        <w:t>School Leadership through the Seasons: A Guide to Staying Focused and Getting Results All Year</w:t>
      </w:r>
      <w:r w:rsidRPr="00011D0B">
        <w:rPr>
          <w:rStyle w:val="normaltextrun"/>
          <w:rFonts w:asciiTheme="minorHAnsi" w:hAnsiTheme="minorHAnsi" w:cstheme="minorHAnsi"/>
          <w:sz w:val="22"/>
          <w:szCs w:val="22"/>
          <w:shd w:val="clear" w:color="auto" w:fill="FFFFFF"/>
          <w:lang w:val="en-GB"/>
        </w:rPr>
        <w:t> (Vol. 8). Routledge.</w:t>
      </w:r>
    </w:p>
    <w:p w14:paraId="0A20287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Mayer, A., Woulfin, S., &amp; Warhol, L. (2015). Moving the center of expertise: Applying a Communities of Practice framework to understand coaching in urban school reform. Journal of Educational Change, 16(1), 101-123. </w:t>
      </w:r>
    </w:p>
    <w:p w14:paraId="0EBCF8F5"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Mazer, J.P., 2013. Associations among teacher communication behaviors, student interest, and engagement: A validity test. Communication Education, 62(1), pp.86-96.</w:t>
      </w:r>
    </w:p>
    <w:p w14:paraId="02A78A6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Mazzeo, C., Fleischman, S., Heppen, J., &amp; Jahangir, T. (2016). Improving high school success: Searching for evidence of promise. </w:t>
      </w:r>
      <w:r w:rsidRPr="00471C22">
        <w:rPr>
          <w:rFonts w:asciiTheme="minorHAnsi" w:hAnsiTheme="minorHAnsi" w:cstheme="minorHAnsi"/>
          <w:i/>
          <w:iCs/>
          <w:noProof/>
          <w:sz w:val="22"/>
          <w:szCs w:val="22"/>
        </w:rPr>
        <w:t>Teachers College Record, 118</w:t>
      </w:r>
      <w:r w:rsidRPr="00471C22">
        <w:rPr>
          <w:rFonts w:asciiTheme="minorHAnsi" w:hAnsiTheme="minorHAnsi" w:cstheme="minorHAnsi"/>
          <w:noProof/>
          <w:sz w:val="22"/>
          <w:szCs w:val="22"/>
        </w:rPr>
        <w:t xml:space="preserve">(13) 1-32. </w:t>
      </w:r>
    </w:p>
    <w:p w14:paraId="70762CA5"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McCollow, M. M., &amp; Hoffman, H. H. (2020). Evidence-based decision-making: A team effort toward achieving goals. </w:t>
      </w:r>
      <w:r w:rsidRPr="00471C22">
        <w:rPr>
          <w:rFonts w:asciiTheme="minorHAnsi" w:hAnsiTheme="minorHAnsi" w:cstheme="minorHAnsi"/>
          <w:i/>
          <w:iCs/>
          <w:noProof/>
          <w:sz w:val="22"/>
          <w:szCs w:val="22"/>
        </w:rPr>
        <w:t>Young Exceptional Children, 23</w:t>
      </w:r>
      <w:r w:rsidRPr="00471C22">
        <w:rPr>
          <w:rFonts w:asciiTheme="minorHAnsi" w:hAnsiTheme="minorHAnsi" w:cstheme="minorHAnsi"/>
          <w:noProof/>
          <w:sz w:val="22"/>
          <w:szCs w:val="22"/>
        </w:rPr>
        <w:t xml:space="preserve">(1), 15-23. </w:t>
      </w:r>
    </w:p>
    <w:p w14:paraId="009BA6DD" w14:textId="77777777"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McEvoy, A. and Welker, R., 2000. Antisocial behavior, academic failure, and school climate: A critical review. Journal of Emotional and Behavioral disorders, 8(3), pp.130-140.</w:t>
      </w:r>
    </w:p>
    <w:p w14:paraId="6E5D2C7F" w14:textId="77777777" w:rsidR="00EE7F52" w:rsidRDefault="00EE7F52" w:rsidP="00304544">
      <w:pPr>
        <w:pStyle w:val="EndNoteBibliography"/>
        <w:spacing w:beforeLines="24" w:before="57"/>
        <w:ind w:left="720" w:hanging="720"/>
        <w:rPr>
          <w:rFonts w:asciiTheme="minorHAnsi" w:hAnsiTheme="minorHAnsi" w:cstheme="minorHAnsi"/>
          <w:noProof/>
          <w:sz w:val="22"/>
          <w:szCs w:val="22"/>
        </w:rPr>
      </w:pPr>
      <w:r w:rsidRPr="00706550">
        <w:rPr>
          <w:rFonts w:asciiTheme="minorHAnsi" w:hAnsiTheme="minorHAnsi" w:cstheme="minorHAnsi"/>
          <w:noProof/>
          <w:sz w:val="22"/>
          <w:szCs w:val="22"/>
        </w:rPr>
        <w:t>McGaw, B., Piper, K., Banks, D., &amp; Evans, B. (1992). Making Schools More Effective. Hawthorn: The Australian Council for Educational Research.</w:t>
      </w:r>
    </w:p>
    <w:p w14:paraId="0780F788" w14:textId="77777777" w:rsidR="00011D0B" w:rsidRPr="00011D0B" w:rsidRDefault="00011D0B" w:rsidP="00471C22">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McGrath, H. (2005). Making Australian schools safer: A summary report of the outcomes from the National Safe Schools Framework Best Practice Grants Programme. Retrieved from the National Centre Against Bullying website: http://www.ncab.org.au/Assets/Files/ MakingAustraliaSchoolsSafer.pdf</w:t>
      </w:r>
    </w:p>
    <w:p w14:paraId="79A4D0E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Mitra, D. L., &amp; Gross, S. J. (2009). Increasing student voice in high school reform: Building partnerships, improving outcomes. </w:t>
      </w:r>
      <w:r w:rsidRPr="00471C22">
        <w:rPr>
          <w:rFonts w:asciiTheme="minorHAnsi" w:hAnsiTheme="minorHAnsi" w:cstheme="minorHAnsi"/>
          <w:i/>
          <w:iCs/>
          <w:noProof/>
          <w:sz w:val="22"/>
          <w:szCs w:val="22"/>
          <w:lang w:val="en-GB"/>
        </w:rPr>
        <w:t>Educational Management Administration &amp; Leadership</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37</w:t>
      </w:r>
      <w:r w:rsidRPr="00471C22">
        <w:rPr>
          <w:rFonts w:asciiTheme="minorHAnsi" w:hAnsiTheme="minorHAnsi" w:cstheme="minorHAnsi"/>
          <w:noProof/>
          <w:sz w:val="22"/>
          <w:szCs w:val="22"/>
          <w:lang w:val="en-GB"/>
        </w:rPr>
        <w:t>(4), 522-543.</w:t>
      </w:r>
    </w:p>
    <w:p w14:paraId="42F020F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D37925">
        <w:rPr>
          <w:rFonts w:asciiTheme="minorHAnsi" w:hAnsiTheme="minorHAnsi" w:cstheme="minorHAnsi"/>
          <w:noProof/>
          <w:sz w:val="22"/>
          <w:szCs w:val="22"/>
          <w:lang w:val="en-GB"/>
        </w:rPr>
        <w:t>Mitra, D.</w:t>
      </w:r>
      <w:r w:rsidRPr="00471C22">
        <w:rPr>
          <w:rFonts w:asciiTheme="minorHAnsi" w:hAnsiTheme="minorHAnsi" w:cstheme="minorHAnsi"/>
          <w:noProof/>
          <w:sz w:val="22"/>
          <w:szCs w:val="22"/>
          <w:lang w:val="en-GB"/>
        </w:rPr>
        <w:t> (2018)</w:t>
      </w:r>
      <w:r>
        <w:rPr>
          <w:rFonts w:asciiTheme="minorHAnsi" w:hAnsiTheme="minorHAnsi" w:cstheme="minorHAnsi"/>
          <w:noProof/>
          <w:sz w:val="22"/>
          <w:szCs w:val="22"/>
          <w:lang w:val="en-GB"/>
        </w:rPr>
        <w:t>.</w:t>
      </w:r>
      <w:r w:rsidRPr="00471C22">
        <w:rPr>
          <w:rFonts w:asciiTheme="minorHAnsi" w:hAnsiTheme="minorHAnsi" w:cstheme="minorHAnsi"/>
          <w:noProof/>
          <w:sz w:val="22"/>
          <w:szCs w:val="22"/>
          <w:lang w:val="en-GB"/>
        </w:rPr>
        <w:t xml:space="preserve"> Student voice in secondary schools: the possibility for deeper change</w:t>
      </w:r>
      <w:r>
        <w:rPr>
          <w:rFonts w:asciiTheme="minorHAnsi" w:hAnsiTheme="minorHAnsi" w:cstheme="minorHAnsi"/>
          <w:noProof/>
          <w:sz w:val="22"/>
          <w:szCs w:val="22"/>
          <w:lang w:val="en-GB"/>
        </w:rPr>
        <w:t>.</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Journal of Educational Administration, 56</w:t>
      </w:r>
      <w:r w:rsidRPr="00471C22">
        <w:rPr>
          <w:rFonts w:asciiTheme="minorHAnsi" w:hAnsiTheme="minorHAnsi" w:cstheme="minorHAnsi"/>
          <w:noProof/>
          <w:sz w:val="22"/>
          <w:szCs w:val="22"/>
          <w:lang w:val="en-GB"/>
        </w:rPr>
        <w:t>(5), 473-487.</w:t>
      </w:r>
    </w:p>
    <w:p w14:paraId="112D69C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Moeller, A. J., Theiler, J. M., &amp; Wu, C. (2012). Goal setting and student achievement: A longitudinal study. </w:t>
      </w:r>
      <w:r w:rsidRPr="00471C22">
        <w:rPr>
          <w:rFonts w:asciiTheme="minorHAnsi" w:hAnsiTheme="minorHAnsi" w:cstheme="minorHAnsi"/>
          <w:i/>
          <w:iCs/>
          <w:noProof/>
          <w:sz w:val="22"/>
          <w:szCs w:val="22"/>
          <w:lang w:val="en-GB"/>
        </w:rPr>
        <w:t>The Modern Language Journal</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96</w:t>
      </w:r>
      <w:r w:rsidRPr="00471C22">
        <w:rPr>
          <w:rFonts w:asciiTheme="minorHAnsi" w:hAnsiTheme="minorHAnsi" w:cstheme="minorHAnsi"/>
          <w:noProof/>
          <w:sz w:val="22"/>
          <w:szCs w:val="22"/>
          <w:lang w:val="en-GB"/>
        </w:rPr>
        <w:t xml:space="preserve">(2), 153-169. </w:t>
      </w:r>
    </w:p>
    <w:p w14:paraId="16403DD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Monti, J. D., Pomerantz, E. M., &amp; Roisman, G. I. (2014). Can parents’ involvement in children’s education offset the effects of early insensitivity on academic functioning?. </w:t>
      </w:r>
      <w:r w:rsidRPr="00471C22">
        <w:rPr>
          <w:rFonts w:asciiTheme="minorHAnsi" w:hAnsiTheme="minorHAnsi" w:cstheme="minorHAnsi"/>
          <w:i/>
          <w:iCs/>
          <w:noProof/>
          <w:sz w:val="22"/>
          <w:szCs w:val="22"/>
          <w:lang w:val="en-GB"/>
        </w:rPr>
        <w:t>Journal of Educational Psychology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106</w:t>
      </w:r>
      <w:r w:rsidRPr="00471C22">
        <w:rPr>
          <w:rFonts w:asciiTheme="minorHAnsi" w:hAnsiTheme="minorHAnsi" w:cstheme="minorHAnsi"/>
          <w:noProof/>
          <w:sz w:val="22"/>
          <w:szCs w:val="22"/>
          <w:lang w:val="en-GB"/>
        </w:rPr>
        <w:t>(3), 859.</w:t>
      </w:r>
    </w:p>
    <w:p w14:paraId="3991BB5F"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Moore, S.E., Norman, R.E., Suetani, S., Thomas, H.J., Sly, P.D. &amp; Scott, J.G. (2017). Consequences of bullying victimisation in childhood and adolescence: a systematic review and meta-analysis. World Journal of Psychiatry, Vol. 7 No. 1, pp. 60-76.</w:t>
      </w:r>
    </w:p>
    <w:p w14:paraId="26CE09E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rPr>
        <w:t xml:space="preserve">Moore, T., McDonald, M., Tollit, M., &amp; Bennett, K. (2013). </w:t>
      </w:r>
      <w:r w:rsidRPr="00471C22">
        <w:rPr>
          <w:rFonts w:asciiTheme="minorHAnsi" w:hAnsiTheme="minorHAnsi" w:cstheme="minorHAnsi"/>
          <w:noProof/>
          <w:sz w:val="22"/>
          <w:szCs w:val="22"/>
          <w:lang w:val="en-GB"/>
        </w:rPr>
        <w:t>Children and young people’s health and wellbeing in educational settings: A review of the evidence. Prepared for the Department of Education and Early Childhood Development. Parkville, Victoria: Centre for Community Child Health and Centre for Adolescent Health, Murdoch Childrens Research Institute</w:t>
      </w:r>
    </w:p>
    <w:p w14:paraId="495F777A"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lastRenderedPageBreak/>
        <w:t>Morgan, W. and Streb, M., 2001. Building citizenship: how student voice in service</w:t>
      </w:r>
      <w:r w:rsidRPr="00011D0B">
        <w:rPr>
          <w:rFonts w:ascii="Cambria Math" w:hAnsi="Cambria Math" w:cs="Cambria Math"/>
          <w:noProof/>
          <w:sz w:val="22"/>
          <w:szCs w:val="22"/>
          <w:lang w:val="en-GB"/>
        </w:rPr>
        <w:t>‐</w:t>
      </w:r>
      <w:r w:rsidRPr="00011D0B">
        <w:rPr>
          <w:rFonts w:asciiTheme="minorHAnsi" w:hAnsiTheme="minorHAnsi" w:cstheme="minorHAnsi"/>
          <w:noProof/>
          <w:sz w:val="22"/>
          <w:szCs w:val="22"/>
          <w:lang w:val="en-GB"/>
        </w:rPr>
        <w:t xml:space="preserve">learning develops civic values. Social </w:t>
      </w:r>
    </w:p>
    <w:p w14:paraId="6E776DD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Mourshed, M., Chijioke, C., &amp; Barber, M. (2010). How the world's most improved school systems keep getting better. McKinsey. Retrieved from </w:t>
      </w:r>
      <w:r w:rsidRPr="009648FC">
        <w:rPr>
          <w:rFonts w:asciiTheme="minorHAnsi" w:hAnsiTheme="minorHAnsi" w:cstheme="minorHAnsi"/>
          <w:noProof/>
          <w:sz w:val="22"/>
          <w:szCs w:val="22"/>
          <w:lang w:val="en-GB"/>
        </w:rPr>
        <w:t>https://www.mckinsey.com/industries/public-and-social-sector/our-insights/how-the-worlds-most-improved-school-systems-keep-getting-better</w:t>
      </w:r>
      <w:r w:rsidRPr="00471C22">
        <w:rPr>
          <w:rFonts w:asciiTheme="minorHAnsi" w:hAnsiTheme="minorHAnsi" w:cstheme="minorHAnsi"/>
          <w:noProof/>
          <w:sz w:val="22"/>
          <w:szCs w:val="22"/>
          <w:lang w:val="en-GB"/>
        </w:rPr>
        <w:t xml:space="preserve"> </w:t>
      </w:r>
    </w:p>
    <w:p w14:paraId="76BEC2B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Moyle, K. (2016). Using data, conversations and observations for school improvement. Retrieved from </w:t>
      </w:r>
      <w:r w:rsidRPr="009648FC">
        <w:rPr>
          <w:rFonts w:asciiTheme="minorHAnsi" w:hAnsiTheme="minorHAnsi" w:cstheme="minorHAnsi"/>
          <w:noProof/>
          <w:sz w:val="22"/>
          <w:szCs w:val="22"/>
        </w:rPr>
        <w:t>https://research.acer.edu.au/cgi/viewcontent.cgi?article=1011&amp;context=professional_dev</w:t>
      </w:r>
      <w:r w:rsidRPr="00471C22">
        <w:rPr>
          <w:rFonts w:asciiTheme="minorHAnsi" w:hAnsiTheme="minorHAnsi" w:cstheme="minorHAnsi"/>
          <w:noProof/>
          <w:sz w:val="22"/>
          <w:szCs w:val="22"/>
        </w:rPr>
        <w:t xml:space="preserve"> </w:t>
      </w:r>
    </w:p>
    <w:p w14:paraId="0F4134C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Msila, V. (2016). The struggle to improve schools: Voices of South African teacher mentors. </w:t>
      </w:r>
      <w:r w:rsidRPr="00471C22">
        <w:rPr>
          <w:rFonts w:asciiTheme="minorHAnsi" w:hAnsiTheme="minorHAnsi" w:cstheme="minorHAnsi"/>
          <w:i/>
          <w:iCs/>
          <w:noProof/>
          <w:sz w:val="22"/>
          <w:szCs w:val="22"/>
        </w:rPr>
        <w:t>Educational Management Administration &amp; Leadership, 44</w:t>
      </w:r>
      <w:r w:rsidRPr="00471C22">
        <w:rPr>
          <w:rFonts w:asciiTheme="minorHAnsi" w:hAnsiTheme="minorHAnsi" w:cstheme="minorHAnsi"/>
          <w:noProof/>
          <w:sz w:val="22"/>
          <w:szCs w:val="22"/>
        </w:rPr>
        <w:t xml:space="preserve">(6), 936-950. </w:t>
      </w:r>
    </w:p>
    <w:p w14:paraId="5391D29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Muijs, D. (2015). Improving schools through collaboration: A mixed methods study of school-to-school partnerships in the primary sector. </w:t>
      </w:r>
      <w:r w:rsidRPr="00471C22">
        <w:rPr>
          <w:rFonts w:asciiTheme="minorHAnsi" w:hAnsiTheme="minorHAnsi" w:cstheme="minorHAnsi"/>
          <w:i/>
          <w:iCs/>
          <w:noProof/>
          <w:sz w:val="22"/>
          <w:szCs w:val="22"/>
        </w:rPr>
        <w:t>Oxford Review of Education, 41</w:t>
      </w:r>
      <w:r w:rsidRPr="00471C22">
        <w:rPr>
          <w:rFonts w:asciiTheme="minorHAnsi" w:hAnsiTheme="minorHAnsi" w:cstheme="minorHAnsi"/>
          <w:noProof/>
          <w:sz w:val="22"/>
          <w:szCs w:val="22"/>
        </w:rPr>
        <w:t xml:space="preserve">(5), 563-586. </w:t>
      </w:r>
    </w:p>
    <w:p w14:paraId="1C47C13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Muijs, D., Kyriakides, L., van der Werf, G., Creemers, B., Timperley, H., &amp; Earl, L. (2014). State of the art – teacher effectiveness and professional learning. </w:t>
      </w:r>
      <w:r w:rsidRPr="00471C22">
        <w:rPr>
          <w:rFonts w:asciiTheme="minorHAnsi" w:hAnsiTheme="minorHAnsi" w:cstheme="minorHAnsi"/>
          <w:i/>
          <w:iCs/>
          <w:noProof/>
          <w:sz w:val="22"/>
          <w:szCs w:val="22"/>
        </w:rPr>
        <w:t>School Effectiveness and School Improvement, 25</w:t>
      </w:r>
      <w:r w:rsidRPr="00471C22">
        <w:rPr>
          <w:rFonts w:asciiTheme="minorHAnsi" w:hAnsiTheme="minorHAnsi" w:cstheme="minorHAnsi"/>
          <w:noProof/>
          <w:sz w:val="22"/>
          <w:szCs w:val="22"/>
        </w:rPr>
        <w:t xml:space="preserve">(2), 231–256. </w:t>
      </w:r>
    </w:p>
    <w:p w14:paraId="07CC5232"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National College for Leadership of Schools and Children’s services. (2011). 10 Strong Claims about successful school leadership. Retrieved from </w:t>
      </w:r>
      <w:r w:rsidRPr="007B311E">
        <w:rPr>
          <w:rFonts w:asciiTheme="minorHAnsi" w:hAnsiTheme="minorHAnsi" w:cstheme="minorHAnsi"/>
          <w:sz w:val="22"/>
          <w:szCs w:val="22"/>
          <w:shd w:val="clear" w:color="auto" w:fill="FFFFFF"/>
        </w:rPr>
        <w:t>http://dera.ioe.ac.uk/id/eprint/2082</w:t>
      </w:r>
    </w:p>
    <w:p w14:paraId="4479FB4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Nicholson, L., &amp; Putwain, D. (2015). Facilitating re-engagement in learning: A disengaged student perspective. The Psychology of Education Review, 39(2), 37-41. </w:t>
      </w:r>
    </w:p>
    <w:p w14:paraId="16A934E6" w14:textId="77777777" w:rsidR="00011D0B" w:rsidRPr="00011D0B" w:rsidRDefault="00011D0B" w:rsidP="00DE043C">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Noble, T., Wyatt, T., McGrath, H., Roffey, S. and Rowling, L., 2008. Scoping study into approaches to student wellbeing.</w:t>
      </w:r>
    </w:p>
    <w:p w14:paraId="745F232F"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t>NSW Government. (2021). Wellbeing framework for schools. Retrieved from https://education.nsw.gov.au/student-wellbeing/whole-school-approach/wellbeing-framework-for-schools.</w:t>
      </w:r>
    </w:p>
    <w:p w14:paraId="00D5B4C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Nunnery, J. A., Chappell, S., &amp; Arnold, P. (2013). A Meta-analysis of a Cooperative Learning Models Effects on Student Achievement in Mathematics. </w:t>
      </w:r>
      <w:r w:rsidRPr="00471C22">
        <w:rPr>
          <w:rFonts w:asciiTheme="minorHAnsi" w:hAnsiTheme="minorHAnsi" w:cstheme="minorHAnsi"/>
          <w:i/>
          <w:iCs/>
          <w:noProof/>
          <w:sz w:val="22"/>
          <w:szCs w:val="22"/>
        </w:rPr>
        <w:t>Cypriot Journal of Educational Sciences, 8</w:t>
      </w:r>
      <w:r w:rsidRPr="00471C22">
        <w:rPr>
          <w:rFonts w:asciiTheme="minorHAnsi" w:hAnsiTheme="minorHAnsi" w:cstheme="minorHAnsi"/>
          <w:noProof/>
          <w:sz w:val="22"/>
          <w:szCs w:val="22"/>
        </w:rPr>
        <w:t>(1), 34–48.</w:t>
      </w:r>
    </w:p>
    <w:p w14:paraId="218586D2" w14:textId="77777777" w:rsidR="00EE7F52" w:rsidRPr="00EE7F5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sz w:val="22"/>
          <w:szCs w:val="22"/>
        </w:rPr>
        <w:t xml:space="preserve">OECD (2013) Education at a Glance 2013. OECD Publishing, OECD Publishing Retrieved from </w:t>
      </w:r>
      <w:r w:rsidRPr="00EE7F52">
        <w:rPr>
          <w:rFonts w:asciiTheme="minorHAnsi" w:hAnsiTheme="minorHAnsi" w:cstheme="minorHAnsi"/>
          <w:sz w:val="22"/>
          <w:szCs w:val="22"/>
        </w:rPr>
        <w:t xml:space="preserve">http://www.oecd.org/edu/educationataglance2013-indicatorsandannexes.htm </w:t>
      </w:r>
    </w:p>
    <w:p w14:paraId="1A91ED2D"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OECD. (2018). Chapter 9: Sense of belonging at school. PISA 2018 Results (Volume III): What School Life Means for Students’ Lives. Accessed online 30th August 2021. &lt;</w:t>
      </w:r>
      <w:hyperlink r:id="rId23" w:tgtFrame="_blank" w:tooltip="Original URL: https://www.oecd-ilibrary.org/sites/d69dc209-en/index.html?itemId=/content/component/d69dc209-en. Click or tap if you trust this link." w:history="1">
        <w:r w:rsidRPr="00EE7F52">
          <w:rPr>
            <w:rFonts w:asciiTheme="minorHAnsi" w:hAnsiTheme="minorHAnsi" w:cstheme="minorHAnsi"/>
            <w:noProof/>
          </w:rPr>
          <w:t>https://www.oecd-ilibrary.org/sites/d69dc209-en/index.html?itemId=/content/component/d69dc209-en</w:t>
        </w:r>
      </w:hyperlink>
      <w:r w:rsidRPr="00EE7F52">
        <w:rPr>
          <w:rFonts w:asciiTheme="minorHAnsi" w:hAnsiTheme="minorHAnsi" w:cstheme="minorHAnsi"/>
          <w:noProof/>
          <w:sz w:val="22"/>
          <w:szCs w:val="22"/>
        </w:rPr>
        <w:t>&gt;</w:t>
      </w:r>
    </w:p>
    <w:p w14:paraId="6B448FE1"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OECD. (2020). An implementation framework for effective change in schools. </w:t>
      </w:r>
      <w:r w:rsidRPr="00471C22">
        <w:rPr>
          <w:rFonts w:cstheme="minorHAnsi"/>
          <w:i/>
          <w:iCs/>
          <w:szCs w:val="22"/>
        </w:rPr>
        <w:t>OECD Education Policy Perspectives</w:t>
      </w:r>
      <w:r w:rsidRPr="00471C22">
        <w:rPr>
          <w:rFonts w:cstheme="minorHAnsi"/>
          <w:szCs w:val="22"/>
        </w:rPr>
        <w:t>, 9. Paris: OECD Publishing.</w:t>
      </w:r>
    </w:p>
    <w:p w14:paraId="4050999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Okilwa, N., &amp; Barnett, B. (2017). Sustaining school improvement in a high-need school: Longitudinal analysis of Robbins elementary school (USA) from 1993 to 2015. </w:t>
      </w:r>
      <w:r w:rsidRPr="00471C22">
        <w:rPr>
          <w:rFonts w:asciiTheme="minorHAnsi" w:hAnsiTheme="minorHAnsi" w:cstheme="minorHAnsi"/>
          <w:i/>
          <w:iCs/>
          <w:noProof/>
          <w:sz w:val="22"/>
          <w:szCs w:val="22"/>
        </w:rPr>
        <w:t>Journal of Educational Administration, 55</w:t>
      </w:r>
      <w:r w:rsidRPr="00471C22">
        <w:rPr>
          <w:rFonts w:asciiTheme="minorHAnsi" w:hAnsiTheme="minorHAnsi" w:cstheme="minorHAnsi"/>
          <w:noProof/>
          <w:sz w:val="22"/>
          <w:szCs w:val="22"/>
        </w:rPr>
        <w:t>(3), 297-315.</w:t>
      </w:r>
    </w:p>
    <w:p w14:paraId="6F213F3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Olsen, J., Preston, A. I., Algozzine, B., Algozzine, K., &amp; Cusumano, D. (2018). A review and analysis of selected school climate measures. </w:t>
      </w:r>
      <w:r w:rsidRPr="00471C22">
        <w:rPr>
          <w:rFonts w:asciiTheme="minorHAnsi" w:hAnsiTheme="minorHAnsi" w:cstheme="minorHAnsi"/>
          <w:i/>
          <w:iCs/>
          <w:noProof/>
          <w:sz w:val="22"/>
          <w:szCs w:val="22"/>
          <w:lang w:val="en-GB"/>
        </w:rPr>
        <w:t>The Clearing House: A Journal of Educational Strategies, Issues and Ideas</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91</w:t>
      </w:r>
      <w:r w:rsidRPr="00471C22">
        <w:rPr>
          <w:rFonts w:asciiTheme="minorHAnsi" w:hAnsiTheme="minorHAnsi" w:cstheme="minorHAnsi"/>
          <w:noProof/>
          <w:sz w:val="22"/>
          <w:szCs w:val="22"/>
          <w:lang w:val="en-GB"/>
        </w:rPr>
        <w:t>(2), 47-58.</w:t>
      </w:r>
    </w:p>
    <w:p w14:paraId="69825F57" w14:textId="77777777" w:rsidR="00EE7F52" w:rsidRPr="00011D0B" w:rsidRDefault="00EE7F52" w:rsidP="00471C22">
      <w:pPr>
        <w:spacing w:beforeLines="24" w:before="57"/>
        <w:ind w:left="709" w:hanging="720"/>
        <w:rPr>
          <w:rFonts w:cstheme="minorHAnsi"/>
          <w:szCs w:val="22"/>
          <w:shd w:val="clear" w:color="auto" w:fill="FFFFFF"/>
        </w:rPr>
      </w:pPr>
      <w:r w:rsidRPr="00011D0B">
        <w:rPr>
          <w:rFonts w:cstheme="minorHAnsi"/>
          <w:szCs w:val="22"/>
          <w:shd w:val="clear" w:color="auto" w:fill="FFFFFF"/>
        </w:rPr>
        <w:t>Ottawa-Carleton District School Board</w:t>
      </w:r>
      <w:r w:rsidR="00011D0B" w:rsidRPr="00011D0B">
        <w:rPr>
          <w:rFonts w:cstheme="minorHAnsi"/>
          <w:szCs w:val="22"/>
          <w:shd w:val="clear" w:color="auto" w:fill="FFFFFF"/>
        </w:rPr>
        <w:t xml:space="preserve"> (OCDSB).</w:t>
      </w:r>
      <w:r w:rsidRPr="00011D0B">
        <w:rPr>
          <w:rFonts w:cstheme="minorHAnsi"/>
          <w:szCs w:val="22"/>
          <w:shd w:val="clear" w:color="auto" w:fill="FFFFFF"/>
        </w:rPr>
        <w:t xml:space="preserve"> (2015). Framework for Student Wellbeing. Retrieved from https://www.ocdsb.ca/common/pages/DisplayFile.aspx?itemId=2594677.</w:t>
      </w:r>
    </w:p>
    <w:p w14:paraId="49908850"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Owen, K., Parker, P., Astell-Burt, T., &amp; Lonsdale, C. (2017). Regular physical activity and educational outcomes in youth: a longitudinal study. Journal of Adolescent Health, 62, 334-340.</w:t>
      </w:r>
    </w:p>
    <w:p w14:paraId="48CA3AA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Pettigrew, T. F., &amp; Tropp, L. R. (2006) A meta-analytic test of intergroup contact theory. </w:t>
      </w:r>
      <w:r w:rsidRPr="00471C22">
        <w:rPr>
          <w:rFonts w:asciiTheme="minorHAnsi" w:hAnsiTheme="minorHAnsi" w:cstheme="minorHAnsi"/>
          <w:i/>
          <w:iCs/>
          <w:noProof/>
          <w:sz w:val="22"/>
          <w:szCs w:val="22"/>
        </w:rPr>
        <w:t>Journal of Personality and Social Psychology, 90</w:t>
      </w:r>
      <w:r w:rsidRPr="00471C22">
        <w:rPr>
          <w:rFonts w:asciiTheme="minorHAnsi" w:hAnsiTheme="minorHAnsi" w:cstheme="minorHAnsi"/>
          <w:noProof/>
          <w:sz w:val="22"/>
          <w:szCs w:val="22"/>
        </w:rPr>
        <w:t xml:space="preserve">(5), 751–783. </w:t>
      </w:r>
    </w:p>
    <w:p w14:paraId="11381CF7" w14:textId="77777777" w:rsidR="00EE7F52" w:rsidRPr="00897F54" w:rsidRDefault="00EE7F52" w:rsidP="00471C22">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lastRenderedPageBreak/>
        <w:t>Pollard, E., &amp; Lee, P. (2002). Child wellbeing: a systematic review of the literature. Geogia: Centre for Child Wellbeing.</w:t>
      </w:r>
    </w:p>
    <w:p w14:paraId="30BBE77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Pomerantz, E. M., Moorman, E. A., &amp; Litwack, S. D. (2007). The how, whom, and why of parents’ involvement in children’s academic lives: More is not always better. </w:t>
      </w:r>
      <w:r w:rsidRPr="00471C22">
        <w:rPr>
          <w:rFonts w:asciiTheme="minorHAnsi" w:hAnsiTheme="minorHAnsi" w:cstheme="minorHAnsi"/>
          <w:i/>
          <w:iCs/>
          <w:noProof/>
          <w:sz w:val="22"/>
          <w:szCs w:val="22"/>
        </w:rPr>
        <w:t>Review of educational research, 77</w:t>
      </w:r>
      <w:r w:rsidRPr="00471C22">
        <w:rPr>
          <w:rFonts w:asciiTheme="minorHAnsi" w:hAnsiTheme="minorHAnsi" w:cstheme="minorHAnsi"/>
          <w:noProof/>
          <w:sz w:val="22"/>
          <w:szCs w:val="22"/>
        </w:rPr>
        <w:t xml:space="preserve">(3), 373-410. </w:t>
      </w:r>
    </w:p>
    <w:p w14:paraId="33AC128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Pont, B., Nusche, D., &amp; Moorman, H. (2008</w:t>
      </w:r>
      <w:r w:rsidRPr="00471C22">
        <w:rPr>
          <w:rFonts w:asciiTheme="minorHAnsi" w:hAnsiTheme="minorHAnsi" w:cstheme="minorHAnsi"/>
          <w:i/>
          <w:iCs/>
          <w:noProof/>
          <w:sz w:val="22"/>
          <w:szCs w:val="22"/>
          <w:lang w:val="en-GB"/>
        </w:rPr>
        <w:t>). Improving school leadership, Volume 1: Policy and practice.</w:t>
      </w:r>
      <w:r w:rsidRPr="00471C22">
        <w:rPr>
          <w:rFonts w:asciiTheme="minorHAnsi" w:hAnsiTheme="minorHAnsi" w:cstheme="minorHAnsi"/>
          <w:noProof/>
          <w:sz w:val="22"/>
          <w:szCs w:val="22"/>
          <w:lang w:val="en-GB"/>
        </w:rPr>
        <w:t xml:space="preserve"> Australia: OECD Publications. </w:t>
      </w:r>
    </w:p>
    <w:p w14:paraId="6B50A64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Powell, D. R., Diamond, K. E., Burchinal, M. R., &amp; Koehler, M. J. (2010). Effects of an early literacy professional development intervention on head start teachers and children. </w:t>
      </w:r>
      <w:r w:rsidRPr="00471C22">
        <w:rPr>
          <w:rFonts w:asciiTheme="minorHAnsi" w:hAnsiTheme="minorHAnsi" w:cstheme="minorHAnsi"/>
          <w:i/>
          <w:iCs/>
          <w:noProof/>
          <w:sz w:val="22"/>
          <w:szCs w:val="22"/>
          <w:lang w:val="en-GB"/>
        </w:rPr>
        <w:t>Journal of educational psychology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102</w:t>
      </w:r>
      <w:r w:rsidRPr="00471C22">
        <w:rPr>
          <w:rFonts w:asciiTheme="minorHAnsi" w:hAnsiTheme="minorHAnsi" w:cstheme="minorHAnsi"/>
          <w:noProof/>
          <w:sz w:val="22"/>
          <w:szCs w:val="22"/>
          <w:lang w:val="en-GB"/>
        </w:rPr>
        <w:t>(2), 299-312.</w:t>
      </w:r>
    </w:p>
    <w:p w14:paraId="1006EF3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Press, F., Wong, S., Woods, A., Miller, M., Rivalland, C., &amp; Sumsion, J. (2015) Independent Evaluation of the National Community Hubs Program. Wagga Wagga, NSW: Research Institute for Professional Practice, Learning and Education (RIPPLE). Retrived online: </w:t>
      </w:r>
      <w:r w:rsidRPr="00DD75E0">
        <w:rPr>
          <w:rFonts w:asciiTheme="minorHAnsi" w:hAnsiTheme="minorHAnsi" w:cstheme="minorHAnsi"/>
          <w:noProof/>
          <w:sz w:val="22"/>
          <w:szCs w:val="22"/>
        </w:rPr>
        <w:t>https://researchers.mq.edu.au/en/publications/independent-evaluation-of-the-national-community-hubs-program</w:t>
      </w:r>
      <w:r>
        <w:rPr>
          <w:rFonts w:asciiTheme="minorHAnsi" w:hAnsiTheme="minorHAnsi" w:cstheme="minorHAnsi"/>
          <w:noProof/>
          <w:sz w:val="22"/>
          <w:szCs w:val="22"/>
        </w:rPr>
        <w:t>.</w:t>
      </w:r>
    </w:p>
    <w:p w14:paraId="75131412"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Priest, N., Doery, K., Truong, M., Guo, S., Perry, R., Trenerry, B., Karlsen, S., Kelly, Y. &amp; Paradies, Y. (2021). Updated systematic review and meta-analysis of studies examining the relationship between reported racism and health and well-being for children and youth: a protocol. BMJ Open, Vol. 11 No. 6.</w:t>
      </w:r>
    </w:p>
    <w:p w14:paraId="77F5FE9B" w14:textId="77777777" w:rsidR="00EE7F52" w:rsidRPr="00EE7F52" w:rsidRDefault="00EE7F52" w:rsidP="001C4DD6">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Proulx, C.N., Coulter, R.W.S., Egan, J.E., Matthews, D.D. &amp; Mair, C. (2019). Associations of LGBTQ-inclusive sex education with mental health outcomes and school-based victimization in U.S. high school students. Journal of Adolescent Health, Vol. 64 No. 5, pp.608-614.</w:t>
      </w:r>
    </w:p>
    <w:p w14:paraId="33357B1E" w14:textId="77777777" w:rsidR="00EE7F52" w:rsidRPr="00EE7F52" w:rsidRDefault="00EE7F52" w:rsidP="00F7276B">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Quaglia Institute for School Voice and Aspirations. (2016). School Voice Report. Corwin Press, Thousand Oaks, CA.</w:t>
      </w:r>
    </w:p>
    <w:p w14:paraId="25C0FCA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Ramesh, G., &amp; Sucharita, V. (2016). Going tactical rather than strategic: An intervention that helped schools pass the grade. </w:t>
      </w:r>
      <w:r w:rsidRPr="00471C22">
        <w:rPr>
          <w:rFonts w:asciiTheme="minorHAnsi" w:hAnsiTheme="minorHAnsi" w:cstheme="minorHAnsi"/>
          <w:i/>
          <w:iCs/>
          <w:noProof/>
          <w:sz w:val="22"/>
          <w:szCs w:val="22"/>
        </w:rPr>
        <w:t>Contemporary Education Dialogue, 13</w:t>
      </w:r>
      <w:r w:rsidRPr="00471C22">
        <w:rPr>
          <w:rFonts w:asciiTheme="minorHAnsi" w:hAnsiTheme="minorHAnsi" w:cstheme="minorHAnsi"/>
          <w:noProof/>
          <w:sz w:val="22"/>
          <w:szCs w:val="22"/>
        </w:rPr>
        <w:t xml:space="preserve">(2), 213-230. </w:t>
      </w:r>
    </w:p>
    <w:p w14:paraId="77A9427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Redding, C., Cannata, M., &amp; Miller, J. M. (2018). System learning in an urban school district: A case study of intra-district learning. </w:t>
      </w:r>
      <w:r w:rsidRPr="00471C22">
        <w:rPr>
          <w:rFonts w:asciiTheme="minorHAnsi" w:hAnsiTheme="minorHAnsi" w:cstheme="minorHAnsi"/>
          <w:i/>
          <w:iCs/>
          <w:noProof/>
          <w:sz w:val="22"/>
          <w:szCs w:val="22"/>
        </w:rPr>
        <w:t>Journal of Educational Change, 19</w:t>
      </w:r>
      <w:r w:rsidRPr="00471C22">
        <w:rPr>
          <w:rFonts w:asciiTheme="minorHAnsi" w:hAnsiTheme="minorHAnsi" w:cstheme="minorHAnsi"/>
          <w:noProof/>
          <w:sz w:val="22"/>
          <w:szCs w:val="22"/>
        </w:rPr>
        <w:t xml:space="preserve">(1), 77-101. </w:t>
      </w:r>
    </w:p>
    <w:p w14:paraId="3367F17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Redding, S., Langdon, J., Meyer, J., &amp; Sheley, P. (2004) The Effects of Comprehensive Parent Engagement on Student Learning Outcomes. Presented at the American Educational Research Association convention, San Diego, CA. Retrived online: </w:t>
      </w:r>
      <w:r w:rsidRPr="00DD75E0">
        <w:rPr>
          <w:rFonts w:asciiTheme="minorHAnsi" w:hAnsiTheme="minorHAnsi" w:cstheme="minorHAnsi"/>
          <w:noProof/>
          <w:sz w:val="22"/>
          <w:szCs w:val="22"/>
        </w:rPr>
        <w:t>https://citeseerx.ist.psu.edu/viewdoc/download?doi=10.1.1.502.8515&amp;rep=rep1&amp;type=pdf</w:t>
      </w:r>
      <w:r>
        <w:rPr>
          <w:rFonts w:asciiTheme="minorHAnsi" w:hAnsiTheme="minorHAnsi" w:cstheme="minorHAnsi"/>
          <w:noProof/>
          <w:sz w:val="22"/>
          <w:szCs w:val="22"/>
        </w:rPr>
        <w:t>.</w:t>
      </w:r>
    </w:p>
    <w:p w14:paraId="35A6AC5C"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471C22">
        <w:rPr>
          <w:rFonts w:asciiTheme="minorHAnsi" w:hAnsiTheme="minorHAnsi" w:cstheme="minorHAnsi"/>
          <w:noProof/>
          <w:sz w:val="22"/>
          <w:szCs w:val="22"/>
        </w:rPr>
        <w:t xml:space="preserve">Reed, L. C., &amp; Swaminathan, R. (2016). An urban school leader's approach to school improvement: Toward contextually responsive leadership. </w:t>
      </w:r>
      <w:r w:rsidRPr="00471C22">
        <w:rPr>
          <w:rFonts w:asciiTheme="minorHAnsi" w:hAnsiTheme="minorHAnsi" w:cstheme="minorHAnsi"/>
          <w:i/>
          <w:noProof/>
          <w:sz w:val="22"/>
          <w:szCs w:val="22"/>
        </w:rPr>
        <w:t>Urban Education, 51</w:t>
      </w:r>
      <w:r w:rsidRPr="00471C22">
        <w:rPr>
          <w:rFonts w:asciiTheme="minorHAnsi" w:hAnsiTheme="minorHAnsi" w:cstheme="minorHAnsi"/>
          <w:noProof/>
          <w:sz w:val="22"/>
          <w:szCs w:val="22"/>
        </w:rPr>
        <w:t xml:space="preserve">(9), 1096-1125. </w:t>
      </w:r>
    </w:p>
    <w:p w14:paraId="562F084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Rennie, L., Wallace, J., &amp; Venville, G. (2018). Natural disasters as unique socioscientific events: Curricular responses to the New Zealand earthquakes. In D. Corrigan (Ed.), Navigating the Changing Landscape of Formal and Informal Science Learning Opportunities (pp. 105-125). Cham: Springer.</w:t>
      </w:r>
    </w:p>
    <w:p w14:paraId="655CA6B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Reynolds, D., Teddie, C., Chapman, C. &amp; Stringfield, S. (2016). Effective school processes. In C. Chapman, Muijs, D., Reynolds, D., Sammons, P. &amp; Teddie, C, (Eds.), </w:t>
      </w:r>
      <w:r w:rsidRPr="00471C22">
        <w:rPr>
          <w:rFonts w:asciiTheme="minorHAnsi" w:hAnsiTheme="minorHAnsi" w:cstheme="minorHAnsi"/>
          <w:i/>
          <w:noProof/>
          <w:sz w:val="22"/>
          <w:szCs w:val="22"/>
        </w:rPr>
        <w:t>The Routledge International Handbook of Educational Effectiveness and Improvement: Research, Policy and Practice</w:t>
      </w:r>
      <w:r w:rsidRPr="00471C22">
        <w:rPr>
          <w:rFonts w:asciiTheme="minorHAnsi" w:hAnsiTheme="minorHAnsi" w:cstheme="minorHAnsi"/>
          <w:noProof/>
          <w:sz w:val="22"/>
          <w:szCs w:val="22"/>
        </w:rPr>
        <w:t xml:space="preserve"> (pp. 77-99). New York: Taylor &amp; Francis Group.</w:t>
      </w:r>
    </w:p>
    <w:p w14:paraId="2E74930C" w14:textId="77777777" w:rsidR="00011D0B" w:rsidRPr="00011D0B" w:rsidRDefault="00011D0B" w:rsidP="00055F9B">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Richards, H.V., Brown, A.F. and Forde, T.B., 2007. Addressing diversity in schools: Culturally responsive pedagogy. Teaching Exceptional Children, 39(3), pp.64-68.</w:t>
      </w:r>
    </w:p>
    <w:p w14:paraId="493A01A9"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lang w:val="en-GB"/>
        </w:rPr>
        <w:t xml:space="preserve">Riley, P. (2017). The Australian principal occupational health, </w:t>
      </w:r>
      <w:proofErr w:type="gramStart"/>
      <w:r w:rsidRPr="00011D0B">
        <w:rPr>
          <w:rFonts w:asciiTheme="minorHAnsi" w:hAnsiTheme="minorHAnsi" w:cstheme="minorHAnsi"/>
          <w:sz w:val="22"/>
          <w:szCs w:val="22"/>
          <w:shd w:val="clear" w:color="auto" w:fill="FFFFFF"/>
          <w:lang w:val="en-GB"/>
        </w:rPr>
        <w:t>safety</w:t>
      </w:r>
      <w:proofErr w:type="gramEnd"/>
      <w:r w:rsidRPr="00011D0B">
        <w:rPr>
          <w:rFonts w:asciiTheme="minorHAnsi" w:hAnsiTheme="minorHAnsi" w:cstheme="minorHAnsi"/>
          <w:sz w:val="22"/>
          <w:szCs w:val="22"/>
          <w:shd w:val="clear" w:color="auto" w:fill="FFFFFF"/>
          <w:lang w:val="en-GB"/>
        </w:rPr>
        <w:t xml:space="preserve"> and wellbeing survey 2017 data. Melbourne: ACU.</w:t>
      </w:r>
    </w:p>
    <w:p w14:paraId="515E831D" w14:textId="77777777" w:rsidR="00EE7F52" w:rsidRPr="00471C22" w:rsidRDefault="00EE7F52" w:rsidP="00471C22">
      <w:pPr>
        <w:pStyle w:val="EndNoteBibliography"/>
        <w:spacing w:beforeLines="24" w:before="57"/>
        <w:ind w:left="720" w:hanging="720"/>
        <w:rPr>
          <w:rFonts w:asciiTheme="minorHAnsi" w:hAnsiTheme="minorHAnsi" w:cstheme="minorHAnsi"/>
          <w:i/>
          <w:iCs/>
          <w:noProof/>
          <w:sz w:val="22"/>
          <w:szCs w:val="22"/>
        </w:rPr>
      </w:pPr>
      <w:r w:rsidRPr="00471C22">
        <w:rPr>
          <w:rFonts w:asciiTheme="minorHAnsi" w:hAnsiTheme="minorHAnsi" w:cstheme="minorHAnsi"/>
          <w:noProof/>
          <w:sz w:val="22"/>
          <w:szCs w:val="22"/>
        </w:rPr>
        <w:t xml:space="preserve">Robertson, J. (2017). </w:t>
      </w:r>
      <w:r w:rsidRPr="00471C22">
        <w:rPr>
          <w:rFonts w:asciiTheme="minorHAnsi" w:hAnsiTheme="minorHAnsi" w:cstheme="minorHAnsi"/>
          <w:noProof/>
          <w:sz w:val="22"/>
          <w:szCs w:val="22"/>
          <w:lang w:val="en-GB"/>
        </w:rPr>
        <w:t xml:space="preserve">Rethinking Learner and Teacher Roles: Incorporating Student Voice and Agency into Teaching Practice. </w:t>
      </w:r>
      <w:r w:rsidRPr="00471C22">
        <w:rPr>
          <w:rFonts w:asciiTheme="minorHAnsi" w:hAnsiTheme="minorHAnsi" w:cstheme="minorHAnsi"/>
          <w:i/>
          <w:iCs/>
          <w:noProof/>
          <w:sz w:val="22"/>
          <w:szCs w:val="22"/>
          <w:lang w:val="en-GB"/>
        </w:rPr>
        <w:t>Journal of Initial Teacher Inquiry 3</w:t>
      </w:r>
      <w:r w:rsidRPr="00471C22">
        <w:rPr>
          <w:rFonts w:asciiTheme="minorHAnsi" w:hAnsiTheme="minorHAnsi" w:cstheme="minorHAnsi"/>
          <w:noProof/>
          <w:sz w:val="22"/>
          <w:szCs w:val="22"/>
          <w:lang w:val="en-GB"/>
        </w:rPr>
        <w:t>(1) 41-44.</w:t>
      </w:r>
    </w:p>
    <w:p w14:paraId="31D8DDC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lastRenderedPageBreak/>
        <w:t xml:space="preserve">Robinson, V., Bendikson, L., McNaughton, S., Wilson, A., &amp; Zhu, T. (2017). Joining the dots: The challenge of creating coherent school improvement. </w:t>
      </w:r>
      <w:r w:rsidRPr="00471C22">
        <w:rPr>
          <w:rFonts w:asciiTheme="minorHAnsi" w:hAnsiTheme="minorHAnsi" w:cstheme="minorHAnsi"/>
          <w:i/>
          <w:iCs/>
          <w:noProof/>
          <w:sz w:val="22"/>
          <w:szCs w:val="22"/>
        </w:rPr>
        <w:t>Teachers College Record, 119</w:t>
      </w:r>
      <w:r w:rsidRPr="00471C22">
        <w:rPr>
          <w:rFonts w:asciiTheme="minorHAnsi" w:hAnsiTheme="minorHAnsi" w:cstheme="minorHAnsi"/>
          <w:noProof/>
          <w:sz w:val="22"/>
          <w:szCs w:val="22"/>
        </w:rPr>
        <w:t xml:space="preserve">(8), 1-44. </w:t>
      </w:r>
    </w:p>
    <w:p w14:paraId="67C0165E"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Robinson, V., </w:t>
      </w:r>
      <w:proofErr w:type="spellStart"/>
      <w:r w:rsidRPr="00011D0B">
        <w:rPr>
          <w:rFonts w:asciiTheme="minorHAnsi" w:hAnsiTheme="minorHAnsi" w:cstheme="minorHAnsi"/>
          <w:sz w:val="22"/>
          <w:szCs w:val="22"/>
          <w:shd w:val="clear" w:color="auto" w:fill="FFFFFF"/>
        </w:rPr>
        <w:t>Hohepa</w:t>
      </w:r>
      <w:proofErr w:type="spellEnd"/>
      <w:r w:rsidRPr="00011D0B">
        <w:rPr>
          <w:rFonts w:asciiTheme="minorHAnsi" w:hAnsiTheme="minorHAnsi" w:cstheme="minorHAnsi"/>
          <w:sz w:val="22"/>
          <w:szCs w:val="22"/>
          <w:shd w:val="clear" w:color="auto" w:fill="FFFFFF"/>
        </w:rPr>
        <w:t>, M., &amp; Lloyd, C. (2009) School Leadership and Student Outcomes: Identifying What Works and Why: Best Evidence Synthesis Iteration [BES]. Wellington: Ministry of Education, New Zealand.</w:t>
      </w:r>
    </w:p>
    <w:p w14:paraId="4F270B82" w14:textId="77777777" w:rsidR="00EE7F52" w:rsidRPr="00011D0B" w:rsidRDefault="00EE7F52" w:rsidP="00471C22">
      <w:pPr>
        <w:pStyle w:val="EndNoteBibliography"/>
        <w:spacing w:beforeLines="24" w:before="57"/>
        <w:ind w:left="720" w:hanging="720"/>
        <w:rPr>
          <w:rFonts w:asciiTheme="minorHAnsi" w:hAnsiTheme="minorHAnsi" w:cstheme="minorHAnsi"/>
          <w:sz w:val="22"/>
          <w:szCs w:val="22"/>
          <w:shd w:val="clear" w:color="auto" w:fill="FFFFFF"/>
        </w:rPr>
      </w:pPr>
      <w:r w:rsidRPr="00011D0B">
        <w:rPr>
          <w:rFonts w:asciiTheme="minorHAnsi" w:hAnsiTheme="minorHAnsi" w:cstheme="minorHAnsi"/>
          <w:sz w:val="22"/>
          <w:szCs w:val="22"/>
          <w:shd w:val="clear" w:color="auto" w:fill="FFFFFF"/>
        </w:rPr>
        <w:t xml:space="preserve">Robinson, </w:t>
      </w:r>
      <w:proofErr w:type="gramStart"/>
      <w:r w:rsidRPr="00011D0B">
        <w:rPr>
          <w:rFonts w:asciiTheme="minorHAnsi" w:hAnsiTheme="minorHAnsi" w:cstheme="minorHAnsi"/>
          <w:sz w:val="22"/>
          <w:szCs w:val="22"/>
          <w:shd w:val="clear" w:color="auto" w:fill="FFFFFF"/>
        </w:rPr>
        <w:t>V..</w:t>
      </w:r>
      <w:proofErr w:type="gramEnd"/>
      <w:r w:rsidRPr="00011D0B">
        <w:rPr>
          <w:rFonts w:asciiTheme="minorHAnsi" w:hAnsiTheme="minorHAnsi" w:cstheme="minorHAnsi"/>
          <w:sz w:val="22"/>
          <w:szCs w:val="22"/>
          <w:shd w:val="clear" w:color="auto" w:fill="FFFFFF"/>
        </w:rPr>
        <w:t xml:space="preserve"> (2001) Embedding leadership in task performance In </w:t>
      </w:r>
      <w:r w:rsidRPr="00011D0B">
        <w:rPr>
          <w:rFonts w:asciiTheme="minorHAnsi" w:hAnsiTheme="minorHAnsi" w:cstheme="minorHAnsi"/>
          <w:sz w:val="22"/>
          <w:szCs w:val="22"/>
          <w:shd w:val="clear" w:color="auto" w:fill="FFFFFF"/>
          <w:lang w:val="en-GB"/>
        </w:rPr>
        <w:t>Wong, K. C., &amp; Evers, C. </w:t>
      </w:r>
      <w:r w:rsidRPr="00011D0B">
        <w:rPr>
          <w:rFonts w:asciiTheme="minorHAnsi" w:hAnsiTheme="minorHAnsi" w:cstheme="minorHAnsi"/>
          <w:i/>
          <w:sz w:val="22"/>
          <w:szCs w:val="22"/>
          <w:shd w:val="clear" w:color="auto" w:fill="FFFFFF"/>
          <w:lang w:val="en-GB"/>
        </w:rPr>
        <w:t xml:space="preserve">Leadership for quality schooling: International perspectives </w:t>
      </w:r>
      <w:r w:rsidRPr="00011D0B">
        <w:rPr>
          <w:rFonts w:asciiTheme="minorHAnsi" w:hAnsiTheme="minorHAnsi" w:cstheme="minorHAnsi"/>
          <w:sz w:val="22"/>
          <w:szCs w:val="22"/>
          <w:shd w:val="clear" w:color="auto" w:fill="FFFFFF"/>
          <w:lang w:val="en-GB"/>
        </w:rPr>
        <w:t>(pp. 90-102). Oxfordshire, Routledge</w:t>
      </w:r>
      <w:r w:rsidRPr="00011D0B">
        <w:rPr>
          <w:rFonts w:asciiTheme="minorHAnsi" w:hAnsiTheme="minorHAnsi" w:cstheme="minorHAnsi"/>
          <w:sz w:val="22"/>
          <w:szCs w:val="22"/>
          <w:shd w:val="clear" w:color="auto" w:fill="FFFFFF"/>
        </w:rPr>
        <w:t>.</w:t>
      </w:r>
    </w:p>
    <w:p w14:paraId="27F161A1" w14:textId="77777777" w:rsidR="00EE7F52" w:rsidRPr="00011D0B" w:rsidRDefault="00EE7F52" w:rsidP="00471C22">
      <w:pPr>
        <w:spacing w:beforeLines="24" w:before="57"/>
        <w:ind w:left="709" w:hanging="720"/>
        <w:rPr>
          <w:rFonts w:cstheme="minorHAnsi"/>
          <w:szCs w:val="22"/>
          <w:shd w:val="clear" w:color="auto" w:fill="FFFFFF"/>
        </w:rPr>
      </w:pPr>
      <w:r w:rsidRPr="00011D0B">
        <w:rPr>
          <w:rFonts w:cstheme="minorHAnsi"/>
          <w:szCs w:val="22"/>
          <w:shd w:val="clear" w:color="auto" w:fill="FFFFFF"/>
        </w:rPr>
        <w:t xml:space="preserve">Ross, D, A., Hinton, R., </w:t>
      </w:r>
      <w:proofErr w:type="spellStart"/>
      <w:r w:rsidRPr="00011D0B">
        <w:rPr>
          <w:rFonts w:cstheme="minorHAnsi"/>
          <w:szCs w:val="22"/>
          <w:shd w:val="clear" w:color="auto" w:fill="FFFFFF"/>
        </w:rPr>
        <w:t>Melles</w:t>
      </w:r>
      <w:proofErr w:type="spellEnd"/>
      <w:r w:rsidRPr="00011D0B">
        <w:rPr>
          <w:rFonts w:cstheme="minorHAnsi"/>
          <w:szCs w:val="22"/>
          <w:shd w:val="clear" w:color="auto" w:fill="FFFFFF"/>
        </w:rPr>
        <w:t xml:space="preserve">-Brewer M., Engel D., </w:t>
      </w:r>
      <w:proofErr w:type="spellStart"/>
      <w:r w:rsidRPr="00011D0B">
        <w:rPr>
          <w:rFonts w:cstheme="minorHAnsi"/>
          <w:szCs w:val="22"/>
          <w:shd w:val="clear" w:color="auto" w:fill="FFFFFF"/>
        </w:rPr>
        <w:t>Zeck</w:t>
      </w:r>
      <w:proofErr w:type="spellEnd"/>
      <w:r w:rsidRPr="00011D0B">
        <w:rPr>
          <w:rFonts w:cstheme="minorHAnsi"/>
          <w:szCs w:val="22"/>
          <w:shd w:val="clear" w:color="auto" w:fill="FFFFFF"/>
        </w:rPr>
        <w:t xml:space="preserve">, W., Fagan, L., Herat, J., </w:t>
      </w:r>
      <w:proofErr w:type="spellStart"/>
      <w:r w:rsidRPr="00011D0B">
        <w:rPr>
          <w:rFonts w:cstheme="minorHAnsi"/>
          <w:szCs w:val="22"/>
          <w:shd w:val="clear" w:color="auto" w:fill="FFFFFF"/>
        </w:rPr>
        <w:t>Phaladi</w:t>
      </w:r>
      <w:proofErr w:type="spellEnd"/>
      <w:r w:rsidRPr="00011D0B">
        <w:rPr>
          <w:rFonts w:cstheme="minorHAnsi"/>
          <w:szCs w:val="22"/>
          <w:shd w:val="clear" w:color="auto" w:fill="FFFFFF"/>
        </w:rPr>
        <w:t xml:space="preserve">, G., </w:t>
      </w:r>
      <w:proofErr w:type="spellStart"/>
      <w:r w:rsidRPr="00011D0B">
        <w:rPr>
          <w:rFonts w:cstheme="minorHAnsi"/>
          <w:szCs w:val="22"/>
          <w:shd w:val="clear" w:color="auto" w:fill="FFFFFF"/>
        </w:rPr>
        <w:t>Imbago</w:t>
      </w:r>
      <w:proofErr w:type="spellEnd"/>
      <w:r w:rsidRPr="00011D0B">
        <w:rPr>
          <w:rFonts w:cstheme="minorHAnsi"/>
          <w:szCs w:val="22"/>
          <w:shd w:val="clear" w:color="auto" w:fill="FFFFFF"/>
        </w:rPr>
        <w:t xml:space="preserve">-Jacome, D., </w:t>
      </w:r>
      <w:proofErr w:type="spellStart"/>
      <w:r w:rsidRPr="00011D0B">
        <w:rPr>
          <w:rFonts w:cstheme="minorHAnsi"/>
          <w:szCs w:val="22"/>
          <w:shd w:val="clear" w:color="auto" w:fill="FFFFFF"/>
        </w:rPr>
        <w:t>Anyona</w:t>
      </w:r>
      <w:proofErr w:type="spellEnd"/>
      <w:r w:rsidRPr="00011D0B">
        <w:rPr>
          <w:rFonts w:cstheme="minorHAnsi"/>
          <w:szCs w:val="22"/>
          <w:shd w:val="clear" w:color="auto" w:fill="FFFFFF"/>
        </w:rPr>
        <w:t xml:space="preserve">, P., Sanchez, A., </w:t>
      </w:r>
      <w:proofErr w:type="spellStart"/>
      <w:r w:rsidRPr="00011D0B">
        <w:rPr>
          <w:rFonts w:cstheme="minorHAnsi"/>
          <w:szCs w:val="22"/>
          <w:shd w:val="clear" w:color="auto" w:fill="FFFFFF"/>
        </w:rPr>
        <w:t>Damju</w:t>
      </w:r>
      <w:proofErr w:type="spellEnd"/>
      <w:r w:rsidRPr="00011D0B">
        <w:rPr>
          <w:rFonts w:cstheme="minorHAnsi"/>
          <w:szCs w:val="22"/>
          <w:shd w:val="clear" w:color="auto" w:fill="FFFFFF"/>
        </w:rPr>
        <w:t xml:space="preserve">, N., </w:t>
      </w:r>
      <w:proofErr w:type="spellStart"/>
      <w:r w:rsidRPr="00011D0B">
        <w:rPr>
          <w:rFonts w:cstheme="minorHAnsi"/>
          <w:szCs w:val="22"/>
          <w:shd w:val="clear" w:color="auto" w:fill="FFFFFF"/>
        </w:rPr>
        <w:t>Terki</w:t>
      </w:r>
      <w:proofErr w:type="spellEnd"/>
      <w:r w:rsidRPr="00011D0B">
        <w:rPr>
          <w:rFonts w:cstheme="minorHAnsi"/>
          <w:szCs w:val="22"/>
          <w:shd w:val="clear" w:color="auto" w:fill="FFFFFF"/>
        </w:rPr>
        <w:t xml:space="preserve">, F., </w:t>
      </w:r>
      <w:proofErr w:type="spellStart"/>
      <w:r w:rsidRPr="00011D0B">
        <w:rPr>
          <w:rFonts w:cstheme="minorHAnsi"/>
          <w:szCs w:val="22"/>
          <w:shd w:val="clear" w:color="auto" w:fill="FFFFFF"/>
        </w:rPr>
        <w:t>Baltag</w:t>
      </w:r>
      <w:proofErr w:type="spellEnd"/>
      <w:r w:rsidRPr="00011D0B">
        <w:rPr>
          <w:rFonts w:cstheme="minorHAnsi"/>
          <w:szCs w:val="22"/>
          <w:shd w:val="clear" w:color="auto" w:fill="FFFFFF"/>
        </w:rPr>
        <w:t xml:space="preserve">, V., Patton, G., Silverman, A., </w:t>
      </w:r>
      <w:proofErr w:type="spellStart"/>
      <w:r w:rsidRPr="00011D0B">
        <w:rPr>
          <w:rFonts w:cstheme="minorHAnsi"/>
          <w:szCs w:val="22"/>
          <w:shd w:val="clear" w:color="auto" w:fill="FFFFFF"/>
        </w:rPr>
        <w:t>Fogstad</w:t>
      </w:r>
      <w:proofErr w:type="spellEnd"/>
      <w:r w:rsidRPr="00011D0B">
        <w:rPr>
          <w:rFonts w:cstheme="minorHAnsi"/>
          <w:szCs w:val="22"/>
          <w:shd w:val="clear" w:color="auto" w:fill="FFFFFF"/>
        </w:rPr>
        <w:t xml:space="preserve">, H., Banerjee, A., Mohan, A. (2020). Adolescent Well-Being: A Definition and Conceptual Framework. </w:t>
      </w:r>
      <w:r w:rsidRPr="00011D0B">
        <w:rPr>
          <w:rFonts w:cstheme="minorHAnsi"/>
          <w:i/>
          <w:szCs w:val="22"/>
          <w:shd w:val="clear" w:color="auto" w:fill="FFFFFF"/>
        </w:rPr>
        <w:t xml:space="preserve">J </w:t>
      </w:r>
      <w:proofErr w:type="spellStart"/>
      <w:r w:rsidRPr="00011D0B">
        <w:rPr>
          <w:rFonts w:cstheme="minorHAnsi"/>
          <w:i/>
          <w:szCs w:val="22"/>
          <w:shd w:val="clear" w:color="auto" w:fill="FFFFFF"/>
        </w:rPr>
        <w:t>Adolesc</w:t>
      </w:r>
      <w:proofErr w:type="spellEnd"/>
      <w:r w:rsidRPr="00011D0B">
        <w:rPr>
          <w:rFonts w:cstheme="minorHAnsi"/>
          <w:i/>
          <w:szCs w:val="22"/>
          <w:shd w:val="clear" w:color="auto" w:fill="FFFFFF"/>
        </w:rPr>
        <w:t xml:space="preserve"> Health</w:t>
      </w:r>
      <w:r w:rsidRPr="00011D0B">
        <w:rPr>
          <w:rFonts w:cstheme="minorHAnsi"/>
          <w:szCs w:val="22"/>
          <w:shd w:val="clear" w:color="auto" w:fill="FFFFFF"/>
        </w:rPr>
        <w:t>, 67 (4), 472-476.</w:t>
      </w:r>
    </w:p>
    <w:p w14:paraId="723B2A7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Rust, C. (2002). The impact of assessment on student learning: how can the research literature practically help to inform the development of departmental assessment strategies and learner-centred assessment practices?. </w:t>
      </w:r>
      <w:r w:rsidRPr="00471C22">
        <w:rPr>
          <w:rFonts w:asciiTheme="minorHAnsi" w:hAnsiTheme="minorHAnsi" w:cstheme="minorHAnsi"/>
          <w:i/>
          <w:iCs/>
          <w:noProof/>
          <w:sz w:val="22"/>
          <w:szCs w:val="22"/>
          <w:lang w:val="en-GB"/>
        </w:rPr>
        <w:t>Active learning in higher education</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3</w:t>
      </w:r>
      <w:r w:rsidRPr="00471C22">
        <w:rPr>
          <w:rFonts w:asciiTheme="minorHAnsi" w:hAnsiTheme="minorHAnsi" w:cstheme="minorHAnsi"/>
          <w:noProof/>
          <w:sz w:val="22"/>
          <w:szCs w:val="22"/>
          <w:lang w:val="en-GB"/>
        </w:rPr>
        <w:t xml:space="preserve">(2), 145-158. </w:t>
      </w:r>
    </w:p>
    <w:p w14:paraId="62D7F96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Sahlin, S. (2019). Collaboration with private companies as a vehicle for school improvement. </w:t>
      </w:r>
      <w:r w:rsidRPr="00471C22">
        <w:rPr>
          <w:rFonts w:asciiTheme="minorHAnsi" w:hAnsiTheme="minorHAnsi" w:cstheme="minorHAnsi"/>
          <w:i/>
          <w:iCs/>
          <w:noProof/>
          <w:sz w:val="22"/>
          <w:szCs w:val="22"/>
        </w:rPr>
        <w:t>Journal of Professional Capital and Community, 4</w:t>
      </w:r>
      <w:r w:rsidRPr="00471C22">
        <w:rPr>
          <w:rFonts w:asciiTheme="minorHAnsi" w:hAnsiTheme="minorHAnsi" w:cstheme="minorHAnsi"/>
          <w:noProof/>
          <w:sz w:val="22"/>
          <w:szCs w:val="22"/>
        </w:rPr>
        <w:t xml:space="preserve">(1), 15-35. </w:t>
      </w:r>
    </w:p>
    <w:p w14:paraId="1288DCC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Sahlin, S., &amp; Styf, M. (2019). Internationalization as an internal capacity builder for school improvement: A case study</w:t>
      </w:r>
      <w:r w:rsidRPr="00471C22">
        <w:rPr>
          <w:rFonts w:asciiTheme="minorHAnsi" w:hAnsiTheme="minorHAnsi" w:cstheme="minorHAnsi"/>
          <w:i/>
          <w:iCs/>
          <w:noProof/>
          <w:sz w:val="22"/>
          <w:szCs w:val="22"/>
        </w:rPr>
        <w:t>. International Journal of Leadership in Education, 22</w:t>
      </w:r>
      <w:r w:rsidRPr="00471C22">
        <w:rPr>
          <w:rFonts w:asciiTheme="minorHAnsi" w:hAnsiTheme="minorHAnsi" w:cstheme="minorHAnsi"/>
          <w:noProof/>
          <w:sz w:val="22"/>
          <w:szCs w:val="22"/>
        </w:rPr>
        <w:t xml:space="preserve">(1) 1-23. </w:t>
      </w:r>
    </w:p>
    <w:p w14:paraId="278ACD1C"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Salinas, K., Epstein, J. &amp; Sanders, M., (2019). Measure of school, family and community partnerships. Retrived online: </w:t>
      </w:r>
      <w:r w:rsidRPr="00DD75E0">
        <w:rPr>
          <w:rFonts w:asciiTheme="minorHAnsi" w:hAnsiTheme="minorHAnsi" w:cstheme="minorHAnsi"/>
          <w:noProof/>
          <w:sz w:val="22"/>
          <w:szCs w:val="22"/>
        </w:rPr>
        <w:t>https://resources.corwin.com/sites/default/files/9_3-measure_of_partnerships.pdf</w:t>
      </w:r>
      <w:r>
        <w:rPr>
          <w:rFonts w:asciiTheme="minorHAnsi" w:hAnsiTheme="minorHAnsi" w:cstheme="minorHAnsi"/>
          <w:noProof/>
          <w:sz w:val="22"/>
          <w:szCs w:val="22"/>
        </w:rPr>
        <w:t>.</w:t>
      </w:r>
    </w:p>
    <w:p w14:paraId="12EB6698"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Sancassiani, F., Pintus, E., Holte, A., Paulus, P., Moro, M. F., Cossu, G., &amp; Lindert, J. (2015) Enhancing </w:t>
      </w:r>
      <w:r w:rsidRPr="00471C22">
        <w:rPr>
          <w:rFonts w:asciiTheme="minorHAnsi" w:hAnsiTheme="minorHAnsi" w:cstheme="minorHAnsi"/>
          <w:sz w:val="22"/>
          <w:szCs w:val="22"/>
        </w:rPr>
        <w:t>the Emotional and Social Skills of the Youth to Promote their Wellbeing and Positive Development: A Systematic Review of Universal School-based Randomized Controlled Trials Clinical Practice &amp; Epidemiology in Mental Health, 11(Supplement 1: M2), 21–40.</w:t>
      </w:r>
    </w:p>
    <w:p w14:paraId="6BCB8A44"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Sanchez, J. E., Usinger, J., &amp; Thornton, B. (2019). Perceptions and strategies of a middle school principal: A single case study of school change. </w:t>
      </w:r>
      <w:r w:rsidRPr="00471C22">
        <w:rPr>
          <w:rFonts w:asciiTheme="minorHAnsi" w:hAnsiTheme="minorHAnsi" w:cstheme="minorHAnsi"/>
          <w:i/>
          <w:noProof/>
          <w:sz w:val="22"/>
          <w:szCs w:val="22"/>
        </w:rPr>
        <w:t>Middle School Journal, 50</w:t>
      </w:r>
      <w:r w:rsidRPr="00471C22">
        <w:rPr>
          <w:rFonts w:asciiTheme="minorHAnsi" w:hAnsiTheme="minorHAnsi" w:cstheme="minorHAnsi"/>
          <w:noProof/>
          <w:sz w:val="22"/>
          <w:szCs w:val="22"/>
        </w:rPr>
        <w:t xml:space="preserve">(1), 24-32. </w:t>
      </w:r>
    </w:p>
    <w:p w14:paraId="7A84439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Sanders, M. (2016). Leadership, partnerships, and organizational development: Exploring components of effectiveness in three full-service community schools. </w:t>
      </w:r>
      <w:r w:rsidRPr="00471C22">
        <w:rPr>
          <w:rFonts w:asciiTheme="minorHAnsi" w:hAnsiTheme="minorHAnsi" w:cstheme="minorHAnsi"/>
          <w:i/>
          <w:iCs/>
          <w:noProof/>
          <w:sz w:val="22"/>
          <w:szCs w:val="22"/>
        </w:rPr>
        <w:t>School Effectiveness and School Improvement, 27</w:t>
      </w:r>
      <w:r w:rsidRPr="00471C22">
        <w:rPr>
          <w:rFonts w:asciiTheme="minorHAnsi" w:hAnsiTheme="minorHAnsi" w:cstheme="minorHAnsi"/>
          <w:noProof/>
          <w:sz w:val="22"/>
          <w:szCs w:val="22"/>
        </w:rPr>
        <w:t xml:space="preserve">(2), 157-177. </w:t>
      </w:r>
    </w:p>
    <w:p w14:paraId="3F22FA6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Sanjeevan, S., McDonald, M., &amp; Moore, T. (2012) Primary schools as community hubs: A review of the literature. Parkville, Victoria: The Royal Children’s Hospital Centre for Community Child Health. Retrieved online: </w:t>
      </w:r>
      <w:r w:rsidRPr="00DD75E0">
        <w:rPr>
          <w:rFonts w:asciiTheme="minorHAnsi" w:hAnsiTheme="minorHAnsi" w:cstheme="minorHAnsi"/>
          <w:noProof/>
          <w:sz w:val="22"/>
          <w:szCs w:val="22"/>
        </w:rPr>
        <w:t>https://www.rch.org.au/uploadedFiles/Main/Content/ccch/Schools_as_Community_Hubs_Lit_Review.pdf</w:t>
      </w:r>
      <w:r>
        <w:rPr>
          <w:rFonts w:asciiTheme="minorHAnsi" w:hAnsiTheme="minorHAnsi" w:cstheme="minorHAnsi"/>
          <w:noProof/>
          <w:sz w:val="22"/>
          <w:szCs w:val="22"/>
        </w:rPr>
        <w:t>.</w:t>
      </w:r>
    </w:p>
    <w:p w14:paraId="3BED6B4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Schleicher, A. (2015). </w:t>
      </w:r>
      <w:r w:rsidRPr="00471C22">
        <w:rPr>
          <w:rFonts w:asciiTheme="minorHAnsi" w:hAnsiTheme="minorHAnsi" w:cstheme="minorHAnsi"/>
          <w:i/>
          <w:iCs/>
          <w:noProof/>
          <w:sz w:val="22"/>
          <w:szCs w:val="22"/>
          <w:lang w:val="en-GB"/>
        </w:rPr>
        <w:t>Schools for 21st-Century Learners: Strong Leaders, Confident Teachers, Innovative Approaches. International Summit on the Teaching Profession</w:t>
      </w:r>
      <w:r w:rsidRPr="00471C22">
        <w:rPr>
          <w:rFonts w:asciiTheme="minorHAnsi" w:hAnsiTheme="minorHAnsi" w:cstheme="minorHAnsi"/>
          <w:noProof/>
          <w:sz w:val="22"/>
          <w:szCs w:val="22"/>
          <w:lang w:val="en-GB"/>
        </w:rPr>
        <w:t>. OECD Publishing. 2, rue Andre Pascal, F-75775 Paris Cedex 16, France.</w:t>
      </w:r>
    </w:p>
    <w:p w14:paraId="1E397A88"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science quarterly, 82(1), pp.154-169.</w:t>
      </w:r>
    </w:p>
    <w:p w14:paraId="1E1E70E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Sebastian, J., Huang, H., &amp; Allensworth, E. (2017). Examining integrated leadership systems in high schools: Connecting principal and teacher leadership to organizational processes and student outcomes. </w:t>
      </w:r>
      <w:r w:rsidRPr="00471C22">
        <w:rPr>
          <w:rFonts w:asciiTheme="minorHAnsi" w:hAnsiTheme="minorHAnsi" w:cstheme="minorHAnsi"/>
          <w:i/>
          <w:noProof/>
          <w:sz w:val="22"/>
          <w:szCs w:val="22"/>
        </w:rPr>
        <w:t>School Effectiveness and School Improvement, 28</w:t>
      </w:r>
      <w:r w:rsidRPr="00471C22">
        <w:rPr>
          <w:rFonts w:asciiTheme="minorHAnsi" w:hAnsiTheme="minorHAnsi" w:cstheme="minorHAnsi"/>
          <w:noProof/>
          <w:sz w:val="22"/>
          <w:szCs w:val="22"/>
        </w:rPr>
        <w:t xml:space="preserve">(3), 1-16. </w:t>
      </w:r>
    </w:p>
    <w:p w14:paraId="10DEEC7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Seidel, T., &amp; Shavelson, R. J. (2007) Teaching Effectiveness Research in the Past Decade: The Role of Theory and Research Design in Disentangling Meta-Analysis Results. </w:t>
      </w:r>
      <w:r w:rsidRPr="00471C22">
        <w:rPr>
          <w:rFonts w:asciiTheme="minorHAnsi" w:hAnsiTheme="minorHAnsi" w:cstheme="minorHAnsi"/>
          <w:i/>
          <w:iCs/>
          <w:noProof/>
          <w:sz w:val="22"/>
          <w:szCs w:val="22"/>
        </w:rPr>
        <w:t>Review of Educational Research, 77</w:t>
      </w:r>
      <w:r w:rsidRPr="00471C22">
        <w:rPr>
          <w:rFonts w:asciiTheme="minorHAnsi" w:hAnsiTheme="minorHAnsi" w:cstheme="minorHAnsi"/>
          <w:noProof/>
          <w:sz w:val="22"/>
          <w:szCs w:val="22"/>
        </w:rPr>
        <w:t xml:space="preserve">(4), 454–499. </w:t>
      </w:r>
    </w:p>
    <w:p w14:paraId="53219BA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Sheard, M. K., &amp; Sharples, J. (2016). School leaders’ engagement with the concept of evidence-based practice as a management tool for school improvement. </w:t>
      </w:r>
      <w:r w:rsidRPr="00471C22">
        <w:rPr>
          <w:rFonts w:asciiTheme="minorHAnsi" w:hAnsiTheme="minorHAnsi" w:cstheme="minorHAnsi"/>
          <w:i/>
          <w:noProof/>
          <w:sz w:val="22"/>
          <w:szCs w:val="22"/>
        </w:rPr>
        <w:t>Educational Management Administration &amp; Leadership, 44</w:t>
      </w:r>
      <w:r w:rsidRPr="00471C22">
        <w:rPr>
          <w:rFonts w:asciiTheme="minorHAnsi" w:hAnsiTheme="minorHAnsi" w:cstheme="minorHAnsi"/>
          <w:noProof/>
          <w:sz w:val="22"/>
          <w:szCs w:val="22"/>
        </w:rPr>
        <w:t xml:space="preserve">(4), 668-687. </w:t>
      </w:r>
    </w:p>
    <w:p w14:paraId="4B5DC92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lastRenderedPageBreak/>
        <w:t xml:space="preserve">Sheldon, S. B. (2007) Improving Student Attendance With School, Family, and Community Partnerships. </w:t>
      </w:r>
      <w:r w:rsidRPr="00471C22">
        <w:rPr>
          <w:rFonts w:asciiTheme="minorHAnsi" w:hAnsiTheme="minorHAnsi" w:cstheme="minorHAnsi"/>
          <w:i/>
          <w:iCs/>
          <w:noProof/>
          <w:sz w:val="22"/>
          <w:szCs w:val="22"/>
        </w:rPr>
        <w:t>The Journal of Educational Research, 100</w:t>
      </w:r>
      <w:r w:rsidRPr="00471C22">
        <w:rPr>
          <w:rFonts w:asciiTheme="minorHAnsi" w:hAnsiTheme="minorHAnsi" w:cstheme="minorHAnsi"/>
          <w:noProof/>
          <w:sz w:val="22"/>
          <w:szCs w:val="22"/>
        </w:rPr>
        <w:t xml:space="preserve">(5), 267–275. </w:t>
      </w:r>
    </w:p>
    <w:p w14:paraId="67FBF6A6"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Sheridan, S., Smith, T. &amp; Moorman, E., (2019). A Meta-Analysis of Family-School Interventions and Children’s Social-Emotional Functioning: Moderators and Components of Efficacy. Review of Educational Research, 89(2), 296-332.</w:t>
      </w:r>
    </w:p>
    <w:p w14:paraId="483231B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Sigurðardóttir, S. M., &amp; Sigþórsson, R. (2016). The fusion of school improvement and leadership capacity in an elementary school. </w:t>
      </w:r>
      <w:r w:rsidRPr="00471C22">
        <w:rPr>
          <w:rFonts w:asciiTheme="minorHAnsi" w:hAnsiTheme="minorHAnsi" w:cstheme="minorHAnsi"/>
          <w:i/>
          <w:iCs/>
          <w:noProof/>
          <w:sz w:val="22"/>
          <w:szCs w:val="22"/>
        </w:rPr>
        <w:t>Educational Management Administration &amp; Leadership, 44</w:t>
      </w:r>
      <w:r w:rsidRPr="00471C22">
        <w:rPr>
          <w:rFonts w:asciiTheme="minorHAnsi" w:hAnsiTheme="minorHAnsi" w:cstheme="minorHAnsi"/>
          <w:noProof/>
          <w:sz w:val="22"/>
          <w:szCs w:val="22"/>
        </w:rPr>
        <w:t xml:space="preserve">(4), 599-616. </w:t>
      </w:r>
    </w:p>
    <w:p w14:paraId="48A94903"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Sklad, M., Diekstra, R., Ritter, M. D., B</w:t>
      </w:r>
      <w:proofErr w:type="spellStart"/>
      <w:r w:rsidRPr="00471C22">
        <w:rPr>
          <w:rFonts w:asciiTheme="minorHAnsi" w:hAnsiTheme="minorHAnsi" w:cstheme="minorHAnsi"/>
          <w:sz w:val="22"/>
          <w:szCs w:val="22"/>
        </w:rPr>
        <w:t>en</w:t>
      </w:r>
      <w:proofErr w:type="spellEnd"/>
      <w:r w:rsidRPr="00471C22">
        <w:rPr>
          <w:rFonts w:asciiTheme="minorHAnsi" w:hAnsiTheme="minorHAnsi" w:cstheme="minorHAnsi"/>
          <w:sz w:val="22"/>
          <w:szCs w:val="22"/>
        </w:rPr>
        <w:t xml:space="preserve">, J., &amp; </w:t>
      </w:r>
      <w:proofErr w:type="spellStart"/>
      <w:r w:rsidRPr="00471C22">
        <w:rPr>
          <w:rFonts w:asciiTheme="minorHAnsi" w:hAnsiTheme="minorHAnsi" w:cstheme="minorHAnsi"/>
          <w:sz w:val="22"/>
          <w:szCs w:val="22"/>
        </w:rPr>
        <w:t>Gravesteijn</w:t>
      </w:r>
      <w:proofErr w:type="spellEnd"/>
      <w:r w:rsidRPr="00471C22">
        <w:rPr>
          <w:rFonts w:asciiTheme="minorHAnsi" w:hAnsiTheme="minorHAnsi" w:cstheme="minorHAnsi"/>
          <w:sz w:val="22"/>
          <w:szCs w:val="22"/>
        </w:rPr>
        <w:t xml:space="preserve">, C. (2012) Effectiveness of school-based universal social, emotional, and behavioral programs: Do they enhance students’ development in the area of skill, behavior, and adjustment? </w:t>
      </w:r>
      <w:r w:rsidRPr="00471C22">
        <w:rPr>
          <w:rFonts w:asciiTheme="minorHAnsi" w:hAnsiTheme="minorHAnsi" w:cstheme="minorHAnsi"/>
          <w:i/>
          <w:iCs/>
          <w:sz w:val="22"/>
          <w:szCs w:val="22"/>
        </w:rPr>
        <w:t>Psychology in the Schools, 49</w:t>
      </w:r>
      <w:r w:rsidRPr="00471C22">
        <w:rPr>
          <w:rFonts w:asciiTheme="minorHAnsi" w:hAnsiTheme="minorHAnsi" w:cstheme="minorHAnsi"/>
          <w:sz w:val="22"/>
          <w:szCs w:val="22"/>
        </w:rPr>
        <w:t xml:space="preserve">(9), 892–909. </w:t>
      </w:r>
    </w:p>
    <w:p w14:paraId="2162DFA5" w14:textId="77777777" w:rsidR="00011D0B" w:rsidRPr="00011D0B" w:rsidRDefault="00011D0B" w:rsidP="002502E7">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Smith, B., Dalen, J., Wiggins, K., Tooley, E., Christopher, P., &amp; Bernard, J. (2008). The brief resilience scale: Assessing the ability to bounce back. International Journal of Behavioral Medicine, 15(3), 194–200.</w:t>
      </w:r>
    </w:p>
    <w:p w14:paraId="692A7177" w14:textId="77777777" w:rsidR="00011D0B" w:rsidRPr="00011D0B" w:rsidRDefault="00011D0B" w:rsidP="001C6E3D">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 xml:space="preserve">Soutter, A., O’Steen, B., &amp; Gilmore, A. (2014). The student well-being model: a conceptual framework for the development of student well-being indicators. </w:t>
      </w:r>
      <w:r w:rsidRPr="00011D0B">
        <w:rPr>
          <w:rFonts w:asciiTheme="minorHAnsi" w:hAnsiTheme="minorHAnsi" w:cstheme="minorHAnsi"/>
          <w:i/>
          <w:iCs/>
          <w:noProof/>
          <w:sz w:val="22"/>
          <w:szCs w:val="22"/>
          <w:lang w:val="en-GB"/>
        </w:rPr>
        <w:t>International Journal of Adolescence and Youth, 19</w:t>
      </w:r>
      <w:r w:rsidRPr="00011D0B">
        <w:rPr>
          <w:rFonts w:asciiTheme="minorHAnsi" w:hAnsiTheme="minorHAnsi" w:cstheme="minorHAnsi"/>
          <w:noProof/>
          <w:sz w:val="22"/>
          <w:szCs w:val="22"/>
          <w:lang w:val="en-GB"/>
        </w:rPr>
        <w:t>(4), 296-520.</w:t>
      </w:r>
    </w:p>
    <w:p w14:paraId="1C4FC8BC" w14:textId="77777777" w:rsidR="00011D0B" w:rsidRPr="00011D0B" w:rsidRDefault="00011D0B" w:rsidP="00D1122D">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Standards to the WCSD Social-Emotional Competency Assessment: A Rasch Approach. School Psychology, 34(3), 281–295.</w:t>
      </w:r>
    </w:p>
    <w:p w14:paraId="3BD49A5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AU"/>
        </w:rPr>
        <w:t xml:space="preserve">Strom, I. F., Thorensen, S., Wentzel-Larsen, T &amp; Dyb, G 2013. Violence, bullying and academic achievement: a study of 15-year-old adolescents and their school environment. </w:t>
      </w:r>
      <w:r w:rsidRPr="00471C22">
        <w:rPr>
          <w:rFonts w:asciiTheme="minorHAnsi" w:hAnsiTheme="minorHAnsi" w:cstheme="minorHAnsi"/>
          <w:i/>
          <w:iCs/>
          <w:noProof/>
          <w:sz w:val="22"/>
          <w:szCs w:val="22"/>
          <w:lang w:val="en-AU"/>
        </w:rPr>
        <w:t>Child Abuse and Neglect, 37</w:t>
      </w:r>
      <w:r w:rsidRPr="00471C22">
        <w:rPr>
          <w:rFonts w:asciiTheme="minorHAnsi" w:hAnsiTheme="minorHAnsi" w:cstheme="minorHAnsi"/>
          <w:noProof/>
          <w:sz w:val="22"/>
          <w:szCs w:val="22"/>
          <w:lang w:val="en-AU"/>
        </w:rPr>
        <w:t>(4), 243-251.</w:t>
      </w:r>
    </w:p>
    <w:p w14:paraId="66326887"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student non-victims and multi-victims. Education and Treatment of Children, pp.282-298.</w:t>
      </w:r>
    </w:p>
    <w:p w14:paraId="36E0EA38"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Subban, P. (2006). Differentiated instruction: A research basis. </w:t>
      </w:r>
      <w:r w:rsidRPr="00471C22">
        <w:rPr>
          <w:rFonts w:asciiTheme="minorHAnsi" w:hAnsiTheme="minorHAnsi" w:cstheme="minorHAnsi"/>
          <w:i/>
          <w:iCs/>
          <w:noProof/>
          <w:sz w:val="22"/>
          <w:szCs w:val="22"/>
          <w:lang w:val="en-GB"/>
        </w:rPr>
        <w:t>International Education Journal</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7</w:t>
      </w:r>
      <w:r w:rsidRPr="00471C22">
        <w:rPr>
          <w:rFonts w:asciiTheme="minorHAnsi" w:hAnsiTheme="minorHAnsi" w:cstheme="minorHAnsi"/>
          <w:noProof/>
          <w:sz w:val="22"/>
          <w:szCs w:val="22"/>
          <w:lang w:val="en-GB"/>
        </w:rPr>
        <w:t>(7), 935-947.</w:t>
      </w:r>
    </w:p>
    <w:p w14:paraId="6D8644C0"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sz w:val="22"/>
          <w:szCs w:val="22"/>
          <w:shd w:val="clear" w:color="auto" w:fill="FFFFFF"/>
          <w:lang w:val="en-GB"/>
        </w:rPr>
        <w:t xml:space="preserve">Sun, J., &amp; </w:t>
      </w:r>
      <w:proofErr w:type="spellStart"/>
      <w:r w:rsidRPr="00011D0B">
        <w:rPr>
          <w:rFonts w:asciiTheme="minorHAnsi" w:hAnsiTheme="minorHAnsi" w:cstheme="minorHAnsi"/>
          <w:sz w:val="22"/>
          <w:szCs w:val="22"/>
          <w:shd w:val="clear" w:color="auto" w:fill="FFFFFF"/>
          <w:lang w:val="en-GB"/>
        </w:rPr>
        <w:t>Leithwood</w:t>
      </w:r>
      <w:proofErr w:type="spellEnd"/>
      <w:r w:rsidRPr="00011D0B">
        <w:rPr>
          <w:rFonts w:asciiTheme="minorHAnsi" w:hAnsiTheme="minorHAnsi" w:cstheme="minorHAnsi"/>
          <w:sz w:val="22"/>
          <w:szCs w:val="22"/>
          <w:shd w:val="clear" w:color="auto" w:fill="FFFFFF"/>
          <w:lang w:val="en-GB"/>
        </w:rPr>
        <w:t>, K. (2015). Direction-setting school leadership practices: A meta-analytical review of evidence about their influence. </w:t>
      </w:r>
      <w:r w:rsidRPr="00011D0B">
        <w:rPr>
          <w:rFonts w:asciiTheme="minorHAnsi" w:hAnsiTheme="minorHAnsi" w:cstheme="minorHAnsi"/>
          <w:i/>
          <w:sz w:val="22"/>
          <w:szCs w:val="22"/>
          <w:shd w:val="clear" w:color="auto" w:fill="FFFFFF"/>
          <w:lang w:val="en-GB"/>
        </w:rPr>
        <w:t>School Effectiveness and School Improvement</w:t>
      </w:r>
      <w:r w:rsidRPr="00011D0B">
        <w:rPr>
          <w:rFonts w:asciiTheme="minorHAnsi" w:hAnsiTheme="minorHAnsi" w:cstheme="minorHAnsi"/>
          <w:sz w:val="22"/>
          <w:szCs w:val="22"/>
          <w:shd w:val="clear" w:color="auto" w:fill="FFFFFF"/>
          <w:lang w:val="en-GB"/>
        </w:rPr>
        <w:t>, </w:t>
      </w:r>
      <w:r w:rsidRPr="00011D0B">
        <w:rPr>
          <w:rFonts w:asciiTheme="minorHAnsi" w:hAnsiTheme="minorHAnsi" w:cstheme="minorHAnsi"/>
          <w:i/>
          <w:sz w:val="22"/>
          <w:szCs w:val="22"/>
          <w:shd w:val="clear" w:color="auto" w:fill="FFFFFF"/>
          <w:lang w:val="en-GB"/>
        </w:rPr>
        <w:t>26</w:t>
      </w:r>
      <w:r w:rsidRPr="00011D0B">
        <w:rPr>
          <w:rFonts w:asciiTheme="minorHAnsi" w:hAnsiTheme="minorHAnsi" w:cstheme="minorHAnsi"/>
          <w:sz w:val="22"/>
          <w:szCs w:val="22"/>
          <w:shd w:val="clear" w:color="auto" w:fill="FFFFFF"/>
          <w:lang w:val="en-GB"/>
        </w:rPr>
        <w:t xml:space="preserve">(4), 499-523. </w:t>
      </w:r>
    </w:p>
    <w:p w14:paraId="530874D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Sun, J., Przybylski, R., &amp; Johnson, B. J. (2016). A review of research on teachers' use of student data: From the perspective of school leadership. </w:t>
      </w:r>
      <w:r w:rsidRPr="00471C22">
        <w:rPr>
          <w:rFonts w:asciiTheme="minorHAnsi" w:hAnsiTheme="minorHAnsi" w:cstheme="minorHAnsi"/>
          <w:i/>
          <w:iCs/>
          <w:noProof/>
          <w:sz w:val="22"/>
          <w:szCs w:val="22"/>
        </w:rPr>
        <w:t>Educational Assessment, Evaluation and Accountability, 28</w:t>
      </w:r>
      <w:r w:rsidRPr="00471C22">
        <w:rPr>
          <w:rFonts w:asciiTheme="minorHAnsi" w:hAnsiTheme="minorHAnsi" w:cstheme="minorHAnsi"/>
          <w:noProof/>
          <w:sz w:val="22"/>
          <w:szCs w:val="22"/>
        </w:rPr>
        <w:t xml:space="preserve">(1), 5-33. </w:t>
      </w:r>
    </w:p>
    <w:p w14:paraId="0677E02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Sutton, P. S., &amp; Knuth, R. (2020). How high school academic departments impact school reform efforts. </w:t>
      </w:r>
      <w:r w:rsidRPr="00471C22">
        <w:rPr>
          <w:rFonts w:asciiTheme="minorHAnsi" w:hAnsiTheme="minorHAnsi" w:cstheme="minorHAnsi"/>
          <w:i/>
          <w:iCs/>
          <w:noProof/>
          <w:sz w:val="22"/>
          <w:szCs w:val="22"/>
        </w:rPr>
        <w:t>Journal of Curriculum Studies, 52</w:t>
      </w:r>
      <w:r w:rsidRPr="00471C22">
        <w:rPr>
          <w:rFonts w:asciiTheme="minorHAnsi" w:hAnsiTheme="minorHAnsi" w:cstheme="minorHAnsi"/>
          <w:noProof/>
          <w:sz w:val="22"/>
          <w:szCs w:val="22"/>
        </w:rPr>
        <w:t xml:space="preserve">(1), 118-137. </w:t>
      </w:r>
    </w:p>
    <w:p w14:paraId="3FE030C2" w14:textId="77777777" w:rsidR="00EE7F52" w:rsidRPr="00471C22" w:rsidRDefault="00EE7F52" w:rsidP="00471C22">
      <w:pPr>
        <w:spacing w:beforeLines="24" w:before="57"/>
        <w:ind w:left="709" w:hanging="720"/>
        <w:rPr>
          <w:rFonts w:cstheme="minorHAnsi"/>
          <w:szCs w:val="22"/>
        </w:rPr>
      </w:pPr>
      <w:r w:rsidRPr="00471C22">
        <w:rPr>
          <w:rFonts w:cstheme="minorHAnsi"/>
          <w:szCs w:val="22"/>
        </w:rPr>
        <w:t xml:space="preserve">Swan, P., &amp; Riley, P. (2015). Social connection: empathy and mentalization for teachers. </w:t>
      </w:r>
      <w:r w:rsidRPr="00471C22">
        <w:rPr>
          <w:rFonts w:cstheme="minorHAnsi"/>
          <w:i/>
          <w:iCs/>
          <w:szCs w:val="22"/>
        </w:rPr>
        <w:t>Pastoral Care in Education</w:t>
      </w:r>
      <w:r w:rsidRPr="00471C22">
        <w:rPr>
          <w:rFonts w:cstheme="minorHAnsi"/>
          <w:szCs w:val="22"/>
        </w:rPr>
        <w:t>, 33(4), 220–233.</w:t>
      </w:r>
    </w:p>
    <w:p w14:paraId="16BB5979"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Symons, C., Cinelli, B., James, T., &amp; Groff, P. (1997). Bridging student health risks and academic achievement through comprehensive school health programs. Journal of School Health, 67(6).</w:t>
      </w:r>
    </w:p>
    <w:p w14:paraId="2C64260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Tarpey, C., &amp; Poultney, V. (2015). Maximising leadership capacity and school improvement through re-alignment of children’s services. </w:t>
      </w:r>
      <w:r w:rsidRPr="00471C22">
        <w:rPr>
          <w:rFonts w:asciiTheme="minorHAnsi" w:hAnsiTheme="minorHAnsi" w:cstheme="minorHAnsi"/>
          <w:i/>
          <w:iCs/>
          <w:noProof/>
          <w:sz w:val="22"/>
          <w:szCs w:val="22"/>
        </w:rPr>
        <w:t>Management in Education, 29</w:t>
      </w:r>
      <w:r w:rsidRPr="00471C22">
        <w:rPr>
          <w:rFonts w:asciiTheme="minorHAnsi" w:hAnsiTheme="minorHAnsi" w:cstheme="minorHAnsi"/>
          <w:noProof/>
          <w:sz w:val="22"/>
          <w:szCs w:val="22"/>
        </w:rPr>
        <w:t xml:space="preserve">(2), 63-68. </w:t>
      </w:r>
    </w:p>
    <w:p w14:paraId="19131DA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Taylor, B. K. (2015). Content, process, and product: Modeling differentiated instruction. </w:t>
      </w:r>
      <w:r w:rsidRPr="00471C22">
        <w:rPr>
          <w:rFonts w:asciiTheme="minorHAnsi" w:hAnsiTheme="minorHAnsi" w:cstheme="minorHAnsi"/>
          <w:i/>
          <w:iCs/>
          <w:noProof/>
          <w:sz w:val="22"/>
          <w:szCs w:val="22"/>
          <w:lang w:val="en-GB"/>
        </w:rPr>
        <w:t>Kappa Delta Pi Record</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51</w:t>
      </w:r>
      <w:r w:rsidRPr="00471C22">
        <w:rPr>
          <w:rFonts w:asciiTheme="minorHAnsi" w:hAnsiTheme="minorHAnsi" w:cstheme="minorHAnsi"/>
          <w:noProof/>
          <w:sz w:val="22"/>
          <w:szCs w:val="22"/>
          <w:lang w:val="en-GB"/>
        </w:rPr>
        <w:t>(1), 13-17.</w:t>
      </w:r>
    </w:p>
    <w:p w14:paraId="0D64697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AU"/>
        </w:rPr>
      </w:pPr>
      <w:r w:rsidRPr="00471C22">
        <w:rPr>
          <w:rFonts w:asciiTheme="minorHAnsi" w:hAnsiTheme="minorHAnsi" w:cstheme="minorHAnsi"/>
          <w:noProof/>
          <w:sz w:val="22"/>
          <w:szCs w:val="22"/>
          <w:lang w:val="en-AU"/>
        </w:rPr>
        <w:t>Taylor, R.D., Oberle, E., Drulak, J.A. &amp; Weissberg, R.P</w:t>
      </w:r>
      <w:r>
        <w:rPr>
          <w:rFonts w:asciiTheme="minorHAnsi" w:hAnsiTheme="minorHAnsi" w:cstheme="minorHAnsi"/>
          <w:noProof/>
          <w:sz w:val="22"/>
          <w:szCs w:val="22"/>
          <w:lang w:val="en-AU"/>
        </w:rPr>
        <w:t>.</w:t>
      </w:r>
      <w:r w:rsidRPr="00471C22">
        <w:rPr>
          <w:rFonts w:asciiTheme="minorHAnsi" w:hAnsiTheme="minorHAnsi" w:cstheme="minorHAnsi"/>
          <w:noProof/>
          <w:sz w:val="22"/>
          <w:szCs w:val="22"/>
          <w:lang w:val="en-AU"/>
        </w:rPr>
        <w:t xml:space="preserve"> </w:t>
      </w:r>
      <w:r>
        <w:rPr>
          <w:rFonts w:asciiTheme="minorHAnsi" w:hAnsiTheme="minorHAnsi" w:cstheme="minorHAnsi"/>
          <w:noProof/>
          <w:sz w:val="22"/>
          <w:szCs w:val="22"/>
          <w:lang w:val="en-AU"/>
        </w:rPr>
        <w:t>(</w:t>
      </w:r>
      <w:r w:rsidRPr="00471C22">
        <w:rPr>
          <w:rFonts w:asciiTheme="minorHAnsi" w:hAnsiTheme="minorHAnsi" w:cstheme="minorHAnsi"/>
          <w:noProof/>
          <w:sz w:val="22"/>
          <w:szCs w:val="22"/>
          <w:lang w:val="en-AU"/>
        </w:rPr>
        <w:t>2017</w:t>
      </w:r>
      <w:r>
        <w:rPr>
          <w:rFonts w:asciiTheme="minorHAnsi" w:hAnsiTheme="minorHAnsi" w:cstheme="minorHAnsi"/>
          <w:noProof/>
          <w:sz w:val="22"/>
          <w:szCs w:val="22"/>
          <w:lang w:val="en-AU"/>
        </w:rPr>
        <w:t>)</w:t>
      </w:r>
      <w:r w:rsidRPr="00471C22">
        <w:rPr>
          <w:rFonts w:asciiTheme="minorHAnsi" w:hAnsiTheme="minorHAnsi" w:cstheme="minorHAnsi"/>
          <w:noProof/>
          <w:sz w:val="22"/>
          <w:szCs w:val="22"/>
          <w:lang w:val="en-AU"/>
        </w:rPr>
        <w:t xml:space="preserve">. Promoting positive youth development through school-based social and emotional learning interventions: A meta-analysis of follow-up effects. </w:t>
      </w:r>
      <w:r w:rsidRPr="00471C22">
        <w:rPr>
          <w:rFonts w:asciiTheme="minorHAnsi" w:hAnsiTheme="minorHAnsi" w:cstheme="minorHAnsi"/>
          <w:i/>
          <w:iCs/>
          <w:noProof/>
          <w:sz w:val="22"/>
          <w:szCs w:val="22"/>
          <w:lang w:val="en-AU"/>
        </w:rPr>
        <w:t>Child Development</w:t>
      </w:r>
      <w:r w:rsidRPr="00471C22">
        <w:rPr>
          <w:rFonts w:asciiTheme="minorHAnsi" w:hAnsiTheme="minorHAnsi" w:cstheme="minorHAnsi"/>
          <w:noProof/>
          <w:sz w:val="22"/>
          <w:szCs w:val="22"/>
          <w:lang w:val="en-AU"/>
        </w:rPr>
        <w:t xml:space="preserve">, 88(4), 1156-1171. </w:t>
      </w:r>
    </w:p>
    <w:p w14:paraId="602F4BCE"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Thapa, A., Cohen, J., Guffey, S., &amp; Hughes-D’Alessandro, A. (2013) A Review of School Climate Research. </w:t>
      </w:r>
      <w:r w:rsidRPr="00471C22">
        <w:rPr>
          <w:rFonts w:asciiTheme="minorHAnsi" w:hAnsiTheme="minorHAnsi" w:cstheme="minorHAnsi"/>
          <w:i/>
          <w:iCs/>
          <w:noProof/>
          <w:sz w:val="22"/>
          <w:szCs w:val="22"/>
        </w:rPr>
        <w:t>Review of Educational Research, 83</w:t>
      </w:r>
      <w:r w:rsidRPr="00471C22">
        <w:rPr>
          <w:rFonts w:asciiTheme="minorHAnsi" w:hAnsiTheme="minorHAnsi" w:cstheme="minorHAnsi"/>
          <w:noProof/>
          <w:sz w:val="22"/>
          <w:szCs w:val="22"/>
        </w:rPr>
        <w:t xml:space="preserve">(3), 357–385. </w:t>
      </w:r>
    </w:p>
    <w:p w14:paraId="117BF98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Thompson, C. (2018). 'School Administrators' and stakeholders' attitudes toward, and perspectives on, school improvement planning</w:t>
      </w:r>
      <w:r w:rsidRPr="00471C22">
        <w:rPr>
          <w:rFonts w:asciiTheme="minorHAnsi" w:hAnsiTheme="minorHAnsi" w:cstheme="minorHAnsi"/>
          <w:i/>
          <w:iCs/>
          <w:noProof/>
          <w:sz w:val="22"/>
          <w:szCs w:val="22"/>
        </w:rPr>
        <w:t>. Educational Planning, 25</w:t>
      </w:r>
      <w:r w:rsidRPr="00471C22">
        <w:rPr>
          <w:rFonts w:asciiTheme="minorHAnsi" w:hAnsiTheme="minorHAnsi" w:cstheme="minorHAnsi"/>
          <w:noProof/>
          <w:sz w:val="22"/>
          <w:szCs w:val="22"/>
        </w:rPr>
        <w:t xml:space="preserve">(4), 7-26. </w:t>
      </w:r>
    </w:p>
    <w:p w14:paraId="5C215649"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lastRenderedPageBreak/>
        <w:t>Thompson, D., Leis, M., Davies, N., &amp; Viner, R. (2020). Building Healthy Societies: A Framework for Integrating Health and Health Promotion into Education. Doha, Qatar: World Innovation Summit for Health.</w:t>
      </w:r>
    </w:p>
    <w:p w14:paraId="05F813F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Timperley, H., Wilson, A., Barrar, H., &amp; Fung, I. (2007). Teacher professional learning and development: Best Evidence Synthesis Iteration. Auckland: Ministry of Education.</w:t>
      </w:r>
    </w:p>
    <w:p w14:paraId="19230F0D" w14:textId="77777777" w:rsidR="00011D0B" w:rsidRPr="00011D0B" w:rsidRDefault="00011D0B" w:rsidP="00A168EF">
      <w:pPr>
        <w:pStyle w:val="EndNoteBibliography"/>
        <w:spacing w:beforeLines="24" w:before="57"/>
        <w:ind w:left="720" w:hanging="720"/>
        <w:rPr>
          <w:rFonts w:asciiTheme="minorHAnsi" w:hAnsiTheme="minorHAnsi" w:cstheme="minorHAnsi"/>
          <w:noProof/>
          <w:sz w:val="22"/>
          <w:szCs w:val="22"/>
        </w:rPr>
      </w:pPr>
      <w:r w:rsidRPr="00011D0B">
        <w:rPr>
          <w:rFonts w:asciiTheme="minorHAnsi" w:hAnsiTheme="minorHAnsi" w:cstheme="minorHAnsi"/>
          <w:noProof/>
          <w:sz w:val="22"/>
          <w:szCs w:val="22"/>
        </w:rPr>
        <w:t xml:space="preserve">Tokas, S. (2016). Education and social capital. Learning Community: </w:t>
      </w:r>
      <w:r w:rsidRPr="00011D0B">
        <w:rPr>
          <w:rFonts w:asciiTheme="minorHAnsi" w:hAnsiTheme="minorHAnsi" w:cstheme="minorHAnsi"/>
          <w:i/>
          <w:iCs/>
          <w:noProof/>
          <w:sz w:val="22"/>
          <w:szCs w:val="22"/>
        </w:rPr>
        <w:t>An International Journal of Educational and Social Development</w:t>
      </w:r>
      <w:r w:rsidRPr="00011D0B">
        <w:rPr>
          <w:rFonts w:asciiTheme="minorHAnsi" w:hAnsiTheme="minorHAnsi" w:cstheme="minorHAnsi"/>
          <w:noProof/>
          <w:sz w:val="22"/>
          <w:szCs w:val="22"/>
        </w:rPr>
        <w:t>. 7(3), 257-265.</w:t>
      </w:r>
    </w:p>
    <w:p w14:paraId="71052629" w14:textId="77777777" w:rsidR="00EE7F52" w:rsidRDefault="00EE7F52" w:rsidP="00471C22">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Torii, K. (2018). Connecting the worlds of learning and work: Prioritising school-industry partnerships in Australia’s education system. Melbourne: Mitchell Institute.</w:t>
      </w:r>
    </w:p>
    <w:p w14:paraId="6D95D4D3"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Toshalis, E. and Nakkula, M.J., 2012. Motivation, engagement, and student voice. Boston, MA: Jobs for the Future.</w:t>
      </w:r>
    </w:p>
    <w:p w14:paraId="28128C14"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Tracey, C., Slavin, R., Hanley, P. &amp; Cheung, A. (2014). Success for all in England: results from the third year of a national evaluation. </w:t>
      </w:r>
      <w:r w:rsidRPr="00471C22">
        <w:rPr>
          <w:rFonts w:asciiTheme="minorHAnsi" w:hAnsiTheme="minorHAnsi" w:cstheme="minorHAnsi"/>
          <w:i/>
          <w:sz w:val="22"/>
          <w:szCs w:val="22"/>
          <w:lang w:val="en-GB"/>
        </w:rPr>
        <w:t>Sage open, 4</w:t>
      </w:r>
      <w:r w:rsidRPr="00471C22">
        <w:rPr>
          <w:rFonts w:asciiTheme="minorHAnsi" w:hAnsiTheme="minorHAnsi" w:cstheme="minorHAnsi"/>
          <w:sz w:val="22"/>
          <w:szCs w:val="22"/>
          <w:lang w:val="en-GB"/>
        </w:rPr>
        <w:t xml:space="preserve">(3), 1-10. </w:t>
      </w:r>
    </w:p>
    <w:p w14:paraId="6A94A49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Tran, N. H., Hallinger, P., &amp; Truong, T. (2018). The heart of school improvement: a multi-site case study of leadership for teacher learning in Vietnam. </w:t>
      </w:r>
      <w:r w:rsidRPr="00471C22">
        <w:rPr>
          <w:rFonts w:asciiTheme="minorHAnsi" w:hAnsiTheme="minorHAnsi" w:cstheme="minorHAnsi"/>
          <w:i/>
          <w:iCs/>
          <w:noProof/>
          <w:sz w:val="22"/>
          <w:szCs w:val="22"/>
        </w:rPr>
        <w:t>School Leadership &amp; Management, 38</w:t>
      </w:r>
      <w:r w:rsidRPr="00471C22">
        <w:rPr>
          <w:rFonts w:asciiTheme="minorHAnsi" w:hAnsiTheme="minorHAnsi" w:cstheme="minorHAnsi"/>
          <w:noProof/>
          <w:sz w:val="22"/>
          <w:szCs w:val="22"/>
        </w:rPr>
        <w:t xml:space="preserve">(1), 80-101. </w:t>
      </w:r>
    </w:p>
    <w:p w14:paraId="637C3AE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Ttofi, M. M., &amp; Farrington, D. P. (2011). Effectiveness of school-based programs to reduce bullying: A systematic and meta-analytic review. </w:t>
      </w:r>
      <w:r w:rsidRPr="00471C22">
        <w:rPr>
          <w:rFonts w:asciiTheme="minorHAnsi" w:hAnsiTheme="minorHAnsi" w:cstheme="minorHAnsi"/>
          <w:i/>
          <w:iCs/>
          <w:noProof/>
          <w:sz w:val="22"/>
          <w:szCs w:val="22"/>
          <w:lang w:val="en-GB"/>
        </w:rPr>
        <w:t>Journal of Experimental Criminology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7</w:t>
      </w:r>
      <w:r w:rsidRPr="00471C22">
        <w:rPr>
          <w:rFonts w:asciiTheme="minorHAnsi" w:hAnsiTheme="minorHAnsi" w:cstheme="minorHAnsi"/>
          <w:noProof/>
          <w:sz w:val="22"/>
          <w:szCs w:val="22"/>
          <w:lang w:val="en-GB"/>
        </w:rPr>
        <w:t>(1), 27-56.</w:t>
      </w:r>
    </w:p>
    <w:p w14:paraId="2FEDAE2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Tuytens, M., &amp; Devos, G. (2017). The role of feedback from the school leader during teacher evaluation for teacher and school improvement. </w:t>
      </w:r>
      <w:r w:rsidRPr="00471C22">
        <w:rPr>
          <w:rFonts w:asciiTheme="minorHAnsi" w:hAnsiTheme="minorHAnsi" w:cstheme="minorHAnsi"/>
          <w:i/>
          <w:iCs/>
          <w:noProof/>
          <w:sz w:val="22"/>
          <w:szCs w:val="22"/>
        </w:rPr>
        <w:t>Teachers and Teaching, 23</w:t>
      </w:r>
      <w:r w:rsidRPr="00471C22">
        <w:rPr>
          <w:rFonts w:asciiTheme="minorHAnsi" w:hAnsiTheme="minorHAnsi" w:cstheme="minorHAnsi"/>
          <w:noProof/>
          <w:sz w:val="22"/>
          <w:szCs w:val="22"/>
        </w:rPr>
        <w:t xml:space="preserve">(1), 6-24. </w:t>
      </w:r>
    </w:p>
    <w:p w14:paraId="4C3DF085" w14:textId="77777777" w:rsidR="00EE7F52" w:rsidRPr="00471C22" w:rsidRDefault="00EE7F52" w:rsidP="00471C22">
      <w:pPr>
        <w:spacing w:beforeLines="24" w:before="57"/>
        <w:ind w:left="709" w:hanging="720"/>
        <w:rPr>
          <w:rFonts w:cstheme="minorHAnsi"/>
          <w:szCs w:val="22"/>
          <w:highlight w:val="yellow"/>
        </w:rPr>
      </w:pPr>
      <w:r w:rsidRPr="00471C22">
        <w:rPr>
          <w:rFonts w:cstheme="minorHAnsi"/>
          <w:szCs w:val="22"/>
        </w:rPr>
        <w:t>UNESCO. (2021). Making every school a health-promoting school. World Health Organisation.</w:t>
      </w:r>
    </w:p>
    <w:p w14:paraId="7F40F18F" w14:textId="77777777" w:rsidR="00EE7F52" w:rsidRPr="00EE7F52" w:rsidRDefault="00EE7F52" w:rsidP="00471C22">
      <w:pPr>
        <w:spacing w:beforeLines="24" w:before="57"/>
        <w:ind w:left="709" w:hanging="720"/>
        <w:rPr>
          <w:rFonts w:cstheme="minorHAnsi"/>
          <w:szCs w:val="22"/>
        </w:rPr>
      </w:pPr>
      <w:r w:rsidRPr="00471C22">
        <w:rPr>
          <w:rFonts w:cstheme="minorHAnsi"/>
          <w:szCs w:val="22"/>
        </w:rPr>
        <w:t xml:space="preserve">University of Maryland School of Medicine. (2020). Alignment of School Mental Health Quality </w:t>
      </w:r>
      <w:r w:rsidRPr="00EE7F52">
        <w:rPr>
          <w:rFonts w:cstheme="minorHAnsi"/>
          <w:szCs w:val="22"/>
        </w:rPr>
        <w:t>Frameworks and Tools: Guidance to the Field. National Centre for School Mental Health.</w:t>
      </w:r>
    </w:p>
    <w:p w14:paraId="797FF395" w14:textId="77777777" w:rsidR="00EE7F52" w:rsidRPr="00EE7F52" w:rsidRDefault="00EE7F52" w:rsidP="00E30934">
      <w:pPr>
        <w:pStyle w:val="EndNoteBibliography"/>
        <w:spacing w:beforeLines="24" w:before="57"/>
        <w:ind w:left="720" w:hanging="720"/>
        <w:rPr>
          <w:rFonts w:asciiTheme="minorHAnsi" w:hAnsiTheme="minorHAnsi" w:cstheme="minorHAnsi"/>
          <w:noProof/>
          <w:sz w:val="22"/>
          <w:szCs w:val="22"/>
        </w:rPr>
      </w:pPr>
      <w:r w:rsidRPr="00EE7F52">
        <w:rPr>
          <w:rFonts w:asciiTheme="minorHAnsi" w:hAnsiTheme="minorHAnsi" w:cstheme="minorHAnsi"/>
          <w:noProof/>
          <w:sz w:val="22"/>
          <w:szCs w:val="22"/>
        </w:rPr>
        <w:t>Van de Sande, M.C.E., Fekkes, M., Kocken, P.L., Diekstra, R.F.W., Reis, R. &amp; Gravesteijn, C. (2019). Do universal social and emotional learning programs for secondary school students enhance the competencies they address? A systematic review. Psychology in the Schools, Vol. 56, pp. 1545-1567.</w:t>
      </w:r>
    </w:p>
    <w:p w14:paraId="3CB0860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V</w:t>
      </w:r>
      <w:r w:rsidRPr="00471C22">
        <w:rPr>
          <w:rFonts w:asciiTheme="minorHAnsi" w:hAnsiTheme="minorHAnsi" w:cstheme="minorHAnsi"/>
          <w:noProof/>
          <w:sz w:val="22"/>
          <w:szCs w:val="22"/>
        </w:rPr>
        <w:t xml:space="preserve">an Elk, R., &amp; Kok, S. (2016). The impact of a comprehensive school reform policy for weak schools on educational achievement: Results of the first 4 years. </w:t>
      </w:r>
      <w:r w:rsidRPr="00471C22">
        <w:rPr>
          <w:rFonts w:asciiTheme="minorHAnsi" w:hAnsiTheme="minorHAnsi" w:cstheme="minorHAnsi"/>
          <w:i/>
          <w:iCs/>
          <w:noProof/>
          <w:sz w:val="22"/>
          <w:szCs w:val="22"/>
        </w:rPr>
        <w:t>De Economist, 164</w:t>
      </w:r>
      <w:r w:rsidRPr="00471C22">
        <w:rPr>
          <w:rFonts w:asciiTheme="minorHAnsi" w:hAnsiTheme="minorHAnsi" w:cstheme="minorHAnsi"/>
          <w:noProof/>
          <w:sz w:val="22"/>
          <w:szCs w:val="22"/>
        </w:rPr>
        <w:t xml:space="preserve">(4), 445-476. </w:t>
      </w:r>
    </w:p>
    <w:p w14:paraId="5B13825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Van Veen, K., Zwart, R., &amp; Meirink, J. (2012). What makes teacher professional development effective. </w:t>
      </w:r>
      <w:r w:rsidRPr="00471C22">
        <w:rPr>
          <w:rFonts w:asciiTheme="minorHAnsi" w:hAnsiTheme="minorHAnsi" w:cstheme="minorHAnsi"/>
          <w:i/>
          <w:iCs/>
          <w:noProof/>
          <w:sz w:val="22"/>
          <w:szCs w:val="22"/>
          <w:lang w:val="en-GB"/>
        </w:rPr>
        <w:t>Teacher learning that matters: International perspectives</w:t>
      </w:r>
      <w:r w:rsidRPr="00471C22">
        <w:rPr>
          <w:rFonts w:asciiTheme="minorHAnsi" w:hAnsiTheme="minorHAnsi" w:cstheme="minorHAnsi"/>
          <w:noProof/>
          <w:sz w:val="22"/>
          <w:szCs w:val="22"/>
          <w:lang w:val="en-GB"/>
        </w:rPr>
        <w:t xml:space="preserve">, 3-21. </w:t>
      </w:r>
    </w:p>
    <w:p w14:paraId="167CAA8A" w14:textId="77777777" w:rsidR="00EE7F52" w:rsidRDefault="00EE7F52" w:rsidP="00F7276B">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 xml:space="preserve">Victoria, Royal Commission into Victoria’s Mental Health System, </w:t>
      </w:r>
      <w:r w:rsidRPr="00F7276B">
        <w:rPr>
          <w:rFonts w:asciiTheme="minorHAnsi" w:hAnsiTheme="minorHAnsi" w:cstheme="minorHAnsi"/>
          <w:noProof/>
          <w:sz w:val="22"/>
          <w:szCs w:val="22"/>
        </w:rPr>
        <w:t>Final Report</w:t>
      </w:r>
      <w:r>
        <w:rPr>
          <w:rFonts w:asciiTheme="minorHAnsi" w:hAnsiTheme="minorHAnsi" w:cstheme="minorHAnsi"/>
          <w:noProof/>
          <w:sz w:val="22"/>
          <w:szCs w:val="22"/>
        </w:rPr>
        <w:t xml:space="preserve"> (2021).</w:t>
      </w:r>
    </w:p>
    <w:p w14:paraId="47A71C91"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Voelkel, R. H., Jr., &amp; Chrispeels, J. H. (2017). Understanding the link between professional learning communities and teacher collective efficacy. </w:t>
      </w:r>
      <w:r w:rsidRPr="00471C22">
        <w:rPr>
          <w:rFonts w:asciiTheme="minorHAnsi" w:hAnsiTheme="minorHAnsi" w:cstheme="minorHAnsi"/>
          <w:i/>
          <w:iCs/>
          <w:noProof/>
          <w:sz w:val="22"/>
          <w:szCs w:val="22"/>
        </w:rPr>
        <w:t>School Effectiveness and School Improvement, 28</w:t>
      </w:r>
      <w:r w:rsidRPr="00471C22">
        <w:rPr>
          <w:rFonts w:asciiTheme="minorHAnsi" w:hAnsiTheme="minorHAnsi" w:cstheme="minorHAnsi"/>
          <w:noProof/>
          <w:sz w:val="22"/>
          <w:szCs w:val="22"/>
        </w:rPr>
        <w:t xml:space="preserve">(4), 505-526. </w:t>
      </w:r>
    </w:p>
    <w:p w14:paraId="70FFB57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Voight, A. (2015). Student voice for school-climate improvement: A case study of an urban middle school. </w:t>
      </w:r>
      <w:r w:rsidRPr="00471C22">
        <w:rPr>
          <w:rFonts w:asciiTheme="minorHAnsi" w:hAnsiTheme="minorHAnsi" w:cstheme="minorHAnsi"/>
          <w:i/>
          <w:iCs/>
          <w:noProof/>
          <w:sz w:val="22"/>
          <w:szCs w:val="22"/>
        </w:rPr>
        <w:t>Journal of Community &amp; Applied Social Psychology, 25</w:t>
      </w:r>
      <w:r w:rsidRPr="00471C22">
        <w:rPr>
          <w:rFonts w:asciiTheme="minorHAnsi" w:hAnsiTheme="minorHAnsi" w:cstheme="minorHAnsi"/>
          <w:noProof/>
          <w:sz w:val="22"/>
          <w:szCs w:val="22"/>
        </w:rPr>
        <w:t xml:space="preserve">(4), 310-326. </w:t>
      </w:r>
    </w:p>
    <w:p w14:paraId="1CE2CCA3"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Voight, A., &amp; Nation, M. (2016). Practices for improving secondary school climate: A systematic review of the research literature. </w:t>
      </w:r>
      <w:r w:rsidRPr="00471C22">
        <w:rPr>
          <w:rFonts w:asciiTheme="minorHAnsi" w:hAnsiTheme="minorHAnsi" w:cstheme="minorHAnsi"/>
          <w:i/>
          <w:iCs/>
          <w:noProof/>
          <w:sz w:val="22"/>
          <w:szCs w:val="22"/>
          <w:lang w:val="en-GB"/>
        </w:rPr>
        <w:t>American Journal of Community Psychology</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58</w:t>
      </w:r>
      <w:r w:rsidRPr="00471C22">
        <w:rPr>
          <w:rFonts w:asciiTheme="minorHAnsi" w:hAnsiTheme="minorHAnsi" w:cstheme="minorHAnsi"/>
          <w:noProof/>
          <w:sz w:val="22"/>
          <w:szCs w:val="22"/>
          <w:lang w:val="en-GB"/>
        </w:rPr>
        <w:t>(1-2), 174-191.</w:t>
      </w:r>
    </w:p>
    <w:p w14:paraId="43D15AA9"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 xml:space="preserve">Walker, M., Nelson, J., Bradshaw, S. and Brown, C. Teachers’ engagement with research: what do we know? A research briefing. Education Endowment Foundation. Retrieved online: </w:t>
      </w:r>
      <w:r w:rsidRPr="00DD75E0">
        <w:rPr>
          <w:rFonts w:asciiTheme="minorHAnsi" w:hAnsiTheme="minorHAnsi" w:cstheme="minorHAnsi"/>
          <w:noProof/>
          <w:sz w:val="22"/>
          <w:szCs w:val="22"/>
          <w:lang w:val="en-GB"/>
        </w:rPr>
        <w:t>https://educationendowmentfoundation.org.uk/public/files/Evaluation/%20Teachers_engagement_with_research_Research_Brief_JK.pdf/</w:t>
      </w:r>
      <w:r>
        <w:rPr>
          <w:rFonts w:asciiTheme="minorHAnsi" w:hAnsiTheme="minorHAnsi" w:cstheme="minorHAnsi"/>
          <w:noProof/>
          <w:sz w:val="22"/>
          <w:szCs w:val="22"/>
          <w:lang w:val="en-GB"/>
        </w:rPr>
        <w:t>.</w:t>
      </w:r>
      <w:r w:rsidRPr="00471C22">
        <w:rPr>
          <w:rFonts w:asciiTheme="minorHAnsi" w:hAnsiTheme="minorHAnsi" w:cstheme="minorHAnsi"/>
          <w:noProof/>
          <w:sz w:val="22"/>
          <w:szCs w:val="22"/>
          <w:lang w:val="en-GB"/>
        </w:rPr>
        <w:t xml:space="preserve"> </w:t>
      </w:r>
    </w:p>
    <w:p w14:paraId="518FF03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Walter, C., &amp; Briggs, J. (2012). What professional development makes the most difference to teachers. A report sponsored by Oxford University Press. Retrieved online: </w:t>
      </w:r>
      <w:r w:rsidRPr="00DD75E0">
        <w:rPr>
          <w:rFonts w:asciiTheme="minorHAnsi" w:hAnsiTheme="minorHAnsi" w:cstheme="minorHAnsi"/>
          <w:noProof/>
          <w:sz w:val="22"/>
          <w:szCs w:val="22"/>
        </w:rPr>
        <w:t>https://clie.org.uk/wp-content/uploads/2011/10/Walter_Briggs_2012.pdf</w:t>
      </w:r>
      <w:r>
        <w:rPr>
          <w:rFonts w:asciiTheme="minorHAnsi" w:hAnsiTheme="minorHAnsi" w:cstheme="minorHAnsi"/>
          <w:noProof/>
          <w:sz w:val="22"/>
          <w:szCs w:val="22"/>
        </w:rPr>
        <w:t>.</w:t>
      </w:r>
    </w:p>
    <w:p w14:paraId="1A00551D"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Wang, L. H., Gurr, D., &amp; Drysdale, L. (2016). Successful school leadership: Case studies of four Singapore primary schools. </w:t>
      </w:r>
      <w:r w:rsidRPr="00471C22">
        <w:rPr>
          <w:rFonts w:asciiTheme="minorHAnsi" w:hAnsiTheme="minorHAnsi" w:cstheme="minorHAnsi"/>
          <w:i/>
          <w:noProof/>
          <w:sz w:val="22"/>
          <w:szCs w:val="22"/>
        </w:rPr>
        <w:t>Journal of Educational Administration, 54</w:t>
      </w:r>
      <w:r w:rsidRPr="00471C22">
        <w:rPr>
          <w:rFonts w:asciiTheme="minorHAnsi" w:hAnsiTheme="minorHAnsi" w:cstheme="minorHAnsi"/>
          <w:noProof/>
          <w:sz w:val="22"/>
          <w:szCs w:val="22"/>
        </w:rPr>
        <w:t xml:space="preserve">(3), 270-287. </w:t>
      </w:r>
    </w:p>
    <w:p w14:paraId="19CE042B"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lastRenderedPageBreak/>
        <w:t xml:space="preserve">Weiss, H. &amp; Lopez, M.E. (2011). Making data matter in family engagement. In Redding, S., Murphy, M., &amp; Sheley, P. (Eds.) Handbook on family and community engagement 21-28. Lincoln, IL: Academic Development Institute. Retrieved online: </w:t>
      </w:r>
      <w:r w:rsidRPr="00DD75E0">
        <w:rPr>
          <w:rFonts w:asciiTheme="minorHAnsi" w:hAnsiTheme="minorHAnsi" w:cstheme="minorHAnsi"/>
          <w:noProof/>
          <w:sz w:val="22"/>
          <w:szCs w:val="22"/>
          <w:lang w:val="en-GB"/>
        </w:rPr>
        <w:t>http://www.schoolcommunitynetwork.org/downloads/FACEHandbook.pdf</w:t>
      </w:r>
      <w:r>
        <w:rPr>
          <w:rFonts w:asciiTheme="minorHAnsi" w:hAnsiTheme="minorHAnsi" w:cstheme="minorHAnsi"/>
          <w:noProof/>
          <w:sz w:val="22"/>
          <w:szCs w:val="22"/>
          <w:lang w:val="en-GB"/>
        </w:rPr>
        <w:t>.</w:t>
      </w:r>
    </w:p>
    <w:p w14:paraId="0F8295C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White, F. A., &amp; Abu-Rayya, H. M. (2012) A dual identity-electronic contact (DIEC) experiment promoting short- and long-term intergroup harmony. </w:t>
      </w:r>
      <w:r w:rsidRPr="00471C22">
        <w:rPr>
          <w:rFonts w:asciiTheme="minorHAnsi" w:hAnsiTheme="minorHAnsi" w:cstheme="minorHAnsi"/>
          <w:i/>
          <w:iCs/>
          <w:noProof/>
          <w:sz w:val="22"/>
          <w:szCs w:val="22"/>
        </w:rPr>
        <w:t>Journal of Experimental Social Psychology, 48</w:t>
      </w:r>
      <w:r w:rsidRPr="00471C22">
        <w:rPr>
          <w:rFonts w:asciiTheme="minorHAnsi" w:hAnsiTheme="minorHAnsi" w:cstheme="minorHAnsi"/>
          <w:noProof/>
          <w:sz w:val="22"/>
          <w:szCs w:val="22"/>
        </w:rPr>
        <w:t xml:space="preserve">(3), 597–608. </w:t>
      </w:r>
    </w:p>
    <w:p w14:paraId="1FB9AB72"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White, F. A., Wootton, B., Man, J., Diaz, H., Rasiah, J., Swift, E., &amp; Wilkinson, A. (2009) Adolescent racial prejudice development: The role of friendship quality and interracial contact. </w:t>
      </w:r>
      <w:r w:rsidRPr="00471C22">
        <w:rPr>
          <w:rFonts w:asciiTheme="minorHAnsi" w:hAnsiTheme="minorHAnsi" w:cstheme="minorHAnsi"/>
          <w:i/>
          <w:iCs/>
          <w:noProof/>
          <w:sz w:val="22"/>
          <w:szCs w:val="22"/>
        </w:rPr>
        <w:t>International Journal of Intercultural Relations, 33</w:t>
      </w:r>
      <w:r w:rsidRPr="00471C22">
        <w:rPr>
          <w:rFonts w:asciiTheme="minorHAnsi" w:hAnsiTheme="minorHAnsi" w:cstheme="minorHAnsi"/>
          <w:noProof/>
          <w:sz w:val="22"/>
          <w:szCs w:val="22"/>
        </w:rPr>
        <w:t xml:space="preserve">(6), 524–534. </w:t>
      </w:r>
    </w:p>
    <w:p w14:paraId="30F30351" w14:textId="77777777" w:rsidR="00EE7F52" w:rsidRPr="00471C22" w:rsidRDefault="00EE7F52" w:rsidP="00471C22">
      <w:pPr>
        <w:pStyle w:val="EndNoteBibliography"/>
        <w:spacing w:beforeLines="24" w:before="57"/>
        <w:ind w:left="720" w:hanging="720"/>
        <w:rPr>
          <w:rFonts w:asciiTheme="minorHAnsi" w:hAnsiTheme="minorHAnsi" w:cstheme="minorHAnsi"/>
          <w:sz w:val="22"/>
          <w:szCs w:val="22"/>
        </w:rPr>
      </w:pPr>
      <w:r w:rsidRPr="00471C22">
        <w:rPr>
          <w:rFonts w:asciiTheme="minorHAnsi" w:hAnsiTheme="minorHAnsi" w:cstheme="minorHAnsi"/>
          <w:noProof/>
          <w:sz w:val="22"/>
          <w:szCs w:val="22"/>
        </w:rPr>
        <w:t xml:space="preserve">Whittle, R. J., Telford, A., &amp; Benson, A. C. (2015). The "perfect" senior (VCE) secondary physical education teacher: Student perceptions of teacher-related factors that influence academic performance. </w:t>
      </w:r>
      <w:r w:rsidRPr="00471C22">
        <w:rPr>
          <w:rFonts w:asciiTheme="minorHAnsi" w:hAnsiTheme="minorHAnsi" w:cstheme="minorHAnsi"/>
          <w:i/>
          <w:iCs/>
          <w:noProof/>
          <w:sz w:val="22"/>
          <w:szCs w:val="22"/>
        </w:rPr>
        <w:t>Australian Journal of Teacher Education, 40</w:t>
      </w:r>
      <w:r w:rsidRPr="00471C22">
        <w:rPr>
          <w:rFonts w:asciiTheme="minorHAnsi" w:hAnsiTheme="minorHAnsi" w:cstheme="minorHAnsi"/>
          <w:noProof/>
          <w:sz w:val="22"/>
          <w:szCs w:val="22"/>
        </w:rPr>
        <w:t xml:space="preserve">(1), 1-23. </w:t>
      </w:r>
    </w:p>
    <w:p w14:paraId="75D2F82A"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Wieczorek, D., &amp; Lear, J. (2018). Building the "bridge": Teacher leadership for learning and distributed organizational capacity for instructional improvement. </w:t>
      </w:r>
      <w:r w:rsidRPr="00471C22">
        <w:rPr>
          <w:rFonts w:asciiTheme="minorHAnsi" w:hAnsiTheme="minorHAnsi" w:cstheme="minorHAnsi"/>
          <w:i/>
          <w:iCs/>
          <w:noProof/>
          <w:sz w:val="22"/>
          <w:szCs w:val="22"/>
        </w:rPr>
        <w:t>International Journal of Teacher Leadership, 9</w:t>
      </w:r>
      <w:r w:rsidRPr="00471C22">
        <w:rPr>
          <w:rFonts w:asciiTheme="minorHAnsi" w:hAnsiTheme="minorHAnsi" w:cstheme="minorHAnsi"/>
          <w:noProof/>
          <w:sz w:val="22"/>
          <w:szCs w:val="22"/>
        </w:rPr>
        <w:t xml:space="preserve">(2), 22-47. </w:t>
      </w:r>
    </w:p>
    <w:p w14:paraId="398756DF"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lang w:val="en-GB"/>
        </w:rPr>
        <w:t>Wiyono, B. B. (2018). The effect of self-evaluation on the principals’ transformational leadership, teachers’ work motivation, teamwork effectiveness, and school improvement. </w:t>
      </w:r>
      <w:r w:rsidRPr="00471C22">
        <w:rPr>
          <w:rFonts w:asciiTheme="minorHAnsi" w:hAnsiTheme="minorHAnsi" w:cstheme="minorHAnsi"/>
          <w:i/>
          <w:iCs/>
          <w:noProof/>
          <w:sz w:val="22"/>
          <w:szCs w:val="22"/>
          <w:lang w:val="en-GB"/>
        </w:rPr>
        <w:t>International Journal of Leadership in Education</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21</w:t>
      </w:r>
      <w:r w:rsidRPr="00471C22">
        <w:rPr>
          <w:rFonts w:asciiTheme="minorHAnsi" w:hAnsiTheme="minorHAnsi" w:cstheme="minorHAnsi"/>
          <w:noProof/>
          <w:sz w:val="22"/>
          <w:szCs w:val="22"/>
          <w:lang w:val="en-GB"/>
        </w:rPr>
        <w:t>(6), 705-725.</w:t>
      </w:r>
      <w:r w:rsidRPr="00471C22">
        <w:rPr>
          <w:rFonts w:asciiTheme="minorHAnsi" w:hAnsiTheme="minorHAnsi" w:cstheme="minorHAnsi"/>
          <w:noProof/>
          <w:sz w:val="22"/>
          <w:szCs w:val="22"/>
        </w:rPr>
        <w:t xml:space="preserve"> </w:t>
      </w:r>
    </w:p>
    <w:p w14:paraId="181C8D58" w14:textId="77777777" w:rsidR="00EE7F52" w:rsidRDefault="00EE7F52" w:rsidP="00706550">
      <w:pPr>
        <w:pStyle w:val="EndNoteBibliography"/>
        <w:spacing w:beforeLines="24" w:before="57"/>
        <w:ind w:left="720" w:hanging="720"/>
        <w:rPr>
          <w:rFonts w:asciiTheme="minorHAnsi" w:hAnsiTheme="minorHAnsi" w:cstheme="minorHAnsi"/>
          <w:noProof/>
          <w:sz w:val="22"/>
          <w:szCs w:val="22"/>
        </w:rPr>
      </w:pPr>
      <w:r>
        <w:rPr>
          <w:rFonts w:asciiTheme="minorHAnsi" w:hAnsiTheme="minorHAnsi" w:cstheme="minorHAnsi"/>
          <w:noProof/>
          <w:sz w:val="22"/>
          <w:szCs w:val="22"/>
        </w:rPr>
        <w:t xml:space="preserve">Wolfe, B. (1985). The influence of Health on School Outcomes: A Multivariate Approach. </w:t>
      </w:r>
      <w:r w:rsidRPr="00B54749">
        <w:rPr>
          <w:rFonts w:asciiTheme="minorHAnsi" w:hAnsiTheme="minorHAnsi" w:cstheme="minorHAnsi"/>
          <w:noProof/>
          <w:sz w:val="22"/>
          <w:szCs w:val="22"/>
        </w:rPr>
        <w:t>Medical Care</w:t>
      </w:r>
      <w:r>
        <w:rPr>
          <w:rFonts w:asciiTheme="minorHAnsi" w:hAnsiTheme="minorHAnsi" w:cstheme="minorHAnsi"/>
          <w:noProof/>
          <w:sz w:val="22"/>
          <w:szCs w:val="22"/>
        </w:rPr>
        <w:t>, 23(10), 1127-1138.</w:t>
      </w:r>
    </w:p>
    <w:p w14:paraId="1A6724C4" w14:textId="77777777" w:rsidR="00011D0B" w:rsidRPr="00011D0B" w:rsidRDefault="00011D0B" w:rsidP="00B51088">
      <w:pPr>
        <w:pStyle w:val="EndNoteBibliography"/>
        <w:spacing w:beforeLines="24" w:before="57"/>
        <w:ind w:left="720" w:hanging="720"/>
        <w:rPr>
          <w:lang w:val="en-AU"/>
        </w:rPr>
      </w:pPr>
      <w:r w:rsidRPr="00011D0B">
        <w:rPr>
          <w:rFonts w:asciiTheme="minorHAnsi" w:hAnsiTheme="minorHAnsi" w:cstheme="minorHAnsi"/>
          <w:noProof/>
          <w:sz w:val="22"/>
          <w:szCs w:val="22"/>
        </w:rPr>
        <w:t>Wolfson R &amp; Carskadon MA, 1998. Sleep schedules and daytime functioning in adolescents. Child Development, 69, 875-887.</w:t>
      </w:r>
    </w:p>
    <w:p w14:paraId="01FA24BC" w14:textId="77777777" w:rsidR="00EE7F52" w:rsidRPr="00471C22" w:rsidRDefault="00EE7F52" w:rsidP="00471C22">
      <w:pPr>
        <w:spacing w:beforeLines="24" w:before="57"/>
        <w:ind w:left="709" w:hanging="720"/>
        <w:rPr>
          <w:rFonts w:cstheme="minorHAnsi"/>
          <w:szCs w:val="22"/>
          <w:lang w:val="en-AU"/>
        </w:rPr>
      </w:pPr>
      <w:r w:rsidRPr="00471C22">
        <w:rPr>
          <w:rFonts w:cstheme="minorHAnsi"/>
          <w:szCs w:val="22"/>
          <w:lang w:val="en-AU"/>
        </w:rPr>
        <w:t>Yale (2021) Teaching and Learning Framework. Retrieved from https://poorvucenter.yale.edu/BackwardDesign.</w:t>
      </w:r>
    </w:p>
    <w:p w14:paraId="745FF63E"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 xml:space="preserve">Yoon, K. S., Duncan, T., Lee, S. W.-Y., Scarloss, B., &amp; Shapley, K. L. (2007). Reviewing the Evidence on How Teacher Professional Development Affects Student Achievement. Issues &amp; Answers. Regional Educational Laboratory Southwest (NJ1). Retrieved online: </w:t>
      </w:r>
      <w:r w:rsidRPr="00DD75E0">
        <w:rPr>
          <w:rFonts w:asciiTheme="minorHAnsi" w:hAnsiTheme="minorHAnsi" w:cstheme="minorHAnsi"/>
          <w:noProof/>
          <w:sz w:val="22"/>
          <w:szCs w:val="22"/>
        </w:rPr>
        <w:t>https://ies.ed.gov/ncee/edlabs/regions/southwest/pdf/REL_2007033_sum.pdf</w:t>
      </w:r>
      <w:r>
        <w:rPr>
          <w:rFonts w:asciiTheme="minorHAnsi" w:hAnsiTheme="minorHAnsi" w:cstheme="minorHAnsi"/>
          <w:noProof/>
          <w:sz w:val="22"/>
          <w:szCs w:val="22"/>
        </w:rPr>
        <w:t>.</w:t>
      </w:r>
    </w:p>
    <w:p w14:paraId="2076A057" w14:textId="77777777" w:rsidR="00EE7F52" w:rsidRPr="00471C22" w:rsidRDefault="00EE7F52" w:rsidP="00471C22">
      <w:pPr>
        <w:pStyle w:val="EndNoteBibliography"/>
        <w:spacing w:beforeLines="24" w:before="57"/>
        <w:ind w:left="720" w:hanging="720"/>
        <w:rPr>
          <w:rFonts w:asciiTheme="minorHAnsi" w:hAnsiTheme="minorHAnsi" w:cstheme="minorHAnsi"/>
          <w:noProof/>
          <w:sz w:val="22"/>
          <w:szCs w:val="22"/>
        </w:rPr>
      </w:pPr>
      <w:r w:rsidRPr="00471C22">
        <w:rPr>
          <w:rFonts w:asciiTheme="minorHAnsi" w:hAnsiTheme="minorHAnsi" w:cstheme="minorHAnsi"/>
          <w:noProof/>
          <w:sz w:val="22"/>
          <w:szCs w:val="22"/>
        </w:rPr>
        <w:t>Young, S., (2006). What is the best modern evidence to guide building a community?</w:t>
      </w:r>
      <w:r w:rsidRPr="00471C22">
        <w:rPr>
          <w:rFonts w:asciiTheme="minorHAnsi" w:eastAsiaTheme="minorHAnsi" w:hAnsiTheme="minorHAnsi" w:cstheme="minorHAnsi"/>
          <w:sz w:val="22"/>
          <w:szCs w:val="22"/>
          <w:lang w:val="en-GB" w:eastAsia="en-US"/>
        </w:rPr>
        <w:t xml:space="preserve"> </w:t>
      </w:r>
      <w:r w:rsidRPr="00471C22">
        <w:rPr>
          <w:rFonts w:asciiTheme="minorHAnsi" w:hAnsiTheme="minorHAnsi" w:cstheme="minorHAnsi"/>
          <w:noProof/>
          <w:sz w:val="22"/>
          <w:szCs w:val="22"/>
          <w:lang w:val="en-GB"/>
        </w:rPr>
        <w:t>Australian Research Alliance for Children and Youth</w:t>
      </w:r>
      <w:r w:rsidRPr="00471C22">
        <w:rPr>
          <w:rFonts w:asciiTheme="minorHAnsi" w:hAnsiTheme="minorHAnsi" w:cstheme="minorHAnsi"/>
          <w:noProof/>
          <w:sz w:val="22"/>
          <w:szCs w:val="22"/>
        </w:rPr>
        <w:t xml:space="preserve">. Retrived online: </w:t>
      </w:r>
      <w:r w:rsidRPr="00DD75E0">
        <w:rPr>
          <w:rFonts w:asciiTheme="minorHAnsi" w:hAnsiTheme="minorHAnsi" w:cstheme="minorHAnsi"/>
          <w:noProof/>
          <w:sz w:val="22"/>
          <w:szCs w:val="22"/>
        </w:rPr>
        <w:t>https://www.aracy.org.au/publications-resources/command/download_file/id/167/filename/What_is_the_best_modern_evidence_to_guide_building_a_community.pdf</w:t>
      </w:r>
      <w:r>
        <w:rPr>
          <w:rFonts w:asciiTheme="minorHAnsi" w:hAnsiTheme="minorHAnsi" w:cstheme="minorHAnsi"/>
          <w:noProof/>
          <w:sz w:val="22"/>
          <w:szCs w:val="22"/>
        </w:rPr>
        <w:t>.</w:t>
      </w:r>
    </w:p>
    <w:p w14:paraId="01F1DEBC" w14:textId="77777777" w:rsidR="00011D0B" w:rsidRPr="00011D0B" w:rsidRDefault="00011D0B" w:rsidP="00011D0B">
      <w:pPr>
        <w:pStyle w:val="EndNoteBibliography"/>
        <w:spacing w:beforeLines="24" w:before="57"/>
        <w:ind w:left="720" w:hanging="720"/>
        <w:rPr>
          <w:rFonts w:asciiTheme="minorHAnsi" w:hAnsiTheme="minorHAnsi" w:cstheme="minorHAnsi"/>
          <w:noProof/>
          <w:sz w:val="22"/>
          <w:szCs w:val="22"/>
          <w:lang w:val="en-GB"/>
        </w:rPr>
      </w:pPr>
      <w:r w:rsidRPr="00011D0B">
        <w:rPr>
          <w:rFonts w:asciiTheme="minorHAnsi" w:hAnsiTheme="minorHAnsi" w:cstheme="minorHAnsi"/>
          <w:noProof/>
          <w:sz w:val="22"/>
          <w:szCs w:val="22"/>
          <w:lang w:val="en-GB"/>
        </w:rPr>
        <w:t>Zubrick, S., Silburn, S. R., De Maio, J. A., Shepherd, C., Griffin, J. A., Dalby, R. B. et al. (2006). Western Australian Aboriginal Child Health Survey: Improving the Educational Experiences of Aboriginal Children and Young People. Perth: Telethon Institute for Child Health Research and Curtin University of Technology.</w:t>
      </w:r>
    </w:p>
    <w:p w14:paraId="36FA7D75" w14:textId="77777777" w:rsidR="00011D0B" w:rsidRPr="00011D0B" w:rsidRDefault="00EE7F52" w:rsidP="00471C22">
      <w:pPr>
        <w:pStyle w:val="EndNoteBibliography"/>
        <w:spacing w:beforeLines="24" w:before="57"/>
        <w:ind w:left="720" w:hanging="720"/>
        <w:rPr>
          <w:rFonts w:asciiTheme="minorHAnsi" w:hAnsiTheme="minorHAnsi" w:cstheme="minorHAnsi"/>
          <w:noProof/>
          <w:sz w:val="22"/>
          <w:szCs w:val="22"/>
          <w:lang w:val="en-GB"/>
        </w:rPr>
      </w:pPr>
      <w:r w:rsidRPr="00471C22">
        <w:rPr>
          <w:rFonts w:asciiTheme="minorHAnsi" w:hAnsiTheme="minorHAnsi" w:cstheme="minorHAnsi"/>
          <w:noProof/>
          <w:sz w:val="22"/>
          <w:szCs w:val="22"/>
          <w:lang w:val="en-GB"/>
        </w:rPr>
        <w:t>Zullig, K. J., Collins, R., Ghani, N., Patton, J. M., Scott Huebner, E., &amp; Ajamie, J. (2014). Psychometric support of the school climate measure in a large, diverse sample of adolescents: A replication and extension. </w:t>
      </w:r>
      <w:r w:rsidRPr="00471C22">
        <w:rPr>
          <w:rFonts w:asciiTheme="minorHAnsi" w:hAnsiTheme="minorHAnsi" w:cstheme="minorHAnsi"/>
          <w:i/>
          <w:iCs/>
          <w:noProof/>
          <w:sz w:val="22"/>
          <w:szCs w:val="22"/>
          <w:lang w:val="en-GB"/>
        </w:rPr>
        <w:t>Journal of School Health</w:t>
      </w:r>
      <w:r w:rsidRPr="00471C22">
        <w:rPr>
          <w:rFonts w:asciiTheme="minorHAnsi" w:hAnsiTheme="minorHAnsi" w:cstheme="minorHAnsi"/>
          <w:noProof/>
          <w:sz w:val="22"/>
          <w:szCs w:val="22"/>
          <w:lang w:val="en-GB"/>
        </w:rPr>
        <w:t>, </w:t>
      </w:r>
      <w:r w:rsidRPr="00471C22">
        <w:rPr>
          <w:rFonts w:asciiTheme="minorHAnsi" w:hAnsiTheme="minorHAnsi" w:cstheme="minorHAnsi"/>
          <w:i/>
          <w:iCs/>
          <w:noProof/>
          <w:sz w:val="22"/>
          <w:szCs w:val="22"/>
          <w:lang w:val="en-GB"/>
        </w:rPr>
        <w:t>84</w:t>
      </w:r>
      <w:r w:rsidRPr="00471C22">
        <w:rPr>
          <w:rFonts w:asciiTheme="minorHAnsi" w:hAnsiTheme="minorHAnsi" w:cstheme="minorHAnsi"/>
          <w:noProof/>
          <w:sz w:val="22"/>
          <w:szCs w:val="22"/>
          <w:lang w:val="en-GB"/>
        </w:rPr>
        <w:t>(2), 82-90.</w:t>
      </w:r>
    </w:p>
    <w:p w14:paraId="1A495C9D" w14:textId="77777777" w:rsidR="00EE7F52" w:rsidRDefault="00EE7F52" w:rsidP="00471C22">
      <w:pPr>
        <w:pStyle w:val="EndNoteBibliography"/>
        <w:spacing w:beforeLines="24" w:before="57"/>
        <w:ind w:left="720" w:hanging="720"/>
        <w:rPr>
          <w:rFonts w:asciiTheme="minorHAnsi" w:hAnsiTheme="minorHAnsi" w:cstheme="minorHAnsi"/>
          <w:noProof/>
          <w:sz w:val="22"/>
          <w:szCs w:val="22"/>
          <w:lang w:val="en-GB"/>
        </w:rPr>
      </w:pPr>
    </w:p>
    <w:sectPr w:rsidR="00EE7F52" w:rsidSect="00144FD5">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F0A45" w14:textId="77777777" w:rsidR="00C3108D" w:rsidRDefault="00C3108D" w:rsidP="003967DD">
      <w:pPr>
        <w:spacing w:after="0"/>
      </w:pPr>
      <w:r>
        <w:separator/>
      </w:r>
    </w:p>
  </w:endnote>
  <w:endnote w:type="continuationSeparator" w:id="0">
    <w:p w14:paraId="617C6393" w14:textId="77777777" w:rsidR="00C3108D" w:rsidRDefault="00C3108D" w:rsidP="003967DD">
      <w:pPr>
        <w:spacing w:after="0"/>
      </w:pPr>
      <w:r>
        <w:continuationSeparator/>
      </w:r>
    </w:p>
  </w:endnote>
  <w:endnote w:type="continuationNotice" w:id="1">
    <w:p w14:paraId="60E2D474" w14:textId="77777777" w:rsidR="00C3108D" w:rsidRDefault="00C310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77158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427A5FF6" w:rsidR="00714D72" w:rsidRDefault="00714D72" w:rsidP="008476D8">
    <w:pPr>
      <w:pStyle w:val="Copyrighttext"/>
    </w:pPr>
    <w:r w:rsidRPr="001105FA">
      <w:t xml:space="preserve">© State of Victoria (Department of Education and Training) </w:t>
    </w:r>
    <w:r w:rsidRPr="00324F2B">
      <w:t>20</w:t>
    </w:r>
    <w:r w:rsidR="00144FD5" w:rsidRPr="00324F2B">
      <w:t>21</w:t>
    </w:r>
  </w:p>
  <w:p w14:paraId="2D4683BF" w14:textId="77777777" w:rsidR="00714D72" w:rsidRPr="001105FA" w:rsidRDefault="00714D72" w:rsidP="008476D8">
    <w:pPr>
      <w:pStyle w:val="Copyrighttext"/>
    </w:pPr>
    <w:r>
      <w:rPr>
        <w:noProof/>
      </w:rPr>
      <w:drawing>
        <wp:inline distT="0" distB="0" distL="0" distR="0" wp14:anchorId="261808AF" wp14:editId="6C5A41E6">
          <wp:extent cx="485336" cy="173334"/>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C5BDFF9" w:rsidR="00714D72" w:rsidRPr="001105FA" w:rsidRDefault="00456622" w:rsidP="008476D8">
    <w:pPr>
      <w:pStyle w:val="Copyrighttext"/>
    </w:pPr>
    <w:r>
      <w:t>FISO 2.0 e</w:t>
    </w:r>
    <w:r w:rsidR="00324F2B">
      <w:t xml:space="preserve">vidence base </w:t>
    </w:r>
    <w:r w:rsidR="00324F2B" w:rsidRPr="001105FA">
      <w:t>is</w:t>
    </w:r>
    <w:r w:rsidR="00714D72" w:rsidRPr="001105FA">
      <w:t xml:space="preserve">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and Training),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8476D8">
    <w:pPr>
      <w:pStyle w:val="Copyrighttext"/>
    </w:pPr>
    <w:r w:rsidRPr="001105FA">
      <w:t xml:space="preserve">The </w:t>
    </w:r>
    <w:proofErr w:type="spellStart"/>
    <w:r w:rsidRPr="001105FA">
      <w:t>licence</w:t>
    </w:r>
    <w:proofErr w:type="spellEnd"/>
    <w:r w:rsidRPr="001105FA">
      <w:t xml:space="preserve"> does not apply to:</w:t>
    </w:r>
  </w:p>
  <w:p w14:paraId="3693F738" w14:textId="6CC6648D" w:rsidR="00714D72" w:rsidRPr="001105FA" w:rsidRDefault="00714D72" w:rsidP="00F17655">
    <w:pPr>
      <w:pStyle w:val="Copyrighttext"/>
      <w:numPr>
        <w:ilvl w:val="0"/>
        <w:numId w:val="5"/>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657FF9EE" w14:textId="106CF132" w:rsidR="00714D72" w:rsidRPr="001105FA" w:rsidRDefault="00714D72" w:rsidP="00F17655">
    <w:pPr>
      <w:pStyle w:val="Copyrighttext"/>
      <w:numPr>
        <w:ilvl w:val="0"/>
        <w:numId w:val="5"/>
      </w:numPr>
      <w:ind w:left="284" w:hanging="284"/>
    </w:pPr>
    <w:r w:rsidRPr="001105FA">
      <w:t>content supplied by third parties.</w:t>
    </w:r>
  </w:p>
  <w:p w14:paraId="4294A2CD" w14:textId="5E767BD5" w:rsidR="008476D8" w:rsidRPr="008476D8" w:rsidRDefault="00714D72" w:rsidP="008476D8">
    <w:pPr>
      <w:pStyle w:val="Copyrighttext"/>
      <w:rPr>
        <w:color w:val="0090DA"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77158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20B13" w14:textId="77777777" w:rsidR="00C3108D" w:rsidRDefault="00C3108D" w:rsidP="003967DD">
      <w:pPr>
        <w:spacing w:after="0"/>
      </w:pPr>
      <w:r>
        <w:separator/>
      </w:r>
    </w:p>
  </w:footnote>
  <w:footnote w:type="continuationSeparator" w:id="0">
    <w:p w14:paraId="4C190FE1" w14:textId="77777777" w:rsidR="00C3108D" w:rsidRDefault="00C3108D" w:rsidP="003967DD">
      <w:pPr>
        <w:spacing w:after="0"/>
      </w:pPr>
      <w:r>
        <w:continuationSeparator/>
      </w:r>
    </w:p>
  </w:footnote>
  <w:footnote w:type="continuationNotice" w:id="1">
    <w:p w14:paraId="55C38E65" w14:textId="77777777" w:rsidR="00C3108D" w:rsidRDefault="00C3108D">
      <w:pPr>
        <w:spacing w:after="0"/>
      </w:pPr>
    </w:p>
  </w:footnote>
  <w:footnote w:id="2">
    <w:p w14:paraId="0F8F4DF0" w14:textId="77777777" w:rsidR="00EF4A7B" w:rsidRPr="00F55BED" w:rsidRDefault="00EF4A7B" w:rsidP="00EF4A7B">
      <w:pPr>
        <w:rPr>
          <w:sz w:val="28"/>
          <w:szCs w:val="32"/>
          <w:lang w:val="en-AU"/>
        </w:rPr>
      </w:pPr>
      <w:r>
        <w:rPr>
          <w:rStyle w:val="FootnoteReference"/>
        </w:rPr>
        <w:footnoteRef/>
      </w:r>
      <w:r>
        <w:t xml:space="preserve"> </w:t>
      </w:r>
      <w:r w:rsidRPr="00AE621D">
        <w:rPr>
          <w:rFonts w:asciiTheme="majorHAnsi" w:hAnsiTheme="majorHAnsi" w:cstheme="majorHAnsi"/>
          <w:i/>
          <w:iCs/>
          <w:color w:val="201F1E"/>
          <w:sz w:val="18"/>
          <w:szCs w:val="18"/>
          <w:shd w:val="clear" w:color="auto" w:fill="FFFFFF"/>
        </w:rPr>
        <w:t>Note: The AtoSS measure captures student perceptions of general inclusivity as a school-environmental factor. Quantitative research on inclusivity typically focuses on a domain of inclusion/vulnerability (e.g. inclusive education for students with disability, CALD and/or LGTBIQ cohorts), with a concomitant focus on cohort-specific factors and outcomes. Caution should be applied when attributing cohort-specific outcomes to respect for diversity as a general school-environmental factor. Such attributions should be supplemented by program-specific evidence (e.g. evaluations), which model the interaction between intervention outputs, outcomes for individuals and settings, and environmental enablers/barriers (including the school environment) for cohorts experiencing vulnerability.</w:t>
      </w:r>
    </w:p>
  </w:footnote>
  <w:footnote w:id="3">
    <w:p w14:paraId="4C3048CE" w14:textId="77777777" w:rsidR="008E5A8B" w:rsidRPr="00F55BED" w:rsidRDefault="008E5A8B" w:rsidP="008E5A8B">
      <w:pPr>
        <w:rPr>
          <w:sz w:val="28"/>
          <w:szCs w:val="32"/>
          <w:lang w:val="en-AU"/>
        </w:rPr>
      </w:pPr>
      <w:r>
        <w:rPr>
          <w:rStyle w:val="FootnoteReference"/>
        </w:rPr>
        <w:footnoteRef/>
      </w:r>
      <w:r>
        <w:t xml:space="preserve"> </w:t>
      </w:r>
      <w:r w:rsidRPr="00AE621D">
        <w:rPr>
          <w:rFonts w:asciiTheme="majorHAnsi" w:hAnsiTheme="majorHAnsi" w:cstheme="majorHAnsi"/>
          <w:i/>
          <w:iCs/>
          <w:color w:val="201F1E"/>
          <w:sz w:val="18"/>
          <w:szCs w:val="18"/>
          <w:shd w:val="clear" w:color="auto" w:fill="FFFFFF"/>
        </w:rPr>
        <w:t xml:space="preserve">Note: The </w:t>
      </w:r>
      <w:r w:rsidRPr="00AE621D">
        <w:rPr>
          <w:rFonts w:asciiTheme="majorHAnsi" w:hAnsiTheme="majorHAnsi" w:cstheme="majorHAnsi"/>
          <w:i/>
          <w:iCs/>
          <w:color w:val="201F1E"/>
          <w:sz w:val="18"/>
          <w:szCs w:val="18"/>
          <w:shd w:val="clear" w:color="auto" w:fill="FFFFFF"/>
        </w:rPr>
        <w:t>AtoSS measure captures student perceptions of general inclusivity as a school-environmental factor. Quantitative research on inclusivity typically focuses on a domain of inclusion/vulnerability (</w:t>
      </w:r>
      <w:r w:rsidRPr="00AE621D">
        <w:rPr>
          <w:rFonts w:asciiTheme="majorHAnsi" w:hAnsiTheme="majorHAnsi" w:cstheme="majorHAnsi"/>
          <w:i/>
          <w:iCs/>
          <w:color w:val="201F1E"/>
          <w:sz w:val="18"/>
          <w:szCs w:val="18"/>
          <w:shd w:val="clear" w:color="auto" w:fill="FFFFFF"/>
        </w:rPr>
        <w:t>e.g. inclusive education for students with disability, CALD and/or LGTBIQ cohorts), with a concomitant focus on cohort-specific factors and outcomes. Caution should be applied when attributing cohort-specific outcomes to respect for diversity as a general school-environmental factor. Such attributions should be supplemented by program-specific evidence (e.g. evaluations), which model the interaction between intervention outputs, outcomes for individuals and settings, and environmental enablers/barriers (including the school environment) for cohorts experiencing vulnerability.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778C3F4" wp14:editId="4D237C4E">
          <wp:simplePos x="0" y="0"/>
          <wp:positionH relativeFrom="page">
            <wp:posOffset>0</wp:posOffset>
          </wp:positionH>
          <wp:positionV relativeFrom="page">
            <wp:posOffset>0</wp:posOffset>
          </wp:positionV>
          <wp:extent cx="7549625" cy="10683672"/>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147FF493" wp14:editId="5D9F0B2A">
          <wp:simplePos x="0" y="0"/>
          <wp:positionH relativeFrom="page">
            <wp:align>left</wp:align>
          </wp:positionH>
          <wp:positionV relativeFrom="page">
            <wp:align>top</wp:align>
          </wp:positionV>
          <wp:extent cx="7560000" cy="10690453"/>
          <wp:effectExtent l="0" t="0" r="9525" b="317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397C38C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1185"/>
    <w:multiLevelType w:val="hybridMultilevel"/>
    <w:tmpl w:val="87425B0C"/>
    <w:lvl w:ilvl="0" w:tplc="5366E5BC">
      <w:start w:val="1"/>
      <w:numFmt w:val="bullet"/>
      <w:lvlText w:val="•"/>
      <w:lvlJc w:val="left"/>
      <w:pPr>
        <w:tabs>
          <w:tab w:val="num" w:pos="720"/>
        </w:tabs>
        <w:ind w:left="720" w:hanging="360"/>
      </w:pPr>
      <w:rPr>
        <w:rFonts w:ascii="Arial" w:hAnsi="Arial" w:hint="default"/>
      </w:rPr>
    </w:lvl>
    <w:lvl w:ilvl="1" w:tplc="1C1CE1F2" w:tentative="1">
      <w:start w:val="1"/>
      <w:numFmt w:val="bullet"/>
      <w:lvlText w:val="•"/>
      <w:lvlJc w:val="left"/>
      <w:pPr>
        <w:tabs>
          <w:tab w:val="num" w:pos="1440"/>
        </w:tabs>
        <w:ind w:left="1440" w:hanging="360"/>
      </w:pPr>
      <w:rPr>
        <w:rFonts w:ascii="Arial" w:hAnsi="Arial" w:hint="default"/>
      </w:rPr>
    </w:lvl>
    <w:lvl w:ilvl="2" w:tplc="A43C3F9C" w:tentative="1">
      <w:start w:val="1"/>
      <w:numFmt w:val="bullet"/>
      <w:lvlText w:val="•"/>
      <w:lvlJc w:val="left"/>
      <w:pPr>
        <w:tabs>
          <w:tab w:val="num" w:pos="2160"/>
        </w:tabs>
        <w:ind w:left="2160" w:hanging="360"/>
      </w:pPr>
      <w:rPr>
        <w:rFonts w:ascii="Arial" w:hAnsi="Arial" w:hint="default"/>
      </w:rPr>
    </w:lvl>
    <w:lvl w:ilvl="3" w:tplc="96F26D6A" w:tentative="1">
      <w:start w:val="1"/>
      <w:numFmt w:val="bullet"/>
      <w:lvlText w:val="•"/>
      <w:lvlJc w:val="left"/>
      <w:pPr>
        <w:tabs>
          <w:tab w:val="num" w:pos="2880"/>
        </w:tabs>
        <w:ind w:left="2880" w:hanging="360"/>
      </w:pPr>
      <w:rPr>
        <w:rFonts w:ascii="Arial" w:hAnsi="Arial" w:hint="default"/>
      </w:rPr>
    </w:lvl>
    <w:lvl w:ilvl="4" w:tplc="E9A29A76" w:tentative="1">
      <w:start w:val="1"/>
      <w:numFmt w:val="bullet"/>
      <w:lvlText w:val="•"/>
      <w:lvlJc w:val="left"/>
      <w:pPr>
        <w:tabs>
          <w:tab w:val="num" w:pos="3600"/>
        </w:tabs>
        <w:ind w:left="3600" w:hanging="360"/>
      </w:pPr>
      <w:rPr>
        <w:rFonts w:ascii="Arial" w:hAnsi="Arial" w:hint="default"/>
      </w:rPr>
    </w:lvl>
    <w:lvl w:ilvl="5" w:tplc="304E8670" w:tentative="1">
      <w:start w:val="1"/>
      <w:numFmt w:val="bullet"/>
      <w:lvlText w:val="•"/>
      <w:lvlJc w:val="left"/>
      <w:pPr>
        <w:tabs>
          <w:tab w:val="num" w:pos="4320"/>
        </w:tabs>
        <w:ind w:left="4320" w:hanging="360"/>
      </w:pPr>
      <w:rPr>
        <w:rFonts w:ascii="Arial" w:hAnsi="Arial" w:hint="default"/>
      </w:rPr>
    </w:lvl>
    <w:lvl w:ilvl="6" w:tplc="E85CB194" w:tentative="1">
      <w:start w:val="1"/>
      <w:numFmt w:val="bullet"/>
      <w:lvlText w:val="•"/>
      <w:lvlJc w:val="left"/>
      <w:pPr>
        <w:tabs>
          <w:tab w:val="num" w:pos="5040"/>
        </w:tabs>
        <w:ind w:left="5040" w:hanging="360"/>
      </w:pPr>
      <w:rPr>
        <w:rFonts w:ascii="Arial" w:hAnsi="Arial" w:hint="default"/>
      </w:rPr>
    </w:lvl>
    <w:lvl w:ilvl="7" w:tplc="11BEFC82" w:tentative="1">
      <w:start w:val="1"/>
      <w:numFmt w:val="bullet"/>
      <w:lvlText w:val="•"/>
      <w:lvlJc w:val="left"/>
      <w:pPr>
        <w:tabs>
          <w:tab w:val="num" w:pos="5760"/>
        </w:tabs>
        <w:ind w:left="5760" w:hanging="360"/>
      </w:pPr>
      <w:rPr>
        <w:rFonts w:ascii="Arial" w:hAnsi="Arial" w:hint="default"/>
      </w:rPr>
    </w:lvl>
    <w:lvl w:ilvl="8" w:tplc="8D4C07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C42931"/>
    <w:multiLevelType w:val="hybridMultilevel"/>
    <w:tmpl w:val="E29C180C"/>
    <w:lvl w:ilvl="0" w:tplc="CA1E868C">
      <w:start w:val="1"/>
      <w:numFmt w:val="bullet"/>
      <w:lvlText w:val="•"/>
      <w:lvlJc w:val="left"/>
      <w:pPr>
        <w:tabs>
          <w:tab w:val="num" w:pos="720"/>
        </w:tabs>
        <w:ind w:left="720" w:hanging="360"/>
      </w:pPr>
      <w:rPr>
        <w:rFonts w:ascii="Arial" w:hAnsi="Arial" w:hint="default"/>
      </w:rPr>
    </w:lvl>
    <w:lvl w:ilvl="1" w:tplc="3BB4BC70" w:tentative="1">
      <w:start w:val="1"/>
      <w:numFmt w:val="bullet"/>
      <w:lvlText w:val="•"/>
      <w:lvlJc w:val="left"/>
      <w:pPr>
        <w:tabs>
          <w:tab w:val="num" w:pos="1440"/>
        </w:tabs>
        <w:ind w:left="1440" w:hanging="360"/>
      </w:pPr>
      <w:rPr>
        <w:rFonts w:ascii="Arial" w:hAnsi="Arial" w:hint="default"/>
      </w:rPr>
    </w:lvl>
    <w:lvl w:ilvl="2" w:tplc="B6182CCA" w:tentative="1">
      <w:start w:val="1"/>
      <w:numFmt w:val="bullet"/>
      <w:lvlText w:val="•"/>
      <w:lvlJc w:val="left"/>
      <w:pPr>
        <w:tabs>
          <w:tab w:val="num" w:pos="2160"/>
        </w:tabs>
        <w:ind w:left="2160" w:hanging="360"/>
      </w:pPr>
      <w:rPr>
        <w:rFonts w:ascii="Arial" w:hAnsi="Arial" w:hint="default"/>
      </w:rPr>
    </w:lvl>
    <w:lvl w:ilvl="3" w:tplc="CE065930" w:tentative="1">
      <w:start w:val="1"/>
      <w:numFmt w:val="bullet"/>
      <w:lvlText w:val="•"/>
      <w:lvlJc w:val="left"/>
      <w:pPr>
        <w:tabs>
          <w:tab w:val="num" w:pos="2880"/>
        </w:tabs>
        <w:ind w:left="2880" w:hanging="360"/>
      </w:pPr>
      <w:rPr>
        <w:rFonts w:ascii="Arial" w:hAnsi="Arial" w:hint="default"/>
      </w:rPr>
    </w:lvl>
    <w:lvl w:ilvl="4" w:tplc="F210F6F2" w:tentative="1">
      <w:start w:val="1"/>
      <w:numFmt w:val="bullet"/>
      <w:lvlText w:val="•"/>
      <w:lvlJc w:val="left"/>
      <w:pPr>
        <w:tabs>
          <w:tab w:val="num" w:pos="3600"/>
        </w:tabs>
        <w:ind w:left="3600" w:hanging="360"/>
      </w:pPr>
      <w:rPr>
        <w:rFonts w:ascii="Arial" w:hAnsi="Arial" w:hint="default"/>
      </w:rPr>
    </w:lvl>
    <w:lvl w:ilvl="5" w:tplc="39EC6296" w:tentative="1">
      <w:start w:val="1"/>
      <w:numFmt w:val="bullet"/>
      <w:lvlText w:val="•"/>
      <w:lvlJc w:val="left"/>
      <w:pPr>
        <w:tabs>
          <w:tab w:val="num" w:pos="4320"/>
        </w:tabs>
        <w:ind w:left="4320" w:hanging="360"/>
      </w:pPr>
      <w:rPr>
        <w:rFonts w:ascii="Arial" w:hAnsi="Arial" w:hint="default"/>
      </w:rPr>
    </w:lvl>
    <w:lvl w:ilvl="6" w:tplc="B2F627AE" w:tentative="1">
      <w:start w:val="1"/>
      <w:numFmt w:val="bullet"/>
      <w:lvlText w:val="•"/>
      <w:lvlJc w:val="left"/>
      <w:pPr>
        <w:tabs>
          <w:tab w:val="num" w:pos="5040"/>
        </w:tabs>
        <w:ind w:left="5040" w:hanging="360"/>
      </w:pPr>
      <w:rPr>
        <w:rFonts w:ascii="Arial" w:hAnsi="Arial" w:hint="default"/>
      </w:rPr>
    </w:lvl>
    <w:lvl w:ilvl="7" w:tplc="89922730" w:tentative="1">
      <w:start w:val="1"/>
      <w:numFmt w:val="bullet"/>
      <w:lvlText w:val="•"/>
      <w:lvlJc w:val="left"/>
      <w:pPr>
        <w:tabs>
          <w:tab w:val="num" w:pos="5760"/>
        </w:tabs>
        <w:ind w:left="5760" w:hanging="360"/>
      </w:pPr>
      <w:rPr>
        <w:rFonts w:ascii="Arial" w:hAnsi="Arial" w:hint="default"/>
      </w:rPr>
    </w:lvl>
    <w:lvl w:ilvl="8" w:tplc="D4FECD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BB51D6"/>
    <w:multiLevelType w:val="hybridMultilevel"/>
    <w:tmpl w:val="B0368F9C"/>
    <w:lvl w:ilvl="0" w:tplc="DBBA0F06">
      <w:start w:val="1"/>
      <w:numFmt w:val="bullet"/>
      <w:lvlText w:val="•"/>
      <w:lvlJc w:val="left"/>
      <w:pPr>
        <w:tabs>
          <w:tab w:val="num" w:pos="720"/>
        </w:tabs>
        <w:ind w:left="720" w:hanging="360"/>
      </w:pPr>
      <w:rPr>
        <w:rFonts w:ascii="Arial" w:hAnsi="Arial" w:hint="default"/>
      </w:rPr>
    </w:lvl>
    <w:lvl w:ilvl="1" w:tplc="C17E6F20" w:tentative="1">
      <w:start w:val="1"/>
      <w:numFmt w:val="bullet"/>
      <w:lvlText w:val="•"/>
      <w:lvlJc w:val="left"/>
      <w:pPr>
        <w:tabs>
          <w:tab w:val="num" w:pos="1440"/>
        </w:tabs>
        <w:ind w:left="1440" w:hanging="360"/>
      </w:pPr>
      <w:rPr>
        <w:rFonts w:ascii="Arial" w:hAnsi="Arial" w:hint="default"/>
      </w:rPr>
    </w:lvl>
    <w:lvl w:ilvl="2" w:tplc="A79EE30A" w:tentative="1">
      <w:start w:val="1"/>
      <w:numFmt w:val="bullet"/>
      <w:lvlText w:val="•"/>
      <w:lvlJc w:val="left"/>
      <w:pPr>
        <w:tabs>
          <w:tab w:val="num" w:pos="2160"/>
        </w:tabs>
        <w:ind w:left="2160" w:hanging="360"/>
      </w:pPr>
      <w:rPr>
        <w:rFonts w:ascii="Arial" w:hAnsi="Arial" w:hint="default"/>
      </w:rPr>
    </w:lvl>
    <w:lvl w:ilvl="3" w:tplc="98300536" w:tentative="1">
      <w:start w:val="1"/>
      <w:numFmt w:val="bullet"/>
      <w:lvlText w:val="•"/>
      <w:lvlJc w:val="left"/>
      <w:pPr>
        <w:tabs>
          <w:tab w:val="num" w:pos="2880"/>
        </w:tabs>
        <w:ind w:left="2880" w:hanging="360"/>
      </w:pPr>
      <w:rPr>
        <w:rFonts w:ascii="Arial" w:hAnsi="Arial" w:hint="default"/>
      </w:rPr>
    </w:lvl>
    <w:lvl w:ilvl="4" w:tplc="30DA92A4" w:tentative="1">
      <w:start w:val="1"/>
      <w:numFmt w:val="bullet"/>
      <w:lvlText w:val="•"/>
      <w:lvlJc w:val="left"/>
      <w:pPr>
        <w:tabs>
          <w:tab w:val="num" w:pos="3600"/>
        </w:tabs>
        <w:ind w:left="3600" w:hanging="360"/>
      </w:pPr>
      <w:rPr>
        <w:rFonts w:ascii="Arial" w:hAnsi="Arial" w:hint="default"/>
      </w:rPr>
    </w:lvl>
    <w:lvl w:ilvl="5" w:tplc="456EE334" w:tentative="1">
      <w:start w:val="1"/>
      <w:numFmt w:val="bullet"/>
      <w:lvlText w:val="•"/>
      <w:lvlJc w:val="left"/>
      <w:pPr>
        <w:tabs>
          <w:tab w:val="num" w:pos="4320"/>
        </w:tabs>
        <w:ind w:left="4320" w:hanging="360"/>
      </w:pPr>
      <w:rPr>
        <w:rFonts w:ascii="Arial" w:hAnsi="Arial" w:hint="default"/>
      </w:rPr>
    </w:lvl>
    <w:lvl w:ilvl="6" w:tplc="D00E4002" w:tentative="1">
      <w:start w:val="1"/>
      <w:numFmt w:val="bullet"/>
      <w:lvlText w:val="•"/>
      <w:lvlJc w:val="left"/>
      <w:pPr>
        <w:tabs>
          <w:tab w:val="num" w:pos="5040"/>
        </w:tabs>
        <w:ind w:left="5040" w:hanging="360"/>
      </w:pPr>
      <w:rPr>
        <w:rFonts w:ascii="Arial" w:hAnsi="Arial" w:hint="default"/>
      </w:rPr>
    </w:lvl>
    <w:lvl w:ilvl="7" w:tplc="EA66F15C" w:tentative="1">
      <w:start w:val="1"/>
      <w:numFmt w:val="bullet"/>
      <w:lvlText w:val="•"/>
      <w:lvlJc w:val="left"/>
      <w:pPr>
        <w:tabs>
          <w:tab w:val="num" w:pos="5760"/>
        </w:tabs>
        <w:ind w:left="5760" w:hanging="360"/>
      </w:pPr>
      <w:rPr>
        <w:rFonts w:ascii="Arial" w:hAnsi="Arial" w:hint="default"/>
      </w:rPr>
    </w:lvl>
    <w:lvl w:ilvl="8" w:tplc="033C93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A45FA"/>
    <w:multiLevelType w:val="hybridMultilevel"/>
    <w:tmpl w:val="7592EEAA"/>
    <w:lvl w:ilvl="0" w:tplc="8F32DE80">
      <w:start w:val="1"/>
      <w:numFmt w:val="bullet"/>
      <w:lvlText w:val="•"/>
      <w:lvlJc w:val="left"/>
      <w:pPr>
        <w:tabs>
          <w:tab w:val="num" w:pos="720"/>
        </w:tabs>
        <w:ind w:left="720" w:hanging="360"/>
      </w:pPr>
      <w:rPr>
        <w:rFonts w:ascii="Arial" w:hAnsi="Arial" w:hint="default"/>
      </w:rPr>
    </w:lvl>
    <w:lvl w:ilvl="1" w:tplc="92D2192E" w:tentative="1">
      <w:start w:val="1"/>
      <w:numFmt w:val="bullet"/>
      <w:lvlText w:val="•"/>
      <w:lvlJc w:val="left"/>
      <w:pPr>
        <w:tabs>
          <w:tab w:val="num" w:pos="1440"/>
        </w:tabs>
        <w:ind w:left="1440" w:hanging="360"/>
      </w:pPr>
      <w:rPr>
        <w:rFonts w:ascii="Arial" w:hAnsi="Arial" w:hint="default"/>
      </w:rPr>
    </w:lvl>
    <w:lvl w:ilvl="2" w:tplc="3800E062" w:tentative="1">
      <w:start w:val="1"/>
      <w:numFmt w:val="bullet"/>
      <w:lvlText w:val="•"/>
      <w:lvlJc w:val="left"/>
      <w:pPr>
        <w:tabs>
          <w:tab w:val="num" w:pos="2160"/>
        </w:tabs>
        <w:ind w:left="2160" w:hanging="360"/>
      </w:pPr>
      <w:rPr>
        <w:rFonts w:ascii="Arial" w:hAnsi="Arial" w:hint="default"/>
      </w:rPr>
    </w:lvl>
    <w:lvl w:ilvl="3" w:tplc="BC20C208" w:tentative="1">
      <w:start w:val="1"/>
      <w:numFmt w:val="bullet"/>
      <w:lvlText w:val="•"/>
      <w:lvlJc w:val="left"/>
      <w:pPr>
        <w:tabs>
          <w:tab w:val="num" w:pos="2880"/>
        </w:tabs>
        <w:ind w:left="2880" w:hanging="360"/>
      </w:pPr>
      <w:rPr>
        <w:rFonts w:ascii="Arial" w:hAnsi="Arial" w:hint="default"/>
      </w:rPr>
    </w:lvl>
    <w:lvl w:ilvl="4" w:tplc="6810C212" w:tentative="1">
      <w:start w:val="1"/>
      <w:numFmt w:val="bullet"/>
      <w:lvlText w:val="•"/>
      <w:lvlJc w:val="left"/>
      <w:pPr>
        <w:tabs>
          <w:tab w:val="num" w:pos="3600"/>
        </w:tabs>
        <w:ind w:left="3600" w:hanging="360"/>
      </w:pPr>
      <w:rPr>
        <w:rFonts w:ascii="Arial" w:hAnsi="Arial" w:hint="default"/>
      </w:rPr>
    </w:lvl>
    <w:lvl w:ilvl="5" w:tplc="BE320F3E" w:tentative="1">
      <w:start w:val="1"/>
      <w:numFmt w:val="bullet"/>
      <w:lvlText w:val="•"/>
      <w:lvlJc w:val="left"/>
      <w:pPr>
        <w:tabs>
          <w:tab w:val="num" w:pos="4320"/>
        </w:tabs>
        <w:ind w:left="4320" w:hanging="360"/>
      </w:pPr>
      <w:rPr>
        <w:rFonts w:ascii="Arial" w:hAnsi="Arial" w:hint="default"/>
      </w:rPr>
    </w:lvl>
    <w:lvl w:ilvl="6" w:tplc="2480BAC0" w:tentative="1">
      <w:start w:val="1"/>
      <w:numFmt w:val="bullet"/>
      <w:lvlText w:val="•"/>
      <w:lvlJc w:val="left"/>
      <w:pPr>
        <w:tabs>
          <w:tab w:val="num" w:pos="5040"/>
        </w:tabs>
        <w:ind w:left="5040" w:hanging="360"/>
      </w:pPr>
      <w:rPr>
        <w:rFonts w:ascii="Arial" w:hAnsi="Arial" w:hint="default"/>
      </w:rPr>
    </w:lvl>
    <w:lvl w:ilvl="7" w:tplc="D4A8EEBC" w:tentative="1">
      <w:start w:val="1"/>
      <w:numFmt w:val="bullet"/>
      <w:lvlText w:val="•"/>
      <w:lvlJc w:val="left"/>
      <w:pPr>
        <w:tabs>
          <w:tab w:val="num" w:pos="5760"/>
        </w:tabs>
        <w:ind w:left="5760" w:hanging="360"/>
      </w:pPr>
      <w:rPr>
        <w:rFonts w:ascii="Arial" w:hAnsi="Arial" w:hint="default"/>
      </w:rPr>
    </w:lvl>
    <w:lvl w:ilvl="8" w:tplc="37AAED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B716B1"/>
    <w:multiLevelType w:val="hybridMultilevel"/>
    <w:tmpl w:val="8CA87A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835633C"/>
    <w:multiLevelType w:val="hybridMultilevel"/>
    <w:tmpl w:val="7472A168"/>
    <w:lvl w:ilvl="0" w:tplc="B3C4F2C8">
      <w:start w:val="1"/>
      <w:numFmt w:val="bullet"/>
      <w:lvlText w:val="•"/>
      <w:lvlJc w:val="left"/>
      <w:pPr>
        <w:tabs>
          <w:tab w:val="num" w:pos="720"/>
        </w:tabs>
        <w:ind w:left="720" w:hanging="360"/>
      </w:pPr>
      <w:rPr>
        <w:rFonts w:ascii="Arial" w:hAnsi="Arial" w:hint="default"/>
      </w:rPr>
    </w:lvl>
    <w:lvl w:ilvl="1" w:tplc="91A014FA" w:tentative="1">
      <w:start w:val="1"/>
      <w:numFmt w:val="bullet"/>
      <w:lvlText w:val="•"/>
      <w:lvlJc w:val="left"/>
      <w:pPr>
        <w:tabs>
          <w:tab w:val="num" w:pos="1440"/>
        </w:tabs>
        <w:ind w:left="1440" w:hanging="360"/>
      </w:pPr>
      <w:rPr>
        <w:rFonts w:ascii="Arial" w:hAnsi="Arial" w:hint="default"/>
      </w:rPr>
    </w:lvl>
    <w:lvl w:ilvl="2" w:tplc="162AAB46" w:tentative="1">
      <w:start w:val="1"/>
      <w:numFmt w:val="bullet"/>
      <w:lvlText w:val="•"/>
      <w:lvlJc w:val="left"/>
      <w:pPr>
        <w:tabs>
          <w:tab w:val="num" w:pos="2160"/>
        </w:tabs>
        <w:ind w:left="2160" w:hanging="360"/>
      </w:pPr>
      <w:rPr>
        <w:rFonts w:ascii="Arial" w:hAnsi="Arial" w:hint="default"/>
      </w:rPr>
    </w:lvl>
    <w:lvl w:ilvl="3" w:tplc="19E6E43A" w:tentative="1">
      <w:start w:val="1"/>
      <w:numFmt w:val="bullet"/>
      <w:lvlText w:val="•"/>
      <w:lvlJc w:val="left"/>
      <w:pPr>
        <w:tabs>
          <w:tab w:val="num" w:pos="2880"/>
        </w:tabs>
        <w:ind w:left="2880" w:hanging="360"/>
      </w:pPr>
      <w:rPr>
        <w:rFonts w:ascii="Arial" w:hAnsi="Arial" w:hint="default"/>
      </w:rPr>
    </w:lvl>
    <w:lvl w:ilvl="4" w:tplc="429A8E06" w:tentative="1">
      <w:start w:val="1"/>
      <w:numFmt w:val="bullet"/>
      <w:lvlText w:val="•"/>
      <w:lvlJc w:val="left"/>
      <w:pPr>
        <w:tabs>
          <w:tab w:val="num" w:pos="3600"/>
        </w:tabs>
        <w:ind w:left="3600" w:hanging="360"/>
      </w:pPr>
      <w:rPr>
        <w:rFonts w:ascii="Arial" w:hAnsi="Arial" w:hint="default"/>
      </w:rPr>
    </w:lvl>
    <w:lvl w:ilvl="5" w:tplc="212CD804" w:tentative="1">
      <w:start w:val="1"/>
      <w:numFmt w:val="bullet"/>
      <w:lvlText w:val="•"/>
      <w:lvlJc w:val="left"/>
      <w:pPr>
        <w:tabs>
          <w:tab w:val="num" w:pos="4320"/>
        </w:tabs>
        <w:ind w:left="4320" w:hanging="360"/>
      </w:pPr>
      <w:rPr>
        <w:rFonts w:ascii="Arial" w:hAnsi="Arial" w:hint="default"/>
      </w:rPr>
    </w:lvl>
    <w:lvl w:ilvl="6" w:tplc="C79E9E7A" w:tentative="1">
      <w:start w:val="1"/>
      <w:numFmt w:val="bullet"/>
      <w:lvlText w:val="•"/>
      <w:lvlJc w:val="left"/>
      <w:pPr>
        <w:tabs>
          <w:tab w:val="num" w:pos="5040"/>
        </w:tabs>
        <w:ind w:left="5040" w:hanging="360"/>
      </w:pPr>
      <w:rPr>
        <w:rFonts w:ascii="Arial" w:hAnsi="Arial" w:hint="default"/>
      </w:rPr>
    </w:lvl>
    <w:lvl w:ilvl="7" w:tplc="53F07400" w:tentative="1">
      <w:start w:val="1"/>
      <w:numFmt w:val="bullet"/>
      <w:lvlText w:val="•"/>
      <w:lvlJc w:val="left"/>
      <w:pPr>
        <w:tabs>
          <w:tab w:val="num" w:pos="5760"/>
        </w:tabs>
        <w:ind w:left="5760" w:hanging="360"/>
      </w:pPr>
      <w:rPr>
        <w:rFonts w:ascii="Arial" w:hAnsi="Arial" w:hint="default"/>
      </w:rPr>
    </w:lvl>
    <w:lvl w:ilvl="8" w:tplc="8D4AF1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C129DD"/>
    <w:multiLevelType w:val="hybridMultilevel"/>
    <w:tmpl w:val="784A54B0"/>
    <w:lvl w:ilvl="0" w:tplc="5F7209A0">
      <w:start w:val="1"/>
      <w:numFmt w:val="bullet"/>
      <w:lvlText w:val="•"/>
      <w:lvlJc w:val="left"/>
      <w:pPr>
        <w:tabs>
          <w:tab w:val="num" w:pos="720"/>
        </w:tabs>
        <w:ind w:left="720" w:hanging="360"/>
      </w:pPr>
      <w:rPr>
        <w:rFonts w:ascii="Arial" w:hAnsi="Arial" w:hint="default"/>
      </w:rPr>
    </w:lvl>
    <w:lvl w:ilvl="1" w:tplc="81F06610" w:tentative="1">
      <w:start w:val="1"/>
      <w:numFmt w:val="bullet"/>
      <w:lvlText w:val="•"/>
      <w:lvlJc w:val="left"/>
      <w:pPr>
        <w:tabs>
          <w:tab w:val="num" w:pos="1440"/>
        </w:tabs>
        <w:ind w:left="1440" w:hanging="360"/>
      </w:pPr>
      <w:rPr>
        <w:rFonts w:ascii="Arial" w:hAnsi="Arial" w:hint="default"/>
      </w:rPr>
    </w:lvl>
    <w:lvl w:ilvl="2" w:tplc="E1D431F0" w:tentative="1">
      <w:start w:val="1"/>
      <w:numFmt w:val="bullet"/>
      <w:lvlText w:val="•"/>
      <w:lvlJc w:val="left"/>
      <w:pPr>
        <w:tabs>
          <w:tab w:val="num" w:pos="2160"/>
        </w:tabs>
        <w:ind w:left="2160" w:hanging="360"/>
      </w:pPr>
      <w:rPr>
        <w:rFonts w:ascii="Arial" w:hAnsi="Arial" w:hint="default"/>
      </w:rPr>
    </w:lvl>
    <w:lvl w:ilvl="3" w:tplc="4AC25938" w:tentative="1">
      <w:start w:val="1"/>
      <w:numFmt w:val="bullet"/>
      <w:lvlText w:val="•"/>
      <w:lvlJc w:val="left"/>
      <w:pPr>
        <w:tabs>
          <w:tab w:val="num" w:pos="2880"/>
        </w:tabs>
        <w:ind w:left="2880" w:hanging="360"/>
      </w:pPr>
      <w:rPr>
        <w:rFonts w:ascii="Arial" w:hAnsi="Arial" w:hint="default"/>
      </w:rPr>
    </w:lvl>
    <w:lvl w:ilvl="4" w:tplc="1A8CE256" w:tentative="1">
      <w:start w:val="1"/>
      <w:numFmt w:val="bullet"/>
      <w:lvlText w:val="•"/>
      <w:lvlJc w:val="left"/>
      <w:pPr>
        <w:tabs>
          <w:tab w:val="num" w:pos="3600"/>
        </w:tabs>
        <w:ind w:left="3600" w:hanging="360"/>
      </w:pPr>
      <w:rPr>
        <w:rFonts w:ascii="Arial" w:hAnsi="Arial" w:hint="default"/>
      </w:rPr>
    </w:lvl>
    <w:lvl w:ilvl="5" w:tplc="9C84FE46" w:tentative="1">
      <w:start w:val="1"/>
      <w:numFmt w:val="bullet"/>
      <w:lvlText w:val="•"/>
      <w:lvlJc w:val="left"/>
      <w:pPr>
        <w:tabs>
          <w:tab w:val="num" w:pos="4320"/>
        </w:tabs>
        <w:ind w:left="4320" w:hanging="360"/>
      </w:pPr>
      <w:rPr>
        <w:rFonts w:ascii="Arial" w:hAnsi="Arial" w:hint="default"/>
      </w:rPr>
    </w:lvl>
    <w:lvl w:ilvl="6" w:tplc="75C6C9B4" w:tentative="1">
      <w:start w:val="1"/>
      <w:numFmt w:val="bullet"/>
      <w:lvlText w:val="•"/>
      <w:lvlJc w:val="left"/>
      <w:pPr>
        <w:tabs>
          <w:tab w:val="num" w:pos="5040"/>
        </w:tabs>
        <w:ind w:left="5040" w:hanging="360"/>
      </w:pPr>
      <w:rPr>
        <w:rFonts w:ascii="Arial" w:hAnsi="Arial" w:hint="default"/>
      </w:rPr>
    </w:lvl>
    <w:lvl w:ilvl="7" w:tplc="8E9A3102" w:tentative="1">
      <w:start w:val="1"/>
      <w:numFmt w:val="bullet"/>
      <w:lvlText w:val="•"/>
      <w:lvlJc w:val="left"/>
      <w:pPr>
        <w:tabs>
          <w:tab w:val="num" w:pos="5760"/>
        </w:tabs>
        <w:ind w:left="5760" w:hanging="360"/>
      </w:pPr>
      <w:rPr>
        <w:rFonts w:ascii="Arial" w:hAnsi="Arial" w:hint="default"/>
      </w:rPr>
    </w:lvl>
    <w:lvl w:ilvl="8" w:tplc="65D056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EE5B68"/>
    <w:multiLevelType w:val="hybridMultilevel"/>
    <w:tmpl w:val="01F6714C"/>
    <w:lvl w:ilvl="0" w:tplc="D26276A8">
      <w:start w:val="1"/>
      <w:numFmt w:val="bullet"/>
      <w:lvlText w:val="o"/>
      <w:lvlJc w:val="left"/>
      <w:pPr>
        <w:tabs>
          <w:tab w:val="num" w:pos="720"/>
        </w:tabs>
        <w:ind w:left="720" w:hanging="360"/>
      </w:pPr>
      <w:rPr>
        <w:rFonts w:ascii="Courier New" w:hAnsi="Courier New" w:hint="default"/>
      </w:rPr>
    </w:lvl>
    <w:lvl w:ilvl="1" w:tplc="70E6A486" w:tentative="1">
      <w:start w:val="1"/>
      <w:numFmt w:val="bullet"/>
      <w:lvlText w:val="o"/>
      <w:lvlJc w:val="left"/>
      <w:pPr>
        <w:tabs>
          <w:tab w:val="num" w:pos="1440"/>
        </w:tabs>
        <w:ind w:left="1440" w:hanging="360"/>
      </w:pPr>
      <w:rPr>
        <w:rFonts w:ascii="Courier New" w:hAnsi="Courier New" w:hint="default"/>
      </w:rPr>
    </w:lvl>
    <w:lvl w:ilvl="2" w:tplc="413AAC0A" w:tentative="1">
      <w:start w:val="1"/>
      <w:numFmt w:val="bullet"/>
      <w:lvlText w:val="o"/>
      <w:lvlJc w:val="left"/>
      <w:pPr>
        <w:tabs>
          <w:tab w:val="num" w:pos="2160"/>
        </w:tabs>
        <w:ind w:left="2160" w:hanging="360"/>
      </w:pPr>
      <w:rPr>
        <w:rFonts w:ascii="Courier New" w:hAnsi="Courier New" w:hint="default"/>
      </w:rPr>
    </w:lvl>
    <w:lvl w:ilvl="3" w:tplc="8DB60E90" w:tentative="1">
      <w:start w:val="1"/>
      <w:numFmt w:val="bullet"/>
      <w:lvlText w:val="o"/>
      <w:lvlJc w:val="left"/>
      <w:pPr>
        <w:tabs>
          <w:tab w:val="num" w:pos="2880"/>
        </w:tabs>
        <w:ind w:left="2880" w:hanging="360"/>
      </w:pPr>
      <w:rPr>
        <w:rFonts w:ascii="Courier New" w:hAnsi="Courier New" w:hint="default"/>
      </w:rPr>
    </w:lvl>
    <w:lvl w:ilvl="4" w:tplc="2A12588C" w:tentative="1">
      <w:start w:val="1"/>
      <w:numFmt w:val="bullet"/>
      <w:lvlText w:val="o"/>
      <w:lvlJc w:val="left"/>
      <w:pPr>
        <w:tabs>
          <w:tab w:val="num" w:pos="3600"/>
        </w:tabs>
        <w:ind w:left="3600" w:hanging="360"/>
      </w:pPr>
      <w:rPr>
        <w:rFonts w:ascii="Courier New" w:hAnsi="Courier New" w:hint="default"/>
      </w:rPr>
    </w:lvl>
    <w:lvl w:ilvl="5" w:tplc="80E658B4" w:tentative="1">
      <w:start w:val="1"/>
      <w:numFmt w:val="bullet"/>
      <w:lvlText w:val="o"/>
      <w:lvlJc w:val="left"/>
      <w:pPr>
        <w:tabs>
          <w:tab w:val="num" w:pos="4320"/>
        </w:tabs>
        <w:ind w:left="4320" w:hanging="360"/>
      </w:pPr>
      <w:rPr>
        <w:rFonts w:ascii="Courier New" w:hAnsi="Courier New" w:hint="default"/>
      </w:rPr>
    </w:lvl>
    <w:lvl w:ilvl="6" w:tplc="68060EA0" w:tentative="1">
      <w:start w:val="1"/>
      <w:numFmt w:val="bullet"/>
      <w:lvlText w:val="o"/>
      <w:lvlJc w:val="left"/>
      <w:pPr>
        <w:tabs>
          <w:tab w:val="num" w:pos="5040"/>
        </w:tabs>
        <w:ind w:left="5040" w:hanging="360"/>
      </w:pPr>
      <w:rPr>
        <w:rFonts w:ascii="Courier New" w:hAnsi="Courier New" w:hint="default"/>
      </w:rPr>
    </w:lvl>
    <w:lvl w:ilvl="7" w:tplc="7B1429BE" w:tentative="1">
      <w:start w:val="1"/>
      <w:numFmt w:val="bullet"/>
      <w:lvlText w:val="o"/>
      <w:lvlJc w:val="left"/>
      <w:pPr>
        <w:tabs>
          <w:tab w:val="num" w:pos="5760"/>
        </w:tabs>
        <w:ind w:left="5760" w:hanging="360"/>
      </w:pPr>
      <w:rPr>
        <w:rFonts w:ascii="Courier New" w:hAnsi="Courier New" w:hint="default"/>
      </w:rPr>
    </w:lvl>
    <w:lvl w:ilvl="8" w:tplc="A2FE986C"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1CF173C8"/>
    <w:multiLevelType w:val="hybridMultilevel"/>
    <w:tmpl w:val="FFC0196C"/>
    <w:lvl w:ilvl="0" w:tplc="C7D83DDA">
      <w:start w:val="1"/>
      <w:numFmt w:val="bullet"/>
      <w:lvlText w:val="•"/>
      <w:lvlJc w:val="left"/>
      <w:pPr>
        <w:tabs>
          <w:tab w:val="num" w:pos="720"/>
        </w:tabs>
        <w:ind w:left="720" w:hanging="360"/>
      </w:pPr>
      <w:rPr>
        <w:rFonts w:ascii="Arial" w:hAnsi="Arial" w:hint="default"/>
      </w:rPr>
    </w:lvl>
    <w:lvl w:ilvl="1" w:tplc="4EC2BC36" w:tentative="1">
      <w:start w:val="1"/>
      <w:numFmt w:val="bullet"/>
      <w:lvlText w:val="•"/>
      <w:lvlJc w:val="left"/>
      <w:pPr>
        <w:tabs>
          <w:tab w:val="num" w:pos="1440"/>
        </w:tabs>
        <w:ind w:left="1440" w:hanging="360"/>
      </w:pPr>
      <w:rPr>
        <w:rFonts w:ascii="Arial" w:hAnsi="Arial" w:hint="default"/>
      </w:rPr>
    </w:lvl>
    <w:lvl w:ilvl="2" w:tplc="D708C9B0" w:tentative="1">
      <w:start w:val="1"/>
      <w:numFmt w:val="bullet"/>
      <w:lvlText w:val="•"/>
      <w:lvlJc w:val="left"/>
      <w:pPr>
        <w:tabs>
          <w:tab w:val="num" w:pos="2160"/>
        </w:tabs>
        <w:ind w:left="2160" w:hanging="360"/>
      </w:pPr>
      <w:rPr>
        <w:rFonts w:ascii="Arial" w:hAnsi="Arial" w:hint="default"/>
      </w:rPr>
    </w:lvl>
    <w:lvl w:ilvl="3" w:tplc="E2B24780" w:tentative="1">
      <w:start w:val="1"/>
      <w:numFmt w:val="bullet"/>
      <w:lvlText w:val="•"/>
      <w:lvlJc w:val="left"/>
      <w:pPr>
        <w:tabs>
          <w:tab w:val="num" w:pos="2880"/>
        </w:tabs>
        <w:ind w:left="2880" w:hanging="360"/>
      </w:pPr>
      <w:rPr>
        <w:rFonts w:ascii="Arial" w:hAnsi="Arial" w:hint="default"/>
      </w:rPr>
    </w:lvl>
    <w:lvl w:ilvl="4" w:tplc="842E7F2A" w:tentative="1">
      <w:start w:val="1"/>
      <w:numFmt w:val="bullet"/>
      <w:lvlText w:val="•"/>
      <w:lvlJc w:val="left"/>
      <w:pPr>
        <w:tabs>
          <w:tab w:val="num" w:pos="3600"/>
        </w:tabs>
        <w:ind w:left="3600" w:hanging="360"/>
      </w:pPr>
      <w:rPr>
        <w:rFonts w:ascii="Arial" w:hAnsi="Arial" w:hint="default"/>
      </w:rPr>
    </w:lvl>
    <w:lvl w:ilvl="5" w:tplc="EE026F26" w:tentative="1">
      <w:start w:val="1"/>
      <w:numFmt w:val="bullet"/>
      <w:lvlText w:val="•"/>
      <w:lvlJc w:val="left"/>
      <w:pPr>
        <w:tabs>
          <w:tab w:val="num" w:pos="4320"/>
        </w:tabs>
        <w:ind w:left="4320" w:hanging="360"/>
      </w:pPr>
      <w:rPr>
        <w:rFonts w:ascii="Arial" w:hAnsi="Arial" w:hint="default"/>
      </w:rPr>
    </w:lvl>
    <w:lvl w:ilvl="6" w:tplc="9A4849F6" w:tentative="1">
      <w:start w:val="1"/>
      <w:numFmt w:val="bullet"/>
      <w:lvlText w:val="•"/>
      <w:lvlJc w:val="left"/>
      <w:pPr>
        <w:tabs>
          <w:tab w:val="num" w:pos="5040"/>
        </w:tabs>
        <w:ind w:left="5040" w:hanging="360"/>
      </w:pPr>
      <w:rPr>
        <w:rFonts w:ascii="Arial" w:hAnsi="Arial" w:hint="default"/>
      </w:rPr>
    </w:lvl>
    <w:lvl w:ilvl="7" w:tplc="CD549444" w:tentative="1">
      <w:start w:val="1"/>
      <w:numFmt w:val="bullet"/>
      <w:lvlText w:val="•"/>
      <w:lvlJc w:val="left"/>
      <w:pPr>
        <w:tabs>
          <w:tab w:val="num" w:pos="5760"/>
        </w:tabs>
        <w:ind w:left="5760" w:hanging="360"/>
      </w:pPr>
      <w:rPr>
        <w:rFonts w:ascii="Arial" w:hAnsi="Arial" w:hint="default"/>
      </w:rPr>
    </w:lvl>
    <w:lvl w:ilvl="8" w:tplc="9E9653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4F6C69"/>
    <w:multiLevelType w:val="hybridMultilevel"/>
    <w:tmpl w:val="A6B4E190"/>
    <w:lvl w:ilvl="0" w:tplc="F01E43A0">
      <w:start w:val="1"/>
      <w:numFmt w:val="bullet"/>
      <w:lvlText w:val="•"/>
      <w:lvlJc w:val="left"/>
      <w:pPr>
        <w:tabs>
          <w:tab w:val="num" w:pos="720"/>
        </w:tabs>
        <w:ind w:left="720" w:hanging="360"/>
      </w:pPr>
      <w:rPr>
        <w:rFonts w:ascii="Arial" w:hAnsi="Arial" w:hint="default"/>
      </w:rPr>
    </w:lvl>
    <w:lvl w:ilvl="1" w:tplc="B2F28D72" w:tentative="1">
      <w:start w:val="1"/>
      <w:numFmt w:val="bullet"/>
      <w:lvlText w:val="•"/>
      <w:lvlJc w:val="left"/>
      <w:pPr>
        <w:tabs>
          <w:tab w:val="num" w:pos="1440"/>
        </w:tabs>
        <w:ind w:left="1440" w:hanging="360"/>
      </w:pPr>
      <w:rPr>
        <w:rFonts w:ascii="Arial" w:hAnsi="Arial" w:hint="default"/>
      </w:rPr>
    </w:lvl>
    <w:lvl w:ilvl="2" w:tplc="D6B21A28" w:tentative="1">
      <w:start w:val="1"/>
      <w:numFmt w:val="bullet"/>
      <w:lvlText w:val="•"/>
      <w:lvlJc w:val="left"/>
      <w:pPr>
        <w:tabs>
          <w:tab w:val="num" w:pos="2160"/>
        </w:tabs>
        <w:ind w:left="2160" w:hanging="360"/>
      </w:pPr>
      <w:rPr>
        <w:rFonts w:ascii="Arial" w:hAnsi="Arial" w:hint="default"/>
      </w:rPr>
    </w:lvl>
    <w:lvl w:ilvl="3" w:tplc="C458FE1E" w:tentative="1">
      <w:start w:val="1"/>
      <w:numFmt w:val="bullet"/>
      <w:lvlText w:val="•"/>
      <w:lvlJc w:val="left"/>
      <w:pPr>
        <w:tabs>
          <w:tab w:val="num" w:pos="2880"/>
        </w:tabs>
        <w:ind w:left="2880" w:hanging="360"/>
      </w:pPr>
      <w:rPr>
        <w:rFonts w:ascii="Arial" w:hAnsi="Arial" w:hint="default"/>
      </w:rPr>
    </w:lvl>
    <w:lvl w:ilvl="4" w:tplc="668EC318" w:tentative="1">
      <w:start w:val="1"/>
      <w:numFmt w:val="bullet"/>
      <w:lvlText w:val="•"/>
      <w:lvlJc w:val="left"/>
      <w:pPr>
        <w:tabs>
          <w:tab w:val="num" w:pos="3600"/>
        </w:tabs>
        <w:ind w:left="3600" w:hanging="360"/>
      </w:pPr>
      <w:rPr>
        <w:rFonts w:ascii="Arial" w:hAnsi="Arial" w:hint="default"/>
      </w:rPr>
    </w:lvl>
    <w:lvl w:ilvl="5" w:tplc="0C8E1686" w:tentative="1">
      <w:start w:val="1"/>
      <w:numFmt w:val="bullet"/>
      <w:lvlText w:val="•"/>
      <w:lvlJc w:val="left"/>
      <w:pPr>
        <w:tabs>
          <w:tab w:val="num" w:pos="4320"/>
        </w:tabs>
        <w:ind w:left="4320" w:hanging="360"/>
      </w:pPr>
      <w:rPr>
        <w:rFonts w:ascii="Arial" w:hAnsi="Arial" w:hint="default"/>
      </w:rPr>
    </w:lvl>
    <w:lvl w:ilvl="6" w:tplc="5E543030" w:tentative="1">
      <w:start w:val="1"/>
      <w:numFmt w:val="bullet"/>
      <w:lvlText w:val="•"/>
      <w:lvlJc w:val="left"/>
      <w:pPr>
        <w:tabs>
          <w:tab w:val="num" w:pos="5040"/>
        </w:tabs>
        <w:ind w:left="5040" w:hanging="360"/>
      </w:pPr>
      <w:rPr>
        <w:rFonts w:ascii="Arial" w:hAnsi="Arial" w:hint="default"/>
      </w:rPr>
    </w:lvl>
    <w:lvl w:ilvl="7" w:tplc="025279AA" w:tentative="1">
      <w:start w:val="1"/>
      <w:numFmt w:val="bullet"/>
      <w:lvlText w:val="•"/>
      <w:lvlJc w:val="left"/>
      <w:pPr>
        <w:tabs>
          <w:tab w:val="num" w:pos="5760"/>
        </w:tabs>
        <w:ind w:left="5760" w:hanging="360"/>
      </w:pPr>
      <w:rPr>
        <w:rFonts w:ascii="Arial" w:hAnsi="Arial" w:hint="default"/>
      </w:rPr>
    </w:lvl>
    <w:lvl w:ilvl="8" w:tplc="F1CA5B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9209B6"/>
    <w:multiLevelType w:val="hybridMultilevel"/>
    <w:tmpl w:val="8B968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B6925F5"/>
    <w:multiLevelType w:val="hybridMultilevel"/>
    <w:tmpl w:val="B33812DA"/>
    <w:lvl w:ilvl="0" w:tplc="B178C0C2">
      <w:start w:val="1"/>
      <w:numFmt w:val="bullet"/>
      <w:lvlText w:val="•"/>
      <w:lvlJc w:val="left"/>
      <w:pPr>
        <w:tabs>
          <w:tab w:val="num" w:pos="720"/>
        </w:tabs>
        <w:ind w:left="720" w:hanging="360"/>
      </w:pPr>
      <w:rPr>
        <w:rFonts w:ascii="Arial" w:hAnsi="Arial" w:hint="default"/>
      </w:rPr>
    </w:lvl>
    <w:lvl w:ilvl="1" w:tplc="8DD0D238" w:tentative="1">
      <w:start w:val="1"/>
      <w:numFmt w:val="bullet"/>
      <w:lvlText w:val="•"/>
      <w:lvlJc w:val="left"/>
      <w:pPr>
        <w:tabs>
          <w:tab w:val="num" w:pos="1440"/>
        </w:tabs>
        <w:ind w:left="1440" w:hanging="360"/>
      </w:pPr>
      <w:rPr>
        <w:rFonts w:ascii="Arial" w:hAnsi="Arial" w:hint="default"/>
      </w:rPr>
    </w:lvl>
    <w:lvl w:ilvl="2" w:tplc="56AC56A0" w:tentative="1">
      <w:start w:val="1"/>
      <w:numFmt w:val="bullet"/>
      <w:lvlText w:val="•"/>
      <w:lvlJc w:val="left"/>
      <w:pPr>
        <w:tabs>
          <w:tab w:val="num" w:pos="2160"/>
        </w:tabs>
        <w:ind w:left="2160" w:hanging="360"/>
      </w:pPr>
      <w:rPr>
        <w:rFonts w:ascii="Arial" w:hAnsi="Arial" w:hint="default"/>
      </w:rPr>
    </w:lvl>
    <w:lvl w:ilvl="3" w:tplc="CAA00A10" w:tentative="1">
      <w:start w:val="1"/>
      <w:numFmt w:val="bullet"/>
      <w:lvlText w:val="•"/>
      <w:lvlJc w:val="left"/>
      <w:pPr>
        <w:tabs>
          <w:tab w:val="num" w:pos="2880"/>
        </w:tabs>
        <w:ind w:left="2880" w:hanging="360"/>
      </w:pPr>
      <w:rPr>
        <w:rFonts w:ascii="Arial" w:hAnsi="Arial" w:hint="default"/>
      </w:rPr>
    </w:lvl>
    <w:lvl w:ilvl="4" w:tplc="5680C0B6" w:tentative="1">
      <w:start w:val="1"/>
      <w:numFmt w:val="bullet"/>
      <w:lvlText w:val="•"/>
      <w:lvlJc w:val="left"/>
      <w:pPr>
        <w:tabs>
          <w:tab w:val="num" w:pos="3600"/>
        </w:tabs>
        <w:ind w:left="3600" w:hanging="360"/>
      </w:pPr>
      <w:rPr>
        <w:rFonts w:ascii="Arial" w:hAnsi="Arial" w:hint="default"/>
      </w:rPr>
    </w:lvl>
    <w:lvl w:ilvl="5" w:tplc="C0CCC33C" w:tentative="1">
      <w:start w:val="1"/>
      <w:numFmt w:val="bullet"/>
      <w:lvlText w:val="•"/>
      <w:lvlJc w:val="left"/>
      <w:pPr>
        <w:tabs>
          <w:tab w:val="num" w:pos="4320"/>
        </w:tabs>
        <w:ind w:left="4320" w:hanging="360"/>
      </w:pPr>
      <w:rPr>
        <w:rFonts w:ascii="Arial" w:hAnsi="Arial" w:hint="default"/>
      </w:rPr>
    </w:lvl>
    <w:lvl w:ilvl="6" w:tplc="75E0A382" w:tentative="1">
      <w:start w:val="1"/>
      <w:numFmt w:val="bullet"/>
      <w:lvlText w:val="•"/>
      <w:lvlJc w:val="left"/>
      <w:pPr>
        <w:tabs>
          <w:tab w:val="num" w:pos="5040"/>
        </w:tabs>
        <w:ind w:left="5040" w:hanging="360"/>
      </w:pPr>
      <w:rPr>
        <w:rFonts w:ascii="Arial" w:hAnsi="Arial" w:hint="default"/>
      </w:rPr>
    </w:lvl>
    <w:lvl w:ilvl="7" w:tplc="5C409F96" w:tentative="1">
      <w:start w:val="1"/>
      <w:numFmt w:val="bullet"/>
      <w:lvlText w:val="•"/>
      <w:lvlJc w:val="left"/>
      <w:pPr>
        <w:tabs>
          <w:tab w:val="num" w:pos="5760"/>
        </w:tabs>
        <w:ind w:left="5760" w:hanging="360"/>
      </w:pPr>
      <w:rPr>
        <w:rFonts w:ascii="Arial" w:hAnsi="Arial" w:hint="default"/>
      </w:rPr>
    </w:lvl>
    <w:lvl w:ilvl="8" w:tplc="ACB411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180955"/>
    <w:multiLevelType w:val="hybridMultilevel"/>
    <w:tmpl w:val="641AC7A0"/>
    <w:lvl w:ilvl="0" w:tplc="E886EB9C">
      <w:start w:val="1"/>
      <w:numFmt w:val="bullet"/>
      <w:lvlText w:val="•"/>
      <w:lvlJc w:val="left"/>
      <w:pPr>
        <w:tabs>
          <w:tab w:val="num" w:pos="720"/>
        </w:tabs>
        <w:ind w:left="720" w:hanging="360"/>
      </w:pPr>
      <w:rPr>
        <w:rFonts w:ascii="Arial" w:hAnsi="Arial" w:hint="default"/>
      </w:rPr>
    </w:lvl>
    <w:lvl w:ilvl="1" w:tplc="3DE4DA6C" w:tentative="1">
      <w:start w:val="1"/>
      <w:numFmt w:val="bullet"/>
      <w:lvlText w:val="•"/>
      <w:lvlJc w:val="left"/>
      <w:pPr>
        <w:tabs>
          <w:tab w:val="num" w:pos="1440"/>
        </w:tabs>
        <w:ind w:left="1440" w:hanging="360"/>
      </w:pPr>
      <w:rPr>
        <w:rFonts w:ascii="Arial" w:hAnsi="Arial" w:hint="default"/>
      </w:rPr>
    </w:lvl>
    <w:lvl w:ilvl="2" w:tplc="151E977A" w:tentative="1">
      <w:start w:val="1"/>
      <w:numFmt w:val="bullet"/>
      <w:lvlText w:val="•"/>
      <w:lvlJc w:val="left"/>
      <w:pPr>
        <w:tabs>
          <w:tab w:val="num" w:pos="2160"/>
        </w:tabs>
        <w:ind w:left="2160" w:hanging="360"/>
      </w:pPr>
      <w:rPr>
        <w:rFonts w:ascii="Arial" w:hAnsi="Arial" w:hint="default"/>
      </w:rPr>
    </w:lvl>
    <w:lvl w:ilvl="3" w:tplc="B89CDA88" w:tentative="1">
      <w:start w:val="1"/>
      <w:numFmt w:val="bullet"/>
      <w:lvlText w:val="•"/>
      <w:lvlJc w:val="left"/>
      <w:pPr>
        <w:tabs>
          <w:tab w:val="num" w:pos="2880"/>
        </w:tabs>
        <w:ind w:left="2880" w:hanging="360"/>
      </w:pPr>
      <w:rPr>
        <w:rFonts w:ascii="Arial" w:hAnsi="Arial" w:hint="default"/>
      </w:rPr>
    </w:lvl>
    <w:lvl w:ilvl="4" w:tplc="5294843E" w:tentative="1">
      <w:start w:val="1"/>
      <w:numFmt w:val="bullet"/>
      <w:lvlText w:val="•"/>
      <w:lvlJc w:val="left"/>
      <w:pPr>
        <w:tabs>
          <w:tab w:val="num" w:pos="3600"/>
        </w:tabs>
        <w:ind w:left="3600" w:hanging="360"/>
      </w:pPr>
      <w:rPr>
        <w:rFonts w:ascii="Arial" w:hAnsi="Arial" w:hint="default"/>
      </w:rPr>
    </w:lvl>
    <w:lvl w:ilvl="5" w:tplc="BE08D720" w:tentative="1">
      <w:start w:val="1"/>
      <w:numFmt w:val="bullet"/>
      <w:lvlText w:val="•"/>
      <w:lvlJc w:val="left"/>
      <w:pPr>
        <w:tabs>
          <w:tab w:val="num" w:pos="4320"/>
        </w:tabs>
        <w:ind w:left="4320" w:hanging="360"/>
      </w:pPr>
      <w:rPr>
        <w:rFonts w:ascii="Arial" w:hAnsi="Arial" w:hint="default"/>
      </w:rPr>
    </w:lvl>
    <w:lvl w:ilvl="6" w:tplc="8B78263A" w:tentative="1">
      <w:start w:val="1"/>
      <w:numFmt w:val="bullet"/>
      <w:lvlText w:val="•"/>
      <w:lvlJc w:val="left"/>
      <w:pPr>
        <w:tabs>
          <w:tab w:val="num" w:pos="5040"/>
        </w:tabs>
        <w:ind w:left="5040" w:hanging="360"/>
      </w:pPr>
      <w:rPr>
        <w:rFonts w:ascii="Arial" w:hAnsi="Arial" w:hint="default"/>
      </w:rPr>
    </w:lvl>
    <w:lvl w:ilvl="7" w:tplc="D0CE2108" w:tentative="1">
      <w:start w:val="1"/>
      <w:numFmt w:val="bullet"/>
      <w:lvlText w:val="•"/>
      <w:lvlJc w:val="left"/>
      <w:pPr>
        <w:tabs>
          <w:tab w:val="num" w:pos="5760"/>
        </w:tabs>
        <w:ind w:left="5760" w:hanging="360"/>
      </w:pPr>
      <w:rPr>
        <w:rFonts w:ascii="Arial" w:hAnsi="Arial" w:hint="default"/>
      </w:rPr>
    </w:lvl>
    <w:lvl w:ilvl="8" w:tplc="BA748A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F3347"/>
    <w:multiLevelType w:val="hybridMultilevel"/>
    <w:tmpl w:val="BC7A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C16F5"/>
    <w:multiLevelType w:val="hybridMultilevel"/>
    <w:tmpl w:val="DD0C96AE"/>
    <w:lvl w:ilvl="0" w:tplc="3344480E">
      <w:start w:val="1"/>
      <w:numFmt w:val="bullet"/>
      <w:lvlText w:val="•"/>
      <w:lvlJc w:val="left"/>
      <w:pPr>
        <w:tabs>
          <w:tab w:val="num" w:pos="720"/>
        </w:tabs>
        <w:ind w:left="720" w:hanging="360"/>
      </w:pPr>
      <w:rPr>
        <w:rFonts w:ascii="Arial" w:hAnsi="Arial" w:hint="default"/>
      </w:rPr>
    </w:lvl>
    <w:lvl w:ilvl="1" w:tplc="B2F865E0" w:tentative="1">
      <w:start w:val="1"/>
      <w:numFmt w:val="bullet"/>
      <w:lvlText w:val="•"/>
      <w:lvlJc w:val="left"/>
      <w:pPr>
        <w:tabs>
          <w:tab w:val="num" w:pos="1440"/>
        </w:tabs>
        <w:ind w:left="1440" w:hanging="360"/>
      </w:pPr>
      <w:rPr>
        <w:rFonts w:ascii="Arial" w:hAnsi="Arial" w:hint="default"/>
      </w:rPr>
    </w:lvl>
    <w:lvl w:ilvl="2" w:tplc="C3FA08FA" w:tentative="1">
      <w:start w:val="1"/>
      <w:numFmt w:val="bullet"/>
      <w:lvlText w:val="•"/>
      <w:lvlJc w:val="left"/>
      <w:pPr>
        <w:tabs>
          <w:tab w:val="num" w:pos="2160"/>
        </w:tabs>
        <w:ind w:left="2160" w:hanging="360"/>
      </w:pPr>
      <w:rPr>
        <w:rFonts w:ascii="Arial" w:hAnsi="Arial" w:hint="default"/>
      </w:rPr>
    </w:lvl>
    <w:lvl w:ilvl="3" w:tplc="9CAAB31C" w:tentative="1">
      <w:start w:val="1"/>
      <w:numFmt w:val="bullet"/>
      <w:lvlText w:val="•"/>
      <w:lvlJc w:val="left"/>
      <w:pPr>
        <w:tabs>
          <w:tab w:val="num" w:pos="2880"/>
        </w:tabs>
        <w:ind w:left="2880" w:hanging="360"/>
      </w:pPr>
      <w:rPr>
        <w:rFonts w:ascii="Arial" w:hAnsi="Arial" w:hint="default"/>
      </w:rPr>
    </w:lvl>
    <w:lvl w:ilvl="4" w:tplc="DDA46640" w:tentative="1">
      <w:start w:val="1"/>
      <w:numFmt w:val="bullet"/>
      <w:lvlText w:val="•"/>
      <w:lvlJc w:val="left"/>
      <w:pPr>
        <w:tabs>
          <w:tab w:val="num" w:pos="3600"/>
        </w:tabs>
        <w:ind w:left="3600" w:hanging="360"/>
      </w:pPr>
      <w:rPr>
        <w:rFonts w:ascii="Arial" w:hAnsi="Arial" w:hint="default"/>
      </w:rPr>
    </w:lvl>
    <w:lvl w:ilvl="5" w:tplc="09288BBE" w:tentative="1">
      <w:start w:val="1"/>
      <w:numFmt w:val="bullet"/>
      <w:lvlText w:val="•"/>
      <w:lvlJc w:val="left"/>
      <w:pPr>
        <w:tabs>
          <w:tab w:val="num" w:pos="4320"/>
        </w:tabs>
        <w:ind w:left="4320" w:hanging="360"/>
      </w:pPr>
      <w:rPr>
        <w:rFonts w:ascii="Arial" w:hAnsi="Arial" w:hint="default"/>
      </w:rPr>
    </w:lvl>
    <w:lvl w:ilvl="6" w:tplc="89CA7F48" w:tentative="1">
      <w:start w:val="1"/>
      <w:numFmt w:val="bullet"/>
      <w:lvlText w:val="•"/>
      <w:lvlJc w:val="left"/>
      <w:pPr>
        <w:tabs>
          <w:tab w:val="num" w:pos="5040"/>
        </w:tabs>
        <w:ind w:left="5040" w:hanging="360"/>
      </w:pPr>
      <w:rPr>
        <w:rFonts w:ascii="Arial" w:hAnsi="Arial" w:hint="default"/>
      </w:rPr>
    </w:lvl>
    <w:lvl w:ilvl="7" w:tplc="8A9A9B0C" w:tentative="1">
      <w:start w:val="1"/>
      <w:numFmt w:val="bullet"/>
      <w:lvlText w:val="•"/>
      <w:lvlJc w:val="left"/>
      <w:pPr>
        <w:tabs>
          <w:tab w:val="num" w:pos="5760"/>
        </w:tabs>
        <w:ind w:left="5760" w:hanging="360"/>
      </w:pPr>
      <w:rPr>
        <w:rFonts w:ascii="Arial" w:hAnsi="Arial" w:hint="default"/>
      </w:rPr>
    </w:lvl>
    <w:lvl w:ilvl="8" w:tplc="A50AE1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FE394F"/>
    <w:multiLevelType w:val="hybridMultilevel"/>
    <w:tmpl w:val="57C81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25C547D"/>
    <w:multiLevelType w:val="hybridMultilevel"/>
    <w:tmpl w:val="3C40B038"/>
    <w:lvl w:ilvl="0" w:tplc="09FEBAA0">
      <w:start w:val="1"/>
      <w:numFmt w:val="bullet"/>
      <w:pStyle w:val="DETbullet1textbox"/>
      <w:lvlText w:val="•"/>
      <w:lvlJc w:val="left"/>
      <w:pPr>
        <w:ind w:left="473" w:hanging="360"/>
      </w:pPr>
      <w:rPr>
        <w:rFonts w:ascii="Arial" w:hAnsi="Arial" w:cs="Times New Roman" w:hint="default"/>
      </w:rPr>
    </w:lvl>
    <w:lvl w:ilvl="1" w:tplc="F5346FE0">
      <w:numFmt w:val="decimal"/>
      <w:lvlText w:val=""/>
      <w:lvlJc w:val="left"/>
      <w:pPr>
        <w:ind w:left="0" w:firstLine="0"/>
      </w:pPr>
    </w:lvl>
    <w:lvl w:ilvl="2" w:tplc="5C2C9144">
      <w:numFmt w:val="decimal"/>
      <w:lvlText w:val=""/>
      <w:lvlJc w:val="left"/>
      <w:pPr>
        <w:ind w:left="0" w:firstLine="0"/>
      </w:pPr>
    </w:lvl>
    <w:lvl w:ilvl="3" w:tplc="4DE2375E">
      <w:numFmt w:val="decimal"/>
      <w:lvlText w:val=""/>
      <w:lvlJc w:val="left"/>
      <w:pPr>
        <w:ind w:left="0" w:firstLine="0"/>
      </w:pPr>
    </w:lvl>
    <w:lvl w:ilvl="4" w:tplc="63426A26">
      <w:numFmt w:val="decimal"/>
      <w:lvlText w:val=""/>
      <w:lvlJc w:val="left"/>
      <w:pPr>
        <w:ind w:left="0" w:firstLine="0"/>
      </w:pPr>
    </w:lvl>
    <w:lvl w:ilvl="5" w:tplc="89D06F58">
      <w:numFmt w:val="decimal"/>
      <w:lvlText w:val=""/>
      <w:lvlJc w:val="left"/>
      <w:pPr>
        <w:ind w:left="0" w:firstLine="0"/>
      </w:pPr>
    </w:lvl>
    <w:lvl w:ilvl="6" w:tplc="19F64524">
      <w:numFmt w:val="decimal"/>
      <w:lvlText w:val=""/>
      <w:lvlJc w:val="left"/>
      <w:pPr>
        <w:ind w:left="0" w:firstLine="0"/>
      </w:pPr>
    </w:lvl>
    <w:lvl w:ilvl="7" w:tplc="063C9FF8">
      <w:numFmt w:val="decimal"/>
      <w:lvlText w:val=""/>
      <w:lvlJc w:val="left"/>
      <w:pPr>
        <w:ind w:left="0" w:firstLine="0"/>
      </w:pPr>
    </w:lvl>
    <w:lvl w:ilvl="8" w:tplc="90024674">
      <w:numFmt w:val="decimal"/>
      <w:lvlText w:val=""/>
      <w:lvlJc w:val="left"/>
      <w:pPr>
        <w:ind w:left="0" w:firstLine="0"/>
      </w:pPr>
    </w:lvl>
  </w:abstractNum>
  <w:abstractNum w:abstractNumId="21" w15:restartNumberingAfterBreak="0">
    <w:nsid w:val="574C3F30"/>
    <w:multiLevelType w:val="hybridMultilevel"/>
    <w:tmpl w:val="A5427FAA"/>
    <w:lvl w:ilvl="0" w:tplc="2DDEF362">
      <w:start w:val="1"/>
      <w:numFmt w:val="bullet"/>
      <w:lvlText w:val="•"/>
      <w:lvlJc w:val="left"/>
      <w:pPr>
        <w:tabs>
          <w:tab w:val="num" w:pos="720"/>
        </w:tabs>
        <w:ind w:left="720" w:hanging="360"/>
      </w:pPr>
      <w:rPr>
        <w:rFonts w:ascii="Arial" w:hAnsi="Arial" w:hint="default"/>
      </w:rPr>
    </w:lvl>
    <w:lvl w:ilvl="1" w:tplc="B5622212" w:tentative="1">
      <w:start w:val="1"/>
      <w:numFmt w:val="bullet"/>
      <w:lvlText w:val="•"/>
      <w:lvlJc w:val="left"/>
      <w:pPr>
        <w:tabs>
          <w:tab w:val="num" w:pos="1440"/>
        </w:tabs>
        <w:ind w:left="1440" w:hanging="360"/>
      </w:pPr>
      <w:rPr>
        <w:rFonts w:ascii="Arial" w:hAnsi="Arial" w:hint="default"/>
      </w:rPr>
    </w:lvl>
    <w:lvl w:ilvl="2" w:tplc="59A47728" w:tentative="1">
      <w:start w:val="1"/>
      <w:numFmt w:val="bullet"/>
      <w:lvlText w:val="•"/>
      <w:lvlJc w:val="left"/>
      <w:pPr>
        <w:tabs>
          <w:tab w:val="num" w:pos="2160"/>
        </w:tabs>
        <w:ind w:left="2160" w:hanging="360"/>
      </w:pPr>
      <w:rPr>
        <w:rFonts w:ascii="Arial" w:hAnsi="Arial" w:hint="default"/>
      </w:rPr>
    </w:lvl>
    <w:lvl w:ilvl="3" w:tplc="C92C55A0" w:tentative="1">
      <w:start w:val="1"/>
      <w:numFmt w:val="bullet"/>
      <w:lvlText w:val="•"/>
      <w:lvlJc w:val="left"/>
      <w:pPr>
        <w:tabs>
          <w:tab w:val="num" w:pos="2880"/>
        </w:tabs>
        <w:ind w:left="2880" w:hanging="360"/>
      </w:pPr>
      <w:rPr>
        <w:rFonts w:ascii="Arial" w:hAnsi="Arial" w:hint="default"/>
      </w:rPr>
    </w:lvl>
    <w:lvl w:ilvl="4" w:tplc="448C0F5A" w:tentative="1">
      <w:start w:val="1"/>
      <w:numFmt w:val="bullet"/>
      <w:lvlText w:val="•"/>
      <w:lvlJc w:val="left"/>
      <w:pPr>
        <w:tabs>
          <w:tab w:val="num" w:pos="3600"/>
        </w:tabs>
        <w:ind w:left="3600" w:hanging="360"/>
      </w:pPr>
      <w:rPr>
        <w:rFonts w:ascii="Arial" w:hAnsi="Arial" w:hint="default"/>
      </w:rPr>
    </w:lvl>
    <w:lvl w:ilvl="5" w:tplc="70480B4C" w:tentative="1">
      <w:start w:val="1"/>
      <w:numFmt w:val="bullet"/>
      <w:lvlText w:val="•"/>
      <w:lvlJc w:val="left"/>
      <w:pPr>
        <w:tabs>
          <w:tab w:val="num" w:pos="4320"/>
        </w:tabs>
        <w:ind w:left="4320" w:hanging="360"/>
      </w:pPr>
      <w:rPr>
        <w:rFonts w:ascii="Arial" w:hAnsi="Arial" w:hint="default"/>
      </w:rPr>
    </w:lvl>
    <w:lvl w:ilvl="6" w:tplc="9C96964C" w:tentative="1">
      <w:start w:val="1"/>
      <w:numFmt w:val="bullet"/>
      <w:lvlText w:val="•"/>
      <w:lvlJc w:val="left"/>
      <w:pPr>
        <w:tabs>
          <w:tab w:val="num" w:pos="5040"/>
        </w:tabs>
        <w:ind w:left="5040" w:hanging="360"/>
      </w:pPr>
      <w:rPr>
        <w:rFonts w:ascii="Arial" w:hAnsi="Arial" w:hint="default"/>
      </w:rPr>
    </w:lvl>
    <w:lvl w:ilvl="7" w:tplc="6BCCCF16" w:tentative="1">
      <w:start w:val="1"/>
      <w:numFmt w:val="bullet"/>
      <w:lvlText w:val="•"/>
      <w:lvlJc w:val="left"/>
      <w:pPr>
        <w:tabs>
          <w:tab w:val="num" w:pos="5760"/>
        </w:tabs>
        <w:ind w:left="5760" w:hanging="360"/>
      </w:pPr>
      <w:rPr>
        <w:rFonts w:ascii="Arial" w:hAnsi="Arial" w:hint="default"/>
      </w:rPr>
    </w:lvl>
    <w:lvl w:ilvl="8" w:tplc="249494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B36AF8"/>
    <w:multiLevelType w:val="hybridMultilevel"/>
    <w:tmpl w:val="43489AAC"/>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5B7A7E"/>
    <w:multiLevelType w:val="hybridMultilevel"/>
    <w:tmpl w:val="F348A38E"/>
    <w:lvl w:ilvl="0" w:tplc="F9E45454">
      <w:start w:val="1"/>
      <w:numFmt w:val="bullet"/>
      <w:lvlText w:val="•"/>
      <w:lvlJc w:val="left"/>
      <w:pPr>
        <w:tabs>
          <w:tab w:val="num" w:pos="720"/>
        </w:tabs>
        <w:ind w:left="720" w:hanging="360"/>
      </w:pPr>
      <w:rPr>
        <w:rFonts w:ascii="Arial" w:hAnsi="Arial" w:hint="default"/>
      </w:rPr>
    </w:lvl>
    <w:lvl w:ilvl="1" w:tplc="95E272BA" w:tentative="1">
      <w:start w:val="1"/>
      <w:numFmt w:val="bullet"/>
      <w:lvlText w:val="•"/>
      <w:lvlJc w:val="left"/>
      <w:pPr>
        <w:tabs>
          <w:tab w:val="num" w:pos="1440"/>
        </w:tabs>
        <w:ind w:left="1440" w:hanging="360"/>
      </w:pPr>
      <w:rPr>
        <w:rFonts w:ascii="Arial" w:hAnsi="Arial" w:hint="default"/>
      </w:rPr>
    </w:lvl>
    <w:lvl w:ilvl="2" w:tplc="D08C43CA" w:tentative="1">
      <w:start w:val="1"/>
      <w:numFmt w:val="bullet"/>
      <w:lvlText w:val="•"/>
      <w:lvlJc w:val="left"/>
      <w:pPr>
        <w:tabs>
          <w:tab w:val="num" w:pos="2160"/>
        </w:tabs>
        <w:ind w:left="2160" w:hanging="360"/>
      </w:pPr>
      <w:rPr>
        <w:rFonts w:ascii="Arial" w:hAnsi="Arial" w:hint="default"/>
      </w:rPr>
    </w:lvl>
    <w:lvl w:ilvl="3" w:tplc="F26A62A6" w:tentative="1">
      <w:start w:val="1"/>
      <w:numFmt w:val="bullet"/>
      <w:lvlText w:val="•"/>
      <w:lvlJc w:val="left"/>
      <w:pPr>
        <w:tabs>
          <w:tab w:val="num" w:pos="2880"/>
        </w:tabs>
        <w:ind w:left="2880" w:hanging="360"/>
      </w:pPr>
      <w:rPr>
        <w:rFonts w:ascii="Arial" w:hAnsi="Arial" w:hint="default"/>
      </w:rPr>
    </w:lvl>
    <w:lvl w:ilvl="4" w:tplc="14DED726" w:tentative="1">
      <w:start w:val="1"/>
      <w:numFmt w:val="bullet"/>
      <w:lvlText w:val="•"/>
      <w:lvlJc w:val="left"/>
      <w:pPr>
        <w:tabs>
          <w:tab w:val="num" w:pos="3600"/>
        </w:tabs>
        <w:ind w:left="3600" w:hanging="360"/>
      </w:pPr>
      <w:rPr>
        <w:rFonts w:ascii="Arial" w:hAnsi="Arial" w:hint="default"/>
      </w:rPr>
    </w:lvl>
    <w:lvl w:ilvl="5" w:tplc="4EDE09F4" w:tentative="1">
      <w:start w:val="1"/>
      <w:numFmt w:val="bullet"/>
      <w:lvlText w:val="•"/>
      <w:lvlJc w:val="left"/>
      <w:pPr>
        <w:tabs>
          <w:tab w:val="num" w:pos="4320"/>
        </w:tabs>
        <w:ind w:left="4320" w:hanging="360"/>
      </w:pPr>
      <w:rPr>
        <w:rFonts w:ascii="Arial" w:hAnsi="Arial" w:hint="default"/>
      </w:rPr>
    </w:lvl>
    <w:lvl w:ilvl="6" w:tplc="4346275E" w:tentative="1">
      <w:start w:val="1"/>
      <w:numFmt w:val="bullet"/>
      <w:lvlText w:val="•"/>
      <w:lvlJc w:val="left"/>
      <w:pPr>
        <w:tabs>
          <w:tab w:val="num" w:pos="5040"/>
        </w:tabs>
        <w:ind w:left="5040" w:hanging="360"/>
      </w:pPr>
      <w:rPr>
        <w:rFonts w:ascii="Arial" w:hAnsi="Arial" w:hint="default"/>
      </w:rPr>
    </w:lvl>
    <w:lvl w:ilvl="7" w:tplc="C13C8E40" w:tentative="1">
      <w:start w:val="1"/>
      <w:numFmt w:val="bullet"/>
      <w:lvlText w:val="•"/>
      <w:lvlJc w:val="left"/>
      <w:pPr>
        <w:tabs>
          <w:tab w:val="num" w:pos="5760"/>
        </w:tabs>
        <w:ind w:left="5760" w:hanging="360"/>
      </w:pPr>
      <w:rPr>
        <w:rFonts w:ascii="Arial" w:hAnsi="Arial" w:hint="default"/>
      </w:rPr>
    </w:lvl>
    <w:lvl w:ilvl="8" w:tplc="BE069B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D372A6"/>
    <w:multiLevelType w:val="hybridMultilevel"/>
    <w:tmpl w:val="49349E90"/>
    <w:lvl w:ilvl="0" w:tplc="7AD81AFC">
      <w:start w:val="1"/>
      <w:numFmt w:val="bullet"/>
      <w:lvlText w:val="o"/>
      <w:lvlJc w:val="left"/>
      <w:pPr>
        <w:tabs>
          <w:tab w:val="num" w:pos="720"/>
        </w:tabs>
        <w:ind w:left="720" w:hanging="360"/>
      </w:pPr>
      <w:rPr>
        <w:rFonts w:ascii="Courier New" w:hAnsi="Courier New" w:hint="default"/>
      </w:rPr>
    </w:lvl>
    <w:lvl w:ilvl="1" w:tplc="921CAF42">
      <w:start w:val="1"/>
      <w:numFmt w:val="bullet"/>
      <w:lvlText w:val="o"/>
      <w:lvlJc w:val="left"/>
      <w:pPr>
        <w:tabs>
          <w:tab w:val="num" w:pos="1440"/>
        </w:tabs>
        <w:ind w:left="1440" w:hanging="360"/>
      </w:pPr>
      <w:rPr>
        <w:rFonts w:ascii="Courier New" w:hAnsi="Courier New" w:hint="default"/>
      </w:rPr>
    </w:lvl>
    <w:lvl w:ilvl="2" w:tplc="234C6A54" w:tentative="1">
      <w:start w:val="1"/>
      <w:numFmt w:val="bullet"/>
      <w:lvlText w:val="o"/>
      <w:lvlJc w:val="left"/>
      <w:pPr>
        <w:tabs>
          <w:tab w:val="num" w:pos="2160"/>
        </w:tabs>
        <w:ind w:left="2160" w:hanging="360"/>
      </w:pPr>
      <w:rPr>
        <w:rFonts w:ascii="Courier New" w:hAnsi="Courier New" w:hint="default"/>
      </w:rPr>
    </w:lvl>
    <w:lvl w:ilvl="3" w:tplc="BA0CDA12" w:tentative="1">
      <w:start w:val="1"/>
      <w:numFmt w:val="bullet"/>
      <w:lvlText w:val="o"/>
      <w:lvlJc w:val="left"/>
      <w:pPr>
        <w:tabs>
          <w:tab w:val="num" w:pos="2880"/>
        </w:tabs>
        <w:ind w:left="2880" w:hanging="360"/>
      </w:pPr>
      <w:rPr>
        <w:rFonts w:ascii="Courier New" w:hAnsi="Courier New" w:hint="default"/>
      </w:rPr>
    </w:lvl>
    <w:lvl w:ilvl="4" w:tplc="A1AE0FB6" w:tentative="1">
      <w:start w:val="1"/>
      <w:numFmt w:val="bullet"/>
      <w:lvlText w:val="o"/>
      <w:lvlJc w:val="left"/>
      <w:pPr>
        <w:tabs>
          <w:tab w:val="num" w:pos="3600"/>
        </w:tabs>
        <w:ind w:left="3600" w:hanging="360"/>
      </w:pPr>
      <w:rPr>
        <w:rFonts w:ascii="Courier New" w:hAnsi="Courier New" w:hint="default"/>
      </w:rPr>
    </w:lvl>
    <w:lvl w:ilvl="5" w:tplc="29621D6E" w:tentative="1">
      <w:start w:val="1"/>
      <w:numFmt w:val="bullet"/>
      <w:lvlText w:val="o"/>
      <w:lvlJc w:val="left"/>
      <w:pPr>
        <w:tabs>
          <w:tab w:val="num" w:pos="4320"/>
        </w:tabs>
        <w:ind w:left="4320" w:hanging="360"/>
      </w:pPr>
      <w:rPr>
        <w:rFonts w:ascii="Courier New" w:hAnsi="Courier New" w:hint="default"/>
      </w:rPr>
    </w:lvl>
    <w:lvl w:ilvl="6" w:tplc="7BA26CD8" w:tentative="1">
      <w:start w:val="1"/>
      <w:numFmt w:val="bullet"/>
      <w:lvlText w:val="o"/>
      <w:lvlJc w:val="left"/>
      <w:pPr>
        <w:tabs>
          <w:tab w:val="num" w:pos="5040"/>
        </w:tabs>
        <w:ind w:left="5040" w:hanging="360"/>
      </w:pPr>
      <w:rPr>
        <w:rFonts w:ascii="Courier New" w:hAnsi="Courier New" w:hint="default"/>
      </w:rPr>
    </w:lvl>
    <w:lvl w:ilvl="7" w:tplc="047EA504" w:tentative="1">
      <w:start w:val="1"/>
      <w:numFmt w:val="bullet"/>
      <w:lvlText w:val="o"/>
      <w:lvlJc w:val="left"/>
      <w:pPr>
        <w:tabs>
          <w:tab w:val="num" w:pos="5760"/>
        </w:tabs>
        <w:ind w:left="5760" w:hanging="360"/>
      </w:pPr>
      <w:rPr>
        <w:rFonts w:ascii="Courier New" w:hAnsi="Courier New" w:hint="default"/>
      </w:rPr>
    </w:lvl>
    <w:lvl w:ilvl="8" w:tplc="F6D0509A"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77E44772"/>
    <w:multiLevelType w:val="hybridMultilevel"/>
    <w:tmpl w:val="54F0EC2C"/>
    <w:lvl w:ilvl="0" w:tplc="1AD005F2">
      <w:start w:val="1"/>
      <w:numFmt w:val="bullet"/>
      <w:lvlText w:val="•"/>
      <w:lvlJc w:val="left"/>
      <w:pPr>
        <w:tabs>
          <w:tab w:val="num" w:pos="720"/>
        </w:tabs>
        <w:ind w:left="720" w:hanging="360"/>
      </w:pPr>
      <w:rPr>
        <w:rFonts w:ascii="Arial" w:hAnsi="Arial" w:hint="default"/>
      </w:rPr>
    </w:lvl>
    <w:lvl w:ilvl="1" w:tplc="7E527BCE" w:tentative="1">
      <w:start w:val="1"/>
      <w:numFmt w:val="bullet"/>
      <w:lvlText w:val="•"/>
      <w:lvlJc w:val="left"/>
      <w:pPr>
        <w:tabs>
          <w:tab w:val="num" w:pos="1440"/>
        </w:tabs>
        <w:ind w:left="1440" w:hanging="360"/>
      </w:pPr>
      <w:rPr>
        <w:rFonts w:ascii="Arial" w:hAnsi="Arial" w:hint="default"/>
      </w:rPr>
    </w:lvl>
    <w:lvl w:ilvl="2" w:tplc="1D362B2A" w:tentative="1">
      <w:start w:val="1"/>
      <w:numFmt w:val="bullet"/>
      <w:lvlText w:val="•"/>
      <w:lvlJc w:val="left"/>
      <w:pPr>
        <w:tabs>
          <w:tab w:val="num" w:pos="2160"/>
        </w:tabs>
        <w:ind w:left="2160" w:hanging="360"/>
      </w:pPr>
      <w:rPr>
        <w:rFonts w:ascii="Arial" w:hAnsi="Arial" w:hint="default"/>
      </w:rPr>
    </w:lvl>
    <w:lvl w:ilvl="3" w:tplc="47D89E2E" w:tentative="1">
      <w:start w:val="1"/>
      <w:numFmt w:val="bullet"/>
      <w:lvlText w:val="•"/>
      <w:lvlJc w:val="left"/>
      <w:pPr>
        <w:tabs>
          <w:tab w:val="num" w:pos="2880"/>
        </w:tabs>
        <w:ind w:left="2880" w:hanging="360"/>
      </w:pPr>
      <w:rPr>
        <w:rFonts w:ascii="Arial" w:hAnsi="Arial" w:hint="default"/>
      </w:rPr>
    </w:lvl>
    <w:lvl w:ilvl="4" w:tplc="F5BA61F4" w:tentative="1">
      <w:start w:val="1"/>
      <w:numFmt w:val="bullet"/>
      <w:lvlText w:val="•"/>
      <w:lvlJc w:val="left"/>
      <w:pPr>
        <w:tabs>
          <w:tab w:val="num" w:pos="3600"/>
        </w:tabs>
        <w:ind w:left="3600" w:hanging="360"/>
      </w:pPr>
      <w:rPr>
        <w:rFonts w:ascii="Arial" w:hAnsi="Arial" w:hint="default"/>
      </w:rPr>
    </w:lvl>
    <w:lvl w:ilvl="5" w:tplc="35903F4A" w:tentative="1">
      <w:start w:val="1"/>
      <w:numFmt w:val="bullet"/>
      <w:lvlText w:val="•"/>
      <w:lvlJc w:val="left"/>
      <w:pPr>
        <w:tabs>
          <w:tab w:val="num" w:pos="4320"/>
        </w:tabs>
        <w:ind w:left="4320" w:hanging="360"/>
      </w:pPr>
      <w:rPr>
        <w:rFonts w:ascii="Arial" w:hAnsi="Arial" w:hint="default"/>
      </w:rPr>
    </w:lvl>
    <w:lvl w:ilvl="6" w:tplc="6B565B98" w:tentative="1">
      <w:start w:val="1"/>
      <w:numFmt w:val="bullet"/>
      <w:lvlText w:val="•"/>
      <w:lvlJc w:val="left"/>
      <w:pPr>
        <w:tabs>
          <w:tab w:val="num" w:pos="5040"/>
        </w:tabs>
        <w:ind w:left="5040" w:hanging="360"/>
      </w:pPr>
      <w:rPr>
        <w:rFonts w:ascii="Arial" w:hAnsi="Arial" w:hint="default"/>
      </w:rPr>
    </w:lvl>
    <w:lvl w:ilvl="7" w:tplc="4560DC98" w:tentative="1">
      <w:start w:val="1"/>
      <w:numFmt w:val="bullet"/>
      <w:lvlText w:val="•"/>
      <w:lvlJc w:val="left"/>
      <w:pPr>
        <w:tabs>
          <w:tab w:val="num" w:pos="5760"/>
        </w:tabs>
        <w:ind w:left="5760" w:hanging="360"/>
      </w:pPr>
      <w:rPr>
        <w:rFonts w:ascii="Arial" w:hAnsi="Arial" w:hint="default"/>
      </w:rPr>
    </w:lvl>
    <w:lvl w:ilvl="8" w:tplc="385EB6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825ED8"/>
    <w:multiLevelType w:val="hybridMultilevel"/>
    <w:tmpl w:val="8122879A"/>
    <w:lvl w:ilvl="0" w:tplc="AAEED792">
      <w:start w:val="1"/>
      <w:numFmt w:val="bullet"/>
      <w:lvlText w:val="•"/>
      <w:lvlJc w:val="left"/>
      <w:pPr>
        <w:tabs>
          <w:tab w:val="num" w:pos="720"/>
        </w:tabs>
        <w:ind w:left="720" w:hanging="360"/>
      </w:pPr>
      <w:rPr>
        <w:rFonts w:ascii="Arial" w:hAnsi="Arial" w:hint="default"/>
      </w:rPr>
    </w:lvl>
    <w:lvl w:ilvl="1" w:tplc="BC84BCE0" w:tentative="1">
      <w:start w:val="1"/>
      <w:numFmt w:val="bullet"/>
      <w:lvlText w:val="•"/>
      <w:lvlJc w:val="left"/>
      <w:pPr>
        <w:tabs>
          <w:tab w:val="num" w:pos="1440"/>
        </w:tabs>
        <w:ind w:left="1440" w:hanging="360"/>
      </w:pPr>
      <w:rPr>
        <w:rFonts w:ascii="Arial" w:hAnsi="Arial" w:hint="default"/>
      </w:rPr>
    </w:lvl>
    <w:lvl w:ilvl="2" w:tplc="6F9E89E0" w:tentative="1">
      <w:start w:val="1"/>
      <w:numFmt w:val="bullet"/>
      <w:lvlText w:val="•"/>
      <w:lvlJc w:val="left"/>
      <w:pPr>
        <w:tabs>
          <w:tab w:val="num" w:pos="2160"/>
        </w:tabs>
        <w:ind w:left="2160" w:hanging="360"/>
      </w:pPr>
      <w:rPr>
        <w:rFonts w:ascii="Arial" w:hAnsi="Arial" w:hint="default"/>
      </w:rPr>
    </w:lvl>
    <w:lvl w:ilvl="3" w:tplc="FD820D42" w:tentative="1">
      <w:start w:val="1"/>
      <w:numFmt w:val="bullet"/>
      <w:lvlText w:val="•"/>
      <w:lvlJc w:val="left"/>
      <w:pPr>
        <w:tabs>
          <w:tab w:val="num" w:pos="2880"/>
        </w:tabs>
        <w:ind w:left="2880" w:hanging="360"/>
      </w:pPr>
      <w:rPr>
        <w:rFonts w:ascii="Arial" w:hAnsi="Arial" w:hint="default"/>
      </w:rPr>
    </w:lvl>
    <w:lvl w:ilvl="4" w:tplc="E2962298" w:tentative="1">
      <w:start w:val="1"/>
      <w:numFmt w:val="bullet"/>
      <w:lvlText w:val="•"/>
      <w:lvlJc w:val="left"/>
      <w:pPr>
        <w:tabs>
          <w:tab w:val="num" w:pos="3600"/>
        </w:tabs>
        <w:ind w:left="3600" w:hanging="360"/>
      </w:pPr>
      <w:rPr>
        <w:rFonts w:ascii="Arial" w:hAnsi="Arial" w:hint="default"/>
      </w:rPr>
    </w:lvl>
    <w:lvl w:ilvl="5" w:tplc="A6860000" w:tentative="1">
      <w:start w:val="1"/>
      <w:numFmt w:val="bullet"/>
      <w:lvlText w:val="•"/>
      <w:lvlJc w:val="left"/>
      <w:pPr>
        <w:tabs>
          <w:tab w:val="num" w:pos="4320"/>
        </w:tabs>
        <w:ind w:left="4320" w:hanging="360"/>
      </w:pPr>
      <w:rPr>
        <w:rFonts w:ascii="Arial" w:hAnsi="Arial" w:hint="default"/>
      </w:rPr>
    </w:lvl>
    <w:lvl w:ilvl="6" w:tplc="41A27082" w:tentative="1">
      <w:start w:val="1"/>
      <w:numFmt w:val="bullet"/>
      <w:lvlText w:val="•"/>
      <w:lvlJc w:val="left"/>
      <w:pPr>
        <w:tabs>
          <w:tab w:val="num" w:pos="5040"/>
        </w:tabs>
        <w:ind w:left="5040" w:hanging="360"/>
      </w:pPr>
      <w:rPr>
        <w:rFonts w:ascii="Arial" w:hAnsi="Arial" w:hint="default"/>
      </w:rPr>
    </w:lvl>
    <w:lvl w:ilvl="7" w:tplc="A246EF9C" w:tentative="1">
      <w:start w:val="1"/>
      <w:numFmt w:val="bullet"/>
      <w:lvlText w:val="•"/>
      <w:lvlJc w:val="left"/>
      <w:pPr>
        <w:tabs>
          <w:tab w:val="num" w:pos="5760"/>
        </w:tabs>
        <w:ind w:left="5760" w:hanging="360"/>
      </w:pPr>
      <w:rPr>
        <w:rFonts w:ascii="Arial" w:hAnsi="Arial" w:hint="default"/>
      </w:rPr>
    </w:lvl>
    <w:lvl w:ilvl="8" w:tplc="ECC036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CE4E09"/>
    <w:multiLevelType w:val="hybridMultilevel"/>
    <w:tmpl w:val="EA847760"/>
    <w:lvl w:ilvl="0" w:tplc="239EC636">
      <w:start w:val="1"/>
      <w:numFmt w:val="bullet"/>
      <w:lvlText w:val="•"/>
      <w:lvlJc w:val="left"/>
      <w:pPr>
        <w:tabs>
          <w:tab w:val="num" w:pos="720"/>
        </w:tabs>
        <w:ind w:left="720" w:hanging="360"/>
      </w:pPr>
      <w:rPr>
        <w:rFonts w:ascii="Arial" w:hAnsi="Arial" w:hint="default"/>
      </w:rPr>
    </w:lvl>
    <w:lvl w:ilvl="1" w:tplc="7BA4BA5A" w:tentative="1">
      <w:start w:val="1"/>
      <w:numFmt w:val="bullet"/>
      <w:lvlText w:val="•"/>
      <w:lvlJc w:val="left"/>
      <w:pPr>
        <w:tabs>
          <w:tab w:val="num" w:pos="1440"/>
        </w:tabs>
        <w:ind w:left="1440" w:hanging="360"/>
      </w:pPr>
      <w:rPr>
        <w:rFonts w:ascii="Arial" w:hAnsi="Arial" w:hint="default"/>
      </w:rPr>
    </w:lvl>
    <w:lvl w:ilvl="2" w:tplc="818A06A4" w:tentative="1">
      <w:start w:val="1"/>
      <w:numFmt w:val="bullet"/>
      <w:lvlText w:val="•"/>
      <w:lvlJc w:val="left"/>
      <w:pPr>
        <w:tabs>
          <w:tab w:val="num" w:pos="2160"/>
        </w:tabs>
        <w:ind w:left="2160" w:hanging="360"/>
      </w:pPr>
      <w:rPr>
        <w:rFonts w:ascii="Arial" w:hAnsi="Arial" w:hint="default"/>
      </w:rPr>
    </w:lvl>
    <w:lvl w:ilvl="3" w:tplc="3FA27CDC" w:tentative="1">
      <w:start w:val="1"/>
      <w:numFmt w:val="bullet"/>
      <w:lvlText w:val="•"/>
      <w:lvlJc w:val="left"/>
      <w:pPr>
        <w:tabs>
          <w:tab w:val="num" w:pos="2880"/>
        </w:tabs>
        <w:ind w:left="2880" w:hanging="360"/>
      </w:pPr>
      <w:rPr>
        <w:rFonts w:ascii="Arial" w:hAnsi="Arial" w:hint="default"/>
      </w:rPr>
    </w:lvl>
    <w:lvl w:ilvl="4" w:tplc="77102550" w:tentative="1">
      <w:start w:val="1"/>
      <w:numFmt w:val="bullet"/>
      <w:lvlText w:val="•"/>
      <w:lvlJc w:val="left"/>
      <w:pPr>
        <w:tabs>
          <w:tab w:val="num" w:pos="3600"/>
        </w:tabs>
        <w:ind w:left="3600" w:hanging="360"/>
      </w:pPr>
      <w:rPr>
        <w:rFonts w:ascii="Arial" w:hAnsi="Arial" w:hint="default"/>
      </w:rPr>
    </w:lvl>
    <w:lvl w:ilvl="5" w:tplc="B9162C66" w:tentative="1">
      <w:start w:val="1"/>
      <w:numFmt w:val="bullet"/>
      <w:lvlText w:val="•"/>
      <w:lvlJc w:val="left"/>
      <w:pPr>
        <w:tabs>
          <w:tab w:val="num" w:pos="4320"/>
        </w:tabs>
        <w:ind w:left="4320" w:hanging="360"/>
      </w:pPr>
      <w:rPr>
        <w:rFonts w:ascii="Arial" w:hAnsi="Arial" w:hint="default"/>
      </w:rPr>
    </w:lvl>
    <w:lvl w:ilvl="6" w:tplc="D21C18DA" w:tentative="1">
      <w:start w:val="1"/>
      <w:numFmt w:val="bullet"/>
      <w:lvlText w:val="•"/>
      <w:lvlJc w:val="left"/>
      <w:pPr>
        <w:tabs>
          <w:tab w:val="num" w:pos="5040"/>
        </w:tabs>
        <w:ind w:left="5040" w:hanging="360"/>
      </w:pPr>
      <w:rPr>
        <w:rFonts w:ascii="Arial" w:hAnsi="Arial" w:hint="default"/>
      </w:rPr>
    </w:lvl>
    <w:lvl w:ilvl="7" w:tplc="A126CDD2" w:tentative="1">
      <w:start w:val="1"/>
      <w:numFmt w:val="bullet"/>
      <w:lvlText w:val="•"/>
      <w:lvlJc w:val="left"/>
      <w:pPr>
        <w:tabs>
          <w:tab w:val="num" w:pos="5760"/>
        </w:tabs>
        <w:ind w:left="5760" w:hanging="360"/>
      </w:pPr>
      <w:rPr>
        <w:rFonts w:ascii="Arial" w:hAnsi="Arial" w:hint="default"/>
      </w:rPr>
    </w:lvl>
    <w:lvl w:ilvl="8" w:tplc="9AA638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BB25E4"/>
    <w:multiLevelType w:val="hybridMultilevel"/>
    <w:tmpl w:val="63F2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3"/>
  </w:num>
  <w:num w:numId="4">
    <w:abstractNumId w:val="19"/>
  </w:num>
  <w:num w:numId="5">
    <w:abstractNumId w:val="3"/>
  </w:num>
  <w:num w:numId="6">
    <w:abstractNumId w:val="20"/>
  </w:num>
  <w:num w:numId="7">
    <w:abstractNumId w:val="27"/>
  </w:num>
  <w:num w:numId="8">
    <w:abstractNumId w:val="10"/>
  </w:num>
  <w:num w:numId="9">
    <w:abstractNumId w:val="0"/>
  </w:num>
  <w:num w:numId="10">
    <w:abstractNumId w:val="9"/>
  </w:num>
  <w:num w:numId="11">
    <w:abstractNumId w:val="8"/>
  </w:num>
  <w:num w:numId="12">
    <w:abstractNumId w:val="26"/>
  </w:num>
  <w:num w:numId="13">
    <w:abstractNumId w:val="17"/>
  </w:num>
  <w:num w:numId="14">
    <w:abstractNumId w:val="23"/>
  </w:num>
  <w:num w:numId="15">
    <w:abstractNumId w:val="21"/>
  </w:num>
  <w:num w:numId="16">
    <w:abstractNumId w:val="7"/>
  </w:num>
  <w:num w:numId="17">
    <w:abstractNumId w:val="4"/>
  </w:num>
  <w:num w:numId="18">
    <w:abstractNumId w:val="1"/>
  </w:num>
  <w:num w:numId="19">
    <w:abstractNumId w:val="2"/>
  </w:num>
  <w:num w:numId="20">
    <w:abstractNumId w:val="25"/>
  </w:num>
  <w:num w:numId="21">
    <w:abstractNumId w:val="24"/>
  </w:num>
  <w:num w:numId="22">
    <w:abstractNumId w:val="22"/>
  </w:num>
  <w:num w:numId="23">
    <w:abstractNumId w:val="16"/>
  </w:num>
  <w:num w:numId="24">
    <w:abstractNumId w:val="6"/>
  </w:num>
  <w:num w:numId="25">
    <w:abstractNumId w:val="12"/>
  </w:num>
  <w:num w:numId="26">
    <w:abstractNumId w:val="14"/>
  </w:num>
  <w:num w:numId="27">
    <w:abstractNumId w:val="18"/>
  </w:num>
  <w:num w:numId="28">
    <w:abstractNumId w:val="5"/>
  </w:num>
  <w:num w:numId="29">
    <w:abstractNumId w:val="11"/>
  </w:num>
  <w:num w:numId="3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E9F82D5-B97C-4F3C-A2BC-6B2900BFEC7F}"/>
    <w:docVar w:name="dgnword-eventsink" w:val="2269476434704"/>
  </w:docVars>
  <w:rsids>
    <w:rsidRoot w:val="003967DD"/>
    <w:rsid w:val="000000A9"/>
    <w:rsid w:val="00000A87"/>
    <w:rsid w:val="00001685"/>
    <w:rsid w:val="00001AE6"/>
    <w:rsid w:val="00001D77"/>
    <w:rsid w:val="0000268E"/>
    <w:rsid w:val="00002CBB"/>
    <w:rsid w:val="00003E20"/>
    <w:rsid w:val="0000434B"/>
    <w:rsid w:val="00005CB1"/>
    <w:rsid w:val="00006552"/>
    <w:rsid w:val="00006FD4"/>
    <w:rsid w:val="00007AE7"/>
    <w:rsid w:val="00011D0B"/>
    <w:rsid w:val="00011FE8"/>
    <w:rsid w:val="0001253F"/>
    <w:rsid w:val="00013339"/>
    <w:rsid w:val="000136A4"/>
    <w:rsid w:val="000138C5"/>
    <w:rsid w:val="00015074"/>
    <w:rsid w:val="00015631"/>
    <w:rsid w:val="00015A56"/>
    <w:rsid w:val="000161CD"/>
    <w:rsid w:val="00016B3A"/>
    <w:rsid w:val="00016F95"/>
    <w:rsid w:val="00017A74"/>
    <w:rsid w:val="0002151A"/>
    <w:rsid w:val="00021ADC"/>
    <w:rsid w:val="00021B26"/>
    <w:rsid w:val="00022252"/>
    <w:rsid w:val="000223EF"/>
    <w:rsid w:val="000226A2"/>
    <w:rsid w:val="000226EF"/>
    <w:rsid w:val="000239BB"/>
    <w:rsid w:val="00023C52"/>
    <w:rsid w:val="00024179"/>
    <w:rsid w:val="00024A82"/>
    <w:rsid w:val="00025794"/>
    <w:rsid w:val="000259D9"/>
    <w:rsid w:val="000269F2"/>
    <w:rsid w:val="00026AE3"/>
    <w:rsid w:val="00026CAF"/>
    <w:rsid w:val="00027F06"/>
    <w:rsid w:val="000319E9"/>
    <w:rsid w:val="000330DF"/>
    <w:rsid w:val="00033823"/>
    <w:rsid w:val="0003409E"/>
    <w:rsid w:val="000344CB"/>
    <w:rsid w:val="000364B4"/>
    <w:rsid w:val="000366CC"/>
    <w:rsid w:val="00036A4D"/>
    <w:rsid w:val="00036B87"/>
    <w:rsid w:val="00036E79"/>
    <w:rsid w:val="00036EBE"/>
    <w:rsid w:val="00037725"/>
    <w:rsid w:val="0004128C"/>
    <w:rsid w:val="000420DF"/>
    <w:rsid w:val="00042113"/>
    <w:rsid w:val="00042A62"/>
    <w:rsid w:val="000437FD"/>
    <w:rsid w:val="000438A4"/>
    <w:rsid w:val="00044B9A"/>
    <w:rsid w:val="00045055"/>
    <w:rsid w:val="000454D8"/>
    <w:rsid w:val="00045D70"/>
    <w:rsid w:val="00045F6E"/>
    <w:rsid w:val="00046CC9"/>
    <w:rsid w:val="00046F16"/>
    <w:rsid w:val="000472B2"/>
    <w:rsid w:val="00047305"/>
    <w:rsid w:val="00047417"/>
    <w:rsid w:val="000478B5"/>
    <w:rsid w:val="00047997"/>
    <w:rsid w:val="000479F5"/>
    <w:rsid w:val="000513D8"/>
    <w:rsid w:val="00051532"/>
    <w:rsid w:val="00051A78"/>
    <w:rsid w:val="00051B46"/>
    <w:rsid w:val="0005258F"/>
    <w:rsid w:val="00053235"/>
    <w:rsid w:val="000543E0"/>
    <w:rsid w:val="000544FC"/>
    <w:rsid w:val="00055A5D"/>
    <w:rsid w:val="00055F9B"/>
    <w:rsid w:val="000573BA"/>
    <w:rsid w:val="00057767"/>
    <w:rsid w:val="00060963"/>
    <w:rsid w:val="00060FCE"/>
    <w:rsid w:val="000611BF"/>
    <w:rsid w:val="000619A3"/>
    <w:rsid w:val="00062D4E"/>
    <w:rsid w:val="00064FEE"/>
    <w:rsid w:val="00065195"/>
    <w:rsid w:val="0006535E"/>
    <w:rsid w:val="00065DF0"/>
    <w:rsid w:val="0006698E"/>
    <w:rsid w:val="00067226"/>
    <w:rsid w:val="000672F1"/>
    <w:rsid w:val="0006773D"/>
    <w:rsid w:val="000678DB"/>
    <w:rsid w:val="000716CD"/>
    <w:rsid w:val="00071E24"/>
    <w:rsid w:val="00072E77"/>
    <w:rsid w:val="00073104"/>
    <w:rsid w:val="00074580"/>
    <w:rsid w:val="00074965"/>
    <w:rsid w:val="00076061"/>
    <w:rsid w:val="00076398"/>
    <w:rsid w:val="00077355"/>
    <w:rsid w:val="000778F1"/>
    <w:rsid w:val="000838A6"/>
    <w:rsid w:val="0008409B"/>
    <w:rsid w:val="00084B34"/>
    <w:rsid w:val="00086F67"/>
    <w:rsid w:val="0008739D"/>
    <w:rsid w:val="000901AE"/>
    <w:rsid w:val="00090985"/>
    <w:rsid w:val="000927DB"/>
    <w:rsid w:val="00093213"/>
    <w:rsid w:val="000937B6"/>
    <w:rsid w:val="00094B3F"/>
    <w:rsid w:val="000957DD"/>
    <w:rsid w:val="0009592E"/>
    <w:rsid w:val="00095B2A"/>
    <w:rsid w:val="00097B65"/>
    <w:rsid w:val="000A00F4"/>
    <w:rsid w:val="000A0F5F"/>
    <w:rsid w:val="000A1778"/>
    <w:rsid w:val="000A18B2"/>
    <w:rsid w:val="000A2D19"/>
    <w:rsid w:val="000A3420"/>
    <w:rsid w:val="000A3771"/>
    <w:rsid w:val="000A3BB3"/>
    <w:rsid w:val="000A3CCB"/>
    <w:rsid w:val="000A3F41"/>
    <w:rsid w:val="000A47D4"/>
    <w:rsid w:val="000A53B0"/>
    <w:rsid w:val="000A6572"/>
    <w:rsid w:val="000A7A15"/>
    <w:rsid w:val="000B0104"/>
    <w:rsid w:val="000B0BF4"/>
    <w:rsid w:val="000B39D2"/>
    <w:rsid w:val="000B402D"/>
    <w:rsid w:val="000B49D0"/>
    <w:rsid w:val="000B52B7"/>
    <w:rsid w:val="000B557E"/>
    <w:rsid w:val="000B586B"/>
    <w:rsid w:val="000B6F4D"/>
    <w:rsid w:val="000B7802"/>
    <w:rsid w:val="000B7C73"/>
    <w:rsid w:val="000C1063"/>
    <w:rsid w:val="000C17EE"/>
    <w:rsid w:val="000C1EBD"/>
    <w:rsid w:val="000C22ED"/>
    <w:rsid w:val="000C2924"/>
    <w:rsid w:val="000C29D3"/>
    <w:rsid w:val="000C33C7"/>
    <w:rsid w:val="000C3757"/>
    <w:rsid w:val="000C405D"/>
    <w:rsid w:val="000C4192"/>
    <w:rsid w:val="000C5316"/>
    <w:rsid w:val="000C5B68"/>
    <w:rsid w:val="000C6E9E"/>
    <w:rsid w:val="000D125D"/>
    <w:rsid w:val="000D1AD6"/>
    <w:rsid w:val="000D2838"/>
    <w:rsid w:val="000D31F6"/>
    <w:rsid w:val="000D3E34"/>
    <w:rsid w:val="000D55DE"/>
    <w:rsid w:val="000D5600"/>
    <w:rsid w:val="000D5A95"/>
    <w:rsid w:val="000D7C6B"/>
    <w:rsid w:val="000E039D"/>
    <w:rsid w:val="000E1AB2"/>
    <w:rsid w:val="000E2010"/>
    <w:rsid w:val="000E2754"/>
    <w:rsid w:val="000E2CD4"/>
    <w:rsid w:val="000E309F"/>
    <w:rsid w:val="000E3642"/>
    <w:rsid w:val="000E4CCD"/>
    <w:rsid w:val="000E4F4F"/>
    <w:rsid w:val="000E66FF"/>
    <w:rsid w:val="000E6CA8"/>
    <w:rsid w:val="000E7EC3"/>
    <w:rsid w:val="000F060B"/>
    <w:rsid w:val="000F1BA7"/>
    <w:rsid w:val="000F2F87"/>
    <w:rsid w:val="000F4A18"/>
    <w:rsid w:val="000F514C"/>
    <w:rsid w:val="000F5965"/>
    <w:rsid w:val="000F608F"/>
    <w:rsid w:val="000F67F6"/>
    <w:rsid w:val="000F75BD"/>
    <w:rsid w:val="000F7DF0"/>
    <w:rsid w:val="0010088D"/>
    <w:rsid w:val="00101E6D"/>
    <w:rsid w:val="00101F35"/>
    <w:rsid w:val="001020FF"/>
    <w:rsid w:val="00102847"/>
    <w:rsid w:val="00103076"/>
    <w:rsid w:val="0010379D"/>
    <w:rsid w:val="00103CE7"/>
    <w:rsid w:val="0010493B"/>
    <w:rsid w:val="00104F7B"/>
    <w:rsid w:val="0010564B"/>
    <w:rsid w:val="00106A40"/>
    <w:rsid w:val="00107989"/>
    <w:rsid w:val="00107D0D"/>
    <w:rsid w:val="001112CF"/>
    <w:rsid w:val="001113E1"/>
    <w:rsid w:val="001114CE"/>
    <w:rsid w:val="00111C0A"/>
    <w:rsid w:val="001126A4"/>
    <w:rsid w:val="00112DCB"/>
    <w:rsid w:val="001134E7"/>
    <w:rsid w:val="00113A63"/>
    <w:rsid w:val="001140F5"/>
    <w:rsid w:val="00114A56"/>
    <w:rsid w:val="00115DA0"/>
    <w:rsid w:val="00116806"/>
    <w:rsid w:val="00117804"/>
    <w:rsid w:val="001208FE"/>
    <w:rsid w:val="00120CE8"/>
    <w:rsid w:val="00121114"/>
    <w:rsid w:val="00122369"/>
    <w:rsid w:val="00122923"/>
    <w:rsid w:val="00122D3B"/>
    <w:rsid w:val="00122F52"/>
    <w:rsid w:val="0012341A"/>
    <w:rsid w:val="00123745"/>
    <w:rsid w:val="00123E5F"/>
    <w:rsid w:val="00124173"/>
    <w:rsid w:val="001245DA"/>
    <w:rsid w:val="00124D09"/>
    <w:rsid w:val="00126616"/>
    <w:rsid w:val="00126FF2"/>
    <w:rsid w:val="00127FDA"/>
    <w:rsid w:val="00130C5F"/>
    <w:rsid w:val="00131643"/>
    <w:rsid w:val="00131D05"/>
    <w:rsid w:val="0013209B"/>
    <w:rsid w:val="00132DDB"/>
    <w:rsid w:val="00133057"/>
    <w:rsid w:val="00133FD7"/>
    <w:rsid w:val="00134ED8"/>
    <w:rsid w:val="0013522E"/>
    <w:rsid w:val="001374D6"/>
    <w:rsid w:val="001409F1"/>
    <w:rsid w:val="001415A0"/>
    <w:rsid w:val="00141F23"/>
    <w:rsid w:val="00142241"/>
    <w:rsid w:val="00142362"/>
    <w:rsid w:val="00142F63"/>
    <w:rsid w:val="001435F5"/>
    <w:rsid w:val="0014448F"/>
    <w:rsid w:val="00144FD5"/>
    <w:rsid w:val="001456AA"/>
    <w:rsid w:val="00145822"/>
    <w:rsid w:val="00145EE4"/>
    <w:rsid w:val="001462BA"/>
    <w:rsid w:val="001518F0"/>
    <w:rsid w:val="0015240F"/>
    <w:rsid w:val="00152D2F"/>
    <w:rsid w:val="00152EF8"/>
    <w:rsid w:val="00153A73"/>
    <w:rsid w:val="0015476D"/>
    <w:rsid w:val="0015625C"/>
    <w:rsid w:val="00156D34"/>
    <w:rsid w:val="00157445"/>
    <w:rsid w:val="00160A6C"/>
    <w:rsid w:val="00160D0E"/>
    <w:rsid w:val="00162DB5"/>
    <w:rsid w:val="00164AA6"/>
    <w:rsid w:val="0016566C"/>
    <w:rsid w:val="00166C43"/>
    <w:rsid w:val="0017194B"/>
    <w:rsid w:val="00172375"/>
    <w:rsid w:val="001732F1"/>
    <w:rsid w:val="0017333D"/>
    <w:rsid w:val="0017395F"/>
    <w:rsid w:val="00173EC6"/>
    <w:rsid w:val="00173F9D"/>
    <w:rsid w:val="001741D2"/>
    <w:rsid w:val="00177C82"/>
    <w:rsid w:val="00180786"/>
    <w:rsid w:val="00180895"/>
    <w:rsid w:val="00181621"/>
    <w:rsid w:val="001816CF"/>
    <w:rsid w:val="00182408"/>
    <w:rsid w:val="001835E4"/>
    <w:rsid w:val="001841F3"/>
    <w:rsid w:val="00184C31"/>
    <w:rsid w:val="0018513A"/>
    <w:rsid w:val="001858B0"/>
    <w:rsid w:val="00185D0B"/>
    <w:rsid w:val="00186229"/>
    <w:rsid w:val="00186BCB"/>
    <w:rsid w:val="00186CC3"/>
    <w:rsid w:val="00186F87"/>
    <w:rsid w:val="00187D1C"/>
    <w:rsid w:val="00187D86"/>
    <w:rsid w:val="00187F89"/>
    <w:rsid w:val="00190086"/>
    <w:rsid w:val="00190838"/>
    <w:rsid w:val="00191208"/>
    <w:rsid w:val="00191859"/>
    <w:rsid w:val="001948CF"/>
    <w:rsid w:val="001950FB"/>
    <w:rsid w:val="00195471"/>
    <w:rsid w:val="00195E4D"/>
    <w:rsid w:val="00196256"/>
    <w:rsid w:val="00196CFF"/>
    <w:rsid w:val="00196FB5"/>
    <w:rsid w:val="00196FEF"/>
    <w:rsid w:val="0019760B"/>
    <w:rsid w:val="001A03F4"/>
    <w:rsid w:val="001A18A8"/>
    <w:rsid w:val="001A2133"/>
    <w:rsid w:val="001A2227"/>
    <w:rsid w:val="001A2371"/>
    <w:rsid w:val="001A3C03"/>
    <w:rsid w:val="001A3D2C"/>
    <w:rsid w:val="001A4066"/>
    <w:rsid w:val="001A42E8"/>
    <w:rsid w:val="001A4C59"/>
    <w:rsid w:val="001A4DD4"/>
    <w:rsid w:val="001A5499"/>
    <w:rsid w:val="001A69A2"/>
    <w:rsid w:val="001A756C"/>
    <w:rsid w:val="001B04EE"/>
    <w:rsid w:val="001B0EA0"/>
    <w:rsid w:val="001B2593"/>
    <w:rsid w:val="001B26A5"/>
    <w:rsid w:val="001B584E"/>
    <w:rsid w:val="001B5A14"/>
    <w:rsid w:val="001B62C3"/>
    <w:rsid w:val="001B6D64"/>
    <w:rsid w:val="001B6E0F"/>
    <w:rsid w:val="001B70CD"/>
    <w:rsid w:val="001B7749"/>
    <w:rsid w:val="001B7BC6"/>
    <w:rsid w:val="001B7D2C"/>
    <w:rsid w:val="001C1A09"/>
    <w:rsid w:val="001C2561"/>
    <w:rsid w:val="001C3C2C"/>
    <w:rsid w:val="001C3FD3"/>
    <w:rsid w:val="001C4DD6"/>
    <w:rsid w:val="001C53FB"/>
    <w:rsid w:val="001C6068"/>
    <w:rsid w:val="001C64B2"/>
    <w:rsid w:val="001C6E3D"/>
    <w:rsid w:val="001C7B5E"/>
    <w:rsid w:val="001D2015"/>
    <w:rsid w:val="001D23F2"/>
    <w:rsid w:val="001D2B03"/>
    <w:rsid w:val="001D2CBD"/>
    <w:rsid w:val="001D3B89"/>
    <w:rsid w:val="001D5FF8"/>
    <w:rsid w:val="001D74F4"/>
    <w:rsid w:val="001D75B7"/>
    <w:rsid w:val="001D790D"/>
    <w:rsid w:val="001D7C75"/>
    <w:rsid w:val="001E015C"/>
    <w:rsid w:val="001E132D"/>
    <w:rsid w:val="001E4FCA"/>
    <w:rsid w:val="001E511E"/>
    <w:rsid w:val="001E5A1F"/>
    <w:rsid w:val="001E6175"/>
    <w:rsid w:val="001F3E16"/>
    <w:rsid w:val="001F3FE4"/>
    <w:rsid w:val="001F4068"/>
    <w:rsid w:val="001F4304"/>
    <w:rsid w:val="001F4A81"/>
    <w:rsid w:val="001F4AF3"/>
    <w:rsid w:val="001F4CA8"/>
    <w:rsid w:val="001F5368"/>
    <w:rsid w:val="001F5BDD"/>
    <w:rsid w:val="001F5C40"/>
    <w:rsid w:val="001F65BE"/>
    <w:rsid w:val="001F6734"/>
    <w:rsid w:val="001F67D8"/>
    <w:rsid w:val="001F6AFC"/>
    <w:rsid w:val="001F7149"/>
    <w:rsid w:val="001F758C"/>
    <w:rsid w:val="00200E21"/>
    <w:rsid w:val="00201E2E"/>
    <w:rsid w:val="002027EB"/>
    <w:rsid w:val="00203468"/>
    <w:rsid w:val="00203F6B"/>
    <w:rsid w:val="00203F92"/>
    <w:rsid w:val="00204FB5"/>
    <w:rsid w:val="00205C98"/>
    <w:rsid w:val="00207499"/>
    <w:rsid w:val="00210C8E"/>
    <w:rsid w:val="00210CF6"/>
    <w:rsid w:val="002115D4"/>
    <w:rsid w:val="0021362D"/>
    <w:rsid w:val="002139A5"/>
    <w:rsid w:val="0021403F"/>
    <w:rsid w:val="00214803"/>
    <w:rsid w:val="00214831"/>
    <w:rsid w:val="00214BAC"/>
    <w:rsid w:val="00215263"/>
    <w:rsid w:val="002162D4"/>
    <w:rsid w:val="0021644A"/>
    <w:rsid w:val="0021674C"/>
    <w:rsid w:val="00216A42"/>
    <w:rsid w:val="0021728A"/>
    <w:rsid w:val="002205BC"/>
    <w:rsid w:val="002205EB"/>
    <w:rsid w:val="002210A7"/>
    <w:rsid w:val="00221F2A"/>
    <w:rsid w:val="0022217F"/>
    <w:rsid w:val="002228B2"/>
    <w:rsid w:val="00222AE0"/>
    <w:rsid w:val="00223517"/>
    <w:rsid w:val="0022464F"/>
    <w:rsid w:val="0022467F"/>
    <w:rsid w:val="00224737"/>
    <w:rsid w:val="00224E59"/>
    <w:rsid w:val="00225195"/>
    <w:rsid w:val="00226573"/>
    <w:rsid w:val="002276AE"/>
    <w:rsid w:val="00230414"/>
    <w:rsid w:val="0023198E"/>
    <w:rsid w:val="00231AD3"/>
    <w:rsid w:val="00231E6E"/>
    <w:rsid w:val="00231FEE"/>
    <w:rsid w:val="00232A07"/>
    <w:rsid w:val="002335CB"/>
    <w:rsid w:val="0023439A"/>
    <w:rsid w:val="002355DD"/>
    <w:rsid w:val="00235829"/>
    <w:rsid w:val="00236C31"/>
    <w:rsid w:val="00236E98"/>
    <w:rsid w:val="00236EAD"/>
    <w:rsid w:val="00240462"/>
    <w:rsid w:val="00240F10"/>
    <w:rsid w:val="00240F30"/>
    <w:rsid w:val="002412E4"/>
    <w:rsid w:val="00241A39"/>
    <w:rsid w:val="00242100"/>
    <w:rsid w:val="00242D0E"/>
    <w:rsid w:val="002451BD"/>
    <w:rsid w:val="00245C7C"/>
    <w:rsid w:val="00246922"/>
    <w:rsid w:val="00246975"/>
    <w:rsid w:val="00246EDD"/>
    <w:rsid w:val="002474B5"/>
    <w:rsid w:val="00247B78"/>
    <w:rsid w:val="002502E7"/>
    <w:rsid w:val="00250F86"/>
    <w:rsid w:val="00251340"/>
    <w:rsid w:val="0025149E"/>
    <w:rsid w:val="0025451E"/>
    <w:rsid w:val="0025458F"/>
    <w:rsid w:val="002564A7"/>
    <w:rsid w:val="00257212"/>
    <w:rsid w:val="00257349"/>
    <w:rsid w:val="00260095"/>
    <w:rsid w:val="00260CB7"/>
    <w:rsid w:val="00261032"/>
    <w:rsid w:val="002613EB"/>
    <w:rsid w:val="002635B9"/>
    <w:rsid w:val="00263B13"/>
    <w:rsid w:val="002641C6"/>
    <w:rsid w:val="00264810"/>
    <w:rsid w:val="00266468"/>
    <w:rsid w:val="00267063"/>
    <w:rsid w:val="00267CC7"/>
    <w:rsid w:val="00272979"/>
    <w:rsid w:val="00272CB7"/>
    <w:rsid w:val="0027553D"/>
    <w:rsid w:val="0027562D"/>
    <w:rsid w:val="0027606B"/>
    <w:rsid w:val="00276137"/>
    <w:rsid w:val="00280232"/>
    <w:rsid w:val="002823CE"/>
    <w:rsid w:val="002823FB"/>
    <w:rsid w:val="00283FBC"/>
    <w:rsid w:val="00284EB2"/>
    <w:rsid w:val="00285177"/>
    <w:rsid w:val="0028595F"/>
    <w:rsid w:val="00285982"/>
    <w:rsid w:val="00286516"/>
    <w:rsid w:val="002868FF"/>
    <w:rsid w:val="002870EE"/>
    <w:rsid w:val="00287C24"/>
    <w:rsid w:val="00290B2E"/>
    <w:rsid w:val="00292281"/>
    <w:rsid w:val="002924C9"/>
    <w:rsid w:val="00294DE9"/>
    <w:rsid w:val="00296379"/>
    <w:rsid w:val="00296E0D"/>
    <w:rsid w:val="002970D9"/>
    <w:rsid w:val="0029716E"/>
    <w:rsid w:val="002972F4"/>
    <w:rsid w:val="002A18D6"/>
    <w:rsid w:val="002A1B9F"/>
    <w:rsid w:val="002A2C07"/>
    <w:rsid w:val="002A2D09"/>
    <w:rsid w:val="002A308E"/>
    <w:rsid w:val="002A3B2A"/>
    <w:rsid w:val="002A47D2"/>
    <w:rsid w:val="002A495C"/>
    <w:rsid w:val="002A4A96"/>
    <w:rsid w:val="002A5F35"/>
    <w:rsid w:val="002A654E"/>
    <w:rsid w:val="002A7261"/>
    <w:rsid w:val="002A7AB4"/>
    <w:rsid w:val="002B0F4A"/>
    <w:rsid w:val="002B1C10"/>
    <w:rsid w:val="002B22FC"/>
    <w:rsid w:val="002B25B1"/>
    <w:rsid w:val="002B2B74"/>
    <w:rsid w:val="002B3615"/>
    <w:rsid w:val="002B4ACA"/>
    <w:rsid w:val="002B5E47"/>
    <w:rsid w:val="002B6764"/>
    <w:rsid w:val="002B707A"/>
    <w:rsid w:val="002B7086"/>
    <w:rsid w:val="002B729E"/>
    <w:rsid w:val="002B7C3D"/>
    <w:rsid w:val="002C0418"/>
    <w:rsid w:val="002C0B83"/>
    <w:rsid w:val="002C0C5E"/>
    <w:rsid w:val="002C1027"/>
    <w:rsid w:val="002C1D24"/>
    <w:rsid w:val="002C3EC1"/>
    <w:rsid w:val="002C425F"/>
    <w:rsid w:val="002C4413"/>
    <w:rsid w:val="002C4452"/>
    <w:rsid w:val="002C4C0E"/>
    <w:rsid w:val="002C552E"/>
    <w:rsid w:val="002C597E"/>
    <w:rsid w:val="002C7734"/>
    <w:rsid w:val="002D1D2F"/>
    <w:rsid w:val="002D27EC"/>
    <w:rsid w:val="002D2AB6"/>
    <w:rsid w:val="002D3252"/>
    <w:rsid w:val="002D3F77"/>
    <w:rsid w:val="002D452C"/>
    <w:rsid w:val="002D5DBC"/>
    <w:rsid w:val="002D5E20"/>
    <w:rsid w:val="002D6A65"/>
    <w:rsid w:val="002D7AFB"/>
    <w:rsid w:val="002E005A"/>
    <w:rsid w:val="002E3BED"/>
    <w:rsid w:val="002E3DE8"/>
    <w:rsid w:val="002E3E0F"/>
    <w:rsid w:val="002E53ED"/>
    <w:rsid w:val="002E5428"/>
    <w:rsid w:val="002E73C3"/>
    <w:rsid w:val="002E75CE"/>
    <w:rsid w:val="002E75FA"/>
    <w:rsid w:val="002F166A"/>
    <w:rsid w:val="002F18A8"/>
    <w:rsid w:val="002F1A0B"/>
    <w:rsid w:val="002F2F20"/>
    <w:rsid w:val="002F30C5"/>
    <w:rsid w:val="002F3AC0"/>
    <w:rsid w:val="002F450A"/>
    <w:rsid w:val="002F5CC5"/>
    <w:rsid w:val="002F6BDF"/>
    <w:rsid w:val="002F742F"/>
    <w:rsid w:val="00300BDE"/>
    <w:rsid w:val="00301E07"/>
    <w:rsid w:val="00302D26"/>
    <w:rsid w:val="00304544"/>
    <w:rsid w:val="00304711"/>
    <w:rsid w:val="00306072"/>
    <w:rsid w:val="00307E63"/>
    <w:rsid w:val="0031054E"/>
    <w:rsid w:val="00310586"/>
    <w:rsid w:val="00312720"/>
    <w:rsid w:val="0031298D"/>
    <w:rsid w:val="00313016"/>
    <w:rsid w:val="003131BA"/>
    <w:rsid w:val="00314974"/>
    <w:rsid w:val="00314EEF"/>
    <w:rsid w:val="003159B4"/>
    <w:rsid w:val="00315C06"/>
    <w:rsid w:val="00316D03"/>
    <w:rsid w:val="00316FBA"/>
    <w:rsid w:val="00317162"/>
    <w:rsid w:val="0032013D"/>
    <w:rsid w:val="00323017"/>
    <w:rsid w:val="00323DD1"/>
    <w:rsid w:val="003241D7"/>
    <w:rsid w:val="00324F2B"/>
    <w:rsid w:val="00325C55"/>
    <w:rsid w:val="00326E53"/>
    <w:rsid w:val="003276E0"/>
    <w:rsid w:val="00327A06"/>
    <w:rsid w:val="00330ABB"/>
    <w:rsid w:val="00331868"/>
    <w:rsid w:val="003319C6"/>
    <w:rsid w:val="00331E28"/>
    <w:rsid w:val="00331ED3"/>
    <w:rsid w:val="003326A0"/>
    <w:rsid w:val="0033299B"/>
    <w:rsid w:val="00333532"/>
    <w:rsid w:val="003337A6"/>
    <w:rsid w:val="00333BD8"/>
    <w:rsid w:val="00333D34"/>
    <w:rsid w:val="00333F93"/>
    <w:rsid w:val="0033475B"/>
    <w:rsid w:val="00334AB3"/>
    <w:rsid w:val="00337328"/>
    <w:rsid w:val="00337974"/>
    <w:rsid w:val="00340DCA"/>
    <w:rsid w:val="00341CAD"/>
    <w:rsid w:val="00343D7F"/>
    <w:rsid w:val="00344A23"/>
    <w:rsid w:val="0034521E"/>
    <w:rsid w:val="00345B91"/>
    <w:rsid w:val="003470E9"/>
    <w:rsid w:val="003470FC"/>
    <w:rsid w:val="003477BC"/>
    <w:rsid w:val="00347ABE"/>
    <w:rsid w:val="0035192C"/>
    <w:rsid w:val="003533DF"/>
    <w:rsid w:val="0035345A"/>
    <w:rsid w:val="00353763"/>
    <w:rsid w:val="0035411A"/>
    <w:rsid w:val="0035532E"/>
    <w:rsid w:val="003554B3"/>
    <w:rsid w:val="0035564B"/>
    <w:rsid w:val="00355870"/>
    <w:rsid w:val="003567BB"/>
    <w:rsid w:val="00357187"/>
    <w:rsid w:val="00357BD5"/>
    <w:rsid w:val="00360487"/>
    <w:rsid w:val="003604E8"/>
    <w:rsid w:val="00361384"/>
    <w:rsid w:val="00361A46"/>
    <w:rsid w:val="00362CC9"/>
    <w:rsid w:val="00363D81"/>
    <w:rsid w:val="003641B0"/>
    <w:rsid w:val="00365624"/>
    <w:rsid w:val="0036628D"/>
    <w:rsid w:val="00366DE4"/>
    <w:rsid w:val="003674FD"/>
    <w:rsid w:val="003677BE"/>
    <w:rsid w:val="00367DDE"/>
    <w:rsid w:val="003706F1"/>
    <w:rsid w:val="0037191A"/>
    <w:rsid w:val="00372EF2"/>
    <w:rsid w:val="00374D41"/>
    <w:rsid w:val="00375405"/>
    <w:rsid w:val="0037588B"/>
    <w:rsid w:val="003758B3"/>
    <w:rsid w:val="0038118C"/>
    <w:rsid w:val="003816DE"/>
    <w:rsid w:val="00382FAE"/>
    <w:rsid w:val="00383054"/>
    <w:rsid w:val="0038566B"/>
    <w:rsid w:val="003858B7"/>
    <w:rsid w:val="0038627C"/>
    <w:rsid w:val="003908A3"/>
    <w:rsid w:val="00390FCF"/>
    <w:rsid w:val="00391047"/>
    <w:rsid w:val="00391531"/>
    <w:rsid w:val="0039163F"/>
    <w:rsid w:val="003926BE"/>
    <w:rsid w:val="0039653A"/>
    <w:rsid w:val="003967DD"/>
    <w:rsid w:val="0039738E"/>
    <w:rsid w:val="0039788B"/>
    <w:rsid w:val="003A1316"/>
    <w:rsid w:val="003A22B1"/>
    <w:rsid w:val="003A2828"/>
    <w:rsid w:val="003A30A0"/>
    <w:rsid w:val="003A355F"/>
    <w:rsid w:val="003A457C"/>
    <w:rsid w:val="003A4AD0"/>
    <w:rsid w:val="003A5F56"/>
    <w:rsid w:val="003A6381"/>
    <w:rsid w:val="003A6DD8"/>
    <w:rsid w:val="003B0EAD"/>
    <w:rsid w:val="003B1340"/>
    <w:rsid w:val="003B35E4"/>
    <w:rsid w:val="003B3B03"/>
    <w:rsid w:val="003B4210"/>
    <w:rsid w:val="003B4294"/>
    <w:rsid w:val="003B6796"/>
    <w:rsid w:val="003B67BB"/>
    <w:rsid w:val="003B6947"/>
    <w:rsid w:val="003B768A"/>
    <w:rsid w:val="003B7A5D"/>
    <w:rsid w:val="003C1C44"/>
    <w:rsid w:val="003C262F"/>
    <w:rsid w:val="003C2F2E"/>
    <w:rsid w:val="003C34CD"/>
    <w:rsid w:val="003C3B0C"/>
    <w:rsid w:val="003C41B2"/>
    <w:rsid w:val="003C4AF3"/>
    <w:rsid w:val="003C7C69"/>
    <w:rsid w:val="003C7C85"/>
    <w:rsid w:val="003D0106"/>
    <w:rsid w:val="003D0E4F"/>
    <w:rsid w:val="003D2921"/>
    <w:rsid w:val="003D2C6D"/>
    <w:rsid w:val="003D2E07"/>
    <w:rsid w:val="003D2F62"/>
    <w:rsid w:val="003D4BB8"/>
    <w:rsid w:val="003D4C91"/>
    <w:rsid w:val="003D58F9"/>
    <w:rsid w:val="003D5B7A"/>
    <w:rsid w:val="003E02AE"/>
    <w:rsid w:val="003E05F1"/>
    <w:rsid w:val="003E101F"/>
    <w:rsid w:val="003E1446"/>
    <w:rsid w:val="003E2604"/>
    <w:rsid w:val="003E2CE0"/>
    <w:rsid w:val="003E33C3"/>
    <w:rsid w:val="003E46C8"/>
    <w:rsid w:val="003E55B5"/>
    <w:rsid w:val="003E59C7"/>
    <w:rsid w:val="003E5D9C"/>
    <w:rsid w:val="003E5F00"/>
    <w:rsid w:val="003E63DD"/>
    <w:rsid w:val="003E6429"/>
    <w:rsid w:val="003F03E3"/>
    <w:rsid w:val="003F044E"/>
    <w:rsid w:val="003F0649"/>
    <w:rsid w:val="003F0D1B"/>
    <w:rsid w:val="003F432B"/>
    <w:rsid w:val="003F4475"/>
    <w:rsid w:val="003F5738"/>
    <w:rsid w:val="003F5893"/>
    <w:rsid w:val="003F67F1"/>
    <w:rsid w:val="00400128"/>
    <w:rsid w:val="00401180"/>
    <w:rsid w:val="0040266D"/>
    <w:rsid w:val="00403748"/>
    <w:rsid w:val="00403B4B"/>
    <w:rsid w:val="00403B55"/>
    <w:rsid w:val="00404EE5"/>
    <w:rsid w:val="00404F05"/>
    <w:rsid w:val="00404F3E"/>
    <w:rsid w:val="0040732F"/>
    <w:rsid w:val="0040767F"/>
    <w:rsid w:val="00410F5B"/>
    <w:rsid w:val="00411BB5"/>
    <w:rsid w:val="00412C6B"/>
    <w:rsid w:val="004131F9"/>
    <w:rsid w:val="004161F6"/>
    <w:rsid w:val="00416A4C"/>
    <w:rsid w:val="00420808"/>
    <w:rsid w:val="00421A52"/>
    <w:rsid w:val="00422A99"/>
    <w:rsid w:val="00422BCE"/>
    <w:rsid w:val="004231D1"/>
    <w:rsid w:val="004254B0"/>
    <w:rsid w:val="00425EBC"/>
    <w:rsid w:val="00426EEA"/>
    <w:rsid w:val="004275FE"/>
    <w:rsid w:val="0043169A"/>
    <w:rsid w:val="0043318A"/>
    <w:rsid w:val="004343A6"/>
    <w:rsid w:val="004343D3"/>
    <w:rsid w:val="004352A2"/>
    <w:rsid w:val="00435B63"/>
    <w:rsid w:val="00436032"/>
    <w:rsid w:val="00436994"/>
    <w:rsid w:val="00437E65"/>
    <w:rsid w:val="00440C31"/>
    <w:rsid w:val="00440F25"/>
    <w:rsid w:val="0044229A"/>
    <w:rsid w:val="00442843"/>
    <w:rsid w:val="00442A20"/>
    <w:rsid w:val="0044384C"/>
    <w:rsid w:val="004445A0"/>
    <w:rsid w:val="00444D36"/>
    <w:rsid w:val="00445704"/>
    <w:rsid w:val="0044585D"/>
    <w:rsid w:val="0044699C"/>
    <w:rsid w:val="0045004E"/>
    <w:rsid w:val="004511C9"/>
    <w:rsid w:val="0045281F"/>
    <w:rsid w:val="00452F5B"/>
    <w:rsid w:val="00452FEA"/>
    <w:rsid w:val="0045428B"/>
    <w:rsid w:val="0045446B"/>
    <w:rsid w:val="004544C3"/>
    <w:rsid w:val="004547C9"/>
    <w:rsid w:val="00454F0E"/>
    <w:rsid w:val="004558D7"/>
    <w:rsid w:val="0045590E"/>
    <w:rsid w:val="00456622"/>
    <w:rsid w:val="004569B2"/>
    <w:rsid w:val="004578C4"/>
    <w:rsid w:val="00457E04"/>
    <w:rsid w:val="00460507"/>
    <w:rsid w:val="004608BF"/>
    <w:rsid w:val="00460C3C"/>
    <w:rsid w:val="0046170A"/>
    <w:rsid w:val="00461827"/>
    <w:rsid w:val="00461E97"/>
    <w:rsid w:val="004620A8"/>
    <w:rsid w:val="004634E3"/>
    <w:rsid w:val="0046363B"/>
    <w:rsid w:val="00463DBB"/>
    <w:rsid w:val="00463E4C"/>
    <w:rsid w:val="004647E2"/>
    <w:rsid w:val="0046482F"/>
    <w:rsid w:val="0046502C"/>
    <w:rsid w:val="0046531D"/>
    <w:rsid w:val="0046758B"/>
    <w:rsid w:val="004677F6"/>
    <w:rsid w:val="00471C22"/>
    <w:rsid w:val="0047213C"/>
    <w:rsid w:val="00473108"/>
    <w:rsid w:val="00473A7B"/>
    <w:rsid w:val="00474BCF"/>
    <w:rsid w:val="004809EF"/>
    <w:rsid w:val="00481010"/>
    <w:rsid w:val="00482978"/>
    <w:rsid w:val="004830C0"/>
    <w:rsid w:val="004839C9"/>
    <w:rsid w:val="00483DC2"/>
    <w:rsid w:val="00487353"/>
    <w:rsid w:val="00487A6D"/>
    <w:rsid w:val="00490C6D"/>
    <w:rsid w:val="00492951"/>
    <w:rsid w:val="00493F0C"/>
    <w:rsid w:val="00493F33"/>
    <w:rsid w:val="004942A5"/>
    <w:rsid w:val="0049433E"/>
    <w:rsid w:val="00494DA7"/>
    <w:rsid w:val="00494F45"/>
    <w:rsid w:val="00495AA2"/>
    <w:rsid w:val="00495C9E"/>
    <w:rsid w:val="004973D3"/>
    <w:rsid w:val="004976B4"/>
    <w:rsid w:val="0049779E"/>
    <w:rsid w:val="00497F0E"/>
    <w:rsid w:val="004A0C7A"/>
    <w:rsid w:val="004A1C65"/>
    <w:rsid w:val="004A1EDE"/>
    <w:rsid w:val="004A26C9"/>
    <w:rsid w:val="004A2932"/>
    <w:rsid w:val="004A4096"/>
    <w:rsid w:val="004A4520"/>
    <w:rsid w:val="004A4526"/>
    <w:rsid w:val="004A4C55"/>
    <w:rsid w:val="004A4E16"/>
    <w:rsid w:val="004B0278"/>
    <w:rsid w:val="004B0529"/>
    <w:rsid w:val="004B078F"/>
    <w:rsid w:val="004B0DE8"/>
    <w:rsid w:val="004B1048"/>
    <w:rsid w:val="004B1A84"/>
    <w:rsid w:val="004B3287"/>
    <w:rsid w:val="004B370E"/>
    <w:rsid w:val="004B40F8"/>
    <w:rsid w:val="004B524C"/>
    <w:rsid w:val="004B60F3"/>
    <w:rsid w:val="004B68F1"/>
    <w:rsid w:val="004B6FFF"/>
    <w:rsid w:val="004B75D5"/>
    <w:rsid w:val="004C0EEC"/>
    <w:rsid w:val="004C2C9B"/>
    <w:rsid w:val="004C2F39"/>
    <w:rsid w:val="004C41F9"/>
    <w:rsid w:val="004C49A4"/>
    <w:rsid w:val="004C4CA0"/>
    <w:rsid w:val="004C5088"/>
    <w:rsid w:val="004C5364"/>
    <w:rsid w:val="004C648E"/>
    <w:rsid w:val="004C67A7"/>
    <w:rsid w:val="004C7A16"/>
    <w:rsid w:val="004D0006"/>
    <w:rsid w:val="004D0190"/>
    <w:rsid w:val="004D202A"/>
    <w:rsid w:val="004D20F9"/>
    <w:rsid w:val="004D2A42"/>
    <w:rsid w:val="004D4511"/>
    <w:rsid w:val="004D4FB1"/>
    <w:rsid w:val="004D5197"/>
    <w:rsid w:val="004D5325"/>
    <w:rsid w:val="004D543D"/>
    <w:rsid w:val="004D59BA"/>
    <w:rsid w:val="004D6210"/>
    <w:rsid w:val="004D660D"/>
    <w:rsid w:val="004D6DE2"/>
    <w:rsid w:val="004D7278"/>
    <w:rsid w:val="004D7792"/>
    <w:rsid w:val="004D7FEF"/>
    <w:rsid w:val="004E1539"/>
    <w:rsid w:val="004E255B"/>
    <w:rsid w:val="004E2C68"/>
    <w:rsid w:val="004E4761"/>
    <w:rsid w:val="004E4CC5"/>
    <w:rsid w:val="004E51CB"/>
    <w:rsid w:val="004E5D29"/>
    <w:rsid w:val="004E6C57"/>
    <w:rsid w:val="004E71D2"/>
    <w:rsid w:val="004E76A2"/>
    <w:rsid w:val="004E78B3"/>
    <w:rsid w:val="004E7BBA"/>
    <w:rsid w:val="004F0655"/>
    <w:rsid w:val="004F17D3"/>
    <w:rsid w:val="004F1967"/>
    <w:rsid w:val="004F1CAD"/>
    <w:rsid w:val="004F1F8E"/>
    <w:rsid w:val="004F29DF"/>
    <w:rsid w:val="004F42BC"/>
    <w:rsid w:val="004F502A"/>
    <w:rsid w:val="004F6886"/>
    <w:rsid w:val="004F6B6C"/>
    <w:rsid w:val="004F6E7B"/>
    <w:rsid w:val="0050080A"/>
    <w:rsid w:val="00500F5D"/>
    <w:rsid w:val="00501FA1"/>
    <w:rsid w:val="0050234A"/>
    <w:rsid w:val="005024CE"/>
    <w:rsid w:val="005027FB"/>
    <w:rsid w:val="00502F82"/>
    <w:rsid w:val="00503C96"/>
    <w:rsid w:val="005044C9"/>
    <w:rsid w:val="00505077"/>
    <w:rsid w:val="00506F32"/>
    <w:rsid w:val="00507148"/>
    <w:rsid w:val="00511203"/>
    <w:rsid w:val="005124AC"/>
    <w:rsid w:val="005132E5"/>
    <w:rsid w:val="00513AE2"/>
    <w:rsid w:val="00514D11"/>
    <w:rsid w:val="00514D1F"/>
    <w:rsid w:val="00516675"/>
    <w:rsid w:val="0051769D"/>
    <w:rsid w:val="00517ADF"/>
    <w:rsid w:val="00520D7B"/>
    <w:rsid w:val="00520EEE"/>
    <w:rsid w:val="005220C0"/>
    <w:rsid w:val="00522909"/>
    <w:rsid w:val="00522CFA"/>
    <w:rsid w:val="00523232"/>
    <w:rsid w:val="005237F8"/>
    <w:rsid w:val="00525322"/>
    <w:rsid w:val="0052598C"/>
    <w:rsid w:val="00525E56"/>
    <w:rsid w:val="00526B55"/>
    <w:rsid w:val="00534CF5"/>
    <w:rsid w:val="005352AC"/>
    <w:rsid w:val="005354BA"/>
    <w:rsid w:val="0053581C"/>
    <w:rsid w:val="00535FF3"/>
    <w:rsid w:val="00536636"/>
    <w:rsid w:val="005367D2"/>
    <w:rsid w:val="005374AC"/>
    <w:rsid w:val="00540407"/>
    <w:rsid w:val="00540FEA"/>
    <w:rsid w:val="005411B5"/>
    <w:rsid w:val="00541E10"/>
    <w:rsid w:val="00542746"/>
    <w:rsid w:val="005428DA"/>
    <w:rsid w:val="00542BD2"/>
    <w:rsid w:val="00545111"/>
    <w:rsid w:val="0054622B"/>
    <w:rsid w:val="005463FC"/>
    <w:rsid w:val="00547D22"/>
    <w:rsid w:val="00550B3F"/>
    <w:rsid w:val="00550B6A"/>
    <w:rsid w:val="005513ED"/>
    <w:rsid w:val="00551D82"/>
    <w:rsid w:val="00552F62"/>
    <w:rsid w:val="00553FC5"/>
    <w:rsid w:val="00555167"/>
    <w:rsid w:val="00555198"/>
    <w:rsid w:val="0055635C"/>
    <w:rsid w:val="00560FB5"/>
    <w:rsid w:val="00564DBC"/>
    <w:rsid w:val="005661FF"/>
    <w:rsid w:val="0056796C"/>
    <w:rsid w:val="00570F54"/>
    <w:rsid w:val="005712FE"/>
    <w:rsid w:val="005719AF"/>
    <w:rsid w:val="005726F6"/>
    <w:rsid w:val="00572DF9"/>
    <w:rsid w:val="00573693"/>
    <w:rsid w:val="005736AA"/>
    <w:rsid w:val="00573896"/>
    <w:rsid w:val="00573E9D"/>
    <w:rsid w:val="00574B05"/>
    <w:rsid w:val="005755F5"/>
    <w:rsid w:val="005772D7"/>
    <w:rsid w:val="0058057C"/>
    <w:rsid w:val="005813A5"/>
    <w:rsid w:val="00581789"/>
    <w:rsid w:val="00581E65"/>
    <w:rsid w:val="00582169"/>
    <w:rsid w:val="0058258F"/>
    <w:rsid w:val="00583162"/>
    <w:rsid w:val="005831E2"/>
    <w:rsid w:val="005836A9"/>
    <w:rsid w:val="00583B7B"/>
    <w:rsid w:val="00584366"/>
    <w:rsid w:val="00584882"/>
    <w:rsid w:val="00585B56"/>
    <w:rsid w:val="005861D0"/>
    <w:rsid w:val="005878E3"/>
    <w:rsid w:val="0059010F"/>
    <w:rsid w:val="0059055B"/>
    <w:rsid w:val="0059062B"/>
    <w:rsid w:val="00591FCE"/>
    <w:rsid w:val="0059211F"/>
    <w:rsid w:val="005939D6"/>
    <w:rsid w:val="0059452A"/>
    <w:rsid w:val="00595825"/>
    <w:rsid w:val="005962F3"/>
    <w:rsid w:val="00597DB3"/>
    <w:rsid w:val="005A00CF"/>
    <w:rsid w:val="005A0FF5"/>
    <w:rsid w:val="005A353E"/>
    <w:rsid w:val="005A4875"/>
    <w:rsid w:val="005A4DD9"/>
    <w:rsid w:val="005A4F93"/>
    <w:rsid w:val="005A521A"/>
    <w:rsid w:val="005A5300"/>
    <w:rsid w:val="005A53D1"/>
    <w:rsid w:val="005B016F"/>
    <w:rsid w:val="005B1292"/>
    <w:rsid w:val="005B1B5E"/>
    <w:rsid w:val="005B2255"/>
    <w:rsid w:val="005B28AD"/>
    <w:rsid w:val="005B2EC4"/>
    <w:rsid w:val="005B3293"/>
    <w:rsid w:val="005B4545"/>
    <w:rsid w:val="005B46A5"/>
    <w:rsid w:val="005B47BA"/>
    <w:rsid w:val="005B4994"/>
    <w:rsid w:val="005B4F08"/>
    <w:rsid w:val="005B581C"/>
    <w:rsid w:val="005B7454"/>
    <w:rsid w:val="005C031C"/>
    <w:rsid w:val="005C2A0B"/>
    <w:rsid w:val="005C405C"/>
    <w:rsid w:val="005C5320"/>
    <w:rsid w:val="005C5C43"/>
    <w:rsid w:val="005C5D55"/>
    <w:rsid w:val="005C62E8"/>
    <w:rsid w:val="005C6825"/>
    <w:rsid w:val="005C68D0"/>
    <w:rsid w:val="005C6CD4"/>
    <w:rsid w:val="005D0536"/>
    <w:rsid w:val="005D11F3"/>
    <w:rsid w:val="005D1742"/>
    <w:rsid w:val="005D17A9"/>
    <w:rsid w:val="005D1F2F"/>
    <w:rsid w:val="005D332A"/>
    <w:rsid w:val="005D4911"/>
    <w:rsid w:val="005D4BEA"/>
    <w:rsid w:val="005D53A7"/>
    <w:rsid w:val="005D794F"/>
    <w:rsid w:val="005D7F3A"/>
    <w:rsid w:val="005E1116"/>
    <w:rsid w:val="005E210E"/>
    <w:rsid w:val="005E2419"/>
    <w:rsid w:val="005E265E"/>
    <w:rsid w:val="005E3455"/>
    <w:rsid w:val="005E5BCC"/>
    <w:rsid w:val="005E668C"/>
    <w:rsid w:val="005E6D9D"/>
    <w:rsid w:val="005F0A8A"/>
    <w:rsid w:val="005F0C68"/>
    <w:rsid w:val="005F21E5"/>
    <w:rsid w:val="005F453F"/>
    <w:rsid w:val="005F4F9E"/>
    <w:rsid w:val="005F65EE"/>
    <w:rsid w:val="005F6EE5"/>
    <w:rsid w:val="005F7CA3"/>
    <w:rsid w:val="006004F0"/>
    <w:rsid w:val="00600DC8"/>
    <w:rsid w:val="0060111F"/>
    <w:rsid w:val="00601555"/>
    <w:rsid w:val="0060191D"/>
    <w:rsid w:val="00602665"/>
    <w:rsid w:val="006027F4"/>
    <w:rsid w:val="006032A7"/>
    <w:rsid w:val="00603A1F"/>
    <w:rsid w:val="00603BC0"/>
    <w:rsid w:val="00605452"/>
    <w:rsid w:val="00606BF3"/>
    <w:rsid w:val="00606CAB"/>
    <w:rsid w:val="0061033C"/>
    <w:rsid w:val="0061080B"/>
    <w:rsid w:val="006114AB"/>
    <w:rsid w:val="00613213"/>
    <w:rsid w:val="00614A79"/>
    <w:rsid w:val="00616588"/>
    <w:rsid w:val="00616971"/>
    <w:rsid w:val="00616AEC"/>
    <w:rsid w:val="00616E8B"/>
    <w:rsid w:val="00621468"/>
    <w:rsid w:val="00621CC1"/>
    <w:rsid w:val="006226BB"/>
    <w:rsid w:val="00624A1A"/>
    <w:rsid w:val="00624A55"/>
    <w:rsid w:val="006251C2"/>
    <w:rsid w:val="00625B55"/>
    <w:rsid w:val="00625C92"/>
    <w:rsid w:val="00627304"/>
    <w:rsid w:val="00627311"/>
    <w:rsid w:val="00630CB6"/>
    <w:rsid w:val="00631181"/>
    <w:rsid w:val="00632671"/>
    <w:rsid w:val="00632B45"/>
    <w:rsid w:val="00632E00"/>
    <w:rsid w:val="00632EF5"/>
    <w:rsid w:val="00633847"/>
    <w:rsid w:val="00633A75"/>
    <w:rsid w:val="00635C65"/>
    <w:rsid w:val="00636750"/>
    <w:rsid w:val="00636994"/>
    <w:rsid w:val="00636A20"/>
    <w:rsid w:val="00636DD7"/>
    <w:rsid w:val="006411DD"/>
    <w:rsid w:val="00641D65"/>
    <w:rsid w:val="00641F38"/>
    <w:rsid w:val="006421D2"/>
    <w:rsid w:val="00642950"/>
    <w:rsid w:val="00643384"/>
    <w:rsid w:val="00644AF4"/>
    <w:rsid w:val="00645786"/>
    <w:rsid w:val="00645BAA"/>
    <w:rsid w:val="00645DEF"/>
    <w:rsid w:val="0064631F"/>
    <w:rsid w:val="00646559"/>
    <w:rsid w:val="00646752"/>
    <w:rsid w:val="006474F3"/>
    <w:rsid w:val="00650083"/>
    <w:rsid w:val="00651214"/>
    <w:rsid w:val="006522A3"/>
    <w:rsid w:val="0065314E"/>
    <w:rsid w:val="00653207"/>
    <w:rsid w:val="00653DBC"/>
    <w:rsid w:val="00655FFA"/>
    <w:rsid w:val="006602E7"/>
    <w:rsid w:val="0066197B"/>
    <w:rsid w:val="006621B2"/>
    <w:rsid w:val="00662A74"/>
    <w:rsid w:val="00662C48"/>
    <w:rsid w:val="0067204D"/>
    <w:rsid w:val="0067210C"/>
    <w:rsid w:val="00672858"/>
    <w:rsid w:val="00673927"/>
    <w:rsid w:val="00673BD8"/>
    <w:rsid w:val="00674EA5"/>
    <w:rsid w:val="00677551"/>
    <w:rsid w:val="006807DE"/>
    <w:rsid w:val="00680FE3"/>
    <w:rsid w:val="00681B34"/>
    <w:rsid w:val="00682520"/>
    <w:rsid w:val="00682A4B"/>
    <w:rsid w:val="00682B23"/>
    <w:rsid w:val="00682C31"/>
    <w:rsid w:val="00683194"/>
    <w:rsid w:val="00683429"/>
    <w:rsid w:val="00685479"/>
    <w:rsid w:val="00685E55"/>
    <w:rsid w:val="00687F94"/>
    <w:rsid w:val="00690BFD"/>
    <w:rsid w:val="0069200D"/>
    <w:rsid w:val="00692AC7"/>
    <w:rsid w:val="00692E91"/>
    <w:rsid w:val="00693A68"/>
    <w:rsid w:val="00693C7A"/>
    <w:rsid w:val="0069507F"/>
    <w:rsid w:val="0069658B"/>
    <w:rsid w:val="00696A8B"/>
    <w:rsid w:val="00696ACF"/>
    <w:rsid w:val="0069795F"/>
    <w:rsid w:val="006A004D"/>
    <w:rsid w:val="006A0585"/>
    <w:rsid w:val="006A0684"/>
    <w:rsid w:val="006A08F5"/>
    <w:rsid w:val="006A1776"/>
    <w:rsid w:val="006A1BCA"/>
    <w:rsid w:val="006A25AC"/>
    <w:rsid w:val="006A2A45"/>
    <w:rsid w:val="006A2D22"/>
    <w:rsid w:val="006A321B"/>
    <w:rsid w:val="006A3549"/>
    <w:rsid w:val="006A657A"/>
    <w:rsid w:val="006A70FF"/>
    <w:rsid w:val="006A72E9"/>
    <w:rsid w:val="006B0BE9"/>
    <w:rsid w:val="006B1E57"/>
    <w:rsid w:val="006B2580"/>
    <w:rsid w:val="006B278C"/>
    <w:rsid w:val="006B396D"/>
    <w:rsid w:val="006B3A54"/>
    <w:rsid w:val="006B611F"/>
    <w:rsid w:val="006B61AD"/>
    <w:rsid w:val="006C00A9"/>
    <w:rsid w:val="006C160C"/>
    <w:rsid w:val="006C1D0A"/>
    <w:rsid w:val="006C42A4"/>
    <w:rsid w:val="006C42F8"/>
    <w:rsid w:val="006C5009"/>
    <w:rsid w:val="006C5FD2"/>
    <w:rsid w:val="006C68CF"/>
    <w:rsid w:val="006C6F2F"/>
    <w:rsid w:val="006D0A5F"/>
    <w:rsid w:val="006D0EB5"/>
    <w:rsid w:val="006D14A8"/>
    <w:rsid w:val="006D173D"/>
    <w:rsid w:val="006D5958"/>
    <w:rsid w:val="006D5F45"/>
    <w:rsid w:val="006D6961"/>
    <w:rsid w:val="006D77AE"/>
    <w:rsid w:val="006D7948"/>
    <w:rsid w:val="006E0E5D"/>
    <w:rsid w:val="006E10C5"/>
    <w:rsid w:val="006E1B64"/>
    <w:rsid w:val="006E327F"/>
    <w:rsid w:val="006E3CF7"/>
    <w:rsid w:val="006E5BB8"/>
    <w:rsid w:val="006E6709"/>
    <w:rsid w:val="006F0230"/>
    <w:rsid w:val="006F0456"/>
    <w:rsid w:val="006F277D"/>
    <w:rsid w:val="006F44F0"/>
    <w:rsid w:val="006F4946"/>
    <w:rsid w:val="006F524B"/>
    <w:rsid w:val="006F5B50"/>
    <w:rsid w:val="006F6A3A"/>
    <w:rsid w:val="006F72BB"/>
    <w:rsid w:val="00700979"/>
    <w:rsid w:val="0070165F"/>
    <w:rsid w:val="007022F9"/>
    <w:rsid w:val="00703D50"/>
    <w:rsid w:val="00706250"/>
    <w:rsid w:val="00706550"/>
    <w:rsid w:val="00706A53"/>
    <w:rsid w:val="00706CF1"/>
    <w:rsid w:val="00706F50"/>
    <w:rsid w:val="00707C84"/>
    <w:rsid w:val="00707C95"/>
    <w:rsid w:val="00707DFC"/>
    <w:rsid w:val="00710156"/>
    <w:rsid w:val="0071179B"/>
    <w:rsid w:val="00714D72"/>
    <w:rsid w:val="0071524D"/>
    <w:rsid w:val="00717133"/>
    <w:rsid w:val="00720213"/>
    <w:rsid w:val="0072135B"/>
    <w:rsid w:val="007216A9"/>
    <w:rsid w:val="007219C6"/>
    <w:rsid w:val="00722272"/>
    <w:rsid w:val="007239ED"/>
    <w:rsid w:val="0072543A"/>
    <w:rsid w:val="007259A1"/>
    <w:rsid w:val="00725DE3"/>
    <w:rsid w:val="00726826"/>
    <w:rsid w:val="00726E15"/>
    <w:rsid w:val="007272BD"/>
    <w:rsid w:val="007316D8"/>
    <w:rsid w:val="00732926"/>
    <w:rsid w:val="00733209"/>
    <w:rsid w:val="007339E1"/>
    <w:rsid w:val="00733F87"/>
    <w:rsid w:val="00734CF1"/>
    <w:rsid w:val="00736CB4"/>
    <w:rsid w:val="00736EF2"/>
    <w:rsid w:val="00736F5B"/>
    <w:rsid w:val="00736FB0"/>
    <w:rsid w:val="007400A8"/>
    <w:rsid w:val="007408F6"/>
    <w:rsid w:val="007415A1"/>
    <w:rsid w:val="007418BB"/>
    <w:rsid w:val="007418D0"/>
    <w:rsid w:val="00743355"/>
    <w:rsid w:val="007437F8"/>
    <w:rsid w:val="00743B26"/>
    <w:rsid w:val="00744B1B"/>
    <w:rsid w:val="00744E46"/>
    <w:rsid w:val="00745976"/>
    <w:rsid w:val="00746D53"/>
    <w:rsid w:val="00747E27"/>
    <w:rsid w:val="007503D1"/>
    <w:rsid w:val="007509A5"/>
    <w:rsid w:val="00750A78"/>
    <w:rsid w:val="00751398"/>
    <w:rsid w:val="007522DD"/>
    <w:rsid w:val="0075232F"/>
    <w:rsid w:val="0075255C"/>
    <w:rsid w:val="00754315"/>
    <w:rsid w:val="00754653"/>
    <w:rsid w:val="00756496"/>
    <w:rsid w:val="007569FE"/>
    <w:rsid w:val="00756A55"/>
    <w:rsid w:val="00756B01"/>
    <w:rsid w:val="00757400"/>
    <w:rsid w:val="00760076"/>
    <w:rsid w:val="00761152"/>
    <w:rsid w:val="00761E11"/>
    <w:rsid w:val="00762D47"/>
    <w:rsid w:val="00763529"/>
    <w:rsid w:val="00763B97"/>
    <w:rsid w:val="0076509A"/>
    <w:rsid w:val="00765E09"/>
    <w:rsid w:val="007664E8"/>
    <w:rsid w:val="00767747"/>
    <w:rsid w:val="00770CBE"/>
    <w:rsid w:val="00771583"/>
    <w:rsid w:val="00771A00"/>
    <w:rsid w:val="007738BE"/>
    <w:rsid w:val="00776EAC"/>
    <w:rsid w:val="00780711"/>
    <w:rsid w:val="007813C2"/>
    <w:rsid w:val="00781748"/>
    <w:rsid w:val="00781AF0"/>
    <w:rsid w:val="00781E3B"/>
    <w:rsid w:val="007822E6"/>
    <w:rsid w:val="007826F9"/>
    <w:rsid w:val="00784123"/>
    <w:rsid w:val="0078457D"/>
    <w:rsid w:val="00785657"/>
    <w:rsid w:val="00785DEA"/>
    <w:rsid w:val="00787EF9"/>
    <w:rsid w:val="007919B1"/>
    <w:rsid w:val="00791DF1"/>
    <w:rsid w:val="00792DB4"/>
    <w:rsid w:val="0079366B"/>
    <w:rsid w:val="00793C14"/>
    <w:rsid w:val="00793E72"/>
    <w:rsid w:val="00795C9C"/>
    <w:rsid w:val="00796B69"/>
    <w:rsid w:val="007975D6"/>
    <w:rsid w:val="00797662"/>
    <w:rsid w:val="007A0FD7"/>
    <w:rsid w:val="007A100F"/>
    <w:rsid w:val="007A1922"/>
    <w:rsid w:val="007A1A31"/>
    <w:rsid w:val="007A1AB2"/>
    <w:rsid w:val="007A1F7A"/>
    <w:rsid w:val="007A1F8F"/>
    <w:rsid w:val="007A203D"/>
    <w:rsid w:val="007A2629"/>
    <w:rsid w:val="007A267F"/>
    <w:rsid w:val="007A37ED"/>
    <w:rsid w:val="007A4134"/>
    <w:rsid w:val="007A421F"/>
    <w:rsid w:val="007A46C0"/>
    <w:rsid w:val="007A4964"/>
    <w:rsid w:val="007B09BF"/>
    <w:rsid w:val="007B0E1A"/>
    <w:rsid w:val="007B1646"/>
    <w:rsid w:val="007B2416"/>
    <w:rsid w:val="007B311E"/>
    <w:rsid w:val="007B3A5A"/>
    <w:rsid w:val="007B3AE8"/>
    <w:rsid w:val="007B4116"/>
    <w:rsid w:val="007B556E"/>
    <w:rsid w:val="007B5834"/>
    <w:rsid w:val="007B5EFA"/>
    <w:rsid w:val="007B5F33"/>
    <w:rsid w:val="007B76B1"/>
    <w:rsid w:val="007C4DD6"/>
    <w:rsid w:val="007C4FC5"/>
    <w:rsid w:val="007C594F"/>
    <w:rsid w:val="007C5F11"/>
    <w:rsid w:val="007C6144"/>
    <w:rsid w:val="007C6401"/>
    <w:rsid w:val="007C6634"/>
    <w:rsid w:val="007C6B29"/>
    <w:rsid w:val="007C7868"/>
    <w:rsid w:val="007D1FB1"/>
    <w:rsid w:val="007D2F49"/>
    <w:rsid w:val="007D3833"/>
    <w:rsid w:val="007D3E38"/>
    <w:rsid w:val="007D4CAE"/>
    <w:rsid w:val="007D55D3"/>
    <w:rsid w:val="007D5E63"/>
    <w:rsid w:val="007D7977"/>
    <w:rsid w:val="007D7F03"/>
    <w:rsid w:val="007E0784"/>
    <w:rsid w:val="007E28D0"/>
    <w:rsid w:val="007E2F31"/>
    <w:rsid w:val="007E5F39"/>
    <w:rsid w:val="007E731E"/>
    <w:rsid w:val="007F0E6E"/>
    <w:rsid w:val="007F2723"/>
    <w:rsid w:val="007F2A12"/>
    <w:rsid w:val="007F35A6"/>
    <w:rsid w:val="007F4498"/>
    <w:rsid w:val="007F4E48"/>
    <w:rsid w:val="007F5A69"/>
    <w:rsid w:val="007F5CFA"/>
    <w:rsid w:val="007F79C2"/>
    <w:rsid w:val="00800FF8"/>
    <w:rsid w:val="0080313E"/>
    <w:rsid w:val="00803945"/>
    <w:rsid w:val="00804073"/>
    <w:rsid w:val="00804C89"/>
    <w:rsid w:val="0080685D"/>
    <w:rsid w:val="008074C5"/>
    <w:rsid w:val="00812473"/>
    <w:rsid w:val="00812EE2"/>
    <w:rsid w:val="00813339"/>
    <w:rsid w:val="00813749"/>
    <w:rsid w:val="00813E0B"/>
    <w:rsid w:val="0081429A"/>
    <w:rsid w:val="0081431D"/>
    <w:rsid w:val="008149D5"/>
    <w:rsid w:val="00814B61"/>
    <w:rsid w:val="00816B56"/>
    <w:rsid w:val="008174C9"/>
    <w:rsid w:val="00817E0A"/>
    <w:rsid w:val="00820F2F"/>
    <w:rsid w:val="00823EBB"/>
    <w:rsid w:val="00824690"/>
    <w:rsid w:val="00825109"/>
    <w:rsid w:val="00825201"/>
    <w:rsid w:val="008270C9"/>
    <w:rsid w:val="00830C4A"/>
    <w:rsid w:val="00831D3C"/>
    <w:rsid w:val="00832CC9"/>
    <w:rsid w:val="00833311"/>
    <w:rsid w:val="00833417"/>
    <w:rsid w:val="00833512"/>
    <w:rsid w:val="00834230"/>
    <w:rsid w:val="0083455F"/>
    <w:rsid w:val="00834D40"/>
    <w:rsid w:val="00835D02"/>
    <w:rsid w:val="00836AF2"/>
    <w:rsid w:val="00837537"/>
    <w:rsid w:val="008379F5"/>
    <w:rsid w:val="008403BC"/>
    <w:rsid w:val="00841675"/>
    <w:rsid w:val="00841DCB"/>
    <w:rsid w:val="008420F9"/>
    <w:rsid w:val="008429D1"/>
    <w:rsid w:val="00842BC8"/>
    <w:rsid w:val="00843585"/>
    <w:rsid w:val="00844132"/>
    <w:rsid w:val="00844344"/>
    <w:rsid w:val="008457EC"/>
    <w:rsid w:val="00845D99"/>
    <w:rsid w:val="00846220"/>
    <w:rsid w:val="008476D8"/>
    <w:rsid w:val="0084782B"/>
    <w:rsid w:val="008479A2"/>
    <w:rsid w:val="00850A8B"/>
    <w:rsid w:val="00851A70"/>
    <w:rsid w:val="00853380"/>
    <w:rsid w:val="008547F9"/>
    <w:rsid w:val="00854D49"/>
    <w:rsid w:val="0085502D"/>
    <w:rsid w:val="00856A7A"/>
    <w:rsid w:val="00857D3A"/>
    <w:rsid w:val="00860CAE"/>
    <w:rsid w:val="008618F8"/>
    <w:rsid w:val="00861966"/>
    <w:rsid w:val="008627EE"/>
    <w:rsid w:val="00862C70"/>
    <w:rsid w:val="00863417"/>
    <w:rsid w:val="008643E6"/>
    <w:rsid w:val="00864740"/>
    <w:rsid w:val="0086510F"/>
    <w:rsid w:val="00867936"/>
    <w:rsid w:val="0086797B"/>
    <w:rsid w:val="0087127B"/>
    <w:rsid w:val="00871801"/>
    <w:rsid w:val="0087245B"/>
    <w:rsid w:val="008725E0"/>
    <w:rsid w:val="00873608"/>
    <w:rsid w:val="0087455B"/>
    <w:rsid w:val="0087475F"/>
    <w:rsid w:val="00875522"/>
    <w:rsid w:val="008766FD"/>
    <w:rsid w:val="0087690E"/>
    <w:rsid w:val="00880BAC"/>
    <w:rsid w:val="00880CCE"/>
    <w:rsid w:val="00880D3E"/>
    <w:rsid w:val="00880F5E"/>
    <w:rsid w:val="00881BFC"/>
    <w:rsid w:val="00882996"/>
    <w:rsid w:val="00882D8C"/>
    <w:rsid w:val="00882DC9"/>
    <w:rsid w:val="00884364"/>
    <w:rsid w:val="008843E1"/>
    <w:rsid w:val="00884CA6"/>
    <w:rsid w:val="008853F9"/>
    <w:rsid w:val="0088541A"/>
    <w:rsid w:val="00886574"/>
    <w:rsid w:val="0088658A"/>
    <w:rsid w:val="00886CED"/>
    <w:rsid w:val="008874FF"/>
    <w:rsid w:val="00887E33"/>
    <w:rsid w:val="0089077F"/>
    <w:rsid w:val="008934E8"/>
    <w:rsid w:val="00895104"/>
    <w:rsid w:val="00897314"/>
    <w:rsid w:val="00897347"/>
    <w:rsid w:val="00897F54"/>
    <w:rsid w:val="00897FEE"/>
    <w:rsid w:val="008A0E67"/>
    <w:rsid w:val="008A1367"/>
    <w:rsid w:val="008A1705"/>
    <w:rsid w:val="008A20C2"/>
    <w:rsid w:val="008A273A"/>
    <w:rsid w:val="008A41B9"/>
    <w:rsid w:val="008A48FF"/>
    <w:rsid w:val="008A4B18"/>
    <w:rsid w:val="008A501A"/>
    <w:rsid w:val="008A576E"/>
    <w:rsid w:val="008A5FBE"/>
    <w:rsid w:val="008A7FD4"/>
    <w:rsid w:val="008B1928"/>
    <w:rsid w:val="008B2032"/>
    <w:rsid w:val="008B253D"/>
    <w:rsid w:val="008B3E1F"/>
    <w:rsid w:val="008B513E"/>
    <w:rsid w:val="008B5C45"/>
    <w:rsid w:val="008B6598"/>
    <w:rsid w:val="008B669C"/>
    <w:rsid w:val="008B70CD"/>
    <w:rsid w:val="008B7266"/>
    <w:rsid w:val="008C0020"/>
    <w:rsid w:val="008C09B1"/>
    <w:rsid w:val="008C183A"/>
    <w:rsid w:val="008C473D"/>
    <w:rsid w:val="008C49E1"/>
    <w:rsid w:val="008C4AFF"/>
    <w:rsid w:val="008C548A"/>
    <w:rsid w:val="008C566F"/>
    <w:rsid w:val="008C6C2E"/>
    <w:rsid w:val="008C770D"/>
    <w:rsid w:val="008C78AF"/>
    <w:rsid w:val="008D00DB"/>
    <w:rsid w:val="008D0A61"/>
    <w:rsid w:val="008D387A"/>
    <w:rsid w:val="008D4793"/>
    <w:rsid w:val="008D5388"/>
    <w:rsid w:val="008D682F"/>
    <w:rsid w:val="008D6840"/>
    <w:rsid w:val="008E111E"/>
    <w:rsid w:val="008E19AE"/>
    <w:rsid w:val="008E1CBD"/>
    <w:rsid w:val="008E1F33"/>
    <w:rsid w:val="008E21CC"/>
    <w:rsid w:val="008E2E59"/>
    <w:rsid w:val="008E3045"/>
    <w:rsid w:val="008E46F7"/>
    <w:rsid w:val="008E4A7C"/>
    <w:rsid w:val="008E4BD8"/>
    <w:rsid w:val="008E4D45"/>
    <w:rsid w:val="008E4E8A"/>
    <w:rsid w:val="008E5096"/>
    <w:rsid w:val="008E5758"/>
    <w:rsid w:val="008E5A8B"/>
    <w:rsid w:val="008E5B8E"/>
    <w:rsid w:val="008E7A52"/>
    <w:rsid w:val="008F0681"/>
    <w:rsid w:val="008F1207"/>
    <w:rsid w:val="008F220D"/>
    <w:rsid w:val="008F2C45"/>
    <w:rsid w:val="008F351D"/>
    <w:rsid w:val="008F3E3E"/>
    <w:rsid w:val="008F4884"/>
    <w:rsid w:val="008F494F"/>
    <w:rsid w:val="008F6973"/>
    <w:rsid w:val="008F7C65"/>
    <w:rsid w:val="00900EBA"/>
    <w:rsid w:val="009021CD"/>
    <w:rsid w:val="009044BC"/>
    <w:rsid w:val="009057EB"/>
    <w:rsid w:val="00906345"/>
    <w:rsid w:val="00906655"/>
    <w:rsid w:val="00906934"/>
    <w:rsid w:val="009069B6"/>
    <w:rsid w:val="00906E10"/>
    <w:rsid w:val="009070DB"/>
    <w:rsid w:val="009072AE"/>
    <w:rsid w:val="009073EC"/>
    <w:rsid w:val="00910288"/>
    <w:rsid w:val="0091110C"/>
    <w:rsid w:val="009122C9"/>
    <w:rsid w:val="0091323D"/>
    <w:rsid w:val="0091399F"/>
    <w:rsid w:val="00913D24"/>
    <w:rsid w:val="00914827"/>
    <w:rsid w:val="00914E57"/>
    <w:rsid w:val="009160B2"/>
    <w:rsid w:val="00916A77"/>
    <w:rsid w:val="0091783F"/>
    <w:rsid w:val="00920214"/>
    <w:rsid w:val="009205E0"/>
    <w:rsid w:val="00920646"/>
    <w:rsid w:val="00920775"/>
    <w:rsid w:val="009213BD"/>
    <w:rsid w:val="009217E1"/>
    <w:rsid w:val="00921829"/>
    <w:rsid w:val="00921FF9"/>
    <w:rsid w:val="00923549"/>
    <w:rsid w:val="00924B69"/>
    <w:rsid w:val="00926124"/>
    <w:rsid w:val="00926723"/>
    <w:rsid w:val="00926D8E"/>
    <w:rsid w:val="0092701E"/>
    <w:rsid w:val="00927486"/>
    <w:rsid w:val="009305E3"/>
    <w:rsid w:val="0093286D"/>
    <w:rsid w:val="00933A36"/>
    <w:rsid w:val="009341AD"/>
    <w:rsid w:val="00934BB7"/>
    <w:rsid w:val="00934FB5"/>
    <w:rsid w:val="009356DA"/>
    <w:rsid w:val="00935D77"/>
    <w:rsid w:val="0093649D"/>
    <w:rsid w:val="009403C0"/>
    <w:rsid w:val="00944834"/>
    <w:rsid w:val="00945864"/>
    <w:rsid w:val="00946D4C"/>
    <w:rsid w:val="009476DA"/>
    <w:rsid w:val="00950463"/>
    <w:rsid w:val="009513E2"/>
    <w:rsid w:val="009528B2"/>
    <w:rsid w:val="00954302"/>
    <w:rsid w:val="00954BD9"/>
    <w:rsid w:val="00954F29"/>
    <w:rsid w:val="00955F64"/>
    <w:rsid w:val="009566A2"/>
    <w:rsid w:val="00956A09"/>
    <w:rsid w:val="00957E8C"/>
    <w:rsid w:val="009600EA"/>
    <w:rsid w:val="00960192"/>
    <w:rsid w:val="009604A4"/>
    <w:rsid w:val="009619CF"/>
    <w:rsid w:val="00963F1C"/>
    <w:rsid w:val="00963FD5"/>
    <w:rsid w:val="009648FC"/>
    <w:rsid w:val="00965D94"/>
    <w:rsid w:val="009668CA"/>
    <w:rsid w:val="009670BB"/>
    <w:rsid w:val="0096710B"/>
    <w:rsid w:val="0097025D"/>
    <w:rsid w:val="009703F2"/>
    <w:rsid w:val="00970ECF"/>
    <w:rsid w:val="009711A3"/>
    <w:rsid w:val="009716D0"/>
    <w:rsid w:val="009723A2"/>
    <w:rsid w:val="00972CE7"/>
    <w:rsid w:val="00972E6A"/>
    <w:rsid w:val="00972F03"/>
    <w:rsid w:val="00973250"/>
    <w:rsid w:val="00973A31"/>
    <w:rsid w:val="00974A7F"/>
    <w:rsid w:val="0097563F"/>
    <w:rsid w:val="009764A8"/>
    <w:rsid w:val="00977446"/>
    <w:rsid w:val="00980076"/>
    <w:rsid w:val="00980A00"/>
    <w:rsid w:val="00980EB6"/>
    <w:rsid w:val="00981874"/>
    <w:rsid w:val="00983A60"/>
    <w:rsid w:val="009847A6"/>
    <w:rsid w:val="00985301"/>
    <w:rsid w:val="00986031"/>
    <w:rsid w:val="0098663F"/>
    <w:rsid w:val="00986EBF"/>
    <w:rsid w:val="00986EE2"/>
    <w:rsid w:val="00987821"/>
    <w:rsid w:val="0099259F"/>
    <w:rsid w:val="00992D19"/>
    <w:rsid w:val="00993330"/>
    <w:rsid w:val="00993FAD"/>
    <w:rsid w:val="00994AD7"/>
    <w:rsid w:val="009950C3"/>
    <w:rsid w:val="00996E7E"/>
    <w:rsid w:val="00997BC4"/>
    <w:rsid w:val="009A028A"/>
    <w:rsid w:val="009A14F4"/>
    <w:rsid w:val="009A18FA"/>
    <w:rsid w:val="009A250F"/>
    <w:rsid w:val="009A2656"/>
    <w:rsid w:val="009A28CA"/>
    <w:rsid w:val="009A4FCF"/>
    <w:rsid w:val="009A535F"/>
    <w:rsid w:val="009A5821"/>
    <w:rsid w:val="009A59E8"/>
    <w:rsid w:val="009A5EE3"/>
    <w:rsid w:val="009A7C94"/>
    <w:rsid w:val="009B0753"/>
    <w:rsid w:val="009B1989"/>
    <w:rsid w:val="009B2C65"/>
    <w:rsid w:val="009B31AE"/>
    <w:rsid w:val="009B4087"/>
    <w:rsid w:val="009B48EA"/>
    <w:rsid w:val="009B49DC"/>
    <w:rsid w:val="009B4BFD"/>
    <w:rsid w:val="009B5ACE"/>
    <w:rsid w:val="009B634D"/>
    <w:rsid w:val="009B6889"/>
    <w:rsid w:val="009B7DA3"/>
    <w:rsid w:val="009C00F0"/>
    <w:rsid w:val="009C0CEF"/>
    <w:rsid w:val="009C10CE"/>
    <w:rsid w:val="009C1683"/>
    <w:rsid w:val="009C214A"/>
    <w:rsid w:val="009C493A"/>
    <w:rsid w:val="009C4C34"/>
    <w:rsid w:val="009C5945"/>
    <w:rsid w:val="009C6420"/>
    <w:rsid w:val="009C6895"/>
    <w:rsid w:val="009C6899"/>
    <w:rsid w:val="009C7F3C"/>
    <w:rsid w:val="009D0F79"/>
    <w:rsid w:val="009D15C9"/>
    <w:rsid w:val="009D1CCB"/>
    <w:rsid w:val="009D3F74"/>
    <w:rsid w:val="009D4957"/>
    <w:rsid w:val="009D56A5"/>
    <w:rsid w:val="009D5873"/>
    <w:rsid w:val="009D5AB6"/>
    <w:rsid w:val="009D5D7C"/>
    <w:rsid w:val="009D6057"/>
    <w:rsid w:val="009D6238"/>
    <w:rsid w:val="009D6BAE"/>
    <w:rsid w:val="009D6C8E"/>
    <w:rsid w:val="009D748F"/>
    <w:rsid w:val="009D78FC"/>
    <w:rsid w:val="009D7E6D"/>
    <w:rsid w:val="009E0BC8"/>
    <w:rsid w:val="009E1A30"/>
    <w:rsid w:val="009E27A0"/>
    <w:rsid w:val="009E282E"/>
    <w:rsid w:val="009E3170"/>
    <w:rsid w:val="009E373D"/>
    <w:rsid w:val="009E3B92"/>
    <w:rsid w:val="009E3DCC"/>
    <w:rsid w:val="009E4B84"/>
    <w:rsid w:val="009E5BCE"/>
    <w:rsid w:val="009E6A39"/>
    <w:rsid w:val="009E70FE"/>
    <w:rsid w:val="009F0585"/>
    <w:rsid w:val="009F0A0C"/>
    <w:rsid w:val="009F1514"/>
    <w:rsid w:val="009F1B8D"/>
    <w:rsid w:val="009F1C9B"/>
    <w:rsid w:val="009F39E1"/>
    <w:rsid w:val="009F49AC"/>
    <w:rsid w:val="009F4D23"/>
    <w:rsid w:val="009F55D8"/>
    <w:rsid w:val="009F733F"/>
    <w:rsid w:val="009F77BF"/>
    <w:rsid w:val="00A00FCE"/>
    <w:rsid w:val="00A01D80"/>
    <w:rsid w:val="00A01F5A"/>
    <w:rsid w:val="00A01FCF"/>
    <w:rsid w:val="00A0232D"/>
    <w:rsid w:val="00A02B27"/>
    <w:rsid w:val="00A02BCE"/>
    <w:rsid w:val="00A03B7C"/>
    <w:rsid w:val="00A046B4"/>
    <w:rsid w:val="00A04F96"/>
    <w:rsid w:val="00A06492"/>
    <w:rsid w:val="00A06FFF"/>
    <w:rsid w:val="00A10641"/>
    <w:rsid w:val="00A10F38"/>
    <w:rsid w:val="00A1134C"/>
    <w:rsid w:val="00A11833"/>
    <w:rsid w:val="00A11988"/>
    <w:rsid w:val="00A11C5A"/>
    <w:rsid w:val="00A1263F"/>
    <w:rsid w:val="00A12801"/>
    <w:rsid w:val="00A141EE"/>
    <w:rsid w:val="00A149EB"/>
    <w:rsid w:val="00A154BE"/>
    <w:rsid w:val="00A160A0"/>
    <w:rsid w:val="00A1686B"/>
    <w:rsid w:val="00A168EF"/>
    <w:rsid w:val="00A16BA8"/>
    <w:rsid w:val="00A16BFD"/>
    <w:rsid w:val="00A17E27"/>
    <w:rsid w:val="00A209A0"/>
    <w:rsid w:val="00A209A5"/>
    <w:rsid w:val="00A2129B"/>
    <w:rsid w:val="00A2214F"/>
    <w:rsid w:val="00A24F8A"/>
    <w:rsid w:val="00A262E4"/>
    <w:rsid w:val="00A263F5"/>
    <w:rsid w:val="00A2710B"/>
    <w:rsid w:val="00A306E6"/>
    <w:rsid w:val="00A31926"/>
    <w:rsid w:val="00A3537B"/>
    <w:rsid w:val="00A36016"/>
    <w:rsid w:val="00A360F1"/>
    <w:rsid w:val="00A36662"/>
    <w:rsid w:val="00A37208"/>
    <w:rsid w:val="00A37FB2"/>
    <w:rsid w:val="00A40B99"/>
    <w:rsid w:val="00A4156E"/>
    <w:rsid w:val="00A41CD4"/>
    <w:rsid w:val="00A43AE3"/>
    <w:rsid w:val="00A43E7A"/>
    <w:rsid w:val="00A4450E"/>
    <w:rsid w:val="00A449F3"/>
    <w:rsid w:val="00A45227"/>
    <w:rsid w:val="00A459DF"/>
    <w:rsid w:val="00A46034"/>
    <w:rsid w:val="00A46B5C"/>
    <w:rsid w:val="00A46F8D"/>
    <w:rsid w:val="00A47698"/>
    <w:rsid w:val="00A47801"/>
    <w:rsid w:val="00A47D2E"/>
    <w:rsid w:val="00A50C79"/>
    <w:rsid w:val="00A51C5B"/>
    <w:rsid w:val="00A52D51"/>
    <w:rsid w:val="00A550C8"/>
    <w:rsid w:val="00A557C3"/>
    <w:rsid w:val="00A55F8E"/>
    <w:rsid w:val="00A561CE"/>
    <w:rsid w:val="00A568B9"/>
    <w:rsid w:val="00A56B66"/>
    <w:rsid w:val="00A57C4E"/>
    <w:rsid w:val="00A60886"/>
    <w:rsid w:val="00A61158"/>
    <w:rsid w:val="00A614D3"/>
    <w:rsid w:val="00A61F8A"/>
    <w:rsid w:val="00A62169"/>
    <w:rsid w:val="00A62DB5"/>
    <w:rsid w:val="00A63BC7"/>
    <w:rsid w:val="00A63D55"/>
    <w:rsid w:val="00A65292"/>
    <w:rsid w:val="00A657B9"/>
    <w:rsid w:val="00A67305"/>
    <w:rsid w:val="00A70501"/>
    <w:rsid w:val="00A71254"/>
    <w:rsid w:val="00A71967"/>
    <w:rsid w:val="00A724F4"/>
    <w:rsid w:val="00A7306A"/>
    <w:rsid w:val="00A734E6"/>
    <w:rsid w:val="00A739C4"/>
    <w:rsid w:val="00A73A17"/>
    <w:rsid w:val="00A764CB"/>
    <w:rsid w:val="00A769A1"/>
    <w:rsid w:val="00A77EC8"/>
    <w:rsid w:val="00A80F72"/>
    <w:rsid w:val="00A81330"/>
    <w:rsid w:val="00A816DF"/>
    <w:rsid w:val="00A81A23"/>
    <w:rsid w:val="00A81ED4"/>
    <w:rsid w:val="00A82EFB"/>
    <w:rsid w:val="00A831E7"/>
    <w:rsid w:val="00A84146"/>
    <w:rsid w:val="00A847EC"/>
    <w:rsid w:val="00A851DD"/>
    <w:rsid w:val="00A869C3"/>
    <w:rsid w:val="00A874DF"/>
    <w:rsid w:val="00A87718"/>
    <w:rsid w:val="00A87F9B"/>
    <w:rsid w:val="00A901B1"/>
    <w:rsid w:val="00A90225"/>
    <w:rsid w:val="00A90478"/>
    <w:rsid w:val="00A907A8"/>
    <w:rsid w:val="00A908CF"/>
    <w:rsid w:val="00A90EDA"/>
    <w:rsid w:val="00A9273A"/>
    <w:rsid w:val="00A937D5"/>
    <w:rsid w:val="00A93E30"/>
    <w:rsid w:val="00A94BC9"/>
    <w:rsid w:val="00A94F8A"/>
    <w:rsid w:val="00A95275"/>
    <w:rsid w:val="00A96F04"/>
    <w:rsid w:val="00A97C84"/>
    <w:rsid w:val="00AA1E10"/>
    <w:rsid w:val="00AA22CD"/>
    <w:rsid w:val="00AA26B3"/>
    <w:rsid w:val="00AA2975"/>
    <w:rsid w:val="00AA31F2"/>
    <w:rsid w:val="00AA36A6"/>
    <w:rsid w:val="00AA4A30"/>
    <w:rsid w:val="00AA5050"/>
    <w:rsid w:val="00AA5D10"/>
    <w:rsid w:val="00AA64FD"/>
    <w:rsid w:val="00AA7037"/>
    <w:rsid w:val="00AA7E49"/>
    <w:rsid w:val="00AB0275"/>
    <w:rsid w:val="00AB0A2C"/>
    <w:rsid w:val="00AB0B54"/>
    <w:rsid w:val="00AB0CB6"/>
    <w:rsid w:val="00AB170C"/>
    <w:rsid w:val="00AB1BB2"/>
    <w:rsid w:val="00AB25DC"/>
    <w:rsid w:val="00AB2BC1"/>
    <w:rsid w:val="00AB3F52"/>
    <w:rsid w:val="00AB4107"/>
    <w:rsid w:val="00AB53E7"/>
    <w:rsid w:val="00AB5967"/>
    <w:rsid w:val="00AB61DC"/>
    <w:rsid w:val="00AB6B7B"/>
    <w:rsid w:val="00AB7024"/>
    <w:rsid w:val="00AB7843"/>
    <w:rsid w:val="00AC040A"/>
    <w:rsid w:val="00AC170C"/>
    <w:rsid w:val="00AC37EB"/>
    <w:rsid w:val="00AC40E9"/>
    <w:rsid w:val="00AC426A"/>
    <w:rsid w:val="00AC4492"/>
    <w:rsid w:val="00AC4957"/>
    <w:rsid w:val="00AC4EFA"/>
    <w:rsid w:val="00AC5EC9"/>
    <w:rsid w:val="00AC66C9"/>
    <w:rsid w:val="00AC748E"/>
    <w:rsid w:val="00AD0F2B"/>
    <w:rsid w:val="00AD0FE5"/>
    <w:rsid w:val="00AD134B"/>
    <w:rsid w:val="00AD1E5D"/>
    <w:rsid w:val="00AD1FE3"/>
    <w:rsid w:val="00AD22E7"/>
    <w:rsid w:val="00AD2BCE"/>
    <w:rsid w:val="00AD3AB8"/>
    <w:rsid w:val="00AD6484"/>
    <w:rsid w:val="00AD7B07"/>
    <w:rsid w:val="00AE013F"/>
    <w:rsid w:val="00AE0A81"/>
    <w:rsid w:val="00AE137F"/>
    <w:rsid w:val="00AE2176"/>
    <w:rsid w:val="00AE30FA"/>
    <w:rsid w:val="00AE342F"/>
    <w:rsid w:val="00AE4016"/>
    <w:rsid w:val="00AE5550"/>
    <w:rsid w:val="00AE557D"/>
    <w:rsid w:val="00AE621D"/>
    <w:rsid w:val="00AE6AB2"/>
    <w:rsid w:val="00AE6D8A"/>
    <w:rsid w:val="00AE6DB8"/>
    <w:rsid w:val="00AE6E92"/>
    <w:rsid w:val="00AE76E4"/>
    <w:rsid w:val="00AE78EF"/>
    <w:rsid w:val="00AE7E90"/>
    <w:rsid w:val="00AF0BBF"/>
    <w:rsid w:val="00AF0ED2"/>
    <w:rsid w:val="00AF1BB7"/>
    <w:rsid w:val="00AF22C5"/>
    <w:rsid w:val="00AF3CF4"/>
    <w:rsid w:val="00AF4985"/>
    <w:rsid w:val="00AF61CF"/>
    <w:rsid w:val="00AF7384"/>
    <w:rsid w:val="00AF78A8"/>
    <w:rsid w:val="00B00CF0"/>
    <w:rsid w:val="00B019F2"/>
    <w:rsid w:val="00B0237C"/>
    <w:rsid w:val="00B0477F"/>
    <w:rsid w:val="00B04CD2"/>
    <w:rsid w:val="00B07077"/>
    <w:rsid w:val="00B10991"/>
    <w:rsid w:val="00B12915"/>
    <w:rsid w:val="00B12960"/>
    <w:rsid w:val="00B12C41"/>
    <w:rsid w:val="00B12F18"/>
    <w:rsid w:val="00B13753"/>
    <w:rsid w:val="00B14D76"/>
    <w:rsid w:val="00B14F19"/>
    <w:rsid w:val="00B15001"/>
    <w:rsid w:val="00B15805"/>
    <w:rsid w:val="00B16196"/>
    <w:rsid w:val="00B161C0"/>
    <w:rsid w:val="00B1686F"/>
    <w:rsid w:val="00B20291"/>
    <w:rsid w:val="00B20E6D"/>
    <w:rsid w:val="00B211E6"/>
    <w:rsid w:val="00B2151B"/>
    <w:rsid w:val="00B216B4"/>
    <w:rsid w:val="00B221BA"/>
    <w:rsid w:val="00B243FF"/>
    <w:rsid w:val="00B246B1"/>
    <w:rsid w:val="00B25172"/>
    <w:rsid w:val="00B2632D"/>
    <w:rsid w:val="00B309A3"/>
    <w:rsid w:val="00B30EAD"/>
    <w:rsid w:val="00B3133C"/>
    <w:rsid w:val="00B3158D"/>
    <w:rsid w:val="00B31836"/>
    <w:rsid w:val="00B33BB2"/>
    <w:rsid w:val="00B33DFD"/>
    <w:rsid w:val="00B35261"/>
    <w:rsid w:val="00B35388"/>
    <w:rsid w:val="00B3549E"/>
    <w:rsid w:val="00B3643C"/>
    <w:rsid w:val="00B3651F"/>
    <w:rsid w:val="00B369E7"/>
    <w:rsid w:val="00B370F2"/>
    <w:rsid w:val="00B4021C"/>
    <w:rsid w:val="00B402B5"/>
    <w:rsid w:val="00B40F5E"/>
    <w:rsid w:val="00B41A75"/>
    <w:rsid w:val="00B428D7"/>
    <w:rsid w:val="00B42EDC"/>
    <w:rsid w:val="00B44599"/>
    <w:rsid w:val="00B44D6D"/>
    <w:rsid w:val="00B45899"/>
    <w:rsid w:val="00B461A9"/>
    <w:rsid w:val="00B46833"/>
    <w:rsid w:val="00B46EB6"/>
    <w:rsid w:val="00B46FC3"/>
    <w:rsid w:val="00B478FA"/>
    <w:rsid w:val="00B505EC"/>
    <w:rsid w:val="00B51088"/>
    <w:rsid w:val="00B53D19"/>
    <w:rsid w:val="00B54749"/>
    <w:rsid w:val="00B54B25"/>
    <w:rsid w:val="00B54C0E"/>
    <w:rsid w:val="00B54DD9"/>
    <w:rsid w:val="00B55DDE"/>
    <w:rsid w:val="00B56C97"/>
    <w:rsid w:val="00B571B3"/>
    <w:rsid w:val="00B57CB2"/>
    <w:rsid w:val="00B603AE"/>
    <w:rsid w:val="00B60506"/>
    <w:rsid w:val="00B60638"/>
    <w:rsid w:val="00B6165E"/>
    <w:rsid w:val="00B6200B"/>
    <w:rsid w:val="00B62832"/>
    <w:rsid w:val="00B63D4B"/>
    <w:rsid w:val="00B65107"/>
    <w:rsid w:val="00B6583C"/>
    <w:rsid w:val="00B664D4"/>
    <w:rsid w:val="00B720DC"/>
    <w:rsid w:val="00B723FE"/>
    <w:rsid w:val="00B72A46"/>
    <w:rsid w:val="00B75978"/>
    <w:rsid w:val="00B75E82"/>
    <w:rsid w:val="00B761AA"/>
    <w:rsid w:val="00B767B3"/>
    <w:rsid w:val="00B77B9F"/>
    <w:rsid w:val="00B819EC"/>
    <w:rsid w:val="00B81B78"/>
    <w:rsid w:val="00B8256C"/>
    <w:rsid w:val="00B8298E"/>
    <w:rsid w:val="00B832D6"/>
    <w:rsid w:val="00B837A6"/>
    <w:rsid w:val="00B83C9E"/>
    <w:rsid w:val="00B84E15"/>
    <w:rsid w:val="00B854B8"/>
    <w:rsid w:val="00B855F8"/>
    <w:rsid w:val="00B858C8"/>
    <w:rsid w:val="00B86DA0"/>
    <w:rsid w:val="00B900C8"/>
    <w:rsid w:val="00B90813"/>
    <w:rsid w:val="00B91067"/>
    <w:rsid w:val="00B912B1"/>
    <w:rsid w:val="00B940FB"/>
    <w:rsid w:val="00B9414A"/>
    <w:rsid w:val="00B971C3"/>
    <w:rsid w:val="00B976C4"/>
    <w:rsid w:val="00B97B2B"/>
    <w:rsid w:val="00BA005A"/>
    <w:rsid w:val="00BA00A6"/>
    <w:rsid w:val="00BA00BF"/>
    <w:rsid w:val="00BA04EB"/>
    <w:rsid w:val="00BA08D5"/>
    <w:rsid w:val="00BA096F"/>
    <w:rsid w:val="00BA12EE"/>
    <w:rsid w:val="00BA292B"/>
    <w:rsid w:val="00BA35BA"/>
    <w:rsid w:val="00BA363D"/>
    <w:rsid w:val="00BA3B99"/>
    <w:rsid w:val="00BA430D"/>
    <w:rsid w:val="00BA440A"/>
    <w:rsid w:val="00BA44DD"/>
    <w:rsid w:val="00BA4522"/>
    <w:rsid w:val="00BA45BB"/>
    <w:rsid w:val="00BA4C4F"/>
    <w:rsid w:val="00BA580C"/>
    <w:rsid w:val="00BA5FC9"/>
    <w:rsid w:val="00BA78C3"/>
    <w:rsid w:val="00BA7ABB"/>
    <w:rsid w:val="00BB0881"/>
    <w:rsid w:val="00BB0C58"/>
    <w:rsid w:val="00BB1601"/>
    <w:rsid w:val="00BB19ED"/>
    <w:rsid w:val="00BB2054"/>
    <w:rsid w:val="00BB2068"/>
    <w:rsid w:val="00BB3072"/>
    <w:rsid w:val="00BB33D3"/>
    <w:rsid w:val="00BB43B9"/>
    <w:rsid w:val="00BB5707"/>
    <w:rsid w:val="00BB5BDA"/>
    <w:rsid w:val="00BB5C2D"/>
    <w:rsid w:val="00BB5C9E"/>
    <w:rsid w:val="00BB6003"/>
    <w:rsid w:val="00BB6D6D"/>
    <w:rsid w:val="00BB70BA"/>
    <w:rsid w:val="00BB7E9F"/>
    <w:rsid w:val="00BC0DC0"/>
    <w:rsid w:val="00BC0DF0"/>
    <w:rsid w:val="00BC1EA1"/>
    <w:rsid w:val="00BC3276"/>
    <w:rsid w:val="00BC3FC0"/>
    <w:rsid w:val="00BC4E3D"/>
    <w:rsid w:val="00BC511E"/>
    <w:rsid w:val="00BC525D"/>
    <w:rsid w:val="00BC5CD1"/>
    <w:rsid w:val="00BC7270"/>
    <w:rsid w:val="00BC7C51"/>
    <w:rsid w:val="00BC7CA4"/>
    <w:rsid w:val="00BD0106"/>
    <w:rsid w:val="00BD12A4"/>
    <w:rsid w:val="00BD1D7A"/>
    <w:rsid w:val="00BD2AD5"/>
    <w:rsid w:val="00BD3330"/>
    <w:rsid w:val="00BD37B2"/>
    <w:rsid w:val="00BE0F39"/>
    <w:rsid w:val="00BE2AB9"/>
    <w:rsid w:val="00BE36F3"/>
    <w:rsid w:val="00BE3A8A"/>
    <w:rsid w:val="00BE4180"/>
    <w:rsid w:val="00BE63CA"/>
    <w:rsid w:val="00BE6B66"/>
    <w:rsid w:val="00BE7DF2"/>
    <w:rsid w:val="00BF0700"/>
    <w:rsid w:val="00BF0EA8"/>
    <w:rsid w:val="00BF0FE4"/>
    <w:rsid w:val="00BF1E51"/>
    <w:rsid w:val="00BF1FF9"/>
    <w:rsid w:val="00BF21C4"/>
    <w:rsid w:val="00BF5311"/>
    <w:rsid w:val="00BF729F"/>
    <w:rsid w:val="00C00B9D"/>
    <w:rsid w:val="00C02432"/>
    <w:rsid w:val="00C029AC"/>
    <w:rsid w:val="00C029DC"/>
    <w:rsid w:val="00C02A8D"/>
    <w:rsid w:val="00C047FA"/>
    <w:rsid w:val="00C0529A"/>
    <w:rsid w:val="00C0594E"/>
    <w:rsid w:val="00C05E60"/>
    <w:rsid w:val="00C07268"/>
    <w:rsid w:val="00C073C5"/>
    <w:rsid w:val="00C078C7"/>
    <w:rsid w:val="00C116E5"/>
    <w:rsid w:val="00C1271F"/>
    <w:rsid w:val="00C1288C"/>
    <w:rsid w:val="00C12F93"/>
    <w:rsid w:val="00C132EF"/>
    <w:rsid w:val="00C14C8D"/>
    <w:rsid w:val="00C15E2D"/>
    <w:rsid w:val="00C1764F"/>
    <w:rsid w:val="00C178FD"/>
    <w:rsid w:val="00C17BC8"/>
    <w:rsid w:val="00C20EC6"/>
    <w:rsid w:val="00C21653"/>
    <w:rsid w:val="00C218C8"/>
    <w:rsid w:val="00C23051"/>
    <w:rsid w:val="00C24F6E"/>
    <w:rsid w:val="00C263F0"/>
    <w:rsid w:val="00C30B2D"/>
    <w:rsid w:val="00C3108D"/>
    <w:rsid w:val="00C31262"/>
    <w:rsid w:val="00C32D7E"/>
    <w:rsid w:val="00C32EE3"/>
    <w:rsid w:val="00C3341D"/>
    <w:rsid w:val="00C34A7D"/>
    <w:rsid w:val="00C3507E"/>
    <w:rsid w:val="00C35CA0"/>
    <w:rsid w:val="00C40300"/>
    <w:rsid w:val="00C403F8"/>
    <w:rsid w:val="00C40550"/>
    <w:rsid w:val="00C43BE0"/>
    <w:rsid w:val="00C440E4"/>
    <w:rsid w:val="00C4421D"/>
    <w:rsid w:val="00C445E7"/>
    <w:rsid w:val="00C44B51"/>
    <w:rsid w:val="00C45BB9"/>
    <w:rsid w:val="00C45E4B"/>
    <w:rsid w:val="00C468D7"/>
    <w:rsid w:val="00C4706E"/>
    <w:rsid w:val="00C500A8"/>
    <w:rsid w:val="00C505EE"/>
    <w:rsid w:val="00C508E6"/>
    <w:rsid w:val="00C51A35"/>
    <w:rsid w:val="00C520BD"/>
    <w:rsid w:val="00C521AB"/>
    <w:rsid w:val="00C53A16"/>
    <w:rsid w:val="00C53FED"/>
    <w:rsid w:val="00C54578"/>
    <w:rsid w:val="00C5520F"/>
    <w:rsid w:val="00C55D05"/>
    <w:rsid w:val="00C5755F"/>
    <w:rsid w:val="00C60463"/>
    <w:rsid w:val="00C60BBC"/>
    <w:rsid w:val="00C61048"/>
    <w:rsid w:val="00C618F4"/>
    <w:rsid w:val="00C61A1C"/>
    <w:rsid w:val="00C622BF"/>
    <w:rsid w:val="00C62C9F"/>
    <w:rsid w:val="00C654A3"/>
    <w:rsid w:val="00C67004"/>
    <w:rsid w:val="00C671F6"/>
    <w:rsid w:val="00C71885"/>
    <w:rsid w:val="00C71A37"/>
    <w:rsid w:val="00C72746"/>
    <w:rsid w:val="00C72CC6"/>
    <w:rsid w:val="00C73120"/>
    <w:rsid w:val="00C7321F"/>
    <w:rsid w:val="00C76878"/>
    <w:rsid w:val="00C772E7"/>
    <w:rsid w:val="00C77492"/>
    <w:rsid w:val="00C80013"/>
    <w:rsid w:val="00C801D3"/>
    <w:rsid w:val="00C80333"/>
    <w:rsid w:val="00C807DC"/>
    <w:rsid w:val="00C8086D"/>
    <w:rsid w:val="00C80CB3"/>
    <w:rsid w:val="00C81A9C"/>
    <w:rsid w:val="00C85DB6"/>
    <w:rsid w:val="00C8682C"/>
    <w:rsid w:val="00C87525"/>
    <w:rsid w:val="00C87EB2"/>
    <w:rsid w:val="00C905CE"/>
    <w:rsid w:val="00C90E6B"/>
    <w:rsid w:val="00C919B8"/>
    <w:rsid w:val="00C91C72"/>
    <w:rsid w:val="00C92780"/>
    <w:rsid w:val="00C93842"/>
    <w:rsid w:val="00C942EE"/>
    <w:rsid w:val="00C9492C"/>
    <w:rsid w:val="00C9546C"/>
    <w:rsid w:val="00C959E8"/>
    <w:rsid w:val="00C95DEF"/>
    <w:rsid w:val="00C96D9C"/>
    <w:rsid w:val="00C97233"/>
    <w:rsid w:val="00CA1A10"/>
    <w:rsid w:val="00CA4768"/>
    <w:rsid w:val="00CA520C"/>
    <w:rsid w:val="00CB01E4"/>
    <w:rsid w:val="00CB04C9"/>
    <w:rsid w:val="00CB0A1E"/>
    <w:rsid w:val="00CB1359"/>
    <w:rsid w:val="00CB2CA9"/>
    <w:rsid w:val="00CB31BC"/>
    <w:rsid w:val="00CB38BB"/>
    <w:rsid w:val="00CB4582"/>
    <w:rsid w:val="00CB4584"/>
    <w:rsid w:val="00CB4C55"/>
    <w:rsid w:val="00CB4CEC"/>
    <w:rsid w:val="00CB6754"/>
    <w:rsid w:val="00CB735C"/>
    <w:rsid w:val="00CB7CB3"/>
    <w:rsid w:val="00CC1823"/>
    <w:rsid w:val="00CC2206"/>
    <w:rsid w:val="00CC2517"/>
    <w:rsid w:val="00CC27C5"/>
    <w:rsid w:val="00CC31F0"/>
    <w:rsid w:val="00CC3859"/>
    <w:rsid w:val="00CC3DEC"/>
    <w:rsid w:val="00CC4472"/>
    <w:rsid w:val="00CC4517"/>
    <w:rsid w:val="00CC4FF9"/>
    <w:rsid w:val="00CC53B6"/>
    <w:rsid w:val="00CC5440"/>
    <w:rsid w:val="00CC580F"/>
    <w:rsid w:val="00CC5997"/>
    <w:rsid w:val="00CC61A0"/>
    <w:rsid w:val="00CC69AB"/>
    <w:rsid w:val="00CC7F0B"/>
    <w:rsid w:val="00CD0BDE"/>
    <w:rsid w:val="00CD0EC7"/>
    <w:rsid w:val="00CD0F86"/>
    <w:rsid w:val="00CD1008"/>
    <w:rsid w:val="00CD1F54"/>
    <w:rsid w:val="00CD581A"/>
    <w:rsid w:val="00CD5852"/>
    <w:rsid w:val="00CD7273"/>
    <w:rsid w:val="00CE06E8"/>
    <w:rsid w:val="00CE0A8A"/>
    <w:rsid w:val="00CE0BF3"/>
    <w:rsid w:val="00CE1149"/>
    <w:rsid w:val="00CE166A"/>
    <w:rsid w:val="00CE1A68"/>
    <w:rsid w:val="00CE1F2B"/>
    <w:rsid w:val="00CE2002"/>
    <w:rsid w:val="00CE2078"/>
    <w:rsid w:val="00CE207F"/>
    <w:rsid w:val="00CE24DA"/>
    <w:rsid w:val="00CE25C3"/>
    <w:rsid w:val="00CE2E8A"/>
    <w:rsid w:val="00CE2EA1"/>
    <w:rsid w:val="00CE34E9"/>
    <w:rsid w:val="00CE3708"/>
    <w:rsid w:val="00CE3F42"/>
    <w:rsid w:val="00CE478F"/>
    <w:rsid w:val="00CE50A0"/>
    <w:rsid w:val="00CE55B5"/>
    <w:rsid w:val="00CE5A7A"/>
    <w:rsid w:val="00CE5CF1"/>
    <w:rsid w:val="00CE617E"/>
    <w:rsid w:val="00CE622C"/>
    <w:rsid w:val="00CE634D"/>
    <w:rsid w:val="00CE65F9"/>
    <w:rsid w:val="00CE6BC8"/>
    <w:rsid w:val="00CE709B"/>
    <w:rsid w:val="00CF02F1"/>
    <w:rsid w:val="00CF0DDF"/>
    <w:rsid w:val="00CF17A7"/>
    <w:rsid w:val="00CF51D4"/>
    <w:rsid w:val="00CF59B4"/>
    <w:rsid w:val="00CF5DAA"/>
    <w:rsid w:val="00CF6675"/>
    <w:rsid w:val="00CF791F"/>
    <w:rsid w:val="00CF7F65"/>
    <w:rsid w:val="00D00AF9"/>
    <w:rsid w:val="00D013E1"/>
    <w:rsid w:val="00D018C9"/>
    <w:rsid w:val="00D01932"/>
    <w:rsid w:val="00D0265E"/>
    <w:rsid w:val="00D02E3A"/>
    <w:rsid w:val="00D06032"/>
    <w:rsid w:val="00D060B1"/>
    <w:rsid w:val="00D0709C"/>
    <w:rsid w:val="00D07B54"/>
    <w:rsid w:val="00D07C76"/>
    <w:rsid w:val="00D10932"/>
    <w:rsid w:val="00D1097B"/>
    <w:rsid w:val="00D1122D"/>
    <w:rsid w:val="00D11431"/>
    <w:rsid w:val="00D127FD"/>
    <w:rsid w:val="00D13D9C"/>
    <w:rsid w:val="00D168F0"/>
    <w:rsid w:val="00D1790C"/>
    <w:rsid w:val="00D202DB"/>
    <w:rsid w:val="00D205DC"/>
    <w:rsid w:val="00D211AB"/>
    <w:rsid w:val="00D21B4B"/>
    <w:rsid w:val="00D22860"/>
    <w:rsid w:val="00D240DA"/>
    <w:rsid w:val="00D24AF5"/>
    <w:rsid w:val="00D2584A"/>
    <w:rsid w:val="00D25F4D"/>
    <w:rsid w:val="00D30B1F"/>
    <w:rsid w:val="00D30D2B"/>
    <w:rsid w:val="00D30E6E"/>
    <w:rsid w:val="00D313E6"/>
    <w:rsid w:val="00D32130"/>
    <w:rsid w:val="00D32C51"/>
    <w:rsid w:val="00D33851"/>
    <w:rsid w:val="00D33A0A"/>
    <w:rsid w:val="00D342F2"/>
    <w:rsid w:val="00D343DB"/>
    <w:rsid w:val="00D35090"/>
    <w:rsid w:val="00D3607D"/>
    <w:rsid w:val="00D36294"/>
    <w:rsid w:val="00D364FB"/>
    <w:rsid w:val="00D372FD"/>
    <w:rsid w:val="00D37925"/>
    <w:rsid w:val="00D42492"/>
    <w:rsid w:val="00D428B0"/>
    <w:rsid w:val="00D45C86"/>
    <w:rsid w:val="00D46004"/>
    <w:rsid w:val="00D500D4"/>
    <w:rsid w:val="00D53186"/>
    <w:rsid w:val="00D543BE"/>
    <w:rsid w:val="00D54689"/>
    <w:rsid w:val="00D547BA"/>
    <w:rsid w:val="00D54B99"/>
    <w:rsid w:val="00D55100"/>
    <w:rsid w:val="00D5543E"/>
    <w:rsid w:val="00D55765"/>
    <w:rsid w:val="00D56395"/>
    <w:rsid w:val="00D57693"/>
    <w:rsid w:val="00D60F79"/>
    <w:rsid w:val="00D60FBF"/>
    <w:rsid w:val="00D629D4"/>
    <w:rsid w:val="00D63BE6"/>
    <w:rsid w:val="00D6526E"/>
    <w:rsid w:val="00D65F39"/>
    <w:rsid w:val="00D67A2F"/>
    <w:rsid w:val="00D67B92"/>
    <w:rsid w:val="00D70DA4"/>
    <w:rsid w:val="00D71F57"/>
    <w:rsid w:val="00D726C9"/>
    <w:rsid w:val="00D72A67"/>
    <w:rsid w:val="00D72A7F"/>
    <w:rsid w:val="00D746E2"/>
    <w:rsid w:val="00D74B66"/>
    <w:rsid w:val="00D74D2D"/>
    <w:rsid w:val="00D750F1"/>
    <w:rsid w:val="00D81868"/>
    <w:rsid w:val="00D8191E"/>
    <w:rsid w:val="00D82309"/>
    <w:rsid w:val="00D828B0"/>
    <w:rsid w:val="00D82A99"/>
    <w:rsid w:val="00D836FB"/>
    <w:rsid w:val="00D84718"/>
    <w:rsid w:val="00D84E09"/>
    <w:rsid w:val="00D870A3"/>
    <w:rsid w:val="00D877BA"/>
    <w:rsid w:val="00D905F5"/>
    <w:rsid w:val="00D906C1"/>
    <w:rsid w:val="00D908E4"/>
    <w:rsid w:val="00D90BEE"/>
    <w:rsid w:val="00D91272"/>
    <w:rsid w:val="00D91481"/>
    <w:rsid w:val="00D93D4C"/>
    <w:rsid w:val="00D957C3"/>
    <w:rsid w:val="00D9693F"/>
    <w:rsid w:val="00DA0E79"/>
    <w:rsid w:val="00DA17A6"/>
    <w:rsid w:val="00DA1B1F"/>
    <w:rsid w:val="00DA1D8E"/>
    <w:rsid w:val="00DA2C68"/>
    <w:rsid w:val="00DA3218"/>
    <w:rsid w:val="00DA3348"/>
    <w:rsid w:val="00DA43C8"/>
    <w:rsid w:val="00DA4A77"/>
    <w:rsid w:val="00DA5CA1"/>
    <w:rsid w:val="00DA5F30"/>
    <w:rsid w:val="00DA65CD"/>
    <w:rsid w:val="00DA6F89"/>
    <w:rsid w:val="00DA79A7"/>
    <w:rsid w:val="00DB1C75"/>
    <w:rsid w:val="00DB210F"/>
    <w:rsid w:val="00DB24AE"/>
    <w:rsid w:val="00DB3982"/>
    <w:rsid w:val="00DB4301"/>
    <w:rsid w:val="00DB5355"/>
    <w:rsid w:val="00DB54F5"/>
    <w:rsid w:val="00DB5E56"/>
    <w:rsid w:val="00DB62B5"/>
    <w:rsid w:val="00DB658F"/>
    <w:rsid w:val="00DB6E82"/>
    <w:rsid w:val="00DC22C8"/>
    <w:rsid w:val="00DC3BEC"/>
    <w:rsid w:val="00DC6BDA"/>
    <w:rsid w:val="00DC73E3"/>
    <w:rsid w:val="00DC770D"/>
    <w:rsid w:val="00DC7F78"/>
    <w:rsid w:val="00DD0BE4"/>
    <w:rsid w:val="00DD214B"/>
    <w:rsid w:val="00DD2786"/>
    <w:rsid w:val="00DD4AF2"/>
    <w:rsid w:val="00DD5127"/>
    <w:rsid w:val="00DD5374"/>
    <w:rsid w:val="00DD586D"/>
    <w:rsid w:val="00DD5B44"/>
    <w:rsid w:val="00DD61E7"/>
    <w:rsid w:val="00DD64B4"/>
    <w:rsid w:val="00DD664B"/>
    <w:rsid w:val="00DD70E0"/>
    <w:rsid w:val="00DD7228"/>
    <w:rsid w:val="00DD75E0"/>
    <w:rsid w:val="00DD7D37"/>
    <w:rsid w:val="00DE043C"/>
    <w:rsid w:val="00DE12E6"/>
    <w:rsid w:val="00DE156F"/>
    <w:rsid w:val="00DE15E2"/>
    <w:rsid w:val="00DE1616"/>
    <w:rsid w:val="00DE3D07"/>
    <w:rsid w:val="00DE43C6"/>
    <w:rsid w:val="00DE4EE8"/>
    <w:rsid w:val="00DE53BB"/>
    <w:rsid w:val="00DE5F9F"/>
    <w:rsid w:val="00DE6678"/>
    <w:rsid w:val="00DE6716"/>
    <w:rsid w:val="00DE7706"/>
    <w:rsid w:val="00DE7FBB"/>
    <w:rsid w:val="00DF3442"/>
    <w:rsid w:val="00DF3B63"/>
    <w:rsid w:val="00DF43D2"/>
    <w:rsid w:val="00DF4977"/>
    <w:rsid w:val="00DF7020"/>
    <w:rsid w:val="00DF73C2"/>
    <w:rsid w:val="00DF7486"/>
    <w:rsid w:val="00DF74E8"/>
    <w:rsid w:val="00DF7C32"/>
    <w:rsid w:val="00E00497"/>
    <w:rsid w:val="00E018D6"/>
    <w:rsid w:val="00E028B3"/>
    <w:rsid w:val="00E03792"/>
    <w:rsid w:val="00E03803"/>
    <w:rsid w:val="00E04DB2"/>
    <w:rsid w:val="00E0580B"/>
    <w:rsid w:val="00E06307"/>
    <w:rsid w:val="00E0642A"/>
    <w:rsid w:val="00E10481"/>
    <w:rsid w:val="00E10FA8"/>
    <w:rsid w:val="00E13EED"/>
    <w:rsid w:val="00E148B0"/>
    <w:rsid w:val="00E15059"/>
    <w:rsid w:val="00E15DE4"/>
    <w:rsid w:val="00E21068"/>
    <w:rsid w:val="00E21220"/>
    <w:rsid w:val="00E21F1A"/>
    <w:rsid w:val="00E226D9"/>
    <w:rsid w:val="00E22F70"/>
    <w:rsid w:val="00E24131"/>
    <w:rsid w:val="00E24310"/>
    <w:rsid w:val="00E24D19"/>
    <w:rsid w:val="00E24FF5"/>
    <w:rsid w:val="00E2504C"/>
    <w:rsid w:val="00E25500"/>
    <w:rsid w:val="00E269F0"/>
    <w:rsid w:val="00E27EA8"/>
    <w:rsid w:val="00E30934"/>
    <w:rsid w:val="00E3245F"/>
    <w:rsid w:val="00E33038"/>
    <w:rsid w:val="00E33126"/>
    <w:rsid w:val="00E33C0F"/>
    <w:rsid w:val="00E34077"/>
    <w:rsid w:val="00E346A0"/>
    <w:rsid w:val="00E34DC9"/>
    <w:rsid w:val="00E3520A"/>
    <w:rsid w:val="00E35E6C"/>
    <w:rsid w:val="00E364D6"/>
    <w:rsid w:val="00E40530"/>
    <w:rsid w:val="00E41B21"/>
    <w:rsid w:val="00E420B8"/>
    <w:rsid w:val="00E42171"/>
    <w:rsid w:val="00E4304C"/>
    <w:rsid w:val="00E44A62"/>
    <w:rsid w:val="00E45637"/>
    <w:rsid w:val="00E4573E"/>
    <w:rsid w:val="00E45944"/>
    <w:rsid w:val="00E45CCA"/>
    <w:rsid w:val="00E46551"/>
    <w:rsid w:val="00E47B72"/>
    <w:rsid w:val="00E47BF8"/>
    <w:rsid w:val="00E47EF2"/>
    <w:rsid w:val="00E51AE9"/>
    <w:rsid w:val="00E52C5F"/>
    <w:rsid w:val="00E53322"/>
    <w:rsid w:val="00E538C1"/>
    <w:rsid w:val="00E539FC"/>
    <w:rsid w:val="00E5466B"/>
    <w:rsid w:val="00E5555C"/>
    <w:rsid w:val="00E55845"/>
    <w:rsid w:val="00E56890"/>
    <w:rsid w:val="00E568DE"/>
    <w:rsid w:val="00E572F7"/>
    <w:rsid w:val="00E57318"/>
    <w:rsid w:val="00E57BA9"/>
    <w:rsid w:val="00E57FE7"/>
    <w:rsid w:val="00E61321"/>
    <w:rsid w:val="00E619E8"/>
    <w:rsid w:val="00E61B56"/>
    <w:rsid w:val="00E62589"/>
    <w:rsid w:val="00E62DC8"/>
    <w:rsid w:val="00E62DF2"/>
    <w:rsid w:val="00E63ADE"/>
    <w:rsid w:val="00E6466B"/>
    <w:rsid w:val="00E6496F"/>
    <w:rsid w:val="00E649C3"/>
    <w:rsid w:val="00E65F98"/>
    <w:rsid w:val="00E6615E"/>
    <w:rsid w:val="00E66604"/>
    <w:rsid w:val="00E66DB6"/>
    <w:rsid w:val="00E67141"/>
    <w:rsid w:val="00E67E25"/>
    <w:rsid w:val="00E70260"/>
    <w:rsid w:val="00E7042B"/>
    <w:rsid w:val="00E70775"/>
    <w:rsid w:val="00E70A6B"/>
    <w:rsid w:val="00E70BF3"/>
    <w:rsid w:val="00E71AC8"/>
    <w:rsid w:val="00E71F4A"/>
    <w:rsid w:val="00E72ABC"/>
    <w:rsid w:val="00E73703"/>
    <w:rsid w:val="00E74FAD"/>
    <w:rsid w:val="00E753D3"/>
    <w:rsid w:val="00E7597B"/>
    <w:rsid w:val="00E76670"/>
    <w:rsid w:val="00E76C04"/>
    <w:rsid w:val="00E8076D"/>
    <w:rsid w:val="00E820F3"/>
    <w:rsid w:val="00E8330C"/>
    <w:rsid w:val="00E84AE7"/>
    <w:rsid w:val="00E84DDC"/>
    <w:rsid w:val="00E84EDB"/>
    <w:rsid w:val="00E91DDD"/>
    <w:rsid w:val="00E922FE"/>
    <w:rsid w:val="00E92323"/>
    <w:rsid w:val="00E9233B"/>
    <w:rsid w:val="00E92360"/>
    <w:rsid w:val="00E93FF6"/>
    <w:rsid w:val="00E94368"/>
    <w:rsid w:val="00E94411"/>
    <w:rsid w:val="00E94987"/>
    <w:rsid w:val="00E94E20"/>
    <w:rsid w:val="00E94F85"/>
    <w:rsid w:val="00E9569B"/>
    <w:rsid w:val="00EA083C"/>
    <w:rsid w:val="00EA10A2"/>
    <w:rsid w:val="00EA1187"/>
    <w:rsid w:val="00EA12CA"/>
    <w:rsid w:val="00EA159B"/>
    <w:rsid w:val="00EA1E06"/>
    <w:rsid w:val="00EA2253"/>
    <w:rsid w:val="00EA2890"/>
    <w:rsid w:val="00EA2CE8"/>
    <w:rsid w:val="00EA3F79"/>
    <w:rsid w:val="00EA4B66"/>
    <w:rsid w:val="00EA4BAE"/>
    <w:rsid w:val="00EA50F1"/>
    <w:rsid w:val="00EA6742"/>
    <w:rsid w:val="00EA7A30"/>
    <w:rsid w:val="00EB027C"/>
    <w:rsid w:val="00EB0862"/>
    <w:rsid w:val="00EB0B20"/>
    <w:rsid w:val="00EB3627"/>
    <w:rsid w:val="00EB5157"/>
    <w:rsid w:val="00EB5CF6"/>
    <w:rsid w:val="00EB6366"/>
    <w:rsid w:val="00EB64AE"/>
    <w:rsid w:val="00EB6781"/>
    <w:rsid w:val="00EB7256"/>
    <w:rsid w:val="00EC06C8"/>
    <w:rsid w:val="00EC1A91"/>
    <w:rsid w:val="00EC254D"/>
    <w:rsid w:val="00EC2CB6"/>
    <w:rsid w:val="00EC2CD0"/>
    <w:rsid w:val="00EC3AA7"/>
    <w:rsid w:val="00EC3AB4"/>
    <w:rsid w:val="00EC4C79"/>
    <w:rsid w:val="00EC5257"/>
    <w:rsid w:val="00EC5308"/>
    <w:rsid w:val="00EC5B5B"/>
    <w:rsid w:val="00EC5FDB"/>
    <w:rsid w:val="00EC62E7"/>
    <w:rsid w:val="00EC7C17"/>
    <w:rsid w:val="00EC7E43"/>
    <w:rsid w:val="00ED02B8"/>
    <w:rsid w:val="00ED0AF4"/>
    <w:rsid w:val="00ED2D1F"/>
    <w:rsid w:val="00ED2ED7"/>
    <w:rsid w:val="00ED3F17"/>
    <w:rsid w:val="00ED4EA2"/>
    <w:rsid w:val="00ED55F1"/>
    <w:rsid w:val="00ED58FE"/>
    <w:rsid w:val="00ED5B58"/>
    <w:rsid w:val="00ED5E42"/>
    <w:rsid w:val="00ED7281"/>
    <w:rsid w:val="00ED75AB"/>
    <w:rsid w:val="00ED7971"/>
    <w:rsid w:val="00EE0C5D"/>
    <w:rsid w:val="00EE109C"/>
    <w:rsid w:val="00EE1607"/>
    <w:rsid w:val="00EE1B32"/>
    <w:rsid w:val="00EE2345"/>
    <w:rsid w:val="00EE29C3"/>
    <w:rsid w:val="00EE3294"/>
    <w:rsid w:val="00EE48D2"/>
    <w:rsid w:val="00EE4B56"/>
    <w:rsid w:val="00EE59EA"/>
    <w:rsid w:val="00EE601B"/>
    <w:rsid w:val="00EE7F52"/>
    <w:rsid w:val="00EE7F94"/>
    <w:rsid w:val="00EF1D38"/>
    <w:rsid w:val="00EF2440"/>
    <w:rsid w:val="00EF2C6F"/>
    <w:rsid w:val="00EF334F"/>
    <w:rsid w:val="00EF378F"/>
    <w:rsid w:val="00EF4845"/>
    <w:rsid w:val="00EF4A7B"/>
    <w:rsid w:val="00EF52AD"/>
    <w:rsid w:val="00EF5932"/>
    <w:rsid w:val="00EF5F2F"/>
    <w:rsid w:val="00EF6423"/>
    <w:rsid w:val="00EF7B31"/>
    <w:rsid w:val="00F005B5"/>
    <w:rsid w:val="00F00D5B"/>
    <w:rsid w:val="00F0330A"/>
    <w:rsid w:val="00F04204"/>
    <w:rsid w:val="00F04468"/>
    <w:rsid w:val="00F0507B"/>
    <w:rsid w:val="00F061EE"/>
    <w:rsid w:val="00F061FF"/>
    <w:rsid w:val="00F0642C"/>
    <w:rsid w:val="00F06A14"/>
    <w:rsid w:val="00F06D5B"/>
    <w:rsid w:val="00F10405"/>
    <w:rsid w:val="00F11203"/>
    <w:rsid w:val="00F12874"/>
    <w:rsid w:val="00F13532"/>
    <w:rsid w:val="00F141D2"/>
    <w:rsid w:val="00F145E8"/>
    <w:rsid w:val="00F14E94"/>
    <w:rsid w:val="00F150E7"/>
    <w:rsid w:val="00F15356"/>
    <w:rsid w:val="00F15E6B"/>
    <w:rsid w:val="00F16AFB"/>
    <w:rsid w:val="00F17655"/>
    <w:rsid w:val="00F20875"/>
    <w:rsid w:val="00F23746"/>
    <w:rsid w:val="00F2422C"/>
    <w:rsid w:val="00F25347"/>
    <w:rsid w:val="00F259C8"/>
    <w:rsid w:val="00F25AE3"/>
    <w:rsid w:val="00F26154"/>
    <w:rsid w:val="00F2618A"/>
    <w:rsid w:val="00F27B84"/>
    <w:rsid w:val="00F31210"/>
    <w:rsid w:val="00F31E61"/>
    <w:rsid w:val="00F32B84"/>
    <w:rsid w:val="00F338C1"/>
    <w:rsid w:val="00F33CEA"/>
    <w:rsid w:val="00F34FFB"/>
    <w:rsid w:val="00F36CC7"/>
    <w:rsid w:val="00F36F23"/>
    <w:rsid w:val="00F37648"/>
    <w:rsid w:val="00F37656"/>
    <w:rsid w:val="00F401A3"/>
    <w:rsid w:val="00F412D6"/>
    <w:rsid w:val="00F41907"/>
    <w:rsid w:val="00F437BA"/>
    <w:rsid w:val="00F439D5"/>
    <w:rsid w:val="00F44FB5"/>
    <w:rsid w:val="00F46971"/>
    <w:rsid w:val="00F46A20"/>
    <w:rsid w:val="00F46A4C"/>
    <w:rsid w:val="00F47F80"/>
    <w:rsid w:val="00F511D3"/>
    <w:rsid w:val="00F5144A"/>
    <w:rsid w:val="00F51C37"/>
    <w:rsid w:val="00F5278E"/>
    <w:rsid w:val="00F533B0"/>
    <w:rsid w:val="00F53536"/>
    <w:rsid w:val="00F54128"/>
    <w:rsid w:val="00F5421A"/>
    <w:rsid w:val="00F54EBB"/>
    <w:rsid w:val="00F54F9D"/>
    <w:rsid w:val="00F55BED"/>
    <w:rsid w:val="00F55FB0"/>
    <w:rsid w:val="00F5707E"/>
    <w:rsid w:val="00F57C85"/>
    <w:rsid w:val="00F610A4"/>
    <w:rsid w:val="00F623CB"/>
    <w:rsid w:val="00F631D2"/>
    <w:rsid w:val="00F63297"/>
    <w:rsid w:val="00F639F4"/>
    <w:rsid w:val="00F63FC9"/>
    <w:rsid w:val="00F64761"/>
    <w:rsid w:val="00F648D2"/>
    <w:rsid w:val="00F64CF2"/>
    <w:rsid w:val="00F651E8"/>
    <w:rsid w:val="00F65329"/>
    <w:rsid w:val="00F662D9"/>
    <w:rsid w:val="00F670E4"/>
    <w:rsid w:val="00F714CF"/>
    <w:rsid w:val="00F71A5E"/>
    <w:rsid w:val="00F7276B"/>
    <w:rsid w:val="00F72DBF"/>
    <w:rsid w:val="00F73CA0"/>
    <w:rsid w:val="00F75F6A"/>
    <w:rsid w:val="00F80B8D"/>
    <w:rsid w:val="00F81205"/>
    <w:rsid w:val="00F81D17"/>
    <w:rsid w:val="00F8295A"/>
    <w:rsid w:val="00F83D74"/>
    <w:rsid w:val="00F840C6"/>
    <w:rsid w:val="00F854FF"/>
    <w:rsid w:val="00F8561F"/>
    <w:rsid w:val="00F865D7"/>
    <w:rsid w:val="00F865DF"/>
    <w:rsid w:val="00F86B3A"/>
    <w:rsid w:val="00F87209"/>
    <w:rsid w:val="00F9033F"/>
    <w:rsid w:val="00F90344"/>
    <w:rsid w:val="00F9050D"/>
    <w:rsid w:val="00F91C36"/>
    <w:rsid w:val="00F94802"/>
    <w:rsid w:val="00F94D34"/>
    <w:rsid w:val="00F94E12"/>
    <w:rsid w:val="00F961BC"/>
    <w:rsid w:val="00F962E4"/>
    <w:rsid w:val="00F964A3"/>
    <w:rsid w:val="00F968E3"/>
    <w:rsid w:val="00F970E3"/>
    <w:rsid w:val="00F97881"/>
    <w:rsid w:val="00F97DA1"/>
    <w:rsid w:val="00FA028A"/>
    <w:rsid w:val="00FA21BE"/>
    <w:rsid w:val="00FA2654"/>
    <w:rsid w:val="00FA328F"/>
    <w:rsid w:val="00FA3C46"/>
    <w:rsid w:val="00FA68EF"/>
    <w:rsid w:val="00FA7943"/>
    <w:rsid w:val="00FA7BF1"/>
    <w:rsid w:val="00FB0831"/>
    <w:rsid w:val="00FB0C73"/>
    <w:rsid w:val="00FB1450"/>
    <w:rsid w:val="00FB1784"/>
    <w:rsid w:val="00FB2164"/>
    <w:rsid w:val="00FB28DD"/>
    <w:rsid w:val="00FB3D18"/>
    <w:rsid w:val="00FB3E01"/>
    <w:rsid w:val="00FB4E5A"/>
    <w:rsid w:val="00FB52EB"/>
    <w:rsid w:val="00FB6FA9"/>
    <w:rsid w:val="00FB764B"/>
    <w:rsid w:val="00FC0043"/>
    <w:rsid w:val="00FC0E6E"/>
    <w:rsid w:val="00FC17EC"/>
    <w:rsid w:val="00FC265E"/>
    <w:rsid w:val="00FC3844"/>
    <w:rsid w:val="00FC4606"/>
    <w:rsid w:val="00FC5385"/>
    <w:rsid w:val="00FC6C54"/>
    <w:rsid w:val="00FC6ED9"/>
    <w:rsid w:val="00FC7AFC"/>
    <w:rsid w:val="00FC7BA7"/>
    <w:rsid w:val="00FC7E31"/>
    <w:rsid w:val="00FD00E0"/>
    <w:rsid w:val="00FD0335"/>
    <w:rsid w:val="00FD1058"/>
    <w:rsid w:val="00FD127C"/>
    <w:rsid w:val="00FD2AE1"/>
    <w:rsid w:val="00FD2B72"/>
    <w:rsid w:val="00FD6324"/>
    <w:rsid w:val="00FD690C"/>
    <w:rsid w:val="00FD7DF2"/>
    <w:rsid w:val="00FE0180"/>
    <w:rsid w:val="00FE02A4"/>
    <w:rsid w:val="00FE26CA"/>
    <w:rsid w:val="00FE34AF"/>
    <w:rsid w:val="00FE3601"/>
    <w:rsid w:val="00FE4296"/>
    <w:rsid w:val="00FF150F"/>
    <w:rsid w:val="00FF1589"/>
    <w:rsid w:val="00FF3024"/>
    <w:rsid w:val="00FF3BC6"/>
    <w:rsid w:val="00FF44E2"/>
    <w:rsid w:val="00FF4663"/>
    <w:rsid w:val="00FF4737"/>
    <w:rsid w:val="00FF546F"/>
    <w:rsid w:val="00FF5ABF"/>
    <w:rsid w:val="00FF602D"/>
    <w:rsid w:val="00FF705F"/>
    <w:rsid w:val="00FF77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4A7DAAA7-3723-4457-B35C-BF7C4276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240F30"/>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AD134B"/>
    <w:pPr>
      <w:keepNext/>
      <w:keepLines/>
      <w:spacing w:before="40" w:after="0"/>
      <w:outlineLvl w:val="4"/>
    </w:pPr>
    <w:rPr>
      <w:rFonts w:asciiTheme="majorHAnsi" w:eastAsiaTheme="majorEastAsia" w:hAnsiTheme="majorHAnsi" w:cstheme="majorBidi"/>
      <w:color w:val="AB53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240F30"/>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2C4413"/>
    <w:pPr>
      <w:tabs>
        <w:tab w:val="right" w:leader="dot" w:pos="9622"/>
      </w:tabs>
      <w:spacing w:line="240" w:lineRule="atLeast"/>
      <w:ind w:left="284"/>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0090DA"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57100" w:themeColor="accent1"/>
    </w:rPr>
  </w:style>
  <w:style w:type="paragraph" w:styleId="IntenseQuote">
    <w:name w:val="Intense Quote"/>
    <w:basedOn w:val="Normal"/>
    <w:next w:val="Normal"/>
    <w:link w:val="IntenseQuoteChar"/>
    <w:uiPriority w:val="30"/>
    <w:qFormat/>
    <w:rsid w:val="008E21CC"/>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8E21CC"/>
    <w:rPr>
      <w:b/>
      <w:iCs/>
      <w:color w:val="E57100"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styleId="BalloonText">
    <w:name w:val="Balloon Text"/>
    <w:basedOn w:val="Normal"/>
    <w:link w:val="BalloonTextChar"/>
    <w:uiPriority w:val="99"/>
    <w:semiHidden/>
    <w:unhideWhenUsed/>
    <w:rsid w:val="00FD033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335"/>
    <w:rPr>
      <w:rFonts w:ascii="Segoe UI" w:hAnsi="Segoe UI" w:cs="Segoe UI"/>
      <w:sz w:val="18"/>
      <w:szCs w:val="18"/>
    </w:rPr>
  </w:style>
  <w:style w:type="character" w:styleId="CommentReference">
    <w:name w:val="annotation reference"/>
    <w:basedOn w:val="DefaultParagraphFont"/>
    <w:uiPriority w:val="99"/>
    <w:semiHidden/>
    <w:unhideWhenUsed/>
    <w:rsid w:val="00D00AF9"/>
    <w:rPr>
      <w:sz w:val="16"/>
      <w:szCs w:val="16"/>
    </w:rPr>
  </w:style>
  <w:style w:type="paragraph" w:styleId="CommentText">
    <w:name w:val="annotation text"/>
    <w:basedOn w:val="Normal"/>
    <w:link w:val="CommentTextChar"/>
    <w:uiPriority w:val="99"/>
    <w:semiHidden/>
    <w:unhideWhenUsed/>
    <w:rsid w:val="00D00AF9"/>
    <w:rPr>
      <w:sz w:val="20"/>
      <w:szCs w:val="20"/>
    </w:rPr>
  </w:style>
  <w:style w:type="character" w:customStyle="1" w:styleId="CommentTextChar">
    <w:name w:val="Comment Text Char"/>
    <w:basedOn w:val="DefaultParagraphFont"/>
    <w:link w:val="CommentText"/>
    <w:uiPriority w:val="99"/>
    <w:semiHidden/>
    <w:rsid w:val="00D00AF9"/>
    <w:rPr>
      <w:sz w:val="20"/>
      <w:szCs w:val="20"/>
    </w:rPr>
  </w:style>
  <w:style w:type="paragraph" w:styleId="CommentSubject">
    <w:name w:val="annotation subject"/>
    <w:basedOn w:val="CommentText"/>
    <w:next w:val="CommentText"/>
    <w:link w:val="CommentSubjectChar"/>
    <w:uiPriority w:val="99"/>
    <w:semiHidden/>
    <w:unhideWhenUsed/>
    <w:rsid w:val="00D00AF9"/>
    <w:rPr>
      <w:b/>
      <w:bCs/>
    </w:rPr>
  </w:style>
  <w:style w:type="character" w:customStyle="1" w:styleId="CommentSubjectChar">
    <w:name w:val="Comment Subject Char"/>
    <w:basedOn w:val="CommentTextChar"/>
    <w:link w:val="CommentSubject"/>
    <w:uiPriority w:val="99"/>
    <w:semiHidden/>
    <w:rsid w:val="00D00AF9"/>
    <w:rPr>
      <w:b/>
      <w:bCs/>
      <w:sz w:val="20"/>
      <w:szCs w:val="20"/>
    </w:rPr>
  </w:style>
  <w:style w:type="paragraph" w:styleId="ListParagraph">
    <w:name w:val="List Paragraph"/>
    <w:basedOn w:val="Normal"/>
    <w:link w:val="ListParagraphChar"/>
    <w:uiPriority w:val="34"/>
    <w:qFormat/>
    <w:rsid w:val="00CA4768"/>
    <w:pPr>
      <w:ind w:left="720"/>
      <w:contextualSpacing/>
    </w:pPr>
  </w:style>
  <w:style w:type="character" w:customStyle="1" w:styleId="Heading5Char">
    <w:name w:val="Heading 5 Char"/>
    <w:basedOn w:val="DefaultParagraphFont"/>
    <w:link w:val="Heading5"/>
    <w:uiPriority w:val="9"/>
    <w:rsid w:val="00AD134B"/>
    <w:rPr>
      <w:rFonts w:asciiTheme="majorHAnsi" w:eastAsiaTheme="majorEastAsia" w:hAnsiTheme="majorHAnsi" w:cstheme="majorBidi"/>
      <w:color w:val="AB5300" w:themeColor="accent1" w:themeShade="BF"/>
      <w:sz w:val="22"/>
    </w:rPr>
  </w:style>
  <w:style w:type="character" w:customStyle="1" w:styleId="DETBodyChar">
    <w:name w:val="DET Body Char"/>
    <w:basedOn w:val="DefaultParagraphFont"/>
    <w:link w:val="DETBody"/>
    <w:locked/>
    <w:rsid w:val="00C31262"/>
    <w:rPr>
      <w:rFonts w:ascii="Arial" w:hAnsi="Arial" w:cs="Arial"/>
      <w:color w:val="000000"/>
      <w:sz w:val="20"/>
      <w:szCs w:val="18"/>
      <w:lang w:val="en-AU"/>
    </w:rPr>
  </w:style>
  <w:style w:type="paragraph" w:customStyle="1" w:styleId="DETBody">
    <w:name w:val="DET Body"/>
    <w:link w:val="DETBodyChar"/>
    <w:qFormat/>
    <w:rsid w:val="00C31262"/>
    <w:pPr>
      <w:autoSpaceDE w:val="0"/>
      <w:autoSpaceDN w:val="0"/>
      <w:adjustRightInd w:val="0"/>
      <w:spacing w:after="120" w:line="270" w:lineRule="atLeast"/>
    </w:pPr>
    <w:rPr>
      <w:rFonts w:ascii="Arial" w:hAnsi="Arial" w:cs="Arial"/>
      <w:color w:val="000000"/>
      <w:sz w:val="20"/>
      <w:szCs w:val="18"/>
      <w:lang w:val="en-AU"/>
    </w:rPr>
  </w:style>
  <w:style w:type="character" w:customStyle="1" w:styleId="ListParagraphChar">
    <w:name w:val="List Paragraph Char"/>
    <w:basedOn w:val="DefaultParagraphFont"/>
    <w:link w:val="ListParagraph"/>
    <w:uiPriority w:val="34"/>
    <w:locked/>
    <w:rsid w:val="00B854B8"/>
    <w:rPr>
      <w:sz w:val="22"/>
    </w:rPr>
  </w:style>
  <w:style w:type="paragraph" w:customStyle="1" w:styleId="DETbullet1textbox">
    <w:name w:val="DET bullet 1 text box"/>
    <w:basedOn w:val="Normal"/>
    <w:qFormat/>
    <w:rsid w:val="00482978"/>
    <w:pPr>
      <w:numPr>
        <w:numId w:val="6"/>
      </w:numPr>
      <w:pBdr>
        <w:top w:val="single" w:sz="4" w:space="4" w:color="auto"/>
        <w:left w:val="single" w:sz="4" w:space="4" w:color="auto"/>
        <w:bottom w:val="single" w:sz="4" w:space="4" w:color="auto"/>
        <w:right w:val="single" w:sz="4" w:space="4" w:color="auto"/>
      </w:pBdr>
      <w:autoSpaceDE w:val="0"/>
      <w:autoSpaceDN w:val="0"/>
      <w:adjustRightInd w:val="0"/>
      <w:spacing w:after="40"/>
      <w:ind w:left="340" w:right="113" w:hanging="227"/>
      <w:outlineLvl w:val="1"/>
    </w:pPr>
    <w:rPr>
      <w:rFonts w:ascii="Arial" w:hAnsi="Arial" w:cs="Arial"/>
      <w:sz w:val="20"/>
      <w:szCs w:val="22"/>
      <w:lang w:val="en-AU"/>
    </w:rPr>
  </w:style>
  <w:style w:type="paragraph" w:customStyle="1" w:styleId="EndNoteBibliography">
    <w:name w:val="EndNote Bibliography"/>
    <w:basedOn w:val="Normal"/>
    <w:link w:val="EndNoteBibliographyChar"/>
    <w:rsid w:val="00BC5CD1"/>
    <w:pPr>
      <w:spacing w:before="120" w:after="0"/>
      <w:ind w:firstLine="737"/>
    </w:pPr>
    <w:rPr>
      <w:rFonts w:ascii="Calibri" w:eastAsia="Times New Roman" w:hAnsi="Calibri" w:cs="Calibri"/>
      <w:sz w:val="24"/>
      <w:lang w:val="en-US" w:eastAsia="en-GB"/>
    </w:rPr>
  </w:style>
  <w:style w:type="character" w:customStyle="1" w:styleId="EndNoteBibliographyChar">
    <w:name w:val="EndNote Bibliography Char"/>
    <w:basedOn w:val="DefaultParagraphFont"/>
    <w:link w:val="EndNoteBibliography"/>
    <w:rsid w:val="00BC5CD1"/>
    <w:rPr>
      <w:rFonts w:ascii="Calibri" w:eastAsia="Times New Roman" w:hAnsi="Calibri" w:cs="Calibri"/>
      <w:lang w:val="en-US" w:eastAsia="en-GB"/>
    </w:rPr>
  </w:style>
  <w:style w:type="character" w:customStyle="1" w:styleId="normaltextrun">
    <w:name w:val="normaltextrun"/>
    <w:basedOn w:val="DefaultParagraphFont"/>
    <w:rsid w:val="00681B34"/>
  </w:style>
  <w:style w:type="character" w:customStyle="1" w:styleId="eop">
    <w:name w:val="eop"/>
    <w:basedOn w:val="DefaultParagraphFont"/>
    <w:rsid w:val="00681B34"/>
  </w:style>
  <w:style w:type="paragraph" w:styleId="NoSpacing">
    <w:name w:val="No Spacing"/>
    <w:uiPriority w:val="1"/>
    <w:qFormat/>
    <w:rsid w:val="00F13532"/>
    <w:rPr>
      <w:sz w:val="22"/>
    </w:rPr>
  </w:style>
  <w:style w:type="table" w:styleId="ListTable3-Accent5">
    <w:name w:val="List Table 3 Accent 5"/>
    <w:basedOn w:val="TableNormal"/>
    <w:uiPriority w:val="48"/>
    <w:rsid w:val="00913D24"/>
    <w:tblPr>
      <w:tblStyleRowBandSize w:val="1"/>
      <w:tblStyleColBandSize w:val="1"/>
      <w:tblBorders>
        <w:top w:val="single" w:sz="4" w:space="0" w:color="004C97" w:themeColor="accent5"/>
        <w:left w:val="single" w:sz="4" w:space="0" w:color="004C97" w:themeColor="accent5"/>
        <w:bottom w:val="single" w:sz="4" w:space="0" w:color="004C97" w:themeColor="accent5"/>
        <w:right w:val="single" w:sz="4" w:space="0" w:color="004C97" w:themeColor="accent5"/>
      </w:tblBorders>
    </w:tblPr>
    <w:tblStylePr w:type="firstRow">
      <w:rPr>
        <w:b/>
        <w:bCs/>
        <w:color w:val="FFFFFF" w:themeColor="background1"/>
      </w:rPr>
      <w:tblPr/>
      <w:tcPr>
        <w:shd w:val="clear" w:color="auto" w:fill="004C97" w:themeFill="accent5"/>
      </w:tcPr>
    </w:tblStylePr>
    <w:tblStylePr w:type="lastRow">
      <w:rPr>
        <w:b/>
        <w:bCs/>
      </w:rPr>
      <w:tblPr/>
      <w:tcPr>
        <w:tcBorders>
          <w:top w:val="double" w:sz="4" w:space="0" w:color="004C9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5"/>
          <w:right w:val="single" w:sz="4" w:space="0" w:color="004C97" w:themeColor="accent5"/>
        </w:tcBorders>
      </w:tcPr>
    </w:tblStylePr>
    <w:tblStylePr w:type="band1Horz">
      <w:tblPr/>
      <w:tcPr>
        <w:tcBorders>
          <w:top w:val="single" w:sz="4" w:space="0" w:color="004C97" w:themeColor="accent5"/>
          <w:bottom w:val="single" w:sz="4" w:space="0" w:color="004C9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5"/>
          <w:left w:val="nil"/>
        </w:tcBorders>
      </w:tcPr>
    </w:tblStylePr>
    <w:tblStylePr w:type="swCell">
      <w:tblPr/>
      <w:tcPr>
        <w:tcBorders>
          <w:top w:val="double" w:sz="4" w:space="0" w:color="004C97" w:themeColor="accent5"/>
          <w:right w:val="nil"/>
        </w:tcBorders>
      </w:tcPr>
    </w:tblStylePr>
  </w:style>
  <w:style w:type="paragraph" w:styleId="NormalWeb">
    <w:name w:val="Normal (Web)"/>
    <w:basedOn w:val="Normal"/>
    <w:uiPriority w:val="99"/>
    <w:semiHidden/>
    <w:unhideWhenUsed/>
    <w:rsid w:val="00C71885"/>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6998">
      <w:bodyDiv w:val="1"/>
      <w:marLeft w:val="0"/>
      <w:marRight w:val="0"/>
      <w:marTop w:val="0"/>
      <w:marBottom w:val="0"/>
      <w:divBdr>
        <w:top w:val="none" w:sz="0" w:space="0" w:color="auto"/>
        <w:left w:val="none" w:sz="0" w:space="0" w:color="auto"/>
        <w:bottom w:val="none" w:sz="0" w:space="0" w:color="auto"/>
        <w:right w:val="none" w:sz="0" w:space="0" w:color="auto"/>
      </w:divBdr>
      <w:divsChild>
        <w:div w:id="1700425559">
          <w:marLeft w:val="446"/>
          <w:marRight w:val="0"/>
          <w:marTop w:val="0"/>
          <w:marBottom w:val="0"/>
          <w:divBdr>
            <w:top w:val="none" w:sz="0" w:space="0" w:color="auto"/>
            <w:left w:val="none" w:sz="0" w:space="0" w:color="auto"/>
            <w:bottom w:val="none" w:sz="0" w:space="0" w:color="auto"/>
            <w:right w:val="none" w:sz="0" w:space="0" w:color="auto"/>
          </w:divBdr>
        </w:div>
      </w:divsChild>
    </w:div>
    <w:div w:id="122043664">
      <w:bodyDiv w:val="1"/>
      <w:marLeft w:val="0"/>
      <w:marRight w:val="0"/>
      <w:marTop w:val="0"/>
      <w:marBottom w:val="0"/>
      <w:divBdr>
        <w:top w:val="none" w:sz="0" w:space="0" w:color="auto"/>
        <w:left w:val="none" w:sz="0" w:space="0" w:color="auto"/>
        <w:bottom w:val="none" w:sz="0" w:space="0" w:color="auto"/>
        <w:right w:val="none" w:sz="0" w:space="0" w:color="auto"/>
      </w:divBdr>
    </w:div>
    <w:div w:id="13903364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62017351">
      <w:bodyDiv w:val="1"/>
      <w:marLeft w:val="0"/>
      <w:marRight w:val="0"/>
      <w:marTop w:val="0"/>
      <w:marBottom w:val="0"/>
      <w:divBdr>
        <w:top w:val="none" w:sz="0" w:space="0" w:color="auto"/>
        <w:left w:val="none" w:sz="0" w:space="0" w:color="auto"/>
        <w:bottom w:val="none" w:sz="0" w:space="0" w:color="auto"/>
        <w:right w:val="none" w:sz="0" w:space="0" w:color="auto"/>
      </w:divBdr>
    </w:div>
    <w:div w:id="162354659">
      <w:bodyDiv w:val="1"/>
      <w:marLeft w:val="0"/>
      <w:marRight w:val="0"/>
      <w:marTop w:val="0"/>
      <w:marBottom w:val="0"/>
      <w:divBdr>
        <w:top w:val="none" w:sz="0" w:space="0" w:color="auto"/>
        <w:left w:val="none" w:sz="0" w:space="0" w:color="auto"/>
        <w:bottom w:val="none" w:sz="0" w:space="0" w:color="auto"/>
        <w:right w:val="none" w:sz="0" w:space="0" w:color="auto"/>
      </w:divBdr>
      <w:divsChild>
        <w:div w:id="390427763">
          <w:marLeft w:val="274"/>
          <w:marRight w:val="0"/>
          <w:marTop w:val="0"/>
          <w:marBottom w:val="0"/>
          <w:divBdr>
            <w:top w:val="none" w:sz="0" w:space="0" w:color="auto"/>
            <w:left w:val="none" w:sz="0" w:space="0" w:color="auto"/>
            <w:bottom w:val="none" w:sz="0" w:space="0" w:color="auto"/>
            <w:right w:val="none" w:sz="0" w:space="0" w:color="auto"/>
          </w:divBdr>
        </w:div>
        <w:div w:id="678846798">
          <w:marLeft w:val="274"/>
          <w:marRight w:val="0"/>
          <w:marTop w:val="0"/>
          <w:marBottom w:val="0"/>
          <w:divBdr>
            <w:top w:val="none" w:sz="0" w:space="0" w:color="auto"/>
            <w:left w:val="none" w:sz="0" w:space="0" w:color="auto"/>
            <w:bottom w:val="none" w:sz="0" w:space="0" w:color="auto"/>
            <w:right w:val="none" w:sz="0" w:space="0" w:color="auto"/>
          </w:divBdr>
        </w:div>
        <w:div w:id="2037268955">
          <w:marLeft w:val="274"/>
          <w:marRight w:val="0"/>
          <w:marTop w:val="0"/>
          <w:marBottom w:val="0"/>
          <w:divBdr>
            <w:top w:val="none" w:sz="0" w:space="0" w:color="auto"/>
            <w:left w:val="none" w:sz="0" w:space="0" w:color="auto"/>
            <w:bottom w:val="none" w:sz="0" w:space="0" w:color="auto"/>
            <w:right w:val="none" w:sz="0" w:space="0" w:color="auto"/>
          </w:divBdr>
        </w:div>
      </w:divsChild>
    </w:div>
    <w:div w:id="171917488">
      <w:bodyDiv w:val="1"/>
      <w:marLeft w:val="0"/>
      <w:marRight w:val="0"/>
      <w:marTop w:val="0"/>
      <w:marBottom w:val="0"/>
      <w:divBdr>
        <w:top w:val="none" w:sz="0" w:space="0" w:color="auto"/>
        <w:left w:val="none" w:sz="0" w:space="0" w:color="auto"/>
        <w:bottom w:val="none" w:sz="0" w:space="0" w:color="auto"/>
        <w:right w:val="none" w:sz="0" w:space="0" w:color="auto"/>
      </w:divBdr>
    </w:div>
    <w:div w:id="178593037">
      <w:bodyDiv w:val="1"/>
      <w:marLeft w:val="0"/>
      <w:marRight w:val="0"/>
      <w:marTop w:val="0"/>
      <w:marBottom w:val="0"/>
      <w:divBdr>
        <w:top w:val="none" w:sz="0" w:space="0" w:color="auto"/>
        <w:left w:val="none" w:sz="0" w:space="0" w:color="auto"/>
        <w:bottom w:val="none" w:sz="0" w:space="0" w:color="auto"/>
        <w:right w:val="none" w:sz="0" w:space="0" w:color="auto"/>
      </w:divBdr>
    </w:div>
    <w:div w:id="182206299">
      <w:bodyDiv w:val="1"/>
      <w:marLeft w:val="0"/>
      <w:marRight w:val="0"/>
      <w:marTop w:val="0"/>
      <w:marBottom w:val="0"/>
      <w:divBdr>
        <w:top w:val="none" w:sz="0" w:space="0" w:color="auto"/>
        <w:left w:val="none" w:sz="0" w:space="0" w:color="auto"/>
        <w:bottom w:val="none" w:sz="0" w:space="0" w:color="auto"/>
        <w:right w:val="none" w:sz="0" w:space="0" w:color="auto"/>
      </w:divBdr>
    </w:div>
    <w:div w:id="198325780">
      <w:bodyDiv w:val="1"/>
      <w:marLeft w:val="0"/>
      <w:marRight w:val="0"/>
      <w:marTop w:val="0"/>
      <w:marBottom w:val="0"/>
      <w:divBdr>
        <w:top w:val="none" w:sz="0" w:space="0" w:color="auto"/>
        <w:left w:val="none" w:sz="0" w:space="0" w:color="auto"/>
        <w:bottom w:val="none" w:sz="0" w:space="0" w:color="auto"/>
        <w:right w:val="none" w:sz="0" w:space="0" w:color="auto"/>
      </w:divBdr>
    </w:div>
    <w:div w:id="250818928">
      <w:bodyDiv w:val="1"/>
      <w:marLeft w:val="0"/>
      <w:marRight w:val="0"/>
      <w:marTop w:val="0"/>
      <w:marBottom w:val="0"/>
      <w:divBdr>
        <w:top w:val="none" w:sz="0" w:space="0" w:color="auto"/>
        <w:left w:val="none" w:sz="0" w:space="0" w:color="auto"/>
        <w:bottom w:val="none" w:sz="0" w:space="0" w:color="auto"/>
        <w:right w:val="none" w:sz="0" w:space="0" w:color="auto"/>
      </w:divBdr>
    </w:div>
    <w:div w:id="272446386">
      <w:bodyDiv w:val="1"/>
      <w:marLeft w:val="0"/>
      <w:marRight w:val="0"/>
      <w:marTop w:val="0"/>
      <w:marBottom w:val="0"/>
      <w:divBdr>
        <w:top w:val="none" w:sz="0" w:space="0" w:color="auto"/>
        <w:left w:val="none" w:sz="0" w:space="0" w:color="auto"/>
        <w:bottom w:val="none" w:sz="0" w:space="0" w:color="auto"/>
        <w:right w:val="none" w:sz="0" w:space="0" w:color="auto"/>
      </w:divBdr>
    </w:div>
    <w:div w:id="290483464">
      <w:bodyDiv w:val="1"/>
      <w:marLeft w:val="0"/>
      <w:marRight w:val="0"/>
      <w:marTop w:val="0"/>
      <w:marBottom w:val="0"/>
      <w:divBdr>
        <w:top w:val="none" w:sz="0" w:space="0" w:color="auto"/>
        <w:left w:val="none" w:sz="0" w:space="0" w:color="auto"/>
        <w:bottom w:val="none" w:sz="0" w:space="0" w:color="auto"/>
        <w:right w:val="none" w:sz="0" w:space="0" w:color="auto"/>
      </w:divBdr>
      <w:divsChild>
        <w:div w:id="1786846771">
          <w:marLeft w:val="446"/>
          <w:marRight w:val="0"/>
          <w:marTop w:val="0"/>
          <w:marBottom w:val="0"/>
          <w:divBdr>
            <w:top w:val="none" w:sz="0" w:space="0" w:color="auto"/>
            <w:left w:val="none" w:sz="0" w:space="0" w:color="auto"/>
            <w:bottom w:val="none" w:sz="0" w:space="0" w:color="auto"/>
            <w:right w:val="none" w:sz="0" w:space="0" w:color="auto"/>
          </w:divBdr>
        </w:div>
      </w:divsChild>
    </w:div>
    <w:div w:id="369721168">
      <w:bodyDiv w:val="1"/>
      <w:marLeft w:val="0"/>
      <w:marRight w:val="0"/>
      <w:marTop w:val="0"/>
      <w:marBottom w:val="0"/>
      <w:divBdr>
        <w:top w:val="none" w:sz="0" w:space="0" w:color="auto"/>
        <w:left w:val="none" w:sz="0" w:space="0" w:color="auto"/>
        <w:bottom w:val="none" w:sz="0" w:space="0" w:color="auto"/>
        <w:right w:val="none" w:sz="0" w:space="0" w:color="auto"/>
      </w:divBdr>
    </w:div>
    <w:div w:id="380402122">
      <w:bodyDiv w:val="1"/>
      <w:marLeft w:val="0"/>
      <w:marRight w:val="0"/>
      <w:marTop w:val="0"/>
      <w:marBottom w:val="0"/>
      <w:divBdr>
        <w:top w:val="none" w:sz="0" w:space="0" w:color="auto"/>
        <w:left w:val="none" w:sz="0" w:space="0" w:color="auto"/>
        <w:bottom w:val="none" w:sz="0" w:space="0" w:color="auto"/>
        <w:right w:val="none" w:sz="0" w:space="0" w:color="auto"/>
      </w:divBdr>
    </w:div>
    <w:div w:id="434054938">
      <w:bodyDiv w:val="1"/>
      <w:marLeft w:val="0"/>
      <w:marRight w:val="0"/>
      <w:marTop w:val="0"/>
      <w:marBottom w:val="0"/>
      <w:divBdr>
        <w:top w:val="none" w:sz="0" w:space="0" w:color="auto"/>
        <w:left w:val="none" w:sz="0" w:space="0" w:color="auto"/>
        <w:bottom w:val="none" w:sz="0" w:space="0" w:color="auto"/>
        <w:right w:val="none" w:sz="0" w:space="0" w:color="auto"/>
      </w:divBdr>
    </w:div>
    <w:div w:id="445660536">
      <w:bodyDiv w:val="1"/>
      <w:marLeft w:val="0"/>
      <w:marRight w:val="0"/>
      <w:marTop w:val="0"/>
      <w:marBottom w:val="0"/>
      <w:divBdr>
        <w:top w:val="none" w:sz="0" w:space="0" w:color="auto"/>
        <w:left w:val="none" w:sz="0" w:space="0" w:color="auto"/>
        <w:bottom w:val="none" w:sz="0" w:space="0" w:color="auto"/>
        <w:right w:val="none" w:sz="0" w:space="0" w:color="auto"/>
      </w:divBdr>
    </w:div>
    <w:div w:id="460616576">
      <w:bodyDiv w:val="1"/>
      <w:marLeft w:val="0"/>
      <w:marRight w:val="0"/>
      <w:marTop w:val="0"/>
      <w:marBottom w:val="0"/>
      <w:divBdr>
        <w:top w:val="none" w:sz="0" w:space="0" w:color="auto"/>
        <w:left w:val="none" w:sz="0" w:space="0" w:color="auto"/>
        <w:bottom w:val="none" w:sz="0" w:space="0" w:color="auto"/>
        <w:right w:val="none" w:sz="0" w:space="0" w:color="auto"/>
      </w:divBdr>
    </w:div>
    <w:div w:id="464734145">
      <w:bodyDiv w:val="1"/>
      <w:marLeft w:val="0"/>
      <w:marRight w:val="0"/>
      <w:marTop w:val="0"/>
      <w:marBottom w:val="0"/>
      <w:divBdr>
        <w:top w:val="none" w:sz="0" w:space="0" w:color="auto"/>
        <w:left w:val="none" w:sz="0" w:space="0" w:color="auto"/>
        <w:bottom w:val="none" w:sz="0" w:space="0" w:color="auto"/>
        <w:right w:val="none" w:sz="0" w:space="0" w:color="auto"/>
      </w:divBdr>
    </w:div>
    <w:div w:id="490370917">
      <w:bodyDiv w:val="1"/>
      <w:marLeft w:val="0"/>
      <w:marRight w:val="0"/>
      <w:marTop w:val="0"/>
      <w:marBottom w:val="0"/>
      <w:divBdr>
        <w:top w:val="none" w:sz="0" w:space="0" w:color="auto"/>
        <w:left w:val="none" w:sz="0" w:space="0" w:color="auto"/>
        <w:bottom w:val="none" w:sz="0" w:space="0" w:color="auto"/>
        <w:right w:val="none" w:sz="0" w:space="0" w:color="auto"/>
      </w:divBdr>
    </w:div>
    <w:div w:id="576087412">
      <w:bodyDiv w:val="1"/>
      <w:marLeft w:val="0"/>
      <w:marRight w:val="0"/>
      <w:marTop w:val="0"/>
      <w:marBottom w:val="0"/>
      <w:divBdr>
        <w:top w:val="none" w:sz="0" w:space="0" w:color="auto"/>
        <w:left w:val="none" w:sz="0" w:space="0" w:color="auto"/>
        <w:bottom w:val="none" w:sz="0" w:space="0" w:color="auto"/>
        <w:right w:val="none" w:sz="0" w:space="0" w:color="auto"/>
      </w:divBdr>
    </w:div>
    <w:div w:id="590360140">
      <w:bodyDiv w:val="1"/>
      <w:marLeft w:val="0"/>
      <w:marRight w:val="0"/>
      <w:marTop w:val="0"/>
      <w:marBottom w:val="0"/>
      <w:divBdr>
        <w:top w:val="none" w:sz="0" w:space="0" w:color="auto"/>
        <w:left w:val="none" w:sz="0" w:space="0" w:color="auto"/>
        <w:bottom w:val="none" w:sz="0" w:space="0" w:color="auto"/>
        <w:right w:val="none" w:sz="0" w:space="0" w:color="auto"/>
      </w:divBdr>
    </w:div>
    <w:div w:id="654995575">
      <w:bodyDiv w:val="1"/>
      <w:marLeft w:val="0"/>
      <w:marRight w:val="0"/>
      <w:marTop w:val="0"/>
      <w:marBottom w:val="0"/>
      <w:divBdr>
        <w:top w:val="none" w:sz="0" w:space="0" w:color="auto"/>
        <w:left w:val="none" w:sz="0" w:space="0" w:color="auto"/>
        <w:bottom w:val="none" w:sz="0" w:space="0" w:color="auto"/>
        <w:right w:val="none" w:sz="0" w:space="0" w:color="auto"/>
      </w:divBdr>
    </w:div>
    <w:div w:id="659818864">
      <w:bodyDiv w:val="1"/>
      <w:marLeft w:val="0"/>
      <w:marRight w:val="0"/>
      <w:marTop w:val="0"/>
      <w:marBottom w:val="0"/>
      <w:divBdr>
        <w:top w:val="none" w:sz="0" w:space="0" w:color="auto"/>
        <w:left w:val="none" w:sz="0" w:space="0" w:color="auto"/>
        <w:bottom w:val="none" w:sz="0" w:space="0" w:color="auto"/>
        <w:right w:val="none" w:sz="0" w:space="0" w:color="auto"/>
      </w:divBdr>
    </w:div>
    <w:div w:id="664165706">
      <w:bodyDiv w:val="1"/>
      <w:marLeft w:val="0"/>
      <w:marRight w:val="0"/>
      <w:marTop w:val="0"/>
      <w:marBottom w:val="0"/>
      <w:divBdr>
        <w:top w:val="none" w:sz="0" w:space="0" w:color="auto"/>
        <w:left w:val="none" w:sz="0" w:space="0" w:color="auto"/>
        <w:bottom w:val="none" w:sz="0" w:space="0" w:color="auto"/>
        <w:right w:val="none" w:sz="0" w:space="0" w:color="auto"/>
      </w:divBdr>
    </w:div>
    <w:div w:id="664818165">
      <w:bodyDiv w:val="1"/>
      <w:marLeft w:val="0"/>
      <w:marRight w:val="0"/>
      <w:marTop w:val="0"/>
      <w:marBottom w:val="0"/>
      <w:divBdr>
        <w:top w:val="none" w:sz="0" w:space="0" w:color="auto"/>
        <w:left w:val="none" w:sz="0" w:space="0" w:color="auto"/>
        <w:bottom w:val="none" w:sz="0" w:space="0" w:color="auto"/>
        <w:right w:val="none" w:sz="0" w:space="0" w:color="auto"/>
      </w:divBdr>
    </w:div>
    <w:div w:id="665866369">
      <w:bodyDiv w:val="1"/>
      <w:marLeft w:val="0"/>
      <w:marRight w:val="0"/>
      <w:marTop w:val="0"/>
      <w:marBottom w:val="0"/>
      <w:divBdr>
        <w:top w:val="none" w:sz="0" w:space="0" w:color="auto"/>
        <w:left w:val="none" w:sz="0" w:space="0" w:color="auto"/>
        <w:bottom w:val="none" w:sz="0" w:space="0" w:color="auto"/>
        <w:right w:val="none" w:sz="0" w:space="0" w:color="auto"/>
      </w:divBdr>
    </w:div>
    <w:div w:id="673385298">
      <w:bodyDiv w:val="1"/>
      <w:marLeft w:val="0"/>
      <w:marRight w:val="0"/>
      <w:marTop w:val="0"/>
      <w:marBottom w:val="0"/>
      <w:divBdr>
        <w:top w:val="none" w:sz="0" w:space="0" w:color="auto"/>
        <w:left w:val="none" w:sz="0" w:space="0" w:color="auto"/>
        <w:bottom w:val="none" w:sz="0" w:space="0" w:color="auto"/>
        <w:right w:val="none" w:sz="0" w:space="0" w:color="auto"/>
      </w:divBdr>
      <w:divsChild>
        <w:div w:id="1405642032">
          <w:marLeft w:val="274"/>
          <w:marRight w:val="0"/>
          <w:marTop w:val="0"/>
          <w:marBottom w:val="60"/>
          <w:divBdr>
            <w:top w:val="none" w:sz="0" w:space="0" w:color="auto"/>
            <w:left w:val="none" w:sz="0" w:space="0" w:color="auto"/>
            <w:bottom w:val="none" w:sz="0" w:space="0" w:color="auto"/>
            <w:right w:val="none" w:sz="0" w:space="0" w:color="auto"/>
          </w:divBdr>
        </w:div>
        <w:div w:id="1425610594">
          <w:marLeft w:val="274"/>
          <w:marRight w:val="0"/>
          <w:marTop w:val="0"/>
          <w:marBottom w:val="60"/>
          <w:divBdr>
            <w:top w:val="none" w:sz="0" w:space="0" w:color="auto"/>
            <w:left w:val="none" w:sz="0" w:space="0" w:color="auto"/>
            <w:bottom w:val="none" w:sz="0" w:space="0" w:color="auto"/>
            <w:right w:val="none" w:sz="0" w:space="0" w:color="auto"/>
          </w:divBdr>
        </w:div>
        <w:div w:id="1700083680">
          <w:marLeft w:val="274"/>
          <w:marRight w:val="0"/>
          <w:marTop w:val="0"/>
          <w:marBottom w:val="60"/>
          <w:divBdr>
            <w:top w:val="none" w:sz="0" w:space="0" w:color="auto"/>
            <w:left w:val="none" w:sz="0" w:space="0" w:color="auto"/>
            <w:bottom w:val="none" w:sz="0" w:space="0" w:color="auto"/>
            <w:right w:val="none" w:sz="0" w:space="0" w:color="auto"/>
          </w:divBdr>
        </w:div>
        <w:div w:id="1866823663">
          <w:marLeft w:val="274"/>
          <w:marRight w:val="0"/>
          <w:marTop w:val="0"/>
          <w:marBottom w:val="60"/>
          <w:divBdr>
            <w:top w:val="none" w:sz="0" w:space="0" w:color="auto"/>
            <w:left w:val="none" w:sz="0" w:space="0" w:color="auto"/>
            <w:bottom w:val="none" w:sz="0" w:space="0" w:color="auto"/>
            <w:right w:val="none" w:sz="0" w:space="0" w:color="auto"/>
          </w:divBdr>
        </w:div>
        <w:div w:id="1999186087">
          <w:marLeft w:val="274"/>
          <w:marRight w:val="0"/>
          <w:marTop w:val="0"/>
          <w:marBottom w:val="60"/>
          <w:divBdr>
            <w:top w:val="none" w:sz="0" w:space="0" w:color="auto"/>
            <w:left w:val="none" w:sz="0" w:space="0" w:color="auto"/>
            <w:bottom w:val="none" w:sz="0" w:space="0" w:color="auto"/>
            <w:right w:val="none" w:sz="0" w:space="0" w:color="auto"/>
          </w:divBdr>
        </w:div>
      </w:divsChild>
    </w:div>
    <w:div w:id="676688464">
      <w:bodyDiv w:val="1"/>
      <w:marLeft w:val="0"/>
      <w:marRight w:val="0"/>
      <w:marTop w:val="0"/>
      <w:marBottom w:val="0"/>
      <w:divBdr>
        <w:top w:val="none" w:sz="0" w:space="0" w:color="auto"/>
        <w:left w:val="none" w:sz="0" w:space="0" w:color="auto"/>
        <w:bottom w:val="none" w:sz="0" w:space="0" w:color="auto"/>
        <w:right w:val="none" w:sz="0" w:space="0" w:color="auto"/>
      </w:divBdr>
    </w:div>
    <w:div w:id="707073681">
      <w:bodyDiv w:val="1"/>
      <w:marLeft w:val="0"/>
      <w:marRight w:val="0"/>
      <w:marTop w:val="0"/>
      <w:marBottom w:val="0"/>
      <w:divBdr>
        <w:top w:val="none" w:sz="0" w:space="0" w:color="auto"/>
        <w:left w:val="none" w:sz="0" w:space="0" w:color="auto"/>
        <w:bottom w:val="none" w:sz="0" w:space="0" w:color="auto"/>
        <w:right w:val="none" w:sz="0" w:space="0" w:color="auto"/>
      </w:divBdr>
      <w:divsChild>
        <w:div w:id="339819128">
          <w:marLeft w:val="446"/>
          <w:marRight w:val="0"/>
          <w:marTop w:val="0"/>
          <w:marBottom w:val="0"/>
          <w:divBdr>
            <w:top w:val="none" w:sz="0" w:space="0" w:color="auto"/>
            <w:left w:val="none" w:sz="0" w:space="0" w:color="auto"/>
            <w:bottom w:val="none" w:sz="0" w:space="0" w:color="auto"/>
            <w:right w:val="none" w:sz="0" w:space="0" w:color="auto"/>
          </w:divBdr>
        </w:div>
      </w:divsChild>
    </w:div>
    <w:div w:id="713044058">
      <w:bodyDiv w:val="1"/>
      <w:marLeft w:val="0"/>
      <w:marRight w:val="0"/>
      <w:marTop w:val="0"/>
      <w:marBottom w:val="0"/>
      <w:divBdr>
        <w:top w:val="none" w:sz="0" w:space="0" w:color="auto"/>
        <w:left w:val="none" w:sz="0" w:space="0" w:color="auto"/>
        <w:bottom w:val="none" w:sz="0" w:space="0" w:color="auto"/>
        <w:right w:val="none" w:sz="0" w:space="0" w:color="auto"/>
      </w:divBdr>
    </w:div>
    <w:div w:id="737752193">
      <w:bodyDiv w:val="1"/>
      <w:marLeft w:val="0"/>
      <w:marRight w:val="0"/>
      <w:marTop w:val="0"/>
      <w:marBottom w:val="0"/>
      <w:divBdr>
        <w:top w:val="none" w:sz="0" w:space="0" w:color="auto"/>
        <w:left w:val="none" w:sz="0" w:space="0" w:color="auto"/>
        <w:bottom w:val="none" w:sz="0" w:space="0" w:color="auto"/>
        <w:right w:val="none" w:sz="0" w:space="0" w:color="auto"/>
      </w:divBdr>
    </w:div>
    <w:div w:id="738678533">
      <w:bodyDiv w:val="1"/>
      <w:marLeft w:val="0"/>
      <w:marRight w:val="0"/>
      <w:marTop w:val="0"/>
      <w:marBottom w:val="0"/>
      <w:divBdr>
        <w:top w:val="none" w:sz="0" w:space="0" w:color="auto"/>
        <w:left w:val="none" w:sz="0" w:space="0" w:color="auto"/>
        <w:bottom w:val="none" w:sz="0" w:space="0" w:color="auto"/>
        <w:right w:val="none" w:sz="0" w:space="0" w:color="auto"/>
      </w:divBdr>
    </w:div>
    <w:div w:id="756094445">
      <w:bodyDiv w:val="1"/>
      <w:marLeft w:val="0"/>
      <w:marRight w:val="0"/>
      <w:marTop w:val="0"/>
      <w:marBottom w:val="0"/>
      <w:divBdr>
        <w:top w:val="none" w:sz="0" w:space="0" w:color="auto"/>
        <w:left w:val="none" w:sz="0" w:space="0" w:color="auto"/>
        <w:bottom w:val="none" w:sz="0" w:space="0" w:color="auto"/>
        <w:right w:val="none" w:sz="0" w:space="0" w:color="auto"/>
      </w:divBdr>
      <w:divsChild>
        <w:div w:id="842163755">
          <w:marLeft w:val="274"/>
          <w:marRight w:val="0"/>
          <w:marTop w:val="0"/>
          <w:marBottom w:val="60"/>
          <w:divBdr>
            <w:top w:val="none" w:sz="0" w:space="0" w:color="auto"/>
            <w:left w:val="none" w:sz="0" w:space="0" w:color="auto"/>
            <w:bottom w:val="none" w:sz="0" w:space="0" w:color="auto"/>
            <w:right w:val="none" w:sz="0" w:space="0" w:color="auto"/>
          </w:divBdr>
        </w:div>
        <w:div w:id="1389063235">
          <w:marLeft w:val="274"/>
          <w:marRight w:val="0"/>
          <w:marTop w:val="0"/>
          <w:marBottom w:val="60"/>
          <w:divBdr>
            <w:top w:val="none" w:sz="0" w:space="0" w:color="auto"/>
            <w:left w:val="none" w:sz="0" w:space="0" w:color="auto"/>
            <w:bottom w:val="none" w:sz="0" w:space="0" w:color="auto"/>
            <w:right w:val="none" w:sz="0" w:space="0" w:color="auto"/>
          </w:divBdr>
        </w:div>
        <w:div w:id="1792286048">
          <w:marLeft w:val="274"/>
          <w:marRight w:val="0"/>
          <w:marTop w:val="0"/>
          <w:marBottom w:val="60"/>
          <w:divBdr>
            <w:top w:val="none" w:sz="0" w:space="0" w:color="auto"/>
            <w:left w:val="none" w:sz="0" w:space="0" w:color="auto"/>
            <w:bottom w:val="none" w:sz="0" w:space="0" w:color="auto"/>
            <w:right w:val="none" w:sz="0" w:space="0" w:color="auto"/>
          </w:divBdr>
        </w:div>
        <w:div w:id="1792631879">
          <w:marLeft w:val="274"/>
          <w:marRight w:val="0"/>
          <w:marTop w:val="0"/>
          <w:marBottom w:val="60"/>
          <w:divBdr>
            <w:top w:val="none" w:sz="0" w:space="0" w:color="auto"/>
            <w:left w:val="none" w:sz="0" w:space="0" w:color="auto"/>
            <w:bottom w:val="none" w:sz="0" w:space="0" w:color="auto"/>
            <w:right w:val="none" w:sz="0" w:space="0" w:color="auto"/>
          </w:divBdr>
        </w:div>
      </w:divsChild>
    </w:div>
    <w:div w:id="756364642">
      <w:bodyDiv w:val="1"/>
      <w:marLeft w:val="0"/>
      <w:marRight w:val="0"/>
      <w:marTop w:val="0"/>
      <w:marBottom w:val="0"/>
      <w:divBdr>
        <w:top w:val="none" w:sz="0" w:space="0" w:color="auto"/>
        <w:left w:val="none" w:sz="0" w:space="0" w:color="auto"/>
        <w:bottom w:val="none" w:sz="0" w:space="0" w:color="auto"/>
        <w:right w:val="none" w:sz="0" w:space="0" w:color="auto"/>
      </w:divBdr>
    </w:div>
    <w:div w:id="804592054">
      <w:bodyDiv w:val="1"/>
      <w:marLeft w:val="0"/>
      <w:marRight w:val="0"/>
      <w:marTop w:val="0"/>
      <w:marBottom w:val="0"/>
      <w:divBdr>
        <w:top w:val="none" w:sz="0" w:space="0" w:color="auto"/>
        <w:left w:val="none" w:sz="0" w:space="0" w:color="auto"/>
        <w:bottom w:val="none" w:sz="0" w:space="0" w:color="auto"/>
        <w:right w:val="none" w:sz="0" w:space="0" w:color="auto"/>
      </w:divBdr>
    </w:div>
    <w:div w:id="851142094">
      <w:bodyDiv w:val="1"/>
      <w:marLeft w:val="0"/>
      <w:marRight w:val="0"/>
      <w:marTop w:val="0"/>
      <w:marBottom w:val="0"/>
      <w:divBdr>
        <w:top w:val="none" w:sz="0" w:space="0" w:color="auto"/>
        <w:left w:val="none" w:sz="0" w:space="0" w:color="auto"/>
        <w:bottom w:val="none" w:sz="0" w:space="0" w:color="auto"/>
        <w:right w:val="none" w:sz="0" w:space="0" w:color="auto"/>
      </w:divBdr>
    </w:div>
    <w:div w:id="855466603">
      <w:bodyDiv w:val="1"/>
      <w:marLeft w:val="0"/>
      <w:marRight w:val="0"/>
      <w:marTop w:val="0"/>
      <w:marBottom w:val="0"/>
      <w:divBdr>
        <w:top w:val="none" w:sz="0" w:space="0" w:color="auto"/>
        <w:left w:val="none" w:sz="0" w:space="0" w:color="auto"/>
        <w:bottom w:val="none" w:sz="0" w:space="0" w:color="auto"/>
        <w:right w:val="none" w:sz="0" w:space="0" w:color="auto"/>
      </w:divBdr>
      <w:divsChild>
        <w:div w:id="1866628820">
          <w:marLeft w:val="274"/>
          <w:marRight w:val="0"/>
          <w:marTop w:val="0"/>
          <w:marBottom w:val="60"/>
          <w:divBdr>
            <w:top w:val="none" w:sz="0" w:space="0" w:color="auto"/>
            <w:left w:val="none" w:sz="0" w:space="0" w:color="auto"/>
            <w:bottom w:val="none" w:sz="0" w:space="0" w:color="auto"/>
            <w:right w:val="none" w:sz="0" w:space="0" w:color="auto"/>
          </w:divBdr>
        </w:div>
      </w:divsChild>
    </w:div>
    <w:div w:id="882131721">
      <w:bodyDiv w:val="1"/>
      <w:marLeft w:val="0"/>
      <w:marRight w:val="0"/>
      <w:marTop w:val="0"/>
      <w:marBottom w:val="0"/>
      <w:divBdr>
        <w:top w:val="none" w:sz="0" w:space="0" w:color="auto"/>
        <w:left w:val="none" w:sz="0" w:space="0" w:color="auto"/>
        <w:bottom w:val="none" w:sz="0" w:space="0" w:color="auto"/>
        <w:right w:val="none" w:sz="0" w:space="0" w:color="auto"/>
      </w:divBdr>
    </w:div>
    <w:div w:id="887494790">
      <w:bodyDiv w:val="1"/>
      <w:marLeft w:val="0"/>
      <w:marRight w:val="0"/>
      <w:marTop w:val="0"/>
      <w:marBottom w:val="0"/>
      <w:divBdr>
        <w:top w:val="none" w:sz="0" w:space="0" w:color="auto"/>
        <w:left w:val="none" w:sz="0" w:space="0" w:color="auto"/>
        <w:bottom w:val="none" w:sz="0" w:space="0" w:color="auto"/>
        <w:right w:val="none" w:sz="0" w:space="0" w:color="auto"/>
      </w:divBdr>
      <w:divsChild>
        <w:div w:id="834800148">
          <w:marLeft w:val="446"/>
          <w:marRight w:val="0"/>
          <w:marTop w:val="0"/>
          <w:marBottom w:val="0"/>
          <w:divBdr>
            <w:top w:val="none" w:sz="0" w:space="0" w:color="auto"/>
            <w:left w:val="none" w:sz="0" w:space="0" w:color="auto"/>
            <w:bottom w:val="none" w:sz="0" w:space="0" w:color="auto"/>
            <w:right w:val="none" w:sz="0" w:space="0" w:color="auto"/>
          </w:divBdr>
        </w:div>
      </w:divsChild>
    </w:div>
    <w:div w:id="888105086">
      <w:bodyDiv w:val="1"/>
      <w:marLeft w:val="0"/>
      <w:marRight w:val="0"/>
      <w:marTop w:val="0"/>
      <w:marBottom w:val="0"/>
      <w:divBdr>
        <w:top w:val="none" w:sz="0" w:space="0" w:color="auto"/>
        <w:left w:val="none" w:sz="0" w:space="0" w:color="auto"/>
        <w:bottom w:val="none" w:sz="0" w:space="0" w:color="auto"/>
        <w:right w:val="none" w:sz="0" w:space="0" w:color="auto"/>
      </w:divBdr>
    </w:div>
    <w:div w:id="891890947">
      <w:bodyDiv w:val="1"/>
      <w:marLeft w:val="0"/>
      <w:marRight w:val="0"/>
      <w:marTop w:val="0"/>
      <w:marBottom w:val="0"/>
      <w:divBdr>
        <w:top w:val="none" w:sz="0" w:space="0" w:color="auto"/>
        <w:left w:val="none" w:sz="0" w:space="0" w:color="auto"/>
        <w:bottom w:val="none" w:sz="0" w:space="0" w:color="auto"/>
        <w:right w:val="none" w:sz="0" w:space="0" w:color="auto"/>
      </w:divBdr>
      <w:divsChild>
        <w:div w:id="1457677988">
          <w:marLeft w:val="446"/>
          <w:marRight w:val="0"/>
          <w:marTop w:val="0"/>
          <w:marBottom w:val="160"/>
          <w:divBdr>
            <w:top w:val="none" w:sz="0" w:space="0" w:color="auto"/>
            <w:left w:val="none" w:sz="0" w:space="0" w:color="auto"/>
            <w:bottom w:val="none" w:sz="0" w:space="0" w:color="auto"/>
            <w:right w:val="none" w:sz="0" w:space="0" w:color="auto"/>
          </w:divBdr>
        </w:div>
      </w:divsChild>
    </w:div>
    <w:div w:id="939067436">
      <w:bodyDiv w:val="1"/>
      <w:marLeft w:val="0"/>
      <w:marRight w:val="0"/>
      <w:marTop w:val="0"/>
      <w:marBottom w:val="0"/>
      <w:divBdr>
        <w:top w:val="none" w:sz="0" w:space="0" w:color="auto"/>
        <w:left w:val="none" w:sz="0" w:space="0" w:color="auto"/>
        <w:bottom w:val="none" w:sz="0" w:space="0" w:color="auto"/>
        <w:right w:val="none" w:sz="0" w:space="0" w:color="auto"/>
      </w:divBdr>
    </w:div>
    <w:div w:id="942539538">
      <w:bodyDiv w:val="1"/>
      <w:marLeft w:val="0"/>
      <w:marRight w:val="0"/>
      <w:marTop w:val="0"/>
      <w:marBottom w:val="0"/>
      <w:divBdr>
        <w:top w:val="none" w:sz="0" w:space="0" w:color="auto"/>
        <w:left w:val="none" w:sz="0" w:space="0" w:color="auto"/>
        <w:bottom w:val="none" w:sz="0" w:space="0" w:color="auto"/>
        <w:right w:val="none" w:sz="0" w:space="0" w:color="auto"/>
      </w:divBdr>
    </w:div>
    <w:div w:id="999429670">
      <w:bodyDiv w:val="1"/>
      <w:marLeft w:val="0"/>
      <w:marRight w:val="0"/>
      <w:marTop w:val="0"/>
      <w:marBottom w:val="0"/>
      <w:divBdr>
        <w:top w:val="none" w:sz="0" w:space="0" w:color="auto"/>
        <w:left w:val="none" w:sz="0" w:space="0" w:color="auto"/>
        <w:bottom w:val="none" w:sz="0" w:space="0" w:color="auto"/>
        <w:right w:val="none" w:sz="0" w:space="0" w:color="auto"/>
      </w:divBdr>
    </w:div>
    <w:div w:id="1078556805">
      <w:bodyDiv w:val="1"/>
      <w:marLeft w:val="0"/>
      <w:marRight w:val="0"/>
      <w:marTop w:val="0"/>
      <w:marBottom w:val="0"/>
      <w:divBdr>
        <w:top w:val="none" w:sz="0" w:space="0" w:color="auto"/>
        <w:left w:val="none" w:sz="0" w:space="0" w:color="auto"/>
        <w:bottom w:val="none" w:sz="0" w:space="0" w:color="auto"/>
        <w:right w:val="none" w:sz="0" w:space="0" w:color="auto"/>
      </w:divBdr>
    </w:div>
    <w:div w:id="1104379218">
      <w:bodyDiv w:val="1"/>
      <w:marLeft w:val="0"/>
      <w:marRight w:val="0"/>
      <w:marTop w:val="0"/>
      <w:marBottom w:val="0"/>
      <w:divBdr>
        <w:top w:val="none" w:sz="0" w:space="0" w:color="auto"/>
        <w:left w:val="none" w:sz="0" w:space="0" w:color="auto"/>
        <w:bottom w:val="none" w:sz="0" w:space="0" w:color="auto"/>
        <w:right w:val="none" w:sz="0" w:space="0" w:color="auto"/>
      </w:divBdr>
      <w:divsChild>
        <w:div w:id="193545161">
          <w:marLeft w:val="274"/>
          <w:marRight w:val="0"/>
          <w:marTop w:val="0"/>
          <w:marBottom w:val="0"/>
          <w:divBdr>
            <w:top w:val="none" w:sz="0" w:space="0" w:color="auto"/>
            <w:left w:val="none" w:sz="0" w:space="0" w:color="auto"/>
            <w:bottom w:val="none" w:sz="0" w:space="0" w:color="auto"/>
            <w:right w:val="none" w:sz="0" w:space="0" w:color="auto"/>
          </w:divBdr>
        </w:div>
        <w:div w:id="327221994">
          <w:marLeft w:val="274"/>
          <w:marRight w:val="0"/>
          <w:marTop w:val="0"/>
          <w:marBottom w:val="0"/>
          <w:divBdr>
            <w:top w:val="none" w:sz="0" w:space="0" w:color="auto"/>
            <w:left w:val="none" w:sz="0" w:space="0" w:color="auto"/>
            <w:bottom w:val="none" w:sz="0" w:space="0" w:color="auto"/>
            <w:right w:val="none" w:sz="0" w:space="0" w:color="auto"/>
          </w:divBdr>
        </w:div>
      </w:divsChild>
    </w:div>
    <w:div w:id="1144274024">
      <w:bodyDiv w:val="1"/>
      <w:marLeft w:val="0"/>
      <w:marRight w:val="0"/>
      <w:marTop w:val="0"/>
      <w:marBottom w:val="0"/>
      <w:divBdr>
        <w:top w:val="none" w:sz="0" w:space="0" w:color="auto"/>
        <w:left w:val="none" w:sz="0" w:space="0" w:color="auto"/>
        <w:bottom w:val="none" w:sz="0" w:space="0" w:color="auto"/>
        <w:right w:val="none" w:sz="0" w:space="0" w:color="auto"/>
      </w:divBdr>
    </w:div>
    <w:div w:id="1168448493">
      <w:bodyDiv w:val="1"/>
      <w:marLeft w:val="0"/>
      <w:marRight w:val="0"/>
      <w:marTop w:val="0"/>
      <w:marBottom w:val="0"/>
      <w:divBdr>
        <w:top w:val="none" w:sz="0" w:space="0" w:color="auto"/>
        <w:left w:val="none" w:sz="0" w:space="0" w:color="auto"/>
        <w:bottom w:val="none" w:sz="0" w:space="0" w:color="auto"/>
        <w:right w:val="none" w:sz="0" w:space="0" w:color="auto"/>
      </w:divBdr>
    </w:div>
    <w:div w:id="1185482184">
      <w:bodyDiv w:val="1"/>
      <w:marLeft w:val="0"/>
      <w:marRight w:val="0"/>
      <w:marTop w:val="0"/>
      <w:marBottom w:val="0"/>
      <w:divBdr>
        <w:top w:val="none" w:sz="0" w:space="0" w:color="auto"/>
        <w:left w:val="none" w:sz="0" w:space="0" w:color="auto"/>
        <w:bottom w:val="none" w:sz="0" w:space="0" w:color="auto"/>
        <w:right w:val="none" w:sz="0" w:space="0" w:color="auto"/>
      </w:divBdr>
      <w:divsChild>
        <w:div w:id="528227198">
          <w:marLeft w:val="274"/>
          <w:marRight w:val="0"/>
          <w:marTop w:val="0"/>
          <w:marBottom w:val="120"/>
          <w:divBdr>
            <w:top w:val="none" w:sz="0" w:space="0" w:color="auto"/>
            <w:left w:val="none" w:sz="0" w:space="0" w:color="auto"/>
            <w:bottom w:val="none" w:sz="0" w:space="0" w:color="auto"/>
            <w:right w:val="none" w:sz="0" w:space="0" w:color="auto"/>
          </w:divBdr>
        </w:div>
      </w:divsChild>
    </w:div>
    <w:div w:id="1189873235">
      <w:bodyDiv w:val="1"/>
      <w:marLeft w:val="0"/>
      <w:marRight w:val="0"/>
      <w:marTop w:val="0"/>
      <w:marBottom w:val="0"/>
      <w:divBdr>
        <w:top w:val="none" w:sz="0" w:space="0" w:color="auto"/>
        <w:left w:val="none" w:sz="0" w:space="0" w:color="auto"/>
        <w:bottom w:val="none" w:sz="0" w:space="0" w:color="auto"/>
        <w:right w:val="none" w:sz="0" w:space="0" w:color="auto"/>
      </w:divBdr>
    </w:div>
    <w:div w:id="1197963425">
      <w:bodyDiv w:val="1"/>
      <w:marLeft w:val="0"/>
      <w:marRight w:val="0"/>
      <w:marTop w:val="0"/>
      <w:marBottom w:val="0"/>
      <w:divBdr>
        <w:top w:val="none" w:sz="0" w:space="0" w:color="auto"/>
        <w:left w:val="none" w:sz="0" w:space="0" w:color="auto"/>
        <w:bottom w:val="none" w:sz="0" w:space="0" w:color="auto"/>
        <w:right w:val="none" w:sz="0" w:space="0" w:color="auto"/>
      </w:divBdr>
      <w:divsChild>
        <w:div w:id="480973902">
          <w:marLeft w:val="274"/>
          <w:marRight w:val="0"/>
          <w:marTop w:val="0"/>
          <w:marBottom w:val="0"/>
          <w:divBdr>
            <w:top w:val="none" w:sz="0" w:space="0" w:color="auto"/>
            <w:left w:val="none" w:sz="0" w:space="0" w:color="auto"/>
            <w:bottom w:val="none" w:sz="0" w:space="0" w:color="auto"/>
            <w:right w:val="none" w:sz="0" w:space="0" w:color="auto"/>
          </w:divBdr>
        </w:div>
        <w:div w:id="711005270">
          <w:marLeft w:val="274"/>
          <w:marRight w:val="0"/>
          <w:marTop w:val="0"/>
          <w:marBottom w:val="0"/>
          <w:divBdr>
            <w:top w:val="none" w:sz="0" w:space="0" w:color="auto"/>
            <w:left w:val="none" w:sz="0" w:space="0" w:color="auto"/>
            <w:bottom w:val="none" w:sz="0" w:space="0" w:color="auto"/>
            <w:right w:val="none" w:sz="0" w:space="0" w:color="auto"/>
          </w:divBdr>
        </w:div>
        <w:div w:id="1476600724">
          <w:marLeft w:val="274"/>
          <w:marRight w:val="0"/>
          <w:marTop w:val="0"/>
          <w:marBottom w:val="0"/>
          <w:divBdr>
            <w:top w:val="none" w:sz="0" w:space="0" w:color="auto"/>
            <w:left w:val="none" w:sz="0" w:space="0" w:color="auto"/>
            <w:bottom w:val="none" w:sz="0" w:space="0" w:color="auto"/>
            <w:right w:val="none" w:sz="0" w:space="0" w:color="auto"/>
          </w:divBdr>
        </w:div>
        <w:div w:id="1806312577">
          <w:marLeft w:val="274"/>
          <w:marRight w:val="0"/>
          <w:marTop w:val="0"/>
          <w:marBottom w:val="0"/>
          <w:divBdr>
            <w:top w:val="none" w:sz="0" w:space="0" w:color="auto"/>
            <w:left w:val="none" w:sz="0" w:space="0" w:color="auto"/>
            <w:bottom w:val="none" w:sz="0" w:space="0" w:color="auto"/>
            <w:right w:val="none" w:sz="0" w:space="0" w:color="auto"/>
          </w:divBdr>
        </w:div>
        <w:div w:id="1944876482">
          <w:marLeft w:val="274"/>
          <w:marRight w:val="0"/>
          <w:marTop w:val="0"/>
          <w:marBottom w:val="0"/>
          <w:divBdr>
            <w:top w:val="none" w:sz="0" w:space="0" w:color="auto"/>
            <w:left w:val="none" w:sz="0" w:space="0" w:color="auto"/>
            <w:bottom w:val="none" w:sz="0" w:space="0" w:color="auto"/>
            <w:right w:val="none" w:sz="0" w:space="0" w:color="auto"/>
          </w:divBdr>
        </w:div>
      </w:divsChild>
    </w:div>
    <w:div w:id="1211500691">
      <w:bodyDiv w:val="1"/>
      <w:marLeft w:val="0"/>
      <w:marRight w:val="0"/>
      <w:marTop w:val="0"/>
      <w:marBottom w:val="0"/>
      <w:divBdr>
        <w:top w:val="none" w:sz="0" w:space="0" w:color="auto"/>
        <w:left w:val="none" w:sz="0" w:space="0" w:color="auto"/>
        <w:bottom w:val="none" w:sz="0" w:space="0" w:color="auto"/>
        <w:right w:val="none" w:sz="0" w:space="0" w:color="auto"/>
      </w:divBdr>
    </w:div>
    <w:div w:id="1219584556">
      <w:bodyDiv w:val="1"/>
      <w:marLeft w:val="0"/>
      <w:marRight w:val="0"/>
      <w:marTop w:val="0"/>
      <w:marBottom w:val="0"/>
      <w:divBdr>
        <w:top w:val="none" w:sz="0" w:space="0" w:color="auto"/>
        <w:left w:val="none" w:sz="0" w:space="0" w:color="auto"/>
        <w:bottom w:val="none" w:sz="0" w:space="0" w:color="auto"/>
        <w:right w:val="none" w:sz="0" w:space="0" w:color="auto"/>
      </w:divBdr>
      <w:divsChild>
        <w:div w:id="39401948">
          <w:marLeft w:val="619"/>
          <w:marRight w:val="0"/>
          <w:marTop w:val="0"/>
          <w:marBottom w:val="0"/>
          <w:divBdr>
            <w:top w:val="none" w:sz="0" w:space="0" w:color="auto"/>
            <w:left w:val="none" w:sz="0" w:space="0" w:color="auto"/>
            <w:bottom w:val="none" w:sz="0" w:space="0" w:color="auto"/>
            <w:right w:val="none" w:sz="0" w:space="0" w:color="auto"/>
          </w:divBdr>
        </w:div>
        <w:div w:id="597105430">
          <w:marLeft w:val="619"/>
          <w:marRight w:val="0"/>
          <w:marTop w:val="0"/>
          <w:marBottom w:val="0"/>
          <w:divBdr>
            <w:top w:val="none" w:sz="0" w:space="0" w:color="auto"/>
            <w:left w:val="none" w:sz="0" w:space="0" w:color="auto"/>
            <w:bottom w:val="none" w:sz="0" w:space="0" w:color="auto"/>
            <w:right w:val="none" w:sz="0" w:space="0" w:color="auto"/>
          </w:divBdr>
        </w:div>
        <w:div w:id="771629257">
          <w:marLeft w:val="619"/>
          <w:marRight w:val="0"/>
          <w:marTop w:val="0"/>
          <w:marBottom w:val="0"/>
          <w:divBdr>
            <w:top w:val="none" w:sz="0" w:space="0" w:color="auto"/>
            <w:left w:val="none" w:sz="0" w:space="0" w:color="auto"/>
            <w:bottom w:val="none" w:sz="0" w:space="0" w:color="auto"/>
            <w:right w:val="none" w:sz="0" w:space="0" w:color="auto"/>
          </w:divBdr>
        </w:div>
        <w:div w:id="1075053580">
          <w:marLeft w:val="619"/>
          <w:marRight w:val="0"/>
          <w:marTop w:val="0"/>
          <w:marBottom w:val="0"/>
          <w:divBdr>
            <w:top w:val="none" w:sz="0" w:space="0" w:color="auto"/>
            <w:left w:val="none" w:sz="0" w:space="0" w:color="auto"/>
            <w:bottom w:val="none" w:sz="0" w:space="0" w:color="auto"/>
            <w:right w:val="none" w:sz="0" w:space="0" w:color="auto"/>
          </w:divBdr>
        </w:div>
        <w:div w:id="1851138732">
          <w:marLeft w:val="619"/>
          <w:marRight w:val="0"/>
          <w:marTop w:val="0"/>
          <w:marBottom w:val="0"/>
          <w:divBdr>
            <w:top w:val="none" w:sz="0" w:space="0" w:color="auto"/>
            <w:left w:val="none" w:sz="0" w:space="0" w:color="auto"/>
            <w:bottom w:val="none" w:sz="0" w:space="0" w:color="auto"/>
            <w:right w:val="none" w:sz="0" w:space="0" w:color="auto"/>
          </w:divBdr>
        </w:div>
        <w:div w:id="2092922818">
          <w:marLeft w:val="619"/>
          <w:marRight w:val="0"/>
          <w:marTop w:val="0"/>
          <w:marBottom w:val="0"/>
          <w:divBdr>
            <w:top w:val="none" w:sz="0" w:space="0" w:color="auto"/>
            <w:left w:val="none" w:sz="0" w:space="0" w:color="auto"/>
            <w:bottom w:val="none" w:sz="0" w:space="0" w:color="auto"/>
            <w:right w:val="none" w:sz="0" w:space="0" w:color="auto"/>
          </w:divBdr>
        </w:div>
      </w:divsChild>
    </w:div>
    <w:div w:id="1247807241">
      <w:bodyDiv w:val="1"/>
      <w:marLeft w:val="0"/>
      <w:marRight w:val="0"/>
      <w:marTop w:val="0"/>
      <w:marBottom w:val="0"/>
      <w:divBdr>
        <w:top w:val="none" w:sz="0" w:space="0" w:color="auto"/>
        <w:left w:val="none" w:sz="0" w:space="0" w:color="auto"/>
        <w:bottom w:val="none" w:sz="0" w:space="0" w:color="auto"/>
        <w:right w:val="none" w:sz="0" w:space="0" w:color="auto"/>
      </w:divBdr>
    </w:div>
    <w:div w:id="1256088492">
      <w:bodyDiv w:val="1"/>
      <w:marLeft w:val="0"/>
      <w:marRight w:val="0"/>
      <w:marTop w:val="0"/>
      <w:marBottom w:val="0"/>
      <w:divBdr>
        <w:top w:val="none" w:sz="0" w:space="0" w:color="auto"/>
        <w:left w:val="none" w:sz="0" w:space="0" w:color="auto"/>
        <w:bottom w:val="none" w:sz="0" w:space="0" w:color="auto"/>
        <w:right w:val="none" w:sz="0" w:space="0" w:color="auto"/>
      </w:divBdr>
    </w:div>
    <w:div w:id="1260454391">
      <w:bodyDiv w:val="1"/>
      <w:marLeft w:val="0"/>
      <w:marRight w:val="0"/>
      <w:marTop w:val="0"/>
      <w:marBottom w:val="0"/>
      <w:divBdr>
        <w:top w:val="none" w:sz="0" w:space="0" w:color="auto"/>
        <w:left w:val="none" w:sz="0" w:space="0" w:color="auto"/>
        <w:bottom w:val="none" w:sz="0" w:space="0" w:color="auto"/>
        <w:right w:val="none" w:sz="0" w:space="0" w:color="auto"/>
      </w:divBdr>
      <w:divsChild>
        <w:div w:id="1982073315">
          <w:marLeft w:val="446"/>
          <w:marRight w:val="0"/>
          <w:marTop w:val="0"/>
          <w:marBottom w:val="0"/>
          <w:divBdr>
            <w:top w:val="none" w:sz="0" w:space="0" w:color="auto"/>
            <w:left w:val="none" w:sz="0" w:space="0" w:color="auto"/>
            <w:bottom w:val="none" w:sz="0" w:space="0" w:color="auto"/>
            <w:right w:val="none" w:sz="0" w:space="0" w:color="auto"/>
          </w:divBdr>
        </w:div>
      </w:divsChild>
    </w:div>
    <w:div w:id="1277904213">
      <w:bodyDiv w:val="1"/>
      <w:marLeft w:val="0"/>
      <w:marRight w:val="0"/>
      <w:marTop w:val="0"/>
      <w:marBottom w:val="0"/>
      <w:divBdr>
        <w:top w:val="none" w:sz="0" w:space="0" w:color="auto"/>
        <w:left w:val="none" w:sz="0" w:space="0" w:color="auto"/>
        <w:bottom w:val="none" w:sz="0" w:space="0" w:color="auto"/>
        <w:right w:val="none" w:sz="0" w:space="0" w:color="auto"/>
      </w:divBdr>
    </w:div>
    <w:div w:id="1332946027">
      <w:bodyDiv w:val="1"/>
      <w:marLeft w:val="0"/>
      <w:marRight w:val="0"/>
      <w:marTop w:val="0"/>
      <w:marBottom w:val="0"/>
      <w:divBdr>
        <w:top w:val="none" w:sz="0" w:space="0" w:color="auto"/>
        <w:left w:val="none" w:sz="0" w:space="0" w:color="auto"/>
        <w:bottom w:val="none" w:sz="0" w:space="0" w:color="auto"/>
        <w:right w:val="none" w:sz="0" w:space="0" w:color="auto"/>
      </w:divBdr>
      <w:divsChild>
        <w:div w:id="1559973223">
          <w:marLeft w:val="274"/>
          <w:marRight w:val="0"/>
          <w:marTop w:val="0"/>
          <w:marBottom w:val="0"/>
          <w:divBdr>
            <w:top w:val="none" w:sz="0" w:space="0" w:color="auto"/>
            <w:left w:val="none" w:sz="0" w:space="0" w:color="auto"/>
            <w:bottom w:val="none" w:sz="0" w:space="0" w:color="auto"/>
            <w:right w:val="none" w:sz="0" w:space="0" w:color="auto"/>
          </w:divBdr>
        </w:div>
        <w:div w:id="1915779881">
          <w:marLeft w:val="274"/>
          <w:marRight w:val="0"/>
          <w:marTop w:val="0"/>
          <w:marBottom w:val="0"/>
          <w:divBdr>
            <w:top w:val="none" w:sz="0" w:space="0" w:color="auto"/>
            <w:left w:val="none" w:sz="0" w:space="0" w:color="auto"/>
            <w:bottom w:val="none" w:sz="0" w:space="0" w:color="auto"/>
            <w:right w:val="none" w:sz="0" w:space="0" w:color="auto"/>
          </w:divBdr>
        </w:div>
        <w:div w:id="2001956277">
          <w:marLeft w:val="274"/>
          <w:marRight w:val="0"/>
          <w:marTop w:val="0"/>
          <w:marBottom w:val="0"/>
          <w:divBdr>
            <w:top w:val="none" w:sz="0" w:space="0" w:color="auto"/>
            <w:left w:val="none" w:sz="0" w:space="0" w:color="auto"/>
            <w:bottom w:val="none" w:sz="0" w:space="0" w:color="auto"/>
            <w:right w:val="none" w:sz="0" w:space="0" w:color="auto"/>
          </w:divBdr>
        </w:div>
      </w:divsChild>
    </w:div>
    <w:div w:id="1367370739">
      <w:bodyDiv w:val="1"/>
      <w:marLeft w:val="0"/>
      <w:marRight w:val="0"/>
      <w:marTop w:val="0"/>
      <w:marBottom w:val="0"/>
      <w:divBdr>
        <w:top w:val="none" w:sz="0" w:space="0" w:color="auto"/>
        <w:left w:val="none" w:sz="0" w:space="0" w:color="auto"/>
        <w:bottom w:val="none" w:sz="0" w:space="0" w:color="auto"/>
        <w:right w:val="none" w:sz="0" w:space="0" w:color="auto"/>
      </w:divBdr>
    </w:div>
    <w:div w:id="1374575660">
      <w:bodyDiv w:val="1"/>
      <w:marLeft w:val="0"/>
      <w:marRight w:val="0"/>
      <w:marTop w:val="0"/>
      <w:marBottom w:val="0"/>
      <w:divBdr>
        <w:top w:val="none" w:sz="0" w:space="0" w:color="auto"/>
        <w:left w:val="none" w:sz="0" w:space="0" w:color="auto"/>
        <w:bottom w:val="none" w:sz="0" w:space="0" w:color="auto"/>
        <w:right w:val="none" w:sz="0" w:space="0" w:color="auto"/>
      </w:divBdr>
      <w:divsChild>
        <w:div w:id="561721987">
          <w:marLeft w:val="274"/>
          <w:marRight w:val="0"/>
          <w:marTop w:val="0"/>
          <w:marBottom w:val="60"/>
          <w:divBdr>
            <w:top w:val="none" w:sz="0" w:space="0" w:color="auto"/>
            <w:left w:val="none" w:sz="0" w:space="0" w:color="auto"/>
            <w:bottom w:val="none" w:sz="0" w:space="0" w:color="auto"/>
            <w:right w:val="none" w:sz="0" w:space="0" w:color="auto"/>
          </w:divBdr>
        </w:div>
        <w:div w:id="607274083">
          <w:marLeft w:val="274"/>
          <w:marRight w:val="0"/>
          <w:marTop w:val="0"/>
          <w:marBottom w:val="60"/>
          <w:divBdr>
            <w:top w:val="none" w:sz="0" w:space="0" w:color="auto"/>
            <w:left w:val="none" w:sz="0" w:space="0" w:color="auto"/>
            <w:bottom w:val="none" w:sz="0" w:space="0" w:color="auto"/>
            <w:right w:val="none" w:sz="0" w:space="0" w:color="auto"/>
          </w:divBdr>
        </w:div>
        <w:div w:id="875771947">
          <w:marLeft w:val="274"/>
          <w:marRight w:val="0"/>
          <w:marTop w:val="0"/>
          <w:marBottom w:val="60"/>
          <w:divBdr>
            <w:top w:val="none" w:sz="0" w:space="0" w:color="auto"/>
            <w:left w:val="none" w:sz="0" w:space="0" w:color="auto"/>
            <w:bottom w:val="none" w:sz="0" w:space="0" w:color="auto"/>
            <w:right w:val="none" w:sz="0" w:space="0" w:color="auto"/>
          </w:divBdr>
        </w:div>
        <w:div w:id="924998134">
          <w:marLeft w:val="274"/>
          <w:marRight w:val="0"/>
          <w:marTop w:val="0"/>
          <w:marBottom w:val="60"/>
          <w:divBdr>
            <w:top w:val="none" w:sz="0" w:space="0" w:color="auto"/>
            <w:left w:val="none" w:sz="0" w:space="0" w:color="auto"/>
            <w:bottom w:val="none" w:sz="0" w:space="0" w:color="auto"/>
            <w:right w:val="none" w:sz="0" w:space="0" w:color="auto"/>
          </w:divBdr>
        </w:div>
        <w:div w:id="1244028233">
          <w:marLeft w:val="274"/>
          <w:marRight w:val="0"/>
          <w:marTop w:val="0"/>
          <w:marBottom w:val="60"/>
          <w:divBdr>
            <w:top w:val="none" w:sz="0" w:space="0" w:color="auto"/>
            <w:left w:val="none" w:sz="0" w:space="0" w:color="auto"/>
            <w:bottom w:val="none" w:sz="0" w:space="0" w:color="auto"/>
            <w:right w:val="none" w:sz="0" w:space="0" w:color="auto"/>
          </w:divBdr>
        </w:div>
        <w:div w:id="1469738107">
          <w:marLeft w:val="274"/>
          <w:marRight w:val="0"/>
          <w:marTop w:val="0"/>
          <w:marBottom w:val="60"/>
          <w:divBdr>
            <w:top w:val="none" w:sz="0" w:space="0" w:color="auto"/>
            <w:left w:val="none" w:sz="0" w:space="0" w:color="auto"/>
            <w:bottom w:val="none" w:sz="0" w:space="0" w:color="auto"/>
            <w:right w:val="none" w:sz="0" w:space="0" w:color="auto"/>
          </w:divBdr>
        </w:div>
      </w:divsChild>
    </w:div>
    <w:div w:id="1379549036">
      <w:bodyDiv w:val="1"/>
      <w:marLeft w:val="0"/>
      <w:marRight w:val="0"/>
      <w:marTop w:val="0"/>
      <w:marBottom w:val="0"/>
      <w:divBdr>
        <w:top w:val="none" w:sz="0" w:space="0" w:color="auto"/>
        <w:left w:val="none" w:sz="0" w:space="0" w:color="auto"/>
        <w:bottom w:val="none" w:sz="0" w:space="0" w:color="auto"/>
        <w:right w:val="none" w:sz="0" w:space="0" w:color="auto"/>
      </w:divBdr>
    </w:div>
    <w:div w:id="1382051536">
      <w:bodyDiv w:val="1"/>
      <w:marLeft w:val="0"/>
      <w:marRight w:val="0"/>
      <w:marTop w:val="0"/>
      <w:marBottom w:val="0"/>
      <w:divBdr>
        <w:top w:val="none" w:sz="0" w:space="0" w:color="auto"/>
        <w:left w:val="none" w:sz="0" w:space="0" w:color="auto"/>
        <w:bottom w:val="none" w:sz="0" w:space="0" w:color="auto"/>
        <w:right w:val="none" w:sz="0" w:space="0" w:color="auto"/>
      </w:divBdr>
    </w:div>
    <w:div w:id="1386182047">
      <w:bodyDiv w:val="1"/>
      <w:marLeft w:val="0"/>
      <w:marRight w:val="0"/>
      <w:marTop w:val="0"/>
      <w:marBottom w:val="0"/>
      <w:divBdr>
        <w:top w:val="none" w:sz="0" w:space="0" w:color="auto"/>
        <w:left w:val="none" w:sz="0" w:space="0" w:color="auto"/>
        <w:bottom w:val="none" w:sz="0" w:space="0" w:color="auto"/>
        <w:right w:val="none" w:sz="0" w:space="0" w:color="auto"/>
      </w:divBdr>
      <w:divsChild>
        <w:div w:id="252935369">
          <w:marLeft w:val="274"/>
          <w:marRight w:val="0"/>
          <w:marTop w:val="0"/>
          <w:marBottom w:val="60"/>
          <w:divBdr>
            <w:top w:val="none" w:sz="0" w:space="0" w:color="auto"/>
            <w:left w:val="none" w:sz="0" w:space="0" w:color="auto"/>
            <w:bottom w:val="none" w:sz="0" w:space="0" w:color="auto"/>
            <w:right w:val="none" w:sz="0" w:space="0" w:color="auto"/>
          </w:divBdr>
        </w:div>
      </w:divsChild>
    </w:div>
    <w:div w:id="1417937385">
      <w:bodyDiv w:val="1"/>
      <w:marLeft w:val="0"/>
      <w:marRight w:val="0"/>
      <w:marTop w:val="0"/>
      <w:marBottom w:val="0"/>
      <w:divBdr>
        <w:top w:val="none" w:sz="0" w:space="0" w:color="auto"/>
        <w:left w:val="none" w:sz="0" w:space="0" w:color="auto"/>
        <w:bottom w:val="none" w:sz="0" w:space="0" w:color="auto"/>
        <w:right w:val="none" w:sz="0" w:space="0" w:color="auto"/>
      </w:divBdr>
      <w:divsChild>
        <w:div w:id="685401267">
          <w:marLeft w:val="274"/>
          <w:marRight w:val="0"/>
          <w:marTop w:val="0"/>
          <w:marBottom w:val="60"/>
          <w:divBdr>
            <w:top w:val="none" w:sz="0" w:space="0" w:color="auto"/>
            <w:left w:val="none" w:sz="0" w:space="0" w:color="auto"/>
            <w:bottom w:val="none" w:sz="0" w:space="0" w:color="auto"/>
            <w:right w:val="none" w:sz="0" w:space="0" w:color="auto"/>
          </w:divBdr>
        </w:div>
        <w:div w:id="1322805500">
          <w:marLeft w:val="274"/>
          <w:marRight w:val="0"/>
          <w:marTop w:val="0"/>
          <w:marBottom w:val="60"/>
          <w:divBdr>
            <w:top w:val="none" w:sz="0" w:space="0" w:color="auto"/>
            <w:left w:val="none" w:sz="0" w:space="0" w:color="auto"/>
            <w:bottom w:val="none" w:sz="0" w:space="0" w:color="auto"/>
            <w:right w:val="none" w:sz="0" w:space="0" w:color="auto"/>
          </w:divBdr>
        </w:div>
        <w:div w:id="1560095539">
          <w:marLeft w:val="274"/>
          <w:marRight w:val="0"/>
          <w:marTop w:val="0"/>
          <w:marBottom w:val="60"/>
          <w:divBdr>
            <w:top w:val="none" w:sz="0" w:space="0" w:color="auto"/>
            <w:left w:val="none" w:sz="0" w:space="0" w:color="auto"/>
            <w:bottom w:val="none" w:sz="0" w:space="0" w:color="auto"/>
            <w:right w:val="none" w:sz="0" w:space="0" w:color="auto"/>
          </w:divBdr>
        </w:div>
        <w:div w:id="1585844887">
          <w:marLeft w:val="274"/>
          <w:marRight w:val="0"/>
          <w:marTop w:val="0"/>
          <w:marBottom w:val="60"/>
          <w:divBdr>
            <w:top w:val="none" w:sz="0" w:space="0" w:color="auto"/>
            <w:left w:val="none" w:sz="0" w:space="0" w:color="auto"/>
            <w:bottom w:val="none" w:sz="0" w:space="0" w:color="auto"/>
            <w:right w:val="none" w:sz="0" w:space="0" w:color="auto"/>
          </w:divBdr>
        </w:div>
        <w:div w:id="1919825150">
          <w:marLeft w:val="274"/>
          <w:marRight w:val="0"/>
          <w:marTop w:val="0"/>
          <w:marBottom w:val="60"/>
          <w:divBdr>
            <w:top w:val="none" w:sz="0" w:space="0" w:color="auto"/>
            <w:left w:val="none" w:sz="0" w:space="0" w:color="auto"/>
            <w:bottom w:val="none" w:sz="0" w:space="0" w:color="auto"/>
            <w:right w:val="none" w:sz="0" w:space="0" w:color="auto"/>
          </w:divBdr>
        </w:div>
      </w:divsChild>
    </w:div>
    <w:div w:id="1434130803">
      <w:bodyDiv w:val="1"/>
      <w:marLeft w:val="0"/>
      <w:marRight w:val="0"/>
      <w:marTop w:val="0"/>
      <w:marBottom w:val="0"/>
      <w:divBdr>
        <w:top w:val="none" w:sz="0" w:space="0" w:color="auto"/>
        <w:left w:val="none" w:sz="0" w:space="0" w:color="auto"/>
        <w:bottom w:val="none" w:sz="0" w:space="0" w:color="auto"/>
        <w:right w:val="none" w:sz="0" w:space="0" w:color="auto"/>
      </w:divBdr>
      <w:divsChild>
        <w:div w:id="802582308">
          <w:marLeft w:val="446"/>
          <w:marRight w:val="0"/>
          <w:marTop w:val="0"/>
          <w:marBottom w:val="0"/>
          <w:divBdr>
            <w:top w:val="none" w:sz="0" w:space="0" w:color="auto"/>
            <w:left w:val="none" w:sz="0" w:space="0" w:color="auto"/>
            <w:bottom w:val="none" w:sz="0" w:space="0" w:color="auto"/>
            <w:right w:val="none" w:sz="0" w:space="0" w:color="auto"/>
          </w:divBdr>
        </w:div>
      </w:divsChild>
    </w:div>
    <w:div w:id="1438333392">
      <w:bodyDiv w:val="1"/>
      <w:marLeft w:val="0"/>
      <w:marRight w:val="0"/>
      <w:marTop w:val="0"/>
      <w:marBottom w:val="0"/>
      <w:divBdr>
        <w:top w:val="none" w:sz="0" w:space="0" w:color="auto"/>
        <w:left w:val="none" w:sz="0" w:space="0" w:color="auto"/>
        <w:bottom w:val="none" w:sz="0" w:space="0" w:color="auto"/>
        <w:right w:val="none" w:sz="0" w:space="0" w:color="auto"/>
      </w:divBdr>
    </w:div>
    <w:div w:id="1477260600">
      <w:bodyDiv w:val="1"/>
      <w:marLeft w:val="0"/>
      <w:marRight w:val="0"/>
      <w:marTop w:val="0"/>
      <w:marBottom w:val="0"/>
      <w:divBdr>
        <w:top w:val="none" w:sz="0" w:space="0" w:color="auto"/>
        <w:left w:val="none" w:sz="0" w:space="0" w:color="auto"/>
        <w:bottom w:val="none" w:sz="0" w:space="0" w:color="auto"/>
        <w:right w:val="none" w:sz="0" w:space="0" w:color="auto"/>
      </w:divBdr>
    </w:div>
    <w:div w:id="1575235400">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858317">
          <w:marLeft w:val="274"/>
          <w:marRight w:val="0"/>
          <w:marTop w:val="0"/>
          <w:marBottom w:val="60"/>
          <w:divBdr>
            <w:top w:val="none" w:sz="0" w:space="0" w:color="auto"/>
            <w:left w:val="none" w:sz="0" w:space="0" w:color="auto"/>
            <w:bottom w:val="none" w:sz="0" w:space="0" w:color="auto"/>
            <w:right w:val="none" w:sz="0" w:space="0" w:color="auto"/>
          </w:divBdr>
        </w:div>
        <w:div w:id="703363665">
          <w:marLeft w:val="274"/>
          <w:marRight w:val="0"/>
          <w:marTop w:val="0"/>
          <w:marBottom w:val="60"/>
          <w:divBdr>
            <w:top w:val="none" w:sz="0" w:space="0" w:color="auto"/>
            <w:left w:val="none" w:sz="0" w:space="0" w:color="auto"/>
            <w:bottom w:val="none" w:sz="0" w:space="0" w:color="auto"/>
            <w:right w:val="none" w:sz="0" w:space="0" w:color="auto"/>
          </w:divBdr>
        </w:div>
        <w:div w:id="822966641">
          <w:marLeft w:val="274"/>
          <w:marRight w:val="0"/>
          <w:marTop w:val="0"/>
          <w:marBottom w:val="60"/>
          <w:divBdr>
            <w:top w:val="none" w:sz="0" w:space="0" w:color="auto"/>
            <w:left w:val="none" w:sz="0" w:space="0" w:color="auto"/>
            <w:bottom w:val="none" w:sz="0" w:space="0" w:color="auto"/>
            <w:right w:val="none" w:sz="0" w:space="0" w:color="auto"/>
          </w:divBdr>
        </w:div>
        <w:div w:id="1328830099">
          <w:marLeft w:val="274"/>
          <w:marRight w:val="0"/>
          <w:marTop w:val="0"/>
          <w:marBottom w:val="60"/>
          <w:divBdr>
            <w:top w:val="none" w:sz="0" w:space="0" w:color="auto"/>
            <w:left w:val="none" w:sz="0" w:space="0" w:color="auto"/>
            <w:bottom w:val="none" w:sz="0" w:space="0" w:color="auto"/>
            <w:right w:val="none" w:sz="0" w:space="0" w:color="auto"/>
          </w:divBdr>
        </w:div>
        <w:div w:id="1762947188">
          <w:marLeft w:val="274"/>
          <w:marRight w:val="0"/>
          <w:marTop w:val="0"/>
          <w:marBottom w:val="60"/>
          <w:divBdr>
            <w:top w:val="none" w:sz="0" w:space="0" w:color="auto"/>
            <w:left w:val="none" w:sz="0" w:space="0" w:color="auto"/>
            <w:bottom w:val="none" w:sz="0" w:space="0" w:color="auto"/>
            <w:right w:val="none" w:sz="0" w:space="0" w:color="auto"/>
          </w:divBdr>
        </w:div>
        <w:div w:id="1812401023">
          <w:marLeft w:val="274"/>
          <w:marRight w:val="0"/>
          <w:marTop w:val="0"/>
          <w:marBottom w:val="60"/>
          <w:divBdr>
            <w:top w:val="none" w:sz="0" w:space="0" w:color="auto"/>
            <w:left w:val="none" w:sz="0" w:space="0" w:color="auto"/>
            <w:bottom w:val="none" w:sz="0" w:space="0" w:color="auto"/>
            <w:right w:val="none" w:sz="0" w:space="0" w:color="auto"/>
          </w:divBdr>
        </w:div>
      </w:divsChild>
    </w:div>
    <w:div w:id="1601571919">
      <w:bodyDiv w:val="1"/>
      <w:marLeft w:val="0"/>
      <w:marRight w:val="0"/>
      <w:marTop w:val="0"/>
      <w:marBottom w:val="0"/>
      <w:divBdr>
        <w:top w:val="none" w:sz="0" w:space="0" w:color="auto"/>
        <w:left w:val="none" w:sz="0" w:space="0" w:color="auto"/>
        <w:bottom w:val="none" w:sz="0" w:space="0" w:color="auto"/>
        <w:right w:val="none" w:sz="0" w:space="0" w:color="auto"/>
      </w:divBdr>
    </w:div>
    <w:div w:id="1604653927">
      <w:bodyDiv w:val="1"/>
      <w:marLeft w:val="0"/>
      <w:marRight w:val="0"/>
      <w:marTop w:val="0"/>
      <w:marBottom w:val="0"/>
      <w:divBdr>
        <w:top w:val="none" w:sz="0" w:space="0" w:color="auto"/>
        <w:left w:val="none" w:sz="0" w:space="0" w:color="auto"/>
        <w:bottom w:val="none" w:sz="0" w:space="0" w:color="auto"/>
        <w:right w:val="none" w:sz="0" w:space="0" w:color="auto"/>
      </w:divBdr>
    </w:div>
    <w:div w:id="1615555420">
      <w:bodyDiv w:val="1"/>
      <w:marLeft w:val="0"/>
      <w:marRight w:val="0"/>
      <w:marTop w:val="0"/>
      <w:marBottom w:val="0"/>
      <w:divBdr>
        <w:top w:val="none" w:sz="0" w:space="0" w:color="auto"/>
        <w:left w:val="none" w:sz="0" w:space="0" w:color="auto"/>
        <w:bottom w:val="none" w:sz="0" w:space="0" w:color="auto"/>
        <w:right w:val="none" w:sz="0" w:space="0" w:color="auto"/>
      </w:divBdr>
      <w:divsChild>
        <w:div w:id="167520571">
          <w:marLeft w:val="274"/>
          <w:marRight w:val="0"/>
          <w:marTop w:val="0"/>
          <w:marBottom w:val="60"/>
          <w:divBdr>
            <w:top w:val="none" w:sz="0" w:space="0" w:color="auto"/>
            <w:left w:val="none" w:sz="0" w:space="0" w:color="auto"/>
            <w:bottom w:val="none" w:sz="0" w:space="0" w:color="auto"/>
            <w:right w:val="none" w:sz="0" w:space="0" w:color="auto"/>
          </w:divBdr>
        </w:div>
      </w:divsChild>
    </w:div>
    <w:div w:id="1619413821">
      <w:bodyDiv w:val="1"/>
      <w:marLeft w:val="0"/>
      <w:marRight w:val="0"/>
      <w:marTop w:val="0"/>
      <w:marBottom w:val="0"/>
      <w:divBdr>
        <w:top w:val="none" w:sz="0" w:space="0" w:color="auto"/>
        <w:left w:val="none" w:sz="0" w:space="0" w:color="auto"/>
        <w:bottom w:val="none" w:sz="0" w:space="0" w:color="auto"/>
        <w:right w:val="none" w:sz="0" w:space="0" w:color="auto"/>
      </w:divBdr>
      <w:divsChild>
        <w:div w:id="1063800039">
          <w:marLeft w:val="274"/>
          <w:marRight w:val="0"/>
          <w:marTop w:val="0"/>
          <w:marBottom w:val="0"/>
          <w:divBdr>
            <w:top w:val="none" w:sz="0" w:space="0" w:color="auto"/>
            <w:left w:val="none" w:sz="0" w:space="0" w:color="auto"/>
            <w:bottom w:val="none" w:sz="0" w:space="0" w:color="auto"/>
            <w:right w:val="none" w:sz="0" w:space="0" w:color="auto"/>
          </w:divBdr>
        </w:div>
        <w:div w:id="1692336846">
          <w:marLeft w:val="274"/>
          <w:marRight w:val="0"/>
          <w:marTop w:val="0"/>
          <w:marBottom w:val="0"/>
          <w:divBdr>
            <w:top w:val="none" w:sz="0" w:space="0" w:color="auto"/>
            <w:left w:val="none" w:sz="0" w:space="0" w:color="auto"/>
            <w:bottom w:val="none" w:sz="0" w:space="0" w:color="auto"/>
            <w:right w:val="none" w:sz="0" w:space="0" w:color="auto"/>
          </w:divBdr>
        </w:div>
        <w:div w:id="2098018003">
          <w:marLeft w:val="274"/>
          <w:marRight w:val="0"/>
          <w:marTop w:val="0"/>
          <w:marBottom w:val="0"/>
          <w:divBdr>
            <w:top w:val="none" w:sz="0" w:space="0" w:color="auto"/>
            <w:left w:val="none" w:sz="0" w:space="0" w:color="auto"/>
            <w:bottom w:val="none" w:sz="0" w:space="0" w:color="auto"/>
            <w:right w:val="none" w:sz="0" w:space="0" w:color="auto"/>
          </w:divBdr>
        </w:div>
      </w:divsChild>
    </w:div>
    <w:div w:id="1662151175">
      <w:bodyDiv w:val="1"/>
      <w:marLeft w:val="0"/>
      <w:marRight w:val="0"/>
      <w:marTop w:val="0"/>
      <w:marBottom w:val="0"/>
      <w:divBdr>
        <w:top w:val="none" w:sz="0" w:space="0" w:color="auto"/>
        <w:left w:val="none" w:sz="0" w:space="0" w:color="auto"/>
        <w:bottom w:val="none" w:sz="0" w:space="0" w:color="auto"/>
        <w:right w:val="none" w:sz="0" w:space="0" w:color="auto"/>
      </w:divBdr>
    </w:div>
    <w:div w:id="1669670561">
      <w:bodyDiv w:val="1"/>
      <w:marLeft w:val="0"/>
      <w:marRight w:val="0"/>
      <w:marTop w:val="0"/>
      <w:marBottom w:val="0"/>
      <w:divBdr>
        <w:top w:val="none" w:sz="0" w:space="0" w:color="auto"/>
        <w:left w:val="none" w:sz="0" w:space="0" w:color="auto"/>
        <w:bottom w:val="none" w:sz="0" w:space="0" w:color="auto"/>
        <w:right w:val="none" w:sz="0" w:space="0" w:color="auto"/>
      </w:divBdr>
    </w:div>
    <w:div w:id="1692801357">
      <w:bodyDiv w:val="1"/>
      <w:marLeft w:val="0"/>
      <w:marRight w:val="0"/>
      <w:marTop w:val="0"/>
      <w:marBottom w:val="0"/>
      <w:divBdr>
        <w:top w:val="none" w:sz="0" w:space="0" w:color="auto"/>
        <w:left w:val="none" w:sz="0" w:space="0" w:color="auto"/>
        <w:bottom w:val="none" w:sz="0" w:space="0" w:color="auto"/>
        <w:right w:val="none" w:sz="0" w:space="0" w:color="auto"/>
      </w:divBdr>
      <w:divsChild>
        <w:div w:id="192117981">
          <w:marLeft w:val="446"/>
          <w:marRight w:val="0"/>
          <w:marTop w:val="0"/>
          <w:marBottom w:val="0"/>
          <w:divBdr>
            <w:top w:val="none" w:sz="0" w:space="0" w:color="auto"/>
            <w:left w:val="none" w:sz="0" w:space="0" w:color="auto"/>
            <w:bottom w:val="none" w:sz="0" w:space="0" w:color="auto"/>
            <w:right w:val="none" w:sz="0" w:space="0" w:color="auto"/>
          </w:divBdr>
        </w:div>
      </w:divsChild>
    </w:div>
    <w:div w:id="1739933256">
      <w:bodyDiv w:val="1"/>
      <w:marLeft w:val="0"/>
      <w:marRight w:val="0"/>
      <w:marTop w:val="0"/>
      <w:marBottom w:val="0"/>
      <w:divBdr>
        <w:top w:val="none" w:sz="0" w:space="0" w:color="auto"/>
        <w:left w:val="none" w:sz="0" w:space="0" w:color="auto"/>
        <w:bottom w:val="none" w:sz="0" w:space="0" w:color="auto"/>
        <w:right w:val="none" w:sz="0" w:space="0" w:color="auto"/>
      </w:divBdr>
    </w:div>
    <w:div w:id="1761485515">
      <w:bodyDiv w:val="1"/>
      <w:marLeft w:val="0"/>
      <w:marRight w:val="0"/>
      <w:marTop w:val="0"/>
      <w:marBottom w:val="0"/>
      <w:divBdr>
        <w:top w:val="none" w:sz="0" w:space="0" w:color="auto"/>
        <w:left w:val="none" w:sz="0" w:space="0" w:color="auto"/>
        <w:bottom w:val="none" w:sz="0" w:space="0" w:color="auto"/>
        <w:right w:val="none" w:sz="0" w:space="0" w:color="auto"/>
      </w:divBdr>
      <w:divsChild>
        <w:div w:id="1310329969">
          <w:marLeft w:val="446"/>
          <w:marRight w:val="0"/>
          <w:marTop w:val="0"/>
          <w:marBottom w:val="0"/>
          <w:divBdr>
            <w:top w:val="none" w:sz="0" w:space="0" w:color="auto"/>
            <w:left w:val="none" w:sz="0" w:space="0" w:color="auto"/>
            <w:bottom w:val="none" w:sz="0" w:space="0" w:color="auto"/>
            <w:right w:val="none" w:sz="0" w:space="0" w:color="auto"/>
          </w:divBdr>
        </w:div>
      </w:divsChild>
    </w:div>
    <w:div w:id="1767187166">
      <w:bodyDiv w:val="1"/>
      <w:marLeft w:val="0"/>
      <w:marRight w:val="0"/>
      <w:marTop w:val="0"/>
      <w:marBottom w:val="0"/>
      <w:divBdr>
        <w:top w:val="none" w:sz="0" w:space="0" w:color="auto"/>
        <w:left w:val="none" w:sz="0" w:space="0" w:color="auto"/>
        <w:bottom w:val="none" w:sz="0" w:space="0" w:color="auto"/>
        <w:right w:val="none" w:sz="0" w:space="0" w:color="auto"/>
      </w:divBdr>
    </w:div>
    <w:div w:id="1768620485">
      <w:bodyDiv w:val="1"/>
      <w:marLeft w:val="0"/>
      <w:marRight w:val="0"/>
      <w:marTop w:val="0"/>
      <w:marBottom w:val="0"/>
      <w:divBdr>
        <w:top w:val="none" w:sz="0" w:space="0" w:color="auto"/>
        <w:left w:val="none" w:sz="0" w:space="0" w:color="auto"/>
        <w:bottom w:val="none" w:sz="0" w:space="0" w:color="auto"/>
        <w:right w:val="none" w:sz="0" w:space="0" w:color="auto"/>
      </w:divBdr>
    </w:div>
    <w:div w:id="1772891595">
      <w:bodyDiv w:val="1"/>
      <w:marLeft w:val="0"/>
      <w:marRight w:val="0"/>
      <w:marTop w:val="0"/>
      <w:marBottom w:val="0"/>
      <w:divBdr>
        <w:top w:val="none" w:sz="0" w:space="0" w:color="auto"/>
        <w:left w:val="none" w:sz="0" w:space="0" w:color="auto"/>
        <w:bottom w:val="none" w:sz="0" w:space="0" w:color="auto"/>
        <w:right w:val="none" w:sz="0" w:space="0" w:color="auto"/>
      </w:divBdr>
    </w:div>
    <w:div w:id="1780250138">
      <w:bodyDiv w:val="1"/>
      <w:marLeft w:val="0"/>
      <w:marRight w:val="0"/>
      <w:marTop w:val="0"/>
      <w:marBottom w:val="0"/>
      <w:divBdr>
        <w:top w:val="none" w:sz="0" w:space="0" w:color="auto"/>
        <w:left w:val="none" w:sz="0" w:space="0" w:color="auto"/>
        <w:bottom w:val="none" w:sz="0" w:space="0" w:color="auto"/>
        <w:right w:val="none" w:sz="0" w:space="0" w:color="auto"/>
      </w:divBdr>
    </w:div>
    <w:div w:id="1799912340">
      <w:bodyDiv w:val="1"/>
      <w:marLeft w:val="0"/>
      <w:marRight w:val="0"/>
      <w:marTop w:val="0"/>
      <w:marBottom w:val="0"/>
      <w:divBdr>
        <w:top w:val="none" w:sz="0" w:space="0" w:color="auto"/>
        <w:left w:val="none" w:sz="0" w:space="0" w:color="auto"/>
        <w:bottom w:val="none" w:sz="0" w:space="0" w:color="auto"/>
        <w:right w:val="none" w:sz="0" w:space="0" w:color="auto"/>
      </w:divBdr>
      <w:divsChild>
        <w:div w:id="42489312">
          <w:marLeft w:val="274"/>
          <w:marRight w:val="0"/>
          <w:marTop w:val="0"/>
          <w:marBottom w:val="0"/>
          <w:divBdr>
            <w:top w:val="none" w:sz="0" w:space="0" w:color="auto"/>
            <w:left w:val="none" w:sz="0" w:space="0" w:color="auto"/>
            <w:bottom w:val="none" w:sz="0" w:space="0" w:color="auto"/>
            <w:right w:val="none" w:sz="0" w:space="0" w:color="auto"/>
          </w:divBdr>
        </w:div>
        <w:div w:id="475227374">
          <w:marLeft w:val="274"/>
          <w:marRight w:val="0"/>
          <w:marTop w:val="0"/>
          <w:marBottom w:val="0"/>
          <w:divBdr>
            <w:top w:val="none" w:sz="0" w:space="0" w:color="auto"/>
            <w:left w:val="none" w:sz="0" w:space="0" w:color="auto"/>
            <w:bottom w:val="none" w:sz="0" w:space="0" w:color="auto"/>
            <w:right w:val="none" w:sz="0" w:space="0" w:color="auto"/>
          </w:divBdr>
        </w:div>
        <w:div w:id="1832790345">
          <w:marLeft w:val="274"/>
          <w:marRight w:val="0"/>
          <w:marTop w:val="0"/>
          <w:marBottom w:val="0"/>
          <w:divBdr>
            <w:top w:val="none" w:sz="0" w:space="0" w:color="auto"/>
            <w:left w:val="none" w:sz="0" w:space="0" w:color="auto"/>
            <w:bottom w:val="none" w:sz="0" w:space="0" w:color="auto"/>
            <w:right w:val="none" w:sz="0" w:space="0" w:color="auto"/>
          </w:divBdr>
        </w:div>
      </w:divsChild>
    </w:div>
    <w:div w:id="1807968549">
      <w:bodyDiv w:val="1"/>
      <w:marLeft w:val="0"/>
      <w:marRight w:val="0"/>
      <w:marTop w:val="0"/>
      <w:marBottom w:val="0"/>
      <w:divBdr>
        <w:top w:val="none" w:sz="0" w:space="0" w:color="auto"/>
        <w:left w:val="none" w:sz="0" w:space="0" w:color="auto"/>
        <w:bottom w:val="none" w:sz="0" w:space="0" w:color="auto"/>
        <w:right w:val="none" w:sz="0" w:space="0" w:color="auto"/>
      </w:divBdr>
    </w:div>
    <w:div w:id="1814788293">
      <w:bodyDiv w:val="1"/>
      <w:marLeft w:val="0"/>
      <w:marRight w:val="0"/>
      <w:marTop w:val="0"/>
      <w:marBottom w:val="0"/>
      <w:divBdr>
        <w:top w:val="none" w:sz="0" w:space="0" w:color="auto"/>
        <w:left w:val="none" w:sz="0" w:space="0" w:color="auto"/>
        <w:bottom w:val="none" w:sz="0" w:space="0" w:color="auto"/>
        <w:right w:val="none" w:sz="0" w:space="0" w:color="auto"/>
      </w:divBdr>
      <w:divsChild>
        <w:div w:id="1735738692">
          <w:marLeft w:val="274"/>
          <w:marRight w:val="0"/>
          <w:marTop w:val="0"/>
          <w:marBottom w:val="60"/>
          <w:divBdr>
            <w:top w:val="none" w:sz="0" w:space="0" w:color="auto"/>
            <w:left w:val="none" w:sz="0" w:space="0" w:color="auto"/>
            <w:bottom w:val="none" w:sz="0" w:space="0" w:color="auto"/>
            <w:right w:val="none" w:sz="0" w:space="0" w:color="auto"/>
          </w:divBdr>
        </w:div>
      </w:divsChild>
    </w:div>
    <w:div w:id="1867016944">
      <w:bodyDiv w:val="1"/>
      <w:marLeft w:val="0"/>
      <w:marRight w:val="0"/>
      <w:marTop w:val="0"/>
      <w:marBottom w:val="0"/>
      <w:divBdr>
        <w:top w:val="none" w:sz="0" w:space="0" w:color="auto"/>
        <w:left w:val="none" w:sz="0" w:space="0" w:color="auto"/>
        <w:bottom w:val="none" w:sz="0" w:space="0" w:color="auto"/>
        <w:right w:val="none" w:sz="0" w:space="0" w:color="auto"/>
      </w:divBdr>
    </w:div>
    <w:div w:id="1883784407">
      <w:bodyDiv w:val="1"/>
      <w:marLeft w:val="0"/>
      <w:marRight w:val="0"/>
      <w:marTop w:val="0"/>
      <w:marBottom w:val="0"/>
      <w:divBdr>
        <w:top w:val="none" w:sz="0" w:space="0" w:color="auto"/>
        <w:left w:val="none" w:sz="0" w:space="0" w:color="auto"/>
        <w:bottom w:val="none" w:sz="0" w:space="0" w:color="auto"/>
        <w:right w:val="none" w:sz="0" w:space="0" w:color="auto"/>
      </w:divBdr>
    </w:div>
    <w:div w:id="1883981380">
      <w:bodyDiv w:val="1"/>
      <w:marLeft w:val="0"/>
      <w:marRight w:val="0"/>
      <w:marTop w:val="0"/>
      <w:marBottom w:val="0"/>
      <w:divBdr>
        <w:top w:val="none" w:sz="0" w:space="0" w:color="auto"/>
        <w:left w:val="none" w:sz="0" w:space="0" w:color="auto"/>
        <w:bottom w:val="none" w:sz="0" w:space="0" w:color="auto"/>
        <w:right w:val="none" w:sz="0" w:space="0" w:color="auto"/>
      </w:divBdr>
    </w:div>
    <w:div w:id="1897158462">
      <w:bodyDiv w:val="1"/>
      <w:marLeft w:val="0"/>
      <w:marRight w:val="0"/>
      <w:marTop w:val="0"/>
      <w:marBottom w:val="0"/>
      <w:divBdr>
        <w:top w:val="none" w:sz="0" w:space="0" w:color="auto"/>
        <w:left w:val="none" w:sz="0" w:space="0" w:color="auto"/>
        <w:bottom w:val="none" w:sz="0" w:space="0" w:color="auto"/>
        <w:right w:val="none" w:sz="0" w:space="0" w:color="auto"/>
      </w:divBdr>
    </w:div>
    <w:div w:id="1900238105">
      <w:bodyDiv w:val="1"/>
      <w:marLeft w:val="0"/>
      <w:marRight w:val="0"/>
      <w:marTop w:val="0"/>
      <w:marBottom w:val="0"/>
      <w:divBdr>
        <w:top w:val="none" w:sz="0" w:space="0" w:color="auto"/>
        <w:left w:val="none" w:sz="0" w:space="0" w:color="auto"/>
        <w:bottom w:val="none" w:sz="0" w:space="0" w:color="auto"/>
        <w:right w:val="none" w:sz="0" w:space="0" w:color="auto"/>
      </w:divBdr>
      <w:divsChild>
        <w:div w:id="21782364">
          <w:marLeft w:val="274"/>
          <w:marRight w:val="0"/>
          <w:marTop w:val="0"/>
          <w:marBottom w:val="120"/>
          <w:divBdr>
            <w:top w:val="none" w:sz="0" w:space="0" w:color="auto"/>
            <w:left w:val="none" w:sz="0" w:space="0" w:color="auto"/>
            <w:bottom w:val="none" w:sz="0" w:space="0" w:color="auto"/>
            <w:right w:val="none" w:sz="0" w:space="0" w:color="auto"/>
          </w:divBdr>
        </w:div>
      </w:divsChild>
    </w:div>
    <w:div w:id="1909605311">
      <w:bodyDiv w:val="1"/>
      <w:marLeft w:val="0"/>
      <w:marRight w:val="0"/>
      <w:marTop w:val="0"/>
      <w:marBottom w:val="0"/>
      <w:divBdr>
        <w:top w:val="none" w:sz="0" w:space="0" w:color="auto"/>
        <w:left w:val="none" w:sz="0" w:space="0" w:color="auto"/>
        <w:bottom w:val="none" w:sz="0" w:space="0" w:color="auto"/>
        <w:right w:val="none" w:sz="0" w:space="0" w:color="auto"/>
      </w:divBdr>
    </w:div>
    <w:div w:id="1920671842">
      <w:bodyDiv w:val="1"/>
      <w:marLeft w:val="0"/>
      <w:marRight w:val="0"/>
      <w:marTop w:val="0"/>
      <w:marBottom w:val="0"/>
      <w:divBdr>
        <w:top w:val="none" w:sz="0" w:space="0" w:color="auto"/>
        <w:left w:val="none" w:sz="0" w:space="0" w:color="auto"/>
        <w:bottom w:val="none" w:sz="0" w:space="0" w:color="auto"/>
        <w:right w:val="none" w:sz="0" w:space="0" w:color="auto"/>
      </w:divBdr>
      <w:divsChild>
        <w:div w:id="60059035">
          <w:marLeft w:val="446"/>
          <w:marRight w:val="0"/>
          <w:marTop w:val="0"/>
          <w:marBottom w:val="0"/>
          <w:divBdr>
            <w:top w:val="none" w:sz="0" w:space="0" w:color="auto"/>
            <w:left w:val="none" w:sz="0" w:space="0" w:color="auto"/>
            <w:bottom w:val="none" w:sz="0" w:space="0" w:color="auto"/>
            <w:right w:val="none" w:sz="0" w:space="0" w:color="auto"/>
          </w:divBdr>
        </w:div>
      </w:divsChild>
    </w:div>
    <w:div w:id="1963926652">
      <w:bodyDiv w:val="1"/>
      <w:marLeft w:val="0"/>
      <w:marRight w:val="0"/>
      <w:marTop w:val="0"/>
      <w:marBottom w:val="0"/>
      <w:divBdr>
        <w:top w:val="none" w:sz="0" w:space="0" w:color="auto"/>
        <w:left w:val="none" w:sz="0" w:space="0" w:color="auto"/>
        <w:bottom w:val="none" w:sz="0" w:space="0" w:color="auto"/>
        <w:right w:val="none" w:sz="0" w:space="0" w:color="auto"/>
      </w:divBdr>
    </w:div>
    <w:div w:id="1981381776">
      <w:bodyDiv w:val="1"/>
      <w:marLeft w:val="0"/>
      <w:marRight w:val="0"/>
      <w:marTop w:val="0"/>
      <w:marBottom w:val="0"/>
      <w:divBdr>
        <w:top w:val="none" w:sz="0" w:space="0" w:color="auto"/>
        <w:left w:val="none" w:sz="0" w:space="0" w:color="auto"/>
        <w:bottom w:val="none" w:sz="0" w:space="0" w:color="auto"/>
        <w:right w:val="none" w:sz="0" w:space="0" w:color="auto"/>
      </w:divBdr>
      <w:divsChild>
        <w:div w:id="933325100">
          <w:marLeft w:val="274"/>
          <w:marRight w:val="0"/>
          <w:marTop w:val="0"/>
          <w:marBottom w:val="0"/>
          <w:divBdr>
            <w:top w:val="none" w:sz="0" w:space="0" w:color="auto"/>
            <w:left w:val="none" w:sz="0" w:space="0" w:color="auto"/>
            <w:bottom w:val="none" w:sz="0" w:space="0" w:color="auto"/>
            <w:right w:val="none" w:sz="0" w:space="0" w:color="auto"/>
          </w:divBdr>
        </w:div>
      </w:divsChild>
    </w:div>
    <w:div w:id="1981643405">
      <w:bodyDiv w:val="1"/>
      <w:marLeft w:val="0"/>
      <w:marRight w:val="0"/>
      <w:marTop w:val="0"/>
      <w:marBottom w:val="0"/>
      <w:divBdr>
        <w:top w:val="none" w:sz="0" w:space="0" w:color="auto"/>
        <w:left w:val="none" w:sz="0" w:space="0" w:color="auto"/>
        <w:bottom w:val="none" w:sz="0" w:space="0" w:color="auto"/>
        <w:right w:val="none" w:sz="0" w:space="0" w:color="auto"/>
      </w:divBdr>
    </w:div>
    <w:div w:id="1988431281">
      <w:bodyDiv w:val="1"/>
      <w:marLeft w:val="0"/>
      <w:marRight w:val="0"/>
      <w:marTop w:val="0"/>
      <w:marBottom w:val="0"/>
      <w:divBdr>
        <w:top w:val="none" w:sz="0" w:space="0" w:color="auto"/>
        <w:left w:val="none" w:sz="0" w:space="0" w:color="auto"/>
        <w:bottom w:val="none" w:sz="0" w:space="0" w:color="auto"/>
        <w:right w:val="none" w:sz="0" w:space="0" w:color="auto"/>
      </w:divBdr>
    </w:div>
    <w:div w:id="1991977583">
      <w:bodyDiv w:val="1"/>
      <w:marLeft w:val="0"/>
      <w:marRight w:val="0"/>
      <w:marTop w:val="0"/>
      <w:marBottom w:val="0"/>
      <w:divBdr>
        <w:top w:val="none" w:sz="0" w:space="0" w:color="auto"/>
        <w:left w:val="none" w:sz="0" w:space="0" w:color="auto"/>
        <w:bottom w:val="none" w:sz="0" w:space="0" w:color="auto"/>
        <w:right w:val="none" w:sz="0" w:space="0" w:color="auto"/>
      </w:divBdr>
      <w:divsChild>
        <w:div w:id="805314101">
          <w:marLeft w:val="446"/>
          <w:marRight w:val="0"/>
          <w:marTop w:val="0"/>
          <w:marBottom w:val="0"/>
          <w:divBdr>
            <w:top w:val="none" w:sz="0" w:space="0" w:color="auto"/>
            <w:left w:val="none" w:sz="0" w:space="0" w:color="auto"/>
            <w:bottom w:val="none" w:sz="0" w:space="0" w:color="auto"/>
            <w:right w:val="none" w:sz="0" w:space="0" w:color="auto"/>
          </w:divBdr>
        </w:div>
      </w:divsChild>
    </w:div>
    <w:div w:id="2003045917">
      <w:bodyDiv w:val="1"/>
      <w:marLeft w:val="0"/>
      <w:marRight w:val="0"/>
      <w:marTop w:val="0"/>
      <w:marBottom w:val="0"/>
      <w:divBdr>
        <w:top w:val="none" w:sz="0" w:space="0" w:color="auto"/>
        <w:left w:val="none" w:sz="0" w:space="0" w:color="auto"/>
        <w:bottom w:val="none" w:sz="0" w:space="0" w:color="auto"/>
        <w:right w:val="none" w:sz="0" w:space="0" w:color="auto"/>
      </w:divBdr>
    </w:div>
    <w:div w:id="2005821108">
      <w:bodyDiv w:val="1"/>
      <w:marLeft w:val="0"/>
      <w:marRight w:val="0"/>
      <w:marTop w:val="0"/>
      <w:marBottom w:val="0"/>
      <w:divBdr>
        <w:top w:val="none" w:sz="0" w:space="0" w:color="auto"/>
        <w:left w:val="none" w:sz="0" w:space="0" w:color="auto"/>
        <w:bottom w:val="none" w:sz="0" w:space="0" w:color="auto"/>
        <w:right w:val="none" w:sz="0" w:space="0" w:color="auto"/>
      </w:divBdr>
      <w:divsChild>
        <w:div w:id="69425139">
          <w:marLeft w:val="274"/>
          <w:marRight w:val="0"/>
          <w:marTop w:val="0"/>
          <w:marBottom w:val="60"/>
          <w:divBdr>
            <w:top w:val="none" w:sz="0" w:space="0" w:color="auto"/>
            <w:left w:val="none" w:sz="0" w:space="0" w:color="auto"/>
            <w:bottom w:val="none" w:sz="0" w:space="0" w:color="auto"/>
            <w:right w:val="none" w:sz="0" w:space="0" w:color="auto"/>
          </w:divBdr>
        </w:div>
        <w:div w:id="305746322">
          <w:marLeft w:val="446"/>
          <w:marRight w:val="0"/>
          <w:marTop w:val="0"/>
          <w:marBottom w:val="60"/>
          <w:divBdr>
            <w:top w:val="none" w:sz="0" w:space="0" w:color="auto"/>
            <w:left w:val="none" w:sz="0" w:space="0" w:color="auto"/>
            <w:bottom w:val="none" w:sz="0" w:space="0" w:color="auto"/>
            <w:right w:val="none" w:sz="0" w:space="0" w:color="auto"/>
          </w:divBdr>
        </w:div>
        <w:div w:id="387077534">
          <w:marLeft w:val="446"/>
          <w:marRight w:val="0"/>
          <w:marTop w:val="0"/>
          <w:marBottom w:val="60"/>
          <w:divBdr>
            <w:top w:val="none" w:sz="0" w:space="0" w:color="auto"/>
            <w:left w:val="none" w:sz="0" w:space="0" w:color="auto"/>
            <w:bottom w:val="none" w:sz="0" w:space="0" w:color="auto"/>
            <w:right w:val="none" w:sz="0" w:space="0" w:color="auto"/>
          </w:divBdr>
        </w:div>
        <w:div w:id="1189098347">
          <w:marLeft w:val="446"/>
          <w:marRight w:val="0"/>
          <w:marTop w:val="0"/>
          <w:marBottom w:val="60"/>
          <w:divBdr>
            <w:top w:val="none" w:sz="0" w:space="0" w:color="auto"/>
            <w:left w:val="none" w:sz="0" w:space="0" w:color="auto"/>
            <w:bottom w:val="none" w:sz="0" w:space="0" w:color="auto"/>
            <w:right w:val="none" w:sz="0" w:space="0" w:color="auto"/>
          </w:divBdr>
        </w:div>
        <w:div w:id="1517649148">
          <w:marLeft w:val="274"/>
          <w:marRight w:val="0"/>
          <w:marTop w:val="0"/>
          <w:marBottom w:val="60"/>
          <w:divBdr>
            <w:top w:val="none" w:sz="0" w:space="0" w:color="auto"/>
            <w:left w:val="none" w:sz="0" w:space="0" w:color="auto"/>
            <w:bottom w:val="none" w:sz="0" w:space="0" w:color="auto"/>
            <w:right w:val="none" w:sz="0" w:space="0" w:color="auto"/>
          </w:divBdr>
        </w:div>
        <w:div w:id="1871066279">
          <w:marLeft w:val="274"/>
          <w:marRight w:val="0"/>
          <w:marTop w:val="0"/>
          <w:marBottom w:val="60"/>
          <w:divBdr>
            <w:top w:val="none" w:sz="0" w:space="0" w:color="auto"/>
            <w:left w:val="none" w:sz="0" w:space="0" w:color="auto"/>
            <w:bottom w:val="none" w:sz="0" w:space="0" w:color="auto"/>
            <w:right w:val="none" w:sz="0" w:space="0" w:color="auto"/>
          </w:divBdr>
        </w:div>
      </w:divsChild>
    </w:div>
    <w:div w:id="2025547407">
      <w:bodyDiv w:val="1"/>
      <w:marLeft w:val="0"/>
      <w:marRight w:val="0"/>
      <w:marTop w:val="0"/>
      <w:marBottom w:val="0"/>
      <w:divBdr>
        <w:top w:val="none" w:sz="0" w:space="0" w:color="auto"/>
        <w:left w:val="none" w:sz="0" w:space="0" w:color="auto"/>
        <w:bottom w:val="none" w:sz="0" w:space="0" w:color="auto"/>
        <w:right w:val="none" w:sz="0" w:space="0" w:color="auto"/>
      </w:divBdr>
      <w:divsChild>
        <w:div w:id="122888962">
          <w:marLeft w:val="115"/>
          <w:marRight w:val="0"/>
          <w:marTop w:val="0"/>
          <w:marBottom w:val="0"/>
          <w:divBdr>
            <w:top w:val="none" w:sz="0" w:space="0" w:color="auto"/>
            <w:left w:val="none" w:sz="0" w:space="0" w:color="auto"/>
            <w:bottom w:val="none" w:sz="0" w:space="0" w:color="auto"/>
            <w:right w:val="none" w:sz="0" w:space="0" w:color="auto"/>
          </w:divBdr>
        </w:div>
        <w:div w:id="186791942">
          <w:marLeft w:val="115"/>
          <w:marRight w:val="0"/>
          <w:marTop w:val="0"/>
          <w:marBottom w:val="0"/>
          <w:divBdr>
            <w:top w:val="none" w:sz="0" w:space="0" w:color="auto"/>
            <w:left w:val="none" w:sz="0" w:space="0" w:color="auto"/>
            <w:bottom w:val="none" w:sz="0" w:space="0" w:color="auto"/>
            <w:right w:val="none" w:sz="0" w:space="0" w:color="auto"/>
          </w:divBdr>
        </w:div>
        <w:div w:id="194117638">
          <w:marLeft w:val="115"/>
          <w:marRight w:val="0"/>
          <w:marTop w:val="0"/>
          <w:marBottom w:val="0"/>
          <w:divBdr>
            <w:top w:val="none" w:sz="0" w:space="0" w:color="auto"/>
            <w:left w:val="none" w:sz="0" w:space="0" w:color="auto"/>
            <w:bottom w:val="none" w:sz="0" w:space="0" w:color="auto"/>
            <w:right w:val="none" w:sz="0" w:space="0" w:color="auto"/>
          </w:divBdr>
        </w:div>
        <w:div w:id="873806659">
          <w:marLeft w:val="115"/>
          <w:marRight w:val="0"/>
          <w:marTop w:val="0"/>
          <w:marBottom w:val="0"/>
          <w:divBdr>
            <w:top w:val="none" w:sz="0" w:space="0" w:color="auto"/>
            <w:left w:val="none" w:sz="0" w:space="0" w:color="auto"/>
            <w:bottom w:val="none" w:sz="0" w:space="0" w:color="auto"/>
            <w:right w:val="none" w:sz="0" w:space="0" w:color="auto"/>
          </w:divBdr>
        </w:div>
        <w:div w:id="985284650">
          <w:marLeft w:val="115"/>
          <w:marRight w:val="0"/>
          <w:marTop w:val="0"/>
          <w:marBottom w:val="0"/>
          <w:divBdr>
            <w:top w:val="none" w:sz="0" w:space="0" w:color="auto"/>
            <w:left w:val="none" w:sz="0" w:space="0" w:color="auto"/>
            <w:bottom w:val="none" w:sz="0" w:space="0" w:color="auto"/>
            <w:right w:val="none" w:sz="0" w:space="0" w:color="auto"/>
          </w:divBdr>
        </w:div>
        <w:div w:id="1159808986">
          <w:marLeft w:val="115"/>
          <w:marRight w:val="0"/>
          <w:marTop w:val="0"/>
          <w:marBottom w:val="0"/>
          <w:divBdr>
            <w:top w:val="none" w:sz="0" w:space="0" w:color="auto"/>
            <w:left w:val="none" w:sz="0" w:space="0" w:color="auto"/>
            <w:bottom w:val="none" w:sz="0" w:space="0" w:color="auto"/>
            <w:right w:val="none" w:sz="0" w:space="0" w:color="auto"/>
          </w:divBdr>
        </w:div>
        <w:div w:id="1253780349">
          <w:marLeft w:val="115"/>
          <w:marRight w:val="0"/>
          <w:marTop w:val="0"/>
          <w:marBottom w:val="0"/>
          <w:divBdr>
            <w:top w:val="none" w:sz="0" w:space="0" w:color="auto"/>
            <w:left w:val="none" w:sz="0" w:space="0" w:color="auto"/>
            <w:bottom w:val="none" w:sz="0" w:space="0" w:color="auto"/>
            <w:right w:val="none" w:sz="0" w:space="0" w:color="auto"/>
          </w:divBdr>
        </w:div>
        <w:div w:id="1360660526">
          <w:marLeft w:val="115"/>
          <w:marRight w:val="0"/>
          <w:marTop w:val="0"/>
          <w:marBottom w:val="0"/>
          <w:divBdr>
            <w:top w:val="none" w:sz="0" w:space="0" w:color="auto"/>
            <w:left w:val="none" w:sz="0" w:space="0" w:color="auto"/>
            <w:bottom w:val="none" w:sz="0" w:space="0" w:color="auto"/>
            <w:right w:val="none" w:sz="0" w:space="0" w:color="auto"/>
          </w:divBdr>
        </w:div>
        <w:div w:id="1364285038">
          <w:marLeft w:val="115"/>
          <w:marRight w:val="0"/>
          <w:marTop w:val="0"/>
          <w:marBottom w:val="0"/>
          <w:divBdr>
            <w:top w:val="none" w:sz="0" w:space="0" w:color="auto"/>
            <w:left w:val="none" w:sz="0" w:space="0" w:color="auto"/>
            <w:bottom w:val="none" w:sz="0" w:space="0" w:color="auto"/>
            <w:right w:val="none" w:sz="0" w:space="0" w:color="auto"/>
          </w:divBdr>
        </w:div>
        <w:div w:id="1369069985">
          <w:marLeft w:val="115"/>
          <w:marRight w:val="0"/>
          <w:marTop w:val="0"/>
          <w:marBottom w:val="0"/>
          <w:divBdr>
            <w:top w:val="none" w:sz="0" w:space="0" w:color="auto"/>
            <w:left w:val="none" w:sz="0" w:space="0" w:color="auto"/>
            <w:bottom w:val="none" w:sz="0" w:space="0" w:color="auto"/>
            <w:right w:val="none" w:sz="0" w:space="0" w:color="auto"/>
          </w:divBdr>
        </w:div>
        <w:div w:id="1728915894">
          <w:marLeft w:val="115"/>
          <w:marRight w:val="0"/>
          <w:marTop w:val="0"/>
          <w:marBottom w:val="0"/>
          <w:divBdr>
            <w:top w:val="none" w:sz="0" w:space="0" w:color="auto"/>
            <w:left w:val="none" w:sz="0" w:space="0" w:color="auto"/>
            <w:bottom w:val="none" w:sz="0" w:space="0" w:color="auto"/>
            <w:right w:val="none" w:sz="0" w:space="0" w:color="auto"/>
          </w:divBdr>
        </w:div>
        <w:div w:id="1888490896">
          <w:marLeft w:val="115"/>
          <w:marRight w:val="0"/>
          <w:marTop w:val="0"/>
          <w:marBottom w:val="0"/>
          <w:divBdr>
            <w:top w:val="none" w:sz="0" w:space="0" w:color="auto"/>
            <w:left w:val="none" w:sz="0" w:space="0" w:color="auto"/>
            <w:bottom w:val="none" w:sz="0" w:space="0" w:color="auto"/>
            <w:right w:val="none" w:sz="0" w:space="0" w:color="auto"/>
          </w:divBdr>
        </w:div>
        <w:div w:id="1977908020">
          <w:marLeft w:val="115"/>
          <w:marRight w:val="0"/>
          <w:marTop w:val="0"/>
          <w:marBottom w:val="0"/>
          <w:divBdr>
            <w:top w:val="none" w:sz="0" w:space="0" w:color="auto"/>
            <w:left w:val="none" w:sz="0" w:space="0" w:color="auto"/>
            <w:bottom w:val="none" w:sz="0" w:space="0" w:color="auto"/>
            <w:right w:val="none" w:sz="0" w:space="0" w:color="auto"/>
          </w:divBdr>
        </w:div>
      </w:divsChild>
    </w:div>
    <w:div w:id="2063750587">
      <w:bodyDiv w:val="1"/>
      <w:marLeft w:val="0"/>
      <w:marRight w:val="0"/>
      <w:marTop w:val="0"/>
      <w:marBottom w:val="0"/>
      <w:divBdr>
        <w:top w:val="none" w:sz="0" w:space="0" w:color="auto"/>
        <w:left w:val="none" w:sz="0" w:space="0" w:color="auto"/>
        <w:bottom w:val="none" w:sz="0" w:space="0" w:color="auto"/>
        <w:right w:val="none" w:sz="0" w:space="0" w:color="auto"/>
      </w:divBdr>
    </w:div>
    <w:div w:id="2087530439">
      <w:bodyDiv w:val="1"/>
      <w:marLeft w:val="0"/>
      <w:marRight w:val="0"/>
      <w:marTop w:val="0"/>
      <w:marBottom w:val="0"/>
      <w:divBdr>
        <w:top w:val="none" w:sz="0" w:space="0" w:color="auto"/>
        <w:left w:val="none" w:sz="0" w:space="0" w:color="auto"/>
        <w:bottom w:val="none" w:sz="0" w:space="0" w:color="auto"/>
        <w:right w:val="none" w:sz="0" w:space="0" w:color="auto"/>
      </w:divBdr>
      <w:divsChild>
        <w:div w:id="115414711">
          <w:marLeft w:val="274"/>
          <w:marRight w:val="0"/>
          <w:marTop w:val="0"/>
          <w:marBottom w:val="0"/>
          <w:divBdr>
            <w:top w:val="none" w:sz="0" w:space="0" w:color="auto"/>
            <w:left w:val="none" w:sz="0" w:space="0" w:color="auto"/>
            <w:bottom w:val="none" w:sz="0" w:space="0" w:color="auto"/>
            <w:right w:val="none" w:sz="0" w:space="0" w:color="auto"/>
          </w:divBdr>
        </w:div>
        <w:div w:id="219709307">
          <w:marLeft w:val="274"/>
          <w:marRight w:val="0"/>
          <w:marTop w:val="0"/>
          <w:marBottom w:val="0"/>
          <w:divBdr>
            <w:top w:val="none" w:sz="0" w:space="0" w:color="auto"/>
            <w:left w:val="none" w:sz="0" w:space="0" w:color="auto"/>
            <w:bottom w:val="none" w:sz="0" w:space="0" w:color="auto"/>
            <w:right w:val="none" w:sz="0" w:space="0" w:color="auto"/>
          </w:divBdr>
        </w:div>
        <w:div w:id="290549962">
          <w:marLeft w:val="274"/>
          <w:marRight w:val="0"/>
          <w:marTop w:val="0"/>
          <w:marBottom w:val="0"/>
          <w:divBdr>
            <w:top w:val="none" w:sz="0" w:space="0" w:color="auto"/>
            <w:left w:val="none" w:sz="0" w:space="0" w:color="auto"/>
            <w:bottom w:val="none" w:sz="0" w:space="0" w:color="auto"/>
            <w:right w:val="none" w:sz="0" w:space="0" w:color="auto"/>
          </w:divBdr>
        </w:div>
        <w:div w:id="407307111">
          <w:marLeft w:val="274"/>
          <w:marRight w:val="0"/>
          <w:marTop w:val="0"/>
          <w:marBottom w:val="0"/>
          <w:divBdr>
            <w:top w:val="none" w:sz="0" w:space="0" w:color="auto"/>
            <w:left w:val="none" w:sz="0" w:space="0" w:color="auto"/>
            <w:bottom w:val="none" w:sz="0" w:space="0" w:color="auto"/>
            <w:right w:val="none" w:sz="0" w:space="0" w:color="auto"/>
          </w:divBdr>
        </w:div>
        <w:div w:id="441269518">
          <w:marLeft w:val="274"/>
          <w:marRight w:val="0"/>
          <w:marTop w:val="0"/>
          <w:marBottom w:val="0"/>
          <w:divBdr>
            <w:top w:val="none" w:sz="0" w:space="0" w:color="auto"/>
            <w:left w:val="none" w:sz="0" w:space="0" w:color="auto"/>
            <w:bottom w:val="none" w:sz="0" w:space="0" w:color="auto"/>
            <w:right w:val="none" w:sz="0" w:space="0" w:color="auto"/>
          </w:divBdr>
        </w:div>
        <w:div w:id="627664951">
          <w:marLeft w:val="274"/>
          <w:marRight w:val="0"/>
          <w:marTop w:val="0"/>
          <w:marBottom w:val="0"/>
          <w:divBdr>
            <w:top w:val="none" w:sz="0" w:space="0" w:color="auto"/>
            <w:left w:val="none" w:sz="0" w:space="0" w:color="auto"/>
            <w:bottom w:val="none" w:sz="0" w:space="0" w:color="auto"/>
            <w:right w:val="none" w:sz="0" w:space="0" w:color="auto"/>
          </w:divBdr>
        </w:div>
        <w:div w:id="677851542">
          <w:marLeft w:val="274"/>
          <w:marRight w:val="0"/>
          <w:marTop w:val="0"/>
          <w:marBottom w:val="0"/>
          <w:divBdr>
            <w:top w:val="none" w:sz="0" w:space="0" w:color="auto"/>
            <w:left w:val="none" w:sz="0" w:space="0" w:color="auto"/>
            <w:bottom w:val="none" w:sz="0" w:space="0" w:color="auto"/>
            <w:right w:val="none" w:sz="0" w:space="0" w:color="auto"/>
          </w:divBdr>
        </w:div>
        <w:div w:id="895511258">
          <w:marLeft w:val="274"/>
          <w:marRight w:val="0"/>
          <w:marTop w:val="0"/>
          <w:marBottom w:val="0"/>
          <w:divBdr>
            <w:top w:val="none" w:sz="0" w:space="0" w:color="auto"/>
            <w:left w:val="none" w:sz="0" w:space="0" w:color="auto"/>
            <w:bottom w:val="none" w:sz="0" w:space="0" w:color="auto"/>
            <w:right w:val="none" w:sz="0" w:space="0" w:color="auto"/>
          </w:divBdr>
        </w:div>
        <w:div w:id="1188327306">
          <w:marLeft w:val="274"/>
          <w:marRight w:val="0"/>
          <w:marTop w:val="0"/>
          <w:marBottom w:val="0"/>
          <w:divBdr>
            <w:top w:val="none" w:sz="0" w:space="0" w:color="auto"/>
            <w:left w:val="none" w:sz="0" w:space="0" w:color="auto"/>
            <w:bottom w:val="none" w:sz="0" w:space="0" w:color="auto"/>
            <w:right w:val="none" w:sz="0" w:space="0" w:color="auto"/>
          </w:divBdr>
        </w:div>
        <w:div w:id="1196892956">
          <w:marLeft w:val="274"/>
          <w:marRight w:val="0"/>
          <w:marTop w:val="0"/>
          <w:marBottom w:val="0"/>
          <w:divBdr>
            <w:top w:val="none" w:sz="0" w:space="0" w:color="auto"/>
            <w:left w:val="none" w:sz="0" w:space="0" w:color="auto"/>
            <w:bottom w:val="none" w:sz="0" w:space="0" w:color="auto"/>
            <w:right w:val="none" w:sz="0" w:space="0" w:color="auto"/>
          </w:divBdr>
        </w:div>
        <w:div w:id="1247766141">
          <w:marLeft w:val="274"/>
          <w:marRight w:val="0"/>
          <w:marTop w:val="0"/>
          <w:marBottom w:val="0"/>
          <w:divBdr>
            <w:top w:val="none" w:sz="0" w:space="0" w:color="auto"/>
            <w:left w:val="none" w:sz="0" w:space="0" w:color="auto"/>
            <w:bottom w:val="none" w:sz="0" w:space="0" w:color="auto"/>
            <w:right w:val="none" w:sz="0" w:space="0" w:color="auto"/>
          </w:divBdr>
        </w:div>
        <w:div w:id="1252543067">
          <w:marLeft w:val="274"/>
          <w:marRight w:val="0"/>
          <w:marTop w:val="0"/>
          <w:marBottom w:val="0"/>
          <w:divBdr>
            <w:top w:val="none" w:sz="0" w:space="0" w:color="auto"/>
            <w:left w:val="none" w:sz="0" w:space="0" w:color="auto"/>
            <w:bottom w:val="none" w:sz="0" w:space="0" w:color="auto"/>
            <w:right w:val="none" w:sz="0" w:space="0" w:color="auto"/>
          </w:divBdr>
        </w:div>
        <w:div w:id="1286545415">
          <w:marLeft w:val="274"/>
          <w:marRight w:val="0"/>
          <w:marTop w:val="0"/>
          <w:marBottom w:val="0"/>
          <w:divBdr>
            <w:top w:val="none" w:sz="0" w:space="0" w:color="auto"/>
            <w:left w:val="none" w:sz="0" w:space="0" w:color="auto"/>
            <w:bottom w:val="none" w:sz="0" w:space="0" w:color="auto"/>
            <w:right w:val="none" w:sz="0" w:space="0" w:color="auto"/>
          </w:divBdr>
        </w:div>
        <w:div w:id="1298299042">
          <w:marLeft w:val="274"/>
          <w:marRight w:val="0"/>
          <w:marTop w:val="0"/>
          <w:marBottom w:val="0"/>
          <w:divBdr>
            <w:top w:val="none" w:sz="0" w:space="0" w:color="auto"/>
            <w:left w:val="none" w:sz="0" w:space="0" w:color="auto"/>
            <w:bottom w:val="none" w:sz="0" w:space="0" w:color="auto"/>
            <w:right w:val="none" w:sz="0" w:space="0" w:color="auto"/>
          </w:divBdr>
        </w:div>
        <w:div w:id="1550803276">
          <w:marLeft w:val="274"/>
          <w:marRight w:val="0"/>
          <w:marTop w:val="0"/>
          <w:marBottom w:val="0"/>
          <w:divBdr>
            <w:top w:val="none" w:sz="0" w:space="0" w:color="auto"/>
            <w:left w:val="none" w:sz="0" w:space="0" w:color="auto"/>
            <w:bottom w:val="none" w:sz="0" w:space="0" w:color="auto"/>
            <w:right w:val="none" w:sz="0" w:space="0" w:color="auto"/>
          </w:divBdr>
        </w:div>
        <w:div w:id="1688798396">
          <w:marLeft w:val="274"/>
          <w:marRight w:val="0"/>
          <w:marTop w:val="0"/>
          <w:marBottom w:val="0"/>
          <w:divBdr>
            <w:top w:val="none" w:sz="0" w:space="0" w:color="auto"/>
            <w:left w:val="none" w:sz="0" w:space="0" w:color="auto"/>
            <w:bottom w:val="none" w:sz="0" w:space="0" w:color="auto"/>
            <w:right w:val="none" w:sz="0" w:space="0" w:color="auto"/>
          </w:divBdr>
        </w:div>
        <w:div w:id="1735733675">
          <w:marLeft w:val="274"/>
          <w:marRight w:val="0"/>
          <w:marTop w:val="0"/>
          <w:marBottom w:val="0"/>
          <w:divBdr>
            <w:top w:val="none" w:sz="0" w:space="0" w:color="auto"/>
            <w:left w:val="none" w:sz="0" w:space="0" w:color="auto"/>
            <w:bottom w:val="none" w:sz="0" w:space="0" w:color="auto"/>
            <w:right w:val="none" w:sz="0" w:space="0" w:color="auto"/>
          </w:divBdr>
        </w:div>
        <w:div w:id="1868786938">
          <w:marLeft w:val="274"/>
          <w:marRight w:val="0"/>
          <w:marTop w:val="0"/>
          <w:marBottom w:val="0"/>
          <w:divBdr>
            <w:top w:val="none" w:sz="0" w:space="0" w:color="auto"/>
            <w:left w:val="none" w:sz="0" w:space="0" w:color="auto"/>
            <w:bottom w:val="none" w:sz="0" w:space="0" w:color="auto"/>
            <w:right w:val="none" w:sz="0" w:space="0" w:color="auto"/>
          </w:divBdr>
        </w:div>
        <w:div w:id="1937134532">
          <w:marLeft w:val="274"/>
          <w:marRight w:val="0"/>
          <w:marTop w:val="0"/>
          <w:marBottom w:val="0"/>
          <w:divBdr>
            <w:top w:val="none" w:sz="0" w:space="0" w:color="auto"/>
            <w:left w:val="none" w:sz="0" w:space="0" w:color="auto"/>
            <w:bottom w:val="none" w:sz="0" w:space="0" w:color="auto"/>
            <w:right w:val="none" w:sz="0" w:space="0" w:color="auto"/>
          </w:divBdr>
        </w:div>
        <w:div w:id="2042702133">
          <w:marLeft w:val="274"/>
          <w:marRight w:val="0"/>
          <w:marTop w:val="0"/>
          <w:marBottom w:val="0"/>
          <w:divBdr>
            <w:top w:val="none" w:sz="0" w:space="0" w:color="auto"/>
            <w:left w:val="none" w:sz="0" w:space="0" w:color="auto"/>
            <w:bottom w:val="none" w:sz="0" w:space="0" w:color="auto"/>
            <w:right w:val="none" w:sz="0" w:space="0" w:color="auto"/>
          </w:divBdr>
        </w:div>
      </w:divsChild>
    </w:div>
    <w:div w:id="2091926032">
      <w:bodyDiv w:val="1"/>
      <w:marLeft w:val="0"/>
      <w:marRight w:val="0"/>
      <w:marTop w:val="0"/>
      <w:marBottom w:val="0"/>
      <w:divBdr>
        <w:top w:val="none" w:sz="0" w:space="0" w:color="auto"/>
        <w:left w:val="none" w:sz="0" w:space="0" w:color="auto"/>
        <w:bottom w:val="none" w:sz="0" w:space="0" w:color="auto"/>
        <w:right w:val="none" w:sz="0" w:space="0" w:color="auto"/>
      </w:divBdr>
      <w:divsChild>
        <w:div w:id="954676868">
          <w:marLeft w:val="446"/>
          <w:marRight w:val="0"/>
          <w:marTop w:val="0"/>
          <w:marBottom w:val="0"/>
          <w:divBdr>
            <w:top w:val="none" w:sz="0" w:space="0" w:color="auto"/>
            <w:left w:val="none" w:sz="0" w:space="0" w:color="auto"/>
            <w:bottom w:val="none" w:sz="0" w:space="0" w:color="auto"/>
            <w:right w:val="none" w:sz="0" w:space="0" w:color="auto"/>
          </w:divBdr>
        </w:div>
      </w:divsChild>
    </w:div>
    <w:div w:id="2125490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ducation.vic.gov.au/PAL/fiso-2.0-system-measures.docx" TargetMode="External"/><Relationship Id="rId3" Type="http://schemas.openxmlformats.org/officeDocument/2006/relationships/customXml" Target="../customXml/item3.xml"/><Relationship Id="rId21" Type="http://schemas.openxmlformats.org/officeDocument/2006/relationships/hyperlink" Target="https://www.evidenceforlearning.org.au/the-toolkits/the-teaching-and-learning-toolkit/all-approaches/social-and-emotional-learn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ducation.vic.gov.au/PAL/fiso-2.0-system-measures.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aus01.safelinks.protection.outlook.com/?url=https%3A%2F%2Fwww.oecd-ilibrary.org%2Fsites%2Fd69dc209-en%2Findex.html%3FitemId%3D%2Fcontent%2Fcomponent%2Fd69dc209-en&amp;data=04%7C01%7CBrigette.Johns%40education.vic.gov.au%7C9409e80264ef496802b408d96ea84e3b%7Cd96cb3371a8744cfb69b3cec334a4c1f%7C0%7C0%7C637662491414363667%7CUnknown%7CTWFpbGZsb3d8eyJWIjoiMC4wLjAwMDAiLCJQIjoiV2luMzIiLCJBTiI6Ik1haWwiLCJXVCI6Mn0%3D%7C1000&amp;sdata=3wQIym1heFW%2BjVP2BW6a%2F86etXVLKVrr9QO35uYVmeE%3D&amp;reserved=0"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wallacefoundation.org/knowledge-center/Documents/Navigating-Social-and-Emotional-Learning-from-the-Inside-Out.pdf"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154</Topic>
    <Expired xmlns="bb5ce4db-eb21-467d-b968-528655912a38">false</Expired>
  </documentManagement>
</p:properties>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EB88F3CB-1B80-446E-8F0A-E0BF9C636AD3}"/>
</file>

<file path=customXml/itemProps3.xml><?xml version="1.0" encoding="utf-8"?>
<ds:datastoreItem xmlns:ds="http://schemas.openxmlformats.org/officeDocument/2006/customXml" ds:itemID="{D959C0D5-EB19-4BBF-9F1D-DDF5A549ED9E}">
  <ds:schemaRefs>
    <ds:schemaRef ds:uri="http://schemas.openxmlformats.org/officeDocument/2006/bibliography"/>
  </ds:schemaRefs>
</ds:datastoreItem>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43</Pages>
  <Words>19847</Words>
  <Characters>113133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132715</CharactersWithSpaces>
  <SharedDoc>false</SharedDoc>
  <HLinks>
    <vt:vector size="30" baseType="variant">
      <vt:variant>
        <vt:i4>7077988</vt:i4>
      </vt:variant>
      <vt:variant>
        <vt:i4>45</vt:i4>
      </vt:variant>
      <vt:variant>
        <vt:i4>0</vt:i4>
      </vt:variant>
      <vt:variant>
        <vt:i4>5</vt:i4>
      </vt:variant>
      <vt:variant>
        <vt:lpwstr>https://aus01.safelinks.protection.outlook.com/?url=https%3A%2F%2Fwww.oecd-ilibrary.org%2Fsites%2Fd69dc209-en%2Findex.html%3FitemId%3D%2Fcontent%2Fcomponent%2Fd69dc209-en&amp;data=04%7C01%7CBrigette.Johns%40education.vic.gov.au%7C9409e80264ef496802b408d96ea84e3b%7Cd96cb3371a8744cfb69b3cec334a4c1f%7C0%7C0%7C637662491414363667%7CUnknown%7CTWFpbGZsb3d8eyJWIjoiMC4wLjAwMDAiLCJQIjoiV2luMzIiLCJBTiI6Ik1haWwiLCJXVCI6Mn0%3D%7C1000&amp;sdata=3wQIym1heFW%2BjVP2BW6a%2F86etXVLKVrr9QO35uYVmeE%3D&amp;reserved=0</vt:lpwstr>
      </vt:variant>
      <vt:variant>
        <vt:lpwstr/>
      </vt:variant>
      <vt:variant>
        <vt:i4>2031625</vt:i4>
      </vt:variant>
      <vt:variant>
        <vt:i4>42</vt:i4>
      </vt:variant>
      <vt:variant>
        <vt:i4>0</vt:i4>
      </vt:variant>
      <vt:variant>
        <vt:i4>5</vt:i4>
      </vt:variant>
      <vt:variant>
        <vt:lpwstr>https://www.wallacefoundation.org/knowledge-center/Documents/Navigating-Social-and-Emotional-Learning-from-the-Inside-Out.pdf</vt:lpwstr>
      </vt:variant>
      <vt:variant>
        <vt:lpwstr/>
      </vt:variant>
      <vt:variant>
        <vt:i4>2490485</vt:i4>
      </vt:variant>
      <vt:variant>
        <vt:i4>39</vt:i4>
      </vt:variant>
      <vt:variant>
        <vt:i4>0</vt:i4>
      </vt:variant>
      <vt:variant>
        <vt:i4>5</vt:i4>
      </vt:variant>
      <vt:variant>
        <vt:lpwstr>https://www.evidenceforlearning.org.au/the-toolkits/the-teaching-and-learning-toolkit/all-approaches/social-and-emotional-learning/</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Clorinda Siemienowicz</cp:lastModifiedBy>
  <cp:revision>49</cp:revision>
  <dcterms:created xsi:type="dcterms:W3CDTF">2021-11-18T07:24:00Z</dcterms:created>
  <dcterms:modified xsi:type="dcterms:W3CDTF">2021-11-23T23:15:00Z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{9b86af8e-f0cb-4831-9e69-f4f8587b87ce}</vt:lpwstr>
  </property>
  <property fmtid="{D5CDD505-2E9C-101B-9397-08002B2CF9AE}" pid="7" name="RecordPoint_ActiveItemWebId">
    <vt:lpwstr>{fe4f9958-04f5-4a84-a47c-4623f1d1d67a}</vt:lpwstr>
  </property>
  <property fmtid="{D5CDD505-2E9C-101B-9397-08002B2CF9AE}" pid="8" name="MSIP_Label_ea60d57e-af5b-4752-ac57-3e4f28ca11dc_Enabled">
    <vt:lpwstr>true</vt:lpwstr>
  </property>
  <property fmtid="{D5CDD505-2E9C-101B-9397-08002B2CF9AE}" pid="9" name="MSIP_Label_ea60d57e-af5b-4752-ac57-3e4f28ca11dc_SetDate">
    <vt:lpwstr>2021-07-28T23:43:00Z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06ca0ab8-3d90-466d-b132-b207569f6917</vt:lpwstr>
  </property>
  <property fmtid="{D5CDD505-2E9C-101B-9397-08002B2CF9AE}" pid="14" name="MSIP_Label_ea60d57e-af5b-4752-ac57-3e4f28ca11dc_ContentBits">
    <vt:lpwstr>0</vt:lpwstr>
  </property>
</Properties>
</file>