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1FA8" w14:textId="584CE24F" w:rsidR="00F2162A" w:rsidRDefault="009E389B" w:rsidP="009E389B">
      <w:pPr>
        <w:pStyle w:val="Heading1"/>
        <w:spacing w:before="120"/>
        <w:jc w:val="both"/>
        <w:rPr>
          <w:lang w:val="en-AU"/>
        </w:rPr>
      </w:pPr>
      <w:r>
        <w:rPr>
          <w:lang w:val="en-AU"/>
        </w:rPr>
        <w:t xml:space="preserve">school Banking Programs and financial literacy </w:t>
      </w:r>
      <w:r w:rsidR="00C22523">
        <w:rPr>
          <w:lang w:val="en-AU"/>
        </w:rPr>
        <w:t>Education</w:t>
      </w:r>
      <w:r w:rsidR="007D7769">
        <w:rPr>
          <w:lang w:val="en-AU"/>
        </w:rPr>
        <w:t xml:space="preserve"> in schools</w:t>
      </w:r>
      <w:r w:rsidR="00F2162A">
        <w:rPr>
          <w:lang w:val="en-AU"/>
        </w:rPr>
        <w:t xml:space="preserve">: </w:t>
      </w:r>
    </w:p>
    <w:p w14:paraId="6690A5D8" w14:textId="0688130A" w:rsidR="009E389B" w:rsidRPr="00F2162A" w:rsidRDefault="009E389B" w:rsidP="009E389B">
      <w:pPr>
        <w:pStyle w:val="Heading1"/>
        <w:spacing w:before="120"/>
        <w:jc w:val="both"/>
        <w:rPr>
          <w:color w:val="E57100" w:themeColor="accent2"/>
          <w:lang w:val="en-AU"/>
        </w:rPr>
      </w:pPr>
      <w:r w:rsidRPr="00F2162A">
        <w:rPr>
          <w:color w:val="E57100" w:themeColor="accent2"/>
          <w:lang w:val="en-AU"/>
        </w:rPr>
        <w:t>faqs</w:t>
      </w:r>
      <w:r w:rsidR="00F2162A" w:rsidRPr="00F2162A">
        <w:rPr>
          <w:color w:val="E57100" w:themeColor="accent2"/>
          <w:lang w:val="en-AU"/>
        </w:rPr>
        <w:t xml:space="preserve"> for Regions/School leaders</w:t>
      </w:r>
    </w:p>
    <w:p w14:paraId="56372A5B" w14:textId="77777777" w:rsidR="009E389B" w:rsidRDefault="009E389B" w:rsidP="009E389B">
      <w:pPr>
        <w:pStyle w:val="Heading2"/>
        <w:spacing w:before="120"/>
        <w:jc w:val="both"/>
        <w:rPr>
          <w:lang w:val="en-AU"/>
        </w:rPr>
      </w:pPr>
      <w:r>
        <w:rPr>
          <w:noProof/>
          <w:lang w:val="en-AU"/>
        </w:rPr>
        <mc:AlternateContent>
          <mc:Choice Requires="wps">
            <w:drawing>
              <wp:anchor distT="0" distB="0" distL="114300" distR="114300" simplePos="0" relativeHeight="251659264" behindDoc="0" locked="0" layoutInCell="1" allowOverlap="1" wp14:anchorId="65768A8E" wp14:editId="0FAE6825">
                <wp:simplePos x="0" y="0"/>
                <wp:positionH relativeFrom="column">
                  <wp:posOffset>-158115</wp:posOffset>
                </wp:positionH>
                <wp:positionV relativeFrom="paragraph">
                  <wp:posOffset>46355</wp:posOffset>
                </wp:positionV>
                <wp:extent cx="64960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96050" cy="1905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D09D61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45pt,3.65pt" to="49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S3AEAABUEAAAOAAAAZHJzL2Uyb0RvYy54bWysU01vEzEQvSPxHyzfyW5SiOgqmx5SlQuC&#10;iBburtfOWrI91thkk3/P2LvZVgUhUXGx/DHvzbw3483NyVl2VBgN+JYvFzVnykvojD+0/PvD3buP&#10;nMUkfCcseNXys4r8Zvv2zWYIjVpBD7ZTyIjEx2YILe9TCk1VRdkrJ+ICgvL0qAGdSHTEQ9WhGIjd&#10;2WpV1+tqAOwCglQx0u3t+Mi3hV9rJdNXraNKzLacaktlxbI+5rXabkRzQBF6I6cyxCuqcMJ4SjpT&#10;3Yok2E80v1E5IxEi6LSQ4CrQ2khVNJCaZf1CzX0vgipayJwYZpvi/6OVX457ZKZr+RVnXjhq0X1C&#10;YQ59YjvwngwEZFfZpyHEhsJ3fo/TKYY9ZtEnjY5pa8IPGoFiAwljp+LyeXZZnRKTdLl+f72uP1Az&#10;JL0tr/OW+KqRJtMFjOmTAsfypuXW+GyCaMTxc0xj6CUkX1uf1wjWdHfG2nLI46N2FtlRUOOFlMqn&#10;1ZTmWSQlzegqSxvFlF06WzUyf1OazKGiR1llLF/yLide6yk6wzRVMQPrUvpfgVN8hqoysv8CnhEl&#10;M/g0g53xgH/Knk6XkvUYf3Fg1J0teITuXNpcrKHZKw2a/kke7ufnAn/6zdtfAAAA//8DAFBLAwQU&#10;AAYACAAAACEA75EthOAAAAAIAQAADwAAAGRycy9kb3ducmV2LnhtbEyPwU7DMBBE70j8g7VI3Fon&#10;LaJNiFMBEoRLQW2BsxMvidV4HdluG/j6mhMcV/M087ZYjaZnR3ReWxKQThNgSI1VmloB77unyRKY&#10;D5KU7C2hgG/0sCovLwqZK3uiDR63oWWxhHwuBXQhDDnnvunQSD+1A1LMvqwzMsTTtVw5eYrlpuez&#10;JLnlRmqKC50c8LHDZr89GAH7Slfrn8/0gX9Ua/fy9lxr9boQ4vpqvL8DFnAMfzD86kd1KKNTbQ+k&#10;POsFTGY3WUQFLObAYp5lyxRYHcFkDrws+P8HyjMAAAD//wMAUEsBAi0AFAAGAAgAAAAhALaDOJL+&#10;AAAA4QEAABMAAAAAAAAAAAAAAAAAAAAAAFtDb250ZW50X1R5cGVzXS54bWxQSwECLQAUAAYACAAA&#10;ACEAOP0h/9YAAACUAQAACwAAAAAAAAAAAAAAAAAvAQAAX3JlbHMvLnJlbHNQSwECLQAUAAYACAAA&#10;ACEAgJPu0twBAAAVBAAADgAAAAAAAAAAAAAAAAAuAgAAZHJzL2Uyb0RvYy54bWxQSwECLQAUAAYA&#10;CAAAACEA75EthOAAAAAIAQAADwAAAAAAAAAAAAAAAAA2BAAAZHJzL2Rvd25yZXYueG1sUEsFBgAA&#10;AAAEAAQA8wAAAEMFAAAAAA==&#10;" strokecolor="#e57100 [3205]" strokeweight=".5pt">
                <v:stroke joinstyle="miter"/>
              </v:line>
            </w:pict>
          </mc:Fallback>
        </mc:AlternateContent>
      </w:r>
    </w:p>
    <w:p w14:paraId="1D60CB90" w14:textId="77777777" w:rsidR="009E389B" w:rsidRDefault="009E389B" w:rsidP="009E389B">
      <w:pPr>
        <w:pStyle w:val="Heading3"/>
        <w:spacing w:before="120"/>
        <w:jc w:val="both"/>
        <w:rPr>
          <w:lang w:val="en-AU"/>
        </w:rPr>
      </w:pPr>
      <w:r>
        <w:rPr>
          <w:lang w:val="en-AU"/>
        </w:rPr>
        <w:t>What has been banned?</w:t>
      </w:r>
    </w:p>
    <w:p w14:paraId="256E195F" w14:textId="66ECA03A" w:rsidR="009E389B" w:rsidRDefault="009E389B" w:rsidP="009E389B">
      <w:pPr>
        <w:spacing w:before="120"/>
        <w:jc w:val="both"/>
        <w:rPr>
          <w:lang w:val="en-AU"/>
        </w:rPr>
      </w:pPr>
      <w:r w:rsidRPr="00FE3AC3">
        <w:rPr>
          <w:lang w:val="en-AU"/>
        </w:rPr>
        <w:t xml:space="preserve">School </w:t>
      </w:r>
      <w:r>
        <w:rPr>
          <w:lang w:val="en-AU"/>
        </w:rPr>
        <w:t>B</w:t>
      </w:r>
      <w:r w:rsidRPr="00FE3AC3">
        <w:rPr>
          <w:lang w:val="en-AU"/>
        </w:rPr>
        <w:t xml:space="preserve">anking </w:t>
      </w:r>
      <w:r>
        <w:rPr>
          <w:lang w:val="en-AU"/>
        </w:rPr>
        <w:t>Pr</w:t>
      </w:r>
      <w:r w:rsidRPr="00FE3AC3">
        <w:rPr>
          <w:lang w:val="en-AU"/>
        </w:rPr>
        <w:t xml:space="preserve">ograms </w:t>
      </w:r>
      <w:r w:rsidR="00F2162A">
        <w:rPr>
          <w:lang w:val="en-AU"/>
        </w:rPr>
        <w:t xml:space="preserve">(SPBs) </w:t>
      </w:r>
      <w:r w:rsidR="00DF5694" w:rsidRPr="00040D13">
        <w:rPr>
          <w:highlight w:val="yellow"/>
          <w:lang w:val="en-AU"/>
        </w:rPr>
        <w:t>have been</w:t>
      </w:r>
      <w:r w:rsidR="00DF5694">
        <w:rPr>
          <w:lang w:val="en-AU"/>
        </w:rPr>
        <w:t xml:space="preserve"> </w:t>
      </w:r>
      <w:r w:rsidRPr="00FE3AC3">
        <w:rPr>
          <w:lang w:val="en-AU"/>
        </w:rPr>
        <w:t xml:space="preserve">banned </w:t>
      </w:r>
      <w:r>
        <w:rPr>
          <w:lang w:val="en-AU"/>
        </w:rPr>
        <w:t>in</w:t>
      </w:r>
      <w:r w:rsidRPr="00FE3AC3">
        <w:rPr>
          <w:lang w:val="en-AU"/>
        </w:rPr>
        <w:t xml:space="preserve"> all Victorian government schools from the first day of </w:t>
      </w:r>
      <w:r>
        <w:rPr>
          <w:lang w:val="en-AU"/>
        </w:rPr>
        <w:t>T</w:t>
      </w:r>
      <w:r w:rsidRPr="00FE3AC3">
        <w:rPr>
          <w:lang w:val="en-AU"/>
        </w:rPr>
        <w:t>erm 1, 2021.</w:t>
      </w:r>
      <w:r>
        <w:rPr>
          <w:lang w:val="en-AU"/>
        </w:rPr>
        <w:t xml:space="preserve"> </w:t>
      </w:r>
    </w:p>
    <w:p w14:paraId="4E457A4A" w14:textId="77777777" w:rsidR="002414AD" w:rsidRDefault="002414AD" w:rsidP="002414AD">
      <w:pPr>
        <w:pStyle w:val="NormalWeb"/>
        <w:spacing w:before="0" w:beforeAutospacing="0" w:after="200" w:afterAutospacing="0"/>
        <w:jc w:val="both"/>
        <w:textAlignment w:val="baseline"/>
        <w:rPr>
          <w:rFonts w:ascii="Arial" w:hAnsi="Arial" w:cs="Arial"/>
          <w:color w:val="000000"/>
          <w:sz w:val="22"/>
          <w:szCs w:val="22"/>
        </w:rPr>
      </w:pPr>
      <w:r>
        <w:rPr>
          <w:rFonts w:ascii="Arial" w:hAnsi="Arial" w:cs="Arial"/>
          <w:color w:val="000000"/>
          <w:sz w:val="22"/>
          <w:szCs w:val="22"/>
        </w:rPr>
        <w:t>Victorian government schools are also prohibited from:</w:t>
      </w:r>
    </w:p>
    <w:p w14:paraId="5A715441" w14:textId="6056474F" w:rsidR="002414AD" w:rsidRDefault="002414AD" w:rsidP="002414AD">
      <w:pPr>
        <w:pStyle w:val="NormalWeb"/>
        <w:numPr>
          <w:ilvl w:val="0"/>
          <w:numId w:val="27"/>
        </w:numPr>
        <w:spacing w:before="0" w:beforeAutospacing="0" w:after="200" w:afterAutospacing="0"/>
        <w:jc w:val="both"/>
        <w:textAlignment w:val="baseline"/>
        <w:rPr>
          <w:rFonts w:ascii="Arial" w:hAnsi="Arial" w:cs="Arial"/>
          <w:color w:val="000000"/>
          <w:sz w:val="22"/>
          <w:szCs w:val="22"/>
        </w:rPr>
      </w:pPr>
      <w:r>
        <w:rPr>
          <w:rFonts w:ascii="Arial" w:hAnsi="Arial" w:cs="Arial"/>
          <w:color w:val="000000"/>
          <w:sz w:val="22"/>
          <w:szCs w:val="22"/>
        </w:rPr>
        <w:t xml:space="preserve">allowing an </w:t>
      </w:r>
      <w:r w:rsidR="007323B7">
        <w:rPr>
          <w:rFonts w:ascii="Arial" w:hAnsi="Arial" w:cs="Arial"/>
          <w:color w:val="000000"/>
          <w:sz w:val="22"/>
          <w:szCs w:val="22"/>
        </w:rPr>
        <w:t>Authorised Deposit-taking Institution (</w:t>
      </w:r>
      <w:r>
        <w:rPr>
          <w:rFonts w:ascii="Arial" w:hAnsi="Arial" w:cs="Arial"/>
          <w:color w:val="000000"/>
          <w:sz w:val="22"/>
          <w:szCs w:val="22"/>
        </w:rPr>
        <w:t>ADI</w:t>
      </w:r>
      <w:r w:rsidR="007323B7">
        <w:rPr>
          <w:rFonts w:ascii="Arial" w:hAnsi="Arial" w:cs="Arial"/>
          <w:color w:val="000000"/>
          <w:sz w:val="22"/>
          <w:szCs w:val="22"/>
        </w:rPr>
        <w:t>)</w:t>
      </w:r>
      <w:r>
        <w:rPr>
          <w:rFonts w:ascii="Arial" w:hAnsi="Arial" w:cs="Arial"/>
          <w:color w:val="000000"/>
          <w:sz w:val="22"/>
          <w:szCs w:val="22"/>
        </w:rPr>
        <w:t xml:space="preserve"> to deliver any other form of financial literacy education to their students;</w:t>
      </w:r>
    </w:p>
    <w:p w14:paraId="48BA269E" w14:textId="77777777" w:rsidR="002414AD" w:rsidRDefault="002414AD" w:rsidP="002414AD">
      <w:pPr>
        <w:pStyle w:val="NormalWeb"/>
        <w:numPr>
          <w:ilvl w:val="0"/>
          <w:numId w:val="27"/>
        </w:numPr>
        <w:spacing w:before="0" w:beforeAutospacing="0" w:after="200" w:afterAutospacing="0"/>
        <w:jc w:val="both"/>
        <w:textAlignment w:val="baseline"/>
        <w:rPr>
          <w:rFonts w:ascii="Arial" w:hAnsi="Arial" w:cs="Arial"/>
          <w:color w:val="000000"/>
          <w:sz w:val="22"/>
          <w:szCs w:val="22"/>
        </w:rPr>
      </w:pPr>
      <w:r>
        <w:rPr>
          <w:rFonts w:ascii="Arial" w:hAnsi="Arial" w:cs="Arial"/>
          <w:color w:val="000000"/>
          <w:sz w:val="22"/>
          <w:szCs w:val="22"/>
        </w:rPr>
        <w:t>using learning and teaching resources created by an ADI to provide financial literacy education to students.</w:t>
      </w:r>
    </w:p>
    <w:p w14:paraId="0BD024FC" w14:textId="35112E20" w:rsidR="009E389B" w:rsidRDefault="009E389B" w:rsidP="009E389B">
      <w:pPr>
        <w:spacing w:before="120"/>
        <w:jc w:val="both"/>
        <w:rPr>
          <w:lang w:val="en-AU"/>
        </w:rPr>
      </w:pPr>
      <w:r>
        <w:rPr>
          <w:lang w:val="en-AU"/>
        </w:rPr>
        <w:t>Instead, s</w:t>
      </w:r>
      <w:r w:rsidRPr="00FE3AC3">
        <w:rPr>
          <w:lang w:val="en-AU"/>
        </w:rPr>
        <w:t xml:space="preserve">chools will be required to teach </w:t>
      </w:r>
      <w:r>
        <w:rPr>
          <w:lang w:val="en-AU"/>
        </w:rPr>
        <w:t>f</w:t>
      </w:r>
      <w:r w:rsidRPr="00FE3AC3">
        <w:rPr>
          <w:lang w:val="en-AU"/>
        </w:rPr>
        <w:t xml:space="preserve">inancial </w:t>
      </w:r>
      <w:r>
        <w:rPr>
          <w:lang w:val="en-AU"/>
        </w:rPr>
        <w:t>l</w:t>
      </w:r>
      <w:r w:rsidRPr="00FE3AC3">
        <w:rPr>
          <w:lang w:val="en-AU"/>
        </w:rPr>
        <w:t>iteracy as part of the</w:t>
      </w:r>
      <w:r>
        <w:rPr>
          <w:lang w:val="en-AU"/>
        </w:rPr>
        <w:t>ir usual curriculum program</w:t>
      </w:r>
      <w:r w:rsidR="002414AD">
        <w:rPr>
          <w:lang w:val="en-AU"/>
        </w:rPr>
        <w:t>,</w:t>
      </w:r>
      <w:r>
        <w:rPr>
          <w:lang w:val="en-AU"/>
        </w:rPr>
        <w:t xml:space="preserve"> through the </w:t>
      </w:r>
      <w:r w:rsidRPr="00FE3AC3">
        <w:rPr>
          <w:lang w:val="en-AU"/>
        </w:rPr>
        <w:t>Economics and Business and Mathematics learning areas.</w:t>
      </w:r>
    </w:p>
    <w:p w14:paraId="6F234E59" w14:textId="7B4A8639" w:rsidR="001B19A5" w:rsidRDefault="001B19A5" w:rsidP="009E389B">
      <w:pPr>
        <w:spacing w:before="120"/>
        <w:jc w:val="both"/>
        <w:rPr>
          <w:lang w:val="en-AU"/>
        </w:rPr>
      </w:pPr>
      <w:r>
        <w:rPr>
          <w:lang w:val="en-AU"/>
        </w:rPr>
        <w:t xml:space="preserve">For further information, see the Department’s </w:t>
      </w:r>
      <w:r w:rsidRPr="001B19A5">
        <w:rPr>
          <w:rStyle w:val="Hyperlink"/>
          <w:color w:val="1155CC"/>
          <w:szCs w:val="22"/>
        </w:rPr>
        <w:t>Sponsorship</w:t>
      </w:r>
      <w:r>
        <w:rPr>
          <w:lang w:val="en-AU"/>
        </w:rPr>
        <w:t xml:space="preserve"> policy and new </w:t>
      </w:r>
      <w:r w:rsidRPr="001B19A5">
        <w:rPr>
          <w:rStyle w:val="Hyperlink"/>
          <w:color w:val="1155CC"/>
          <w:szCs w:val="22"/>
        </w:rPr>
        <w:t>Financial Literacy</w:t>
      </w:r>
      <w:r>
        <w:rPr>
          <w:lang w:val="en-AU"/>
        </w:rPr>
        <w:t xml:space="preserve"> policy.</w:t>
      </w:r>
    </w:p>
    <w:p w14:paraId="2744096E" w14:textId="77777777" w:rsidR="00517104" w:rsidRDefault="00517104" w:rsidP="009E389B">
      <w:pPr>
        <w:spacing w:before="120"/>
        <w:jc w:val="both"/>
        <w:rPr>
          <w:lang w:val="en-AU"/>
        </w:rPr>
      </w:pPr>
    </w:p>
    <w:p w14:paraId="4B27985C" w14:textId="0A5B33D8" w:rsidR="009E389B" w:rsidRDefault="00517104" w:rsidP="00517104">
      <w:pPr>
        <w:pStyle w:val="Heading3"/>
        <w:spacing w:before="120"/>
        <w:jc w:val="both"/>
        <w:rPr>
          <w:lang w:val="en-AU"/>
        </w:rPr>
      </w:pPr>
      <w:r>
        <w:rPr>
          <w:lang w:val="en-AU"/>
        </w:rPr>
        <w:t>What is a School Banking Program?</w:t>
      </w:r>
    </w:p>
    <w:p w14:paraId="28462593" w14:textId="0A3F9217" w:rsidR="00517104" w:rsidRDefault="00517104" w:rsidP="009E389B">
      <w:pPr>
        <w:spacing w:before="120"/>
        <w:jc w:val="both"/>
        <w:rPr>
          <w:lang w:val="en-AU"/>
        </w:rPr>
      </w:pPr>
      <w:r>
        <w:rPr>
          <w:lang w:val="en-AU"/>
        </w:rPr>
        <w:t>A School Banking Program en</w:t>
      </w:r>
      <w:r w:rsidRPr="00FE3AC3">
        <w:rPr>
          <w:lang w:val="en-AU"/>
        </w:rPr>
        <w:t>able</w:t>
      </w:r>
      <w:r>
        <w:rPr>
          <w:lang w:val="en-AU"/>
        </w:rPr>
        <w:t>s</w:t>
      </w:r>
      <w:r w:rsidRPr="00FE3AC3">
        <w:rPr>
          <w:lang w:val="en-AU"/>
        </w:rPr>
        <w:t xml:space="preserve"> students to deposit money into </w:t>
      </w:r>
      <w:r>
        <w:rPr>
          <w:lang w:val="en-AU"/>
        </w:rPr>
        <w:t>bank accounts</w:t>
      </w:r>
      <w:r w:rsidRPr="00FE3AC3">
        <w:rPr>
          <w:lang w:val="en-AU"/>
        </w:rPr>
        <w:t xml:space="preserve"> through their school</w:t>
      </w:r>
      <w:r>
        <w:rPr>
          <w:lang w:val="en-AU"/>
        </w:rPr>
        <w:t xml:space="preserve">, with bank accounts provided by </w:t>
      </w:r>
      <w:r w:rsidRPr="00A54FC7">
        <w:rPr>
          <w:lang w:val="en-AU"/>
        </w:rPr>
        <w:t>ADIs</w:t>
      </w:r>
      <w:r>
        <w:rPr>
          <w:lang w:val="en-AU"/>
        </w:rPr>
        <w:t xml:space="preserve"> such as banks, credit unions and building societies</w:t>
      </w:r>
      <w:r w:rsidRPr="00FE3AC3">
        <w:rPr>
          <w:lang w:val="en-AU"/>
        </w:rPr>
        <w:t>.</w:t>
      </w:r>
    </w:p>
    <w:p w14:paraId="4CCB35F4" w14:textId="77777777" w:rsidR="00517104" w:rsidRPr="00A54FC7" w:rsidRDefault="00517104" w:rsidP="009E389B">
      <w:pPr>
        <w:spacing w:before="120"/>
        <w:jc w:val="both"/>
        <w:rPr>
          <w:lang w:val="en-AU"/>
        </w:rPr>
      </w:pPr>
    </w:p>
    <w:p w14:paraId="490CDFD5" w14:textId="77777777" w:rsidR="009E389B" w:rsidRPr="00624A55" w:rsidRDefault="009E389B" w:rsidP="009E389B">
      <w:pPr>
        <w:pStyle w:val="Heading3"/>
        <w:spacing w:before="120"/>
        <w:jc w:val="both"/>
        <w:rPr>
          <w:lang w:val="en-AU"/>
        </w:rPr>
      </w:pPr>
      <w:r>
        <w:rPr>
          <w:lang w:val="en-AU"/>
        </w:rPr>
        <w:t>Who does the ban apply to?</w:t>
      </w:r>
    </w:p>
    <w:p w14:paraId="0DF3C320" w14:textId="77777777" w:rsidR="009E389B" w:rsidRDefault="009E389B" w:rsidP="009E389B">
      <w:pPr>
        <w:spacing w:before="120"/>
        <w:jc w:val="both"/>
        <w:rPr>
          <w:lang w:val="en-US"/>
        </w:rPr>
      </w:pPr>
      <w:r>
        <w:rPr>
          <w:lang w:val="en-US"/>
        </w:rPr>
        <w:t>The ban applies to all Victorian government schools.</w:t>
      </w:r>
    </w:p>
    <w:p w14:paraId="5B9166CF" w14:textId="77777777" w:rsidR="009E389B" w:rsidRDefault="009E389B" w:rsidP="009E389B">
      <w:pPr>
        <w:spacing w:before="120"/>
        <w:jc w:val="both"/>
        <w:rPr>
          <w:lang w:val="en-US"/>
        </w:rPr>
      </w:pPr>
    </w:p>
    <w:p w14:paraId="7421F846" w14:textId="77777777" w:rsidR="009E389B" w:rsidRDefault="009E389B" w:rsidP="009E389B">
      <w:pPr>
        <w:pStyle w:val="Heading3"/>
        <w:spacing w:before="120"/>
        <w:jc w:val="both"/>
        <w:rPr>
          <w:lang w:val="en-US"/>
        </w:rPr>
      </w:pPr>
      <w:r>
        <w:rPr>
          <w:lang w:val="en-US"/>
        </w:rPr>
        <w:t>When does the ban take effect?</w:t>
      </w:r>
    </w:p>
    <w:p w14:paraId="563E96E8" w14:textId="77777777" w:rsidR="009E389B" w:rsidRDefault="009E389B" w:rsidP="009E389B">
      <w:pPr>
        <w:spacing w:before="120"/>
        <w:jc w:val="both"/>
        <w:rPr>
          <w:lang w:val="en-US"/>
        </w:rPr>
      </w:pPr>
      <w:r>
        <w:rPr>
          <w:lang w:val="en-US"/>
        </w:rPr>
        <w:t xml:space="preserve">The ban is effective from the first day of Term 1, 2021. </w:t>
      </w:r>
    </w:p>
    <w:p w14:paraId="3A301753" w14:textId="77777777" w:rsidR="009E389B" w:rsidRDefault="009E389B" w:rsidP="009E389B">
      <w:pPr>
        <w:spacing w:before="120"/>
        <w:jc w:val="both"/>
        <w:rPr>
          <w:lang w:val="en-US"/>
        </w:rPr>
      </w:pPr>
    </w:p>
    <w:p w14:paraId="61FBAB35" w14:textId="77777777" w:rsidR="009E389B" w:rsidRDefault="009E389B" w:rsidP="009E389B">
      <w:pPr>
        <w:pStyle w:val="Heading3"/>
        <w:spacing w:before="120"/>
        <w:jc w:val="both"/>
        <w:rPr>
          <w:lang w:val="en-US"/>
        </w:rPr>
      </w:pPr>
      <w:r>
        <w:rPr>
          <w:lang w:val="en-US"/>
        </w:rPr>
        <w:t xml:space="preserve">What is an </w:t>
      </w:r>
      <w:proofErr w:type="spellStart"/>
      <w:r>
        <w:rPr>
          <w:lang w:val="en-US"/>
        </w:rPr>
        <w:t>Authorised</w:t>
      </w:r>
      <w:proofErr w:type="spellEnd"/>
      <w:r>
        <w:rPr>
          <w:lang w:val="en-US"/>
        </w:rPr>
        <w:t xml:space="preserve"> Deposit-taking Institution (ADI)?</w:t>
      </w:r>
    </w:p>
    <w:p w14:paraId="0EE40B37" w14:textId="77777777" w:rsidR="009E389B" w:rsidRPr="00036F42" w:rsidRDefault="009E389B" w:rsidP="009E389B">
      <w:pPr>
        <w:spacing w:before="120"/>
        <w:jc w:val="both"/>
        <w:rPr>
          <w:lang w:val="en-US"/>
        </w:rPr>
      </w:pPr>
      <w:r>
        <w:rPr>
          <w:lang w:val="en-US"/>
        </w:rPr>
        <w:t>An ADI is a financial institution licensed by the Australian Prudential Regulatory Authority (APRA) to carry on banking business, including accepting deposits from the public. ADIs include banks, building societies and credit unions.</w:t>
      </w:r>
    </w:p>
    <w:p w14:paraId="5D8EF33A" w14:textId="77777777" w:rsidR="009E389B" w:rsidRDefault="009E389B" w:rsidP="009E389B">
      <w:pPr>
        <w:spacing w:before="120"/>
        <w:jc w:val="both"/>
        <w:rPr>
          <w:lang w:val="en-US"/>
        </w:rPr>
      </w:pPr>
    </w:p>
    <w:p w14:paraId="5015E564" w14:textId="77777777" w:rsidR="009E389B" w:rsidRDefault="009E389B" w:rsidP="009E389B">
      <w:pPr>
        <w:pStyle w:val="Heading3"/>
        <w:spacing w:before="120"/>
        <w:jc w:val="both"/>
      </w:pPr>
      <w:r>
        <w:lastRenderedPageBreak/>
        <w:t>Why is there a ban on school banking and financial literacy education provided by ADIs?</w:t>
      </w:r>
    </w:p>
    <w:p w14:paraId="730E07B0" w14:textId="5AA49566" w:rsidR="009E389B" w:rsidRPr="0085549B" w:rsidRDefault="009E389B" w:rsidP="009E389B">
      <w:pPr>
        <w:pStyle w:val="NormalWeb"/>
        <w:spacing w:before="120" w:beforeAutospacing="0" w:after="120" w:afterAutospacing="0"/>
        <w:jc w:val="both"/>
        <w:rPr>
          <w:rFonts w:asciiTheme="minorHAnsi" w:hAnsiTheme="minorHAnsi" w:cstheme="minorHAnsi"/>
          <w:color w:val="000000"/>
          <w:sz w:val="22"/>
          <w:szCs w:val="22"/>
        </w:rPr>
      </w:pPr>
      <w:bookmarkStart w:id="0" w:name="_Hlk60902884"/>
      <w:r w:rsidRPr="0085549B">
        <w:rPr>
          <w:rFonts w:asciiTheme="minorHAnsi" w:hAnsiTheme="minorHAnsi" w:cstheme="minorHAnsi"/>
          <w:color w:val="000000"/>
          <w:sz w:val="22"/>
          <w:szCs w:val="22"/>
        </w:rPr>
        <w:t>The findings of the Royal Commission into the Banking and Financial Services Industry highlighted the importance of financial literacy education in schools</w:t>
      </w:r>
      <w:r>
        <w:rPr>
          <w:rFonts w:asciiTheme="minorHAnsi" w:hAnsiTheme="minorHAnsi" w:cstheme="minorHAnsi"/>
          <w:color w:val="000000"/>
          <w:sz w:val="22"/>
          <w:szCs w:val="22"/>
        </w:rPr>
        <w:t>. The e</w:t>
      </w:r>
      <w:r w:rsidRPr="0085549B">
        <w:rPr>
          <w:rFonts w:asciiTheme="minorHAnsi" w:hAnsiTheme="minorHAnsi" w:cstheme="minorHAnsi"/>
          <w:color w:val="000000"/>
          <w:sz w:val="22"/>
          <w:szCs w:val="22"/>
        </w:rPr>
        <w:t xml:space="preserve">conomic </w:t>
      </w:r>
      <w:r>
        <w:rPr>
          <w:rFonts w:asciiTheme="minorHAnsi" w:hAnsiTheme="minorHAnsi" w:cstheme="minorHAnsi"/>
          <w:color w:val="000000"/>
          <w:sz w:val="22"/>
          <w:szCs w:val="22"/>
        </w:rPr>
        <w:t>impact</w:t>
      </w:r>
      <w:r w:rsidRPr="0085549B">
        <w:rPr>
          <w:rFonts w:asciiTheme="minorHAnsi" w:hAnsiTheme="minorHAnsi" w:cstheme="minorHAnsi"/>
          <w:color w:val="000000"/>
          <w:sz w:val="22"/>
          <w:szCs w:val="22"/>
        </w:rPr>
        <w:t xml:space="preserve"> of coronavirus (COVID-19) has further </w:t>
      </w:r>
      <w:r w:rsidR="00F2162A">
        <w:rPr>
          <w:rFonts w:asciiTheme="minorHAnsi" w:hAnsiTheme="minorHAnsi" w:cstheme="minorHAnsi"/>
          <w:color w:val="000000"/>
          <w:sz w:val="22"/>
          <w:szCs w:val="22"/>
        </w:rPr>
        <w:t>highlighted</w:t>
      </w:r>
      <w:r w:rsidRPr="0085549B">
        <w:rPr>
          <w:rFonts w:asciiTheme="minorHAnsi" w:hAnsiTheme="minorHAnsi" w:cstheme="minorHAnsi"/>
          <w:color w:val="000000"/>
          <w:sz w:val="22"/>
          <w:szCs w:val="22"/>
        </w:rPr>
        <w:t xml:space="preserve"> this need.</w:t>
      </w:r>
    </w:p>
    <w:p w14:paraId="7C49ED62" w14:textId="77777777" w:rsidR="009E389B" w:rsidRPr="001A6DD3" w:rsidRDefault="009E389B" w:rsidP="009E389B">
      <w:pPr>
        <w:spacing w:before="120"/>
        <w:jc w:val="both"/>
        <w:rPr>
          <w:rFonts w:eastAsia="Times New Roman" w:cstheme="minorHAnsi"/>
          <w:color w:val="000000"/>
          <w:szCs w:val="22"/>
          <w:lang w:val="en-AU" w:eastAsia="en-AU"/>
        </w:rPr>
      </w:pPr>
      <w:r w:rsidRPr="001A6DD3">
        <w:rPr>
          <w:rFonts w:eastAsia="Times New Roman" w:cstheme="minorHAnsi"/>
          <w:color w:val="000000"/>
          <w:szCs w:val="22"/>
          <w:lang w:val="en-AU" w:eastAsia="en-AU"/>
        </w:rPr>
        <w:t>Concerns have repeatedly been raised about banks using inappropriate tactics such as attracting children with prizes and incentives to develop trust and loyalty in banks at an inappropriate age.</w:t>
      </w:r>
    </w:p>
    <w:p w14:paraId="3B24D1F2" w14:textId="0ED0C87B" w:rsidR="009E389B" w:rsidRPr="001A6DD3" w:rsidRDefault="009E389B" w:rsidP="009E389B">
      <w:pPr>
        <w:spacing w:before="120"/>
        <w:jc w:val="both"/>
        <w:rPr>
          <w:rFonts w:eastAsia="Times New Roman" w:cstheme="minorHAnsi"/>
          <w:color w:val="000000"/>
          <w:szCs w:val="22"/>
          <w:lang w:val="en-AU" w:eastAsia="en-AU"/>
        </w:rPr>
      </w:pPr>
      <w:r w:rsidRPr="001A6DD3">
        <w:rPr>
          <w:rFonts w:eastAsia="Times New Roman" w:cstheme="minorHAnsi"/>
          <w:color w:val="000000"/>
          <w:szCs w:val="22"/>
          <w:lang w:val="en-AU" w:eastAsia="en-AU"/>
        </w:rPr>
        <w:t xml:space="preserve">Additionally, interest rates offered through </w:t>
      </w:r>
      <w:r w:rsidR="00F2162A">
        <w:rPr>
          <w:rFonts w:eastAsia="Times New Roman" w:cstheme="minorHAnsi"/>
          <w:color w:val="000000"/>
          <w:szCs w:val="22"/>
          <w:lang w:val="en-AU" w:eastAsia="en-AU"/>
        </w:rPr>
        <w:t>SBPs</w:t>
      </w:r>
      <w:r w:rsidRPr="001A6DD3">
        <w:rPr>
          <w:rFonts w:eastAsia="Times New Roman" w:cstheme="minorHAnsi"/>
          <w:color w:val="000000"/>
          <w:szCs w:val="22"/>
          <w:lang w:val="en-AU" w:eastAsia="en-AU"/>
        </w:rPr>
        <w:t xml:space="preserve"> are </w:t>
      </w:r>
      <w:r>
        <w:rPr>
          <w:rFonts w:eastAsia="Times New Roman" w:cstheme="minorHAnsi"/>
          <w:color w:val="000000"/>
          <w:szCs w:val="22"/>
          <w:lang w:val="en-AU" w:eastAsia="en-AU"/>
        </w:rPr>
        <w:t xml:space="preserve">very </w:t>
      </w:r>
      <w:r w:rsidRPr="001A6DD3">
        <w:rPr>
          <w:rFonts w:eastAsia="Times New Roman" w:cstheme="minorHAnsi"/>
          <w:color w:val="000000"/>
          <w:szCs w:val="22"/>
          <w:lang w:val="en-AU" w:eastAsia="en-AU"/>
        </w:rPr>
        <w:t>low, resulting in students missing out on compounding interest, one of the key benefits that comes with saving money and banking.</w:t>
      </w:r>
    </w:p>
    <w:p w14:paraId="0E9708CF" w14:textId="2AE1A231" w:rsidR="009E389B" w:rsidRDefault="009E389B" w:rsidP="009E389B">
      <w:pPr>
        <w:spacing w:before="120"/>
        <w:jc w:val="both"/>
        <w:rPr>
          <w:rFonts w:eastAsia="Times New Roman" w:cstheme="minorHAnsi"/>
          <w:color w:val="000000"/>
          <w:szCs w:val="22"/>
          <w:lang w:val="en-AU" w:eastAsia="en-AU"/>
        </w:rPr>
      </w:pPr>
      <w:r w:rsidRPr="001A6DD3">
        <w:rPr>
          <w:rFonts w:eastAsia="Times New Roman" w:cstheme="minorHAnsi"/>
          <w:color w:val="000000"/>
          <w:szCs w:val="22"/>
          <w:lang w:val="en-AU" w:eastAsia="en-AU"/>
        </w:rPr>
        <w:t xml:space="preserve">There is very little evidence to suggest </w:t>
      </w:r>
      <w:r w:rsidR="00F2162A">
        <w:rPr>
          <w:rFonts w:eastAsia="Times New Roman" w:cstheme="minorHAnsi"/>
          <w:color w:val="000000"/>
          <w:szCs w:val="22"/>
          <w:lang w:val="en-AU" w:eastAsia="en-AU"/>
        </w:rPr>
        <w:t>SPBs</w:t>
      </w:r>
      <w:r w:rsidRPr="001A6DD3">
        <w:rPr>
          <w:rFonts w:eastAsia="Times New Roman" w:cstheme="minorHAnsi"/>
          <w:color w:val="000000"/>
          <w:szCs w:val="22"/>
          <w:lang w:val="en-AU" w:eastAsia="en-AU"/>
        </w:rPr>
        <w:t xml:space="preserve"> teach students lasting habits to improve financial literacy.</w:t>
      </w:r>
    </w:p>
    <w:p w14:paraId="2D17EF65" w14:textId="670506CB" w:rsidR="00517104" w:rsidRPr="001A6DD3" w:rsidRDefault="00517104" w:rsidP="009E389B">
      <w:pPr>
        <w:spacing w:before="120"/>
        <w:jc w:val="both"/>
        <w:rPr>
          <w:rFonts w:eastAsia="Times New Roman" w:cstheme="minorHAnsi"/>
          <w:color w:val="000000"/>
          <w:szCs w:val="22"/>
          <w:lang w:val="en-AU" w:eastAsia="en-AU"/>
        </w:rPr>
      </w:pPr>
      <w:r>
        <w:rPr>
          <w:rFonts w:eastAsia="Times New Roman" w:cstheme="minorHAnsi"/>
          <w:color w:val="000000"/>
          <w:szCs w:val="22"/>
          <w:lang w:val="en-AU" w:eastAsia="en-AU"/>
        </w:rPr>
        <w:t xml:space="preserve">The Australian </w:t>
      </w:r>
      <w:r w:rsidRPr="00517104">
        <w:rPr>
          <w:rFonts w:eastAsia="Times New Roman" w:cstheme="minorHAnsi"/>
          <w:color w:val="000000"/>
          <w:szCs w:val="22"/>
          <w:lang w:val="en-AU" w:eastAsia="en-AU"/>
        </w:rPr>
        <w:t xml:space="preserve">Securities and Investment Commission (ASIC) review of SBPs </w:t>
      </w:r>
      <w:r>
        <w:rPr>
          <w:rFonts w:eastAsia="Times New Roman" w:cstheme="minorHAnsi"/>
          <w:color w:val="000000"/>
          <w:szCs w:val="22"/>
          <w:lang w:val="en-AU" w:eastAsia="en-AU"/>
        </w:rPr>
        <w:t>recently confirmed such concerns.</w:t>
      </w:r>
    </w:p>
    <w:bookmarkEnd w:id="0"/>
    <w:p w14:paraId="5339A326" w14:textId="77777777" w:rsidR="009E389B" w:rsidRPr="001A6DD3" w:rsidRDefault="009E389B" w:rsidP="009E389B">
      <w:pPr>
        <w:spacing w:before="120"/>
        <w:jc w:val="both"/>
        <w:rPr>
          <w:rFonts w:eastAsia="Times New Roman" w:cstheme="minorHAnsi"/>
          <w:color w:val="000000"/>
          <w:szCs w:val="22"/>
          <w:lang w:val="en-AU" w:eastAsia="en-AU"/>
        </w:rPr>
      </w:pPr>
    </w:p>
    <w:p w14:paraId="6534BA40" w14:textId="77777777" w:rsidR="009E389B" w:rsidRDefault="009E389B" w:rsidP="009E389B">
      <w:pPr>
        <w:pStyle w:val="Heading3"/>
        <w:spacing w:before="120"/>
        <w:jc w:val="both"/>
        <w:rPr>
          <w:lang w:val="en-US"/>
        </w:rPr>
      </w:pPr>
      <w:r w:rsidRPr="0079014A">
        <w:rPr>
          <w:lang w:val="en-US"/>
        </w:rPr>
        <w:t xml:space="preserve">Will there be any exemptions from </w:t>
      </w:r>
      <w:r>
        <w:rPr>
          <w:lang w:val="en-US"/>
        </w:rPr>
        <w:t>the ban</w:t>
      </w:r>
      <w:r w:rsidRPr="0079014A">
        <w:rPr>
          <w:lang w:val="en-US"/>
        </w:rPr>
        <w:t>?</w:t>
      </w:r>
    </w:p>
    <w:p w14:paraId="32DA1419" w14:textId="77777777" w:rsidR="009E389B" w:rsidRDefault="009E389B" w:rsidP="009E389B">
      <w:pPr>
        <w:spacing w:before="120"/>
        <w:jc w:val="both"/>
        <w:rPr>
          <w:lang w:val="en-US"/>
        </w:rPr>
      </w:pPr>
      <w:r w:rsidRPr="00E651D1">
        <w:rPr>
          <w:lang w:val="en-US"/>
        </w:rPr>
        <w:t>No. The ban is effective from the first day of Term 1, 2021.</w:t>
      </w:r>
    </w:p>
    <w:p w14:paraId="7341DDAB" w14:textId="77777777" w:rsidR="009E389B" w:rsidRPr="00E651D1" w:rsidRDefault="009E389B" w:rsidP="009E389B">
      <w:pPr>
        <w:spacing w:before="120"/>
        <w:jc w:val="both"/>
        <w:rPr>
          <w:lang w:val="en-US"/>
        </w:rPr>
      </w:pPr>
    </w:p>
    <w:p w14:paraId="40E1DA1D" w14:textId="77777777" w:rsidR="009E389B" w:rsidRDefault="009E389B" w:rsidP="009E389B">
      <w:pPr>
        <w:pStyle w:val="Heading3"/>
        <w:spacing w:before="120"/>
        <w:jc w:val="both"/>
        <w:rPr>
          <w:lang w:val="en-US"/>
        </w:rPr>
      </w:pPr>
      <w:r>
        <w:rPr>
          <w:lang w:val="en-US"/>
        </w:rPr>
        <w:t xml:space="preserve">Our </w:t>
      </w:r>
      <w:r w:rsidRPr="0079014A">
        <w:rPr>
          <w:lang w:val="en-US"/>
        </w:rPr>
        <w:t xml:space="preserve">students </w:t>
      </w:r>
      <w:r>
        <w:rPr>
          <w:lang w:val="en-US"/>
        </w:rPr>
        <w:t>actively use</w:t>
      </w:r>
      <w:r w:rsidRPr="0079014A">
        <w:rPr>
          <w:lang w:val="en-US"/>
        </w:rPr>
        <w:t xml:space="preserve"> the</w:t>
      </w:r>
      <w:r>
        <w:rPr>
          <w:lang w:val="en-US"/>
        </w:rPr>
        <w:t>ir</w:t>
      </w:r>
      <w:r w:rsidRPr="0079014A">
        <w:rPr>
          <w:lang w:val="en-US"/>
        </w:rPr>
        <w:t xml:space="preserve"> school banking </w:t>
      </w:r>
      <w:r>
        <w:rPr>
          <w:lang w:val="en-US"/>
        </w:rPr>
        <w:t>accounts.</w:t>
      </w:r>
      <w:r w:rsidRPr="0079014A">
        <w:rPr>
          <w:lang w:val="en-US"/>
        </w:rPr>
        <w:t xml:space="preserve"> How will they continue to deposit their money?</w:t>
      </w:r>
    </w:p>
    <w:p w14:paraId="33796114" w14:textId="4CB2C727" w:rsidR="009E389B" w:rsidRDefault="009E389B" w:rsidP="009E389B">
      <w:pPr>
        <w:spacing w:before="120"/>
        <w:jc w:val="both"/>
        <w:rPr>
          <w:lang w:val="en-US"/>
        </w:rPr>
      </w:pPr>
      <w:r w:rsidRPr="002D1014">
        <w:rPr>
          <w:lang w:val="en-US"/>
        </w:rPr>
        <w:t>Parents/carers can make their own decisions about whether to keep or close the school banking accounts of their children. If needed, parents/carers should contact the relevant ADI directly.</w:t>
      </w:r>
    </w:p>
    <w:p w14:paraId="528E0E3D" w14:textId="77777777" w:rsidR="009E389B" w:rsidRDefault="009E389B" w:rsidP="009E389B">
      <w:pPr>
        <w:spacing w:before="120"/>
        <w:jc w:val="both"/>
        <w:rPr>
          <w:lang w:val="en-US"/>
        </w:rPr>
      </w:pPr>
    </w:p>
    <w:p w14:paraId="2EC50910" w14:textId="77777777" w:rsidR="009E389B" w:rsidRDefault="009E389B" w:rsidP="009E389B">
      <w:pPr>
        <w:pStyle w:val="Heading3"/>
        <w:spacing w:before="120"/>
        <w:jc w:val="both"/>
        <w:rPr>
          <w:lang w:val="en-US"/>
        </w:rPr>
      </w:pPr>
      <w:r>
        <w:rPr>
          <w:lang w:val="en-US"/>
        </w:rPr>
        <w:t>My school has already booked financial literacy sessions provided by an ADI for Term 1, 2021. Can these sessions go ahead?</w:t>
      </w:r>
    </w:p>
    <w:p w14:paraId="57F9688D" w14:textId="77777777" w:rsidR="009E389B" w:rsidRDefault="009E389B" w:rsidP="009E389B">
      <w:pPr>
        <w:spacing w:before="120"/>
        <w:jc w:val="both"/>
        <w:rPr>
          <w:lang w:val="en-US"/>
        </w:rPr>
      </w:pPr>
      <w:r>
        <w:rPr>
          <w:lang w:val="en-US"/>
        </w:rPr>
        <w:t xml:space="preserve">No. Financial literacy programs delivered by ADIs </w:t>
      </w:r>
      <w:r w:rsidRPr="00035384">
        <w:rPr>
          <w:lang w:val="en-US"/>
        </w:rPr>
        <w:t>will be banned in all Victorian government schools from the first day of Term 1, 2021.</w:t>
      </w:r>
    </w:p>
    <w:p w14:paraId="162CDCD7" w14:textId="77777777" w:rsidR="009E389B" w:rsidRDefault="009E389B" w:rsidP="009E389B">
      <w:pPr>
        <w:spacing w:before="120"/>
        <w:jc w:val="both"/>
        <w:rPr>
          <w:lang w:val="en-US"/>
        </w:rPr>
      </w:pPr>
    </w:p>
    <w:p w14:paraId="5220E1FF" w14:textId="77777777" w:rsidR="009E389B" w:rsidRDefault="009E389B" w:rsidP="009E389B">
      <w:pPr>
        <w:pStyle w:val="Heading3"/>
        <w:spacing w:before="120"/>
        <w:jc w:val="both"/>
        <w:rPr>
          <w:i/>
          <w:iCs/>
          <w:lang w:val="en-US"/>
        </w:rPr>
      </w:pPr>
      <w:r w:rsidRPr="00683E36">
        <w:rPr>
          <w:lang w:val="en-US"/>
        </w:rPr>
        <w:t xml:space="preserve">Why is there an increased focus on </w:t>
      </w:r>
      <w:r>
        <w:rPr>
          <w:lang w:val="en-US"/>
        </w:rPr>
        <w:t>f</w:t>
      </w:r>
      <w:r w:rsidRPr="00683E36">
        <w:rPr>
          <w:lang w:val="en-US"/>
        </w:rPr>
        <w:t xml:space="preserve">inancial </w:t>
      </w:r>
      <w:r>
        <w:rPr>
          <w:lang w:val="en-US"/>
        </w:rPr>
        <w:t>l</w:t>
      </w:r>
      <w:r w:rsidRPr="00683E36">
        <w:rPr>
          <w:lang w:val="en-US"/>
        </w:rPr>
        <w:t>iteracy?</w:t>
      </w:r>
    </w:p>
    <w:p w14:paraId="528ACED3" w14:textId="2BA946D4" w:rsidR="009E389B" w:rsidRDefault="009E389B" w:rsidP="009E389B">
      <w:pPr>
        <w:spacing w:before="120"/>
        <w:jc w:val="both"/>
        <w:rPr>
          <w:lang w:val="en-US"/>
        </w:rPr>
      </w:pPr>
      <w:r>
        <w:t xml:space="preserve">While Australia still ranks well internationally, the 2018 </w:t>
      </w:r>
      <w:r w:rsidR="009C295A">
        <w:t xml:space="preserve">(latest) </w:t>
      </w:r>
      <w:r>
        <w:t>Program for International Student Assessment (PISA) Financial Literacy National Report showed that the financial literacy performance of Australian students has declined since 2012.</w:t>
      </w:r>
    </w:p>
    <w:p w14:paraId="322D50AA" w14:textId="77777777" w:rsidR="009E389B" w:rsidRDefault="009E389B" w:rsidP="009E389B">
      <w:pPr>
        <w:spacing w:before="120"/>
        <w:jc w:val="both"/>
        <w:rPr>
          <w:lang w:val="en-US"/>
        </w:rPr>
      </w:pPr>
      <w:r>
        <w:rPr>
          <w:lang w:val="en-US"/>
        </w:rPr>
        <w:t>Poor financial literacy is associated with being unable to budget appropriately and identify suitable financial products or services. It has also been associated with being unsure of where or when to seek independent financial advice.</w:t>
      </w:r>
    </w:p>
    <w:p w14:paraId="0F7C65B3" w14:textId="77777777" w:rsidR="009E389B" w:rsidRPr="00A63EC6" w:rsidRDefault="009E389B" w:rsidP="009E389B">
      <w:pPr>
        <w:spacing w:before="120"/>
        <w:jc w:val="both"/>
        <w:rPr>
          <w:lang w:val="en-US"/>
        </w:rPr>
      </w:pPr>
    </w:p>
    <w:p w14:paraId="325632A2" w14:textId="77777777" w:rsidR="009E389B" w:rsidRDefault="009E389B" w:rsidP="009E389B">
      <w:pPr>
        <w:pStyle w:val="Heading3"/>
        <w:spacing w:before="120"/>
        <w:jc w:val="both"/>
        <w:rPr>
          <w:lang w:val="en-US"/>
        </w:rPr>
      </w:pPr>
      <w:r>
        <w:rPr>
          <w:lang w:val="en-US"/>
        </w:rPr>
        <w:t>Is financial literacy part of the curriculum?</w:t>
      </w:r>
    </w:p>
    <w:p w14:paraId="2FE149F1" w14:textId="5BFE8142" w:rsidR="009E389B" w:rsidRDefault="009E389B" w:rsidP="002414AD">
      <w:pPr>
        <w:spacing w:before="120"/>
        <w:jc w:val="both"/>
        <w:rPr>
          <w:lang w:val="en-US"/>
        </w:rPr>
      </w:pPr>
      <w:r>
        <w:rPr>
          <w:lang w:val="en-US"/>
        </w:rPr>
        <w:t xml:space="preserve">Financial literacy is </w:t>
      </w:r>
      <w:r w:rsidR="006D5FD2">
        <w:rPr>
          <w:lang w:val="en-US"/>
        </w:rPr>
        <w:t>part of</w:t>
      </w:r>
      <w:r>
        <w:rPr>
          <w:lang w:val="en-US"/>
        </w:rPr>
        <w:t xml:space="preserve"> the Victorian Curriculum </w:t>
      </w:r>
      <w:r w:rsidR="006D5FD2">
        <w:rPr>
          <w:lang w:val="en-US"/>
        </w:rPr>
        <w:t xml:space="preserve">and is taught </w:t>
      </w:r>
      <w:r>
        <w:rPr>
          <w:lang w:val="en-US"/>
        </w:rPr>
        <w:t>through the learning areas of Economics and Business</w:t>
      </w:r>
      <w:r w:rsidR="00D90135">
        <w:rPr>
          <w:lang w:val="en-US"/>
        </w:rPr>
        <w:t>,</w:t>
      </w:r>
      <w:r>
        <w:rPr>
          <w:lang w:val="en-US"/>
        </w:rPr>
        <w:t xml:space="preserve"> and Mathematics. </w:t>
      </w:r>
    </w:p>
    <w:p w14:paraId="70DE7B43" w14:textId="68EA4116" w:rsidR="009E389B" w:rsidRDefault="009E389B" w:rsidP="002414AD">
      <w:pPr>
        <w:spacing w:before="120"/>
        <w:jc w:val="both"/>
        <w:rPr>
          <w:lang w:val="en-US"/>
        </w:rPr>
      </w:pPr>
      <w:r>
        <w:rPr>
          <w:lang w:val="en-US"/>
        </w:rPr>
        <w:t>In Economics and Business, it is covered through the strand of Consumer and Financial Literacy.</w:t>
      </w:r>
      <w:r w:rsidR="00C22523">
        <w:rPr>
          <w:lang w:val="en-US"/>
        </w:rPr>
        <w:t xml:space="preserve"> </w:t>
      </w:r>
    </w:p>
    <w:p w14:paraId="222BBBF1" w14:textId="77777777" w:rsidR="009E389B" w:rsidRDefault="009E389B" w:rsidP="002414AD">
      <w:pPr>
        <w:spacing w:before="120"/>
        <w:jc w:val="both"/>
        <w:rPr>
          <w:lang w:val="en-US"/>
        </w:rPr>
      </w:pPr>
      <w:r>
        <w:rPr>
          <w:lang w:val="en-US"/>
        </w:rPr>
        <w:lastRenderedPageBreak/>
        <w:t>In Mathematics, financial literacy is covered through the sub-strand of Money and Financial Mathematics.</w:t>
      </w:r>
    </w:p>
    <w:p w14:paraId="02D5D71C" w14:textId="77777777" w:rsidR="009E389B" w:rsidRPr="00010865" w:rsidRDefault="009E389B" w:rsidP="009E389B">
      <w:pPr>
        <w:spacing w:before="120"/>
        <w:jc w:val="both"/>
        <w:rPr>
          <w:rFonts w:cstheme="minorHAnsi"/>
          <w:color w:val="000000"/>
          <w:szCs w:val="22"/>
          <w:lang w:eastAsia="en-AU"/>
        </w:rPr>
      </w:pPr>
    </w:p>
    <w:p w14:paraId="60A9F661" w14:textId="77777777" w:rsidR="009E389B" w:rsidRDefault="009E389B" w:rsidP="009E389B">
      <w:pPr>
        <w:pStyle w:val="Heading3"/>
        <w:spacing w:before="120"/>
        <w:jc w:val="both"/>
        <w:rPr>
          <w:lang w:val="en-US"/>
        </w:rPr>
      </w:pPr>
      <w:r>
        <w:rPr>
          <w:lang w:val="en-US"/>
        </w:rPr>
        <w:t>What support is available to help schools provide a quality financial literacy education in my school?</w:t>
      </w:r>
    </w:p>
    <w:p w14:paraId="025F16B2" w14:textId="77777777" w:rsidR="00DF5694" w:rsidRDefault="00DF5694" w:rsidP="001B19A5">
      <w:pPr>
        <w:rPr>
          <w:rFonts w:ascii="Arial" w:hAnsi="Arial" w:cs="Arial"/>
        </w:rPr>
      </w:pPr>
      <w:r>
        <w:rPr>
          <w:rFonts w:ascii="Arial" w:hAnsi="Arial" w:cs="Arial"/>
        </w:rPr>
        <w:t>I</w:t>
      </w:r>
      <w:r w:rsidRPr="00C06D47">
        <w:rPr>
          <w:rFonts w:ascii="Arial" w:hAnsi="Arial" w:cs="Arial"/>
        </w:rPr>
        <w:t>mplementation collateral for school leaders for managing the change</w:t>
      </w:r>
      <w:r>
        <w:rPr>
          <w:rFonts w:ascii="Arial" w:hAnsi="Arial" w:cs="Arial"/>
        </w:rPr>
        <w:t xml:space="preserve"> have been </w:t>
      </w:r>
      <w:r w:rsidRPr="00C06D47">
        <w:rPr>
          <w:rFonts w:ascii="Arial" w:hAnsi="Arial" w:cs="Arial"/>
        </w:rPr>
        <w:t xml:space="preserve">published on </w:t>
      </w:r>
      <w:r>
        <w:rPr>
          <w:rFonts w:ascii="Arial" w:hAnsi="Arial" w:cs="Arial"/>
        </w:rPr>
        <w:t xml:space="preserve">the </w:t>
      </w:r>
      <w:r w:rsidRPr="001B19A5">
        <w:rPr>
          <w:rStyle w:val="Hyperlink"/>
          <w:color w:val="1155CC"/>
          <w:szCs w:val="22"/>
        </w:rPr>
        <w:t>Resources</w:t>
      </w:r>
      <w:r w:rsidRPr="001B19A5">
        <w:rPr>
          <w:rFonts w:ascii="Arial" w:hAnsi="Arial" w:cs="Arial"/>
        </w:rPr>
        <w:t xml:space="preserve"> tab</w:t>
      </w:r>
      <w:r>
        <w:rPr>
          <w:rFonts w:ascii="Arial" w:hAnsi="Arial" w:cs="Arial"/>
        </w:rPr>
        <w:t xml:space="preserve"> of the </w:t>
      </w:r>
      <w:r w:rsidRPr="00C06D47">
        <w:rPr>
          <w:rFonts w:ascii="Arial" w:hAnsi="Arial" w:cs="Arial"/>
        </w:rPr>
        <w:t xml:space="preserve">Department’s </w:t>
      </w:r>
      <w:r>
        <w:rPr>
          <w:rFonts w:ascii="Arial" w:hAnsi="Arial" w:cs="Arial"/>
        </w:rPr>
        <w:t xml:space="preserve">new </w:t>
      </w:r>
      <w:r w:rsidRPr="001B19A5">
        <w:rPr>
          <w:rStyle w:val="Hyperlink"/>
          <w:color w:val="1155CC"/>
          <w:szCs w:val="22"/>
        </w:rPr>
        <w:t>Financial Literacy</w:t>
      </w:r>
      <w:r>
        <w:rPr>
          <w:rFonts w:ascii="Arial" w:hAnsi="Arial" w:cs="Arial"/>
        </w:rPr>
        <w:t xml:space="preserve"> policy.</w:t>
      </w:r>
    </w:p>
    <w:p w14:paraId="3DFB5342" w14:textId="4DD9F6B6" w:rsidR="00D0577D" w:rsidRPr="00C06D47" w:rsidRDefault="00DF5694" w:rsidP="001B19A5">
      <w:pPr>
        <w:rPr>
          <w:rFonts w:ascii="Arial" w:hAnsi="Arial" w:cs="Arial"/>
        </w:rPr>
      </w:pPr>
      <w:r w:rsidRPr="00040D13">
        <w:rPr>
          <w:rFonts w:ascii="Arial" w:hAnsi="Arial" w:cs="Arial"/>
          <w:highlight w:val="yellow"/>
        </w:rPr>
        <w:t>In addition,</w:t>
      </w:r>
      <w:r>
        <w:rPr>
          <w:rFonts w:ascii="Arial" w:hAnsi="Arial" w:cs="Arial"/>
        </w:rPr>
        <w:t xml:space="preserve"> t</w:t>
      </w:r>
      <w:r w:rsidR="00D0577D" w:rsidRPr="00C06D47">
        <w:rPr>
          <w:rFonts w:ascii="Arial" w:hAnsi="Arial" w:cs="Arial"/>
        </w:rPr>
        <w:t xml:space="preserve">he Department </w:t>
      </w:r>
      <w:bookmarkStart w:id="1" w:name="_GoBack"/>
      <w:r w:rsidRPr="00040D13">
        <w:rPr>
          <w:rFonts w:ascii="Arial" w:hAnsi="Arial" w:cs="Arial"/>
          <w:highlight w:val="yellow"/>
        </w:rPr>
        <w:t>is</w:t>
      </w:r>
      <w:bookmarkEnd w:id="1"/>
      <w:r w:rsidR="00D0577D" w:rsidRPr="00C06D47">
        <w:rPr>
          <w:rFonts w:ascii="Arial" w:hAnsi="Arial" w:cs="Arial"/>
        </w:rPr>
        <w:t xml:space="preserve"> </w:t>
      </w:r>
      <w:r w:rsidRPr="00C06D47">
        <w:rPr>
          <w:rFonts w:ascii="Arial" w:hAnsi="Arial" w:cs="Arial"/>
        </w:rPr>
        <w:t>develop</w:t>
      </w:r>
      <w:r w:rsidRPr="00040D13">
        <w:rPr>
          <w:rFonts w:ascii="Arial" w:hAnsi="Arial" w:cs="Arial"/>
          <w:highlight w:val="yellow"/>
        </w:rPr>
        <w:t>ing</w:t>
      </w:r>
      <w:r w:rsidR="00D0577D" w:rsidRPr="00C06D47">
        <w:rPr>
          <w:rFonts w:ascii="Arial" w:hAnsi="Arial" w:cs="Arial"/>
        </w:rPr>
        <w:t xml:space="preserve"> new financial literacy teaching and learning resources for teachers in consultation with financial experts and </w:t>
      </w:r>
      <w:proofErr w:type="spellStart"/>
      <w:r w:rsidR="00D0577D" w:rsidRPr="00C06D47">
        <w:rPr>
          <w:rFonts w:ascii="Arial" w:hAnsi="Arial" w:cs="Arial"/>
        </w:rPr>
        <w:t>VicSRC</w:t>
      </w:r>
      <w:proofErr w:type="spellEnd"/>
      <w:r w:rsidR="001B19A5">
        <w:rPr>
          <w:rFonts w:ascii="Arial" w:hAnsi="Arial" w:cs="Arial"/>
        </w:rPr>
        <w:t xml:space="preserve">. </w:t>
      </w:r>
      <w:r w:rsidRPr="00040D13">
        <w:rPr>
          <w:rFonts w:ascii="Arial" w:hAnsi="Arial" w:cs="Arial"/>
          <w:highlight w:val="yellow"/>
        </w:rPr>
        <w:t>The</w:t>
      </w:r>
      <w:r w:rsidR="00970BE7">
        <w:rPr>
          <w:rFonts w:ascii="Arial" w:hAnsi="Arial" w:cs="Arial"/>
          <w:highlight w:val="yellow"/>
        </w:rPr>
        <w:t xml:space="preserve"> new resources </w:t>
      </w:r>
      <w:r w:rsidRPr="00040D13">
        <w:rPr>
          <w:rFonts w:ascii="Arial" w:hAnsi="Arial" w:cs="Arial"/>
          <w:highlight w:val="yellow"/>
        </w:rPr>
        <w:t xml:space="preserve">will be published </w:t>
      </w:r>
      <w:r w:rsidR="007323B7">
        <w:rPr>
          <w:rFonts w:ascii="Arial" w:hAnsi="Arial" w:cs="Arial"/>
          <w:highlight w:val="yellow"/>
        </w:rPr>
        <w:t>on</w:t>
      </w:r>
      <w:r w:rsidRPr="00040D13">
        <w:rPr>
          <w:rFonts w:ascii="Arial" w:hAnsi="Arial" w:cs="Arial"/>
          <w:highlight w:val="yellow"/>
        </w:rPr>
        <w:t xml:space="preserve"> FUSE and available </w:t>
      </w:r>
      <w:r w:rsidR="007323B7">
        <w:rPr>
          <w:rFonts w:ascii="Arial" w:hAnsi="Arial" w:cs="Arial"/>
          <w:highlight w:val="yellow"/>
        </w:rPr>
        <w:t>on</w:t>
      </w:r>
      <w:r w:rsidR="00970BE7">
        <w:rPr>
          <w:rFonts w:ascii="Arial" w:hAnsi="Arial" w:cs="Arial"/>
          <w:highlight w:val="yellow"/>
        </w:rPr>
        <w:t xml:space="preserve"> the</w:t>
      </w:r>
      <w:r w:rsidRPr="00040D13">
        <w:rPr>
          <w:rFonts w:ascii="Arial" w:hAnsi="Arial" w:cs="Arial"/>
          <w:highlight w:val="yellow"/>
        </w:rPr>
        <w:t xml:space="preserve"> </w:t>
      </w:r>
      <w:r w:rsidRPr="00040D13">
        <w:rPr>
          <w:rStyle w:val="Hyperlink"/>
          <w:color w:val="1155CC"/>
          <w:szCs w:val="22"/>
          <w:highlight w:val="yellow"/>
        </w:rPr>
        <w:t>Resources</w:t>
      </w:r>
      <w:r w:rsidRPr="00040D13">
        <w:rPr>
          <w:rFonts w:ascii="Arial" w:hAnsi="Arial" w:cs="Arial"/>
          <w:highlight w:val="yellow"/>
        </w:rPr>
        <w:t xml:space="preserve"> tab of the Department’s new </w:t>
      </w:r>
      <w:r w:rsidRPr="00040D13">
        <w:rPr>
          <w:rStyle w:val="Hyperlink"/>
          <w:color w:val="1155CC"/>
          <w:szCs w:val="22"/>
          <w:highlight w:val="yellow"/>
        </w:rPr>
        <w:t>Financial Literacy</w:t>
      </w:r>
      <w:r w:rsidRPr="00040D13">
        <w:rPr>
          <w:rFonts w:ascii="Arial" w:hAnsi="Arial" w:cs="Arial"/>
          <w:highlight w:val="yellow"/>
        </w:rPr>
        <w:t xml:space="preserve"> policy.</w:t>
      </w:r>
      <w:r w:rsidR="001B19A5">
        <w:rPr>
          <w:rFonts w:ascii="Arial" w:hAnsi="Arial" w:cs="Arial"/>
        </w:rPr>
        <w:t xml:space="preserve"> </w:t>
      </w:r>
    </w:p>
    <w:p w14:paraId="618C23AB" w14:textId="6D469A7E" w:rsidR="009E389B" w:rsidRDefault="00D0577D" w:rsidP="002414AD">
      <w:pPr>
        <w:spacing w:before="120"/>
        <w:jc w:val="both"/>
        <w:rPr>
          <w:lang w:val="en-US"/>
        </w:rPr>
      </w:pPr>
      <w:r w:rsidRPr="00010865" w:rsidDel="00D0577D">
        <w:t xml:space="preserve"> </w:t>
      </w:r>
    </w:p>
    <w:p w14:paraId="58414E7B" w14:textId="77777777" w:rsidR="009E389B" w:rsidRPr="00E866E7" w:rsidRDefault="009E389B" w:rsidP="009E389B">
      <w:pPr>
        <w:pStyle w:val="Heading3"/>
        <w:spacing w:before="120"/>
        <w:jc w:val="both"/>
        <w:rPr>
          <w:lang w:val="en-US"/>
        </w:rPr>
      </w:pPr>
      <w:r>
        <w:rPr>
          <w:lang w:val="en-US"/>
        </w:rPr>
        <w:t xml:space="preserve">How do I </w:t>
      </w:r>
      <w:r w:rsidRPr="00E866E7">
        <w:rPr>
          <w:lang w:val="en-US"/>
        </w:rPr>
        <w:t xml:space="preserve">disengage from </w:t>
      </w:r>
      <w:r>
        <w:rPr>
          <w:lang w:val="en-US"/>
        </w:rPr>
        <w:t>a</w:t>
      </w:r>
      <w:r w:rsidRPr="00E866E7">
        <w:rPr>
          <w:lang w:val="en-US"/>
        </w:rPr>
        <w:t xml:space="preserve"> School Banking Program?</w:t>
      </w:r>
    </w:p>
    <w:p w14:paraId="5C6CAC15" w14:textId="50D7DA57" w:rsidR="009E389B" w:rsidRDefault="009E389B" w:rsidP="009E389B">
      <w:pPr>
        <w:spacing w:before="120"/>
        <w:jc w:val="both"/>
        <w:rPr>
          <w:lang w:val="en-US"/>
        </w:rPr>
      </w:pPr>
      <w:r w:rsidRPr="00E866E7">
        <w:rPr>
          <w:lang w:val="en-US"/>
        </w:rPr>
        <w:t xml:space="preserve">The Department’s template Sponsorship </w:t>
      </w:r>
      <w:r>
        <w:rPr>
          <w:lang w:val="en-US"/>
        </w:rPr>
        <w:t>agreement allows</w:t>
      </w:r>
      <w:r w:rsidRPr="00E866E7">
        <w:rPr>
          <w:lang w:val="en-US"/>
        </w:rPr>
        <w:t xml:space="preserve"> schools to terminate sponsorship agreements </w:t>
      </w:r>
      <w:r>
        <w:rPr>
          <w:lang w:val="en-US"/>
        </w:rPr>
        <w:t xml:space="preserve">like </w:t>
      </w:r>
      <w:r w:rsidR="00C22523">
        <w:rPr>
          <w:lang w:val="en-US"/>
        </w:rPr>
        <w:t>SBPs</w:t>
      </w:r>
      <w:r w:rsidRPr="00035384">
        <w:rPr>
          <w:lang w:val="en-US"/>
        </w:rPr>
        <w:t xml:space="preserve"> </w:t>
      </w:r>
      <w:r>
        <w:rPr>
          <w:lang w:val="en-US"/>
        </w:rPr>
        <w:t xml:space="preserve">without penalty, </w:t>
      </w:r>
      <w:r w:rsidRPr="00E866E7">
        <w:rPr>
          <w:lang w:val="en-US"/>
        </w:rPr>
        <w:t>by giving the sponsor notice in writing.</w:t>
      </w:r>
    </w:p>
    <w:p w14:paraId="501294F1" w14:textId="239D021C" w:rsidR="009E389B" w:rsidRDefault="009E389B" w:rsidP="009E389B">
      <w:pPr>
        <w:spacing w:before="120"/>
        <w:jc w:val="both"/>
        <w:rPr>
          <w:lang w:val="en-US"/>
        </w:rPr>
      </w:pPr>
      <w:r w:rsidRPr="00E866E7">
        <w:rPr>
          <w:lang w:val="en-US"/>
        </w:rPr>
        <w:t>The amount of notice required is set out in the Sponsorship Agreement</w:t>
      </w:r>
      <w:r>
        <w:rPr>
          <w:lang w:val="en-US"/>
        </w:rPr>
        <w:t xml:space="preserve"> </w:t>
      </w:r>
      <w:r w:rsidRPr="00E866E7">
        <w:rPr>
          <w:lang w:val="en-US"/>
        </w:rPr>
        <w:t xml:space="preserve">between the school </w:t>
      </w:r>
      <w:r>
        <w:rPr>
          <w:lang w:val="en-US"/>
        </w:rPr>
        <w:t xml:space="preserve">council </w:t>
      </w:r>
      <w:r w:rsidRPr="00E866E7">
        <w:rPr>
          <w:lang w:val="en-US"/>
        </w:rPr>
        <w:t>and the sponsor.</w:t>
      </w:r>
    </w:p>
    <w:p w14:paraId="55E61E09" w14:textId="6959D0D9" w:rsidR="001B19A5" w:rsidRPr="001B19A5" w:rsidRDefault="001B19A5" w:rsidP="009E389B">
      <w:pPr>
        <w:spacing w:before="120"/>
        <w:jc w:val="both"/>
        <w:rPr>
          <w:rFonts w:ascii="Arial" w:hAnsi="Arial" w:cs="Arial"/>
          <w:color w:val="000000"/>
          <w:szCs w:val="22"/>
        </w:rPr>
      </w:pPr>
      <w:r w:rsidRPr="001B19A5">
        <w:rPr>
          <w:rFonts w:ascii="Arial" w:hAnsi="Arial" w:cs="Arial"/>
          <w:color w:val="000000"/>
          <w:szCs w:val="22"/>
        </w:rPr>
        <w:t>In response to the Minister’s announcement and the Australian Securities and Investments Commission’s recent Review of SBPs, many ADIs have chosen to discontinue their programs.</w:t>
      </w:r>
    </w:p>
    <w:p w14:paraId="38357AE5" w14:textId="3804224B" w:rsidR="00E14A51" w:rsidRDefault="00E14A51" w:rsidP="009E389B">
      <w:pPr>
        <w:spacing w:before="120"/>
        <w:jc w:val="both"/>
        <w:rPr>
          <w:lang w:val="en-US"/>
        </w:rPr>
      </w:pPr>
    </w:p>
    <w:p w14:paraId="1C41E9F6" w14:textId="77777777" w:rsidR="009E389B" w:rsidRDefault="009E389B" w:rsidP="009E389B">
      <w:pPr>
        <w:pStyle w:val="Heading3"/>
        <w:spacing w:before="120"/>
        <w:jc w:val="both"/>
      </w:pPr>
      <w:r>
        <w:t>How does this ban impact fundraising opportunities for schools?</w:t>
      </w:r>
    </w:p>
    <w:p w14:paraId="27B94CFF" w14:textId="46E282B8" w:rsidR="009E389B" w:rsidRDefault="009E389B" w:rsidP="009E389B">
      <w:pPr>
        <w:spacing w:before="120"/>
        <w:jc w:val="both"/>
      </w:pPr>
      <w:r>
        <w:t xml:space="preserve">Schools will no longer be able to receive </w:t>
      </w:r>
      <w:r w:rsidRPr="00AC3DB1">
        <w:t>commission</w:t>
      </w:r>
      <w:r>
        <w:t xml:space="preserve">s from ADIs for running </w:t>
      </w:r>
      <w:r w:rsidR="00C22523">
        <w:t>SBPs</w:t>
      </w:r>
      <w:r>
        <w:t xml:space="preserve">. Such </w:t>
      </w:r>
      <w:r w:rsidR="00D90135">
        <w:t>p</w:t>
      </w:r>
      <w:r>
        <w:t>rograms do not typically generate much income for schools, so the impact is anticipated to be small.</w:t>
      </w:r>
    </w:p>
    <w:p w14:paraId="0ACBA92F" w14:textId="27720E1C" w:rsidR="009E389B" w:rsidRDefault="009E389B" w:rsidP="009E389B">
      <w:pPr>
        <w:spacing w:before="120"/>
        <w:jc w:val="both"/>
      </w:pPr>
      <w:r>
        <w:t xml:space="preserve">Conversely, the benefits of banning </w:t>
      </w:r>
      <w:r w:rsidR="001B19A5">
        <w:t>SBPs</w:t>
      </w:r>
      <w:r>
        <w:t xml:space="preserve"> are expected to be substantial, reducing the potential for ADIs to take advantage of young children through marketing and other measures at an age when they are unable to critically analyse marketing or assess the quality of the financial services they were receiving.</w:t>
      </w:r>
      <w:r w:rsidR="008B5283">
        <w:t xml:space="preserve"> Schools will be better prepared to provide financial literacy programs free from commercial interests.</w:t>
      </w:r>
    </w:p>
    <w:p w14:paraId="42261BAF" w14:textId="77777777" w:rsidR="009E389B" w:rsidRDefault="009E389B" w:rsidP="009E389B">
      <w:pPr>
        <w:pStyle w:val="Heading3"/>
        <w:spacing w:before="120"/>
        <w:jc w:val="both"/>
        <w:rPr>
          <w:shd w:val="clear" w:color="auto" w:fill="FFFFFF"/>
        </w:rPr>
      </w:pPr>
    </w:p>
    <w:p w14:paraId="4B00D779" w14:textId="77777777" w:rsidR="009E389B" w:rsidRPr="00A21DB7" w:rsidRDefault="009E389B" w:rsidP="009E389B">
      <w:pPr>
        <w:pStyle w:val="Heading3"/>
        <w:spacing w:before="120"/>
        <w:jc w:val="both"/>
        <w:rPr>
          <w:shd w:val="clear" w:color="auto" w:fill="FFFFFF"/>
        </w:rPr>
      </w:pPr>
      <w:r w:rsidRPr="00A21DB7">
        <w:rPr>
          <w:shd w:val="clear" w:color="auto" w:fill="FFFFFF"/>
        </w:rPr>
        <w:t xml:space="preserve">What if I have additional questions about </w:t>
      </w:r>
      <w:r>
        <w:rPr>
          <w:shd w:val="clear" w:color="auto" w:fill="FFFFFF"/>
        </w:rPr>
        <w:t>School Banking Programs and/or f</w:t>
      </w:r>
      <w:r w:rsidRPr="00A21DB7">
        <w:rPr>
          <w:shd w:val="clear" w:color="auto" w:fill="FFFFFF"/>
        </w:rPr>
        <w:t xml:space="preserve">inancial </w:t>
      </w:r>
      <w:r>
        <w:rPr>
          <w:shd w:val="clear" w:color="auto" w:fill="FFFFFF"/>
        </w:rPr>
        <w:t>l</w:t>
      </w:r>
      <w:r w:rsidRPr="00A21DB7">
        <w:rPr>
          <w:shd w:val="clear" w:color="auto" w:fill="FFFFFF"/>
        </w:rPr>
        <w:t xml:space="preserve">iteracy </w:t>
      </w:r>
      <w:r>
        <w:rPr>
          <w:shd w:val="clear" w:color="auto" w:fill="FFFFFF"/>
        </w:rPr>
        <w:t>e</w:t>
      </w:r>
      <w:r w:rsidRPr="00A21DB7">
        <w:rPr>
          <w:shd w:val="clear" w:color="auto" w:fill="FFFFFF"/>
        </w:rPr>
        <w:t>ducation</w:t>
      </w:r>
      <w:r>
        <w:rPr>
          <w:shd w:val="clear" w:color="auto" w:fill="FFFFFF"/>
        </w:rPr>
        <w:t xml:space="preserve"> in schools</w:t>
      </w:r>
      <w:r w:rsidRPr="00A21DB7">
        <w:rPr>
          <w:shd w:val="clear" w:color="auto" w:fill="FFFFFF"/>
        </w:rPr>
        <w:t>?</w:t>
      </w:r>
    </w:p>
    <w:p w14:paraId="7A57210F" w14:textId="36302076" w:rsidR="009E389B" w:rsidRDefault="009E389B" w:rsidP="009E389B">
      <w:pPr>
        <w:spacing w:before="120"/>
        <w:jc w:val="both"/>
      </w:pPr>
      <w:r>
        <w:t xml:space="preserve">Parent/carer questions about their local </w:t>
      </w:r>
      <w:r w:rsidR="001B19A5">
        <w:t>SPB</w:t>
      </w:r>
      <w:r>
        <w:t xml:space="preserve"> should be directed to schools. </w:t>
      </w:r>
    </w:p>
    <w:p w14:paraId="43F8F993" w14:textId="3DDA7FFB" w:rsidR="009E389B" w:rsidRDefault="001B19A5" w:rsidP="009E389B">
      <w:pPr>
        <w:spacing w:before="120"/>
        <w:jc w:val="both"/>
        <w:rPr>
          <w:rFonts w:ascii="Arial" w:hAnsi="Arial" w:cs="Arial"/>
          <w:sz w:val="21"/>
          <w:szCs w:val="21"/>
          <w:shd w:val="clear" w:color="auto" w:fill="FFFFFF"/>
        </w:rPr>
      </w:pPr>
      <w:r>
        <w:rPr>
          <w:rFonts w:ascii="Arial" w:hAnsi="Arial" w:cs="Arial"/>
          <w:color w:val="000000"/>
          <w:szCs w:val="22"/>
        </w:rPr>
        <w:t xml:space="preserve">Schools who require additional support in disengaging from a School Banking Program can contact the Learning Design and Innovation Unit on 7022 2364 or </w:t>
      </w:r>
      <w:hyperlink r:id="rId12" w:history="1">
        <w:r w:rsidR="00DF5694">
          <w:rPr>
            <w:rStyle w:val="Hyperlink"/>
            <w:rFonts w:ascii="Arial" w:hAnsi="Arial" w:cs="Arial"/>
            <w:color w:val="1155CC"/>
            <w:szCs w:val="22"/>
          </w:rPr>
          <w:t>learning.design.innovation@education.vic.gov.au</w:t>
        </w:r>
      </w:hyperlink>
      <w:r>
        <w:rPr>
          <w:rFonts w:ascii="Arial" w:hAnsi="Arial" w:cs="Arial"/>
          <w:color w:val="000000"/>
          <w:szCs w:val="22"/>
        </w:rPr>
        <w:t>.</w:t>
      </w:r>
    </w:p>
    <w:p w14:paraId="193EDCC9" w14:textId="1BA8C3BE" w:rsidR="009E389B" w:rsidRDefault="009E389B" w:rsidP="009E389B">
      <w:pPr>
        <w:spacing w:before="120"/>
        <w:jc w:val="both"/>
        <w:rPr>
          <w:rFonts w:ascii="Arial" w:hAnsi="Arial" w:cs="Arial"/>
          <w:sz w:val="21"/>
          <w:szCs w:val="21"/>
          <w:shd w:val="clear" w:color="auto" w:fill="FFFFFF"/>
        </w:rPr>
      </w:pPr>
    </w:p>
    <w:p w14:paraId="346A16C2" w14:textId="77777777" w:rsidR="009E389B" w:rsidRPr="00DD33FA" w:rsidRDefault="009E389B" w:rsidP="009E389B">
      <w:pPr>
        <w:spacing w:before="120"/>
        <w:jc w:val="both"/>
        <w:rPr>
          <w:rFonts w:ascii="Arial" w:hAnsi="Arial" w:cs="Arial"/>
          <w:sz w:val="21"/>
          <w:szCs w:val="21"/>
          <w:shd w:val="clear" w:color="auto" w:fill="FFFFFF"/>
        </w:rPr>
      </w:pPr>
    </w:p>
    <w:p w14:paraId="61ADD94F" w14:textId="0427DFDD" w:rsidR="009E389B" w:rsidRPr="007D7769" w:rsidRDefault="009E389B" w:rsidP="009E389B">
      <w:pPr>
        <w:spacing w:before="120"/>
        <w:jc w:val="both"/>
        <w:rPr>
          <w:rFonts w:cstheme="minorHAnsi"/>
          <w:sz w:val="12"/>
          <w:szCs w:val="12"/>
        </w:rPr>
      </w:pPr>
      <w:bookmarkStart w:id="2" w:name="_Hlk60903798"/>
      <w:r w:rsidRPr="007D7769">
        <w:rPr>
          <w:rFonts w:cstheme="minorHAnsi"/>
          <w:sz w:val="12"/>
          <w:szCs w:val="12"/>
        </w:rPr>
        <w:t>© State of Victoria (Department of Education and Training) 202</w:t>
      </w:r>
      <w:r w:rsidR="007D7769" w:rsidRPr="007D7769">
        <w:rPr>
          <w:rFonts w:cstheme="minorHAnsi"/>
          <w:sz w:val="12"/>
          <w:szCs w:val="12"/>
        </w:rPr>
        <w:t>1</w:t>
      </w:r>
      <w:r w:rsidRPr="007D7769">
        <w:rPr>
          <w:rFonts w:cstheme="minorHAnsi"/>
          <w:sz w:val="12"/>
          <w:szCs w:val="12"/>
        </w:rPr>
        <w:t xml:space="preserve">. </w:t>
      </w:r>
      <w:r w:rsidRPr="007D7769">
        <w:rPr>
          <w:rFonts w:cstheme="minorHAnsi"/>
          <w:color w:val="000000"/>
          <w:sz w:val="12"/>
          <w:szCs w:val="12"/>
        </w:rPr>
        <w:t>Except where otherwise </w:t>
      </w:r>
      <w:hyperlink r:id="rId13" w:history="1">
        <w:r w:rsidRPr="007D7769">
          <w:rPr>
            <w:rStyle w:val="Hyperlink"/>
            <w:rFonts w:cstheme="minorHAnsi"/>
            <w:sz w:val="12"/>
            <w:szCs w:val="12"/>
          </w:rPr>
          <w:t>noted,</w:t>
        </w:r>
      </w:hyperlink>
      <w:r w:rsidRPr="007D7769">
        <w:rPr>
          <w:rFonts w:cstheme="minorHAnsi"/>
          <w:color w:val="000000"/>
          <w:sz w:val="12"/>
          <w:szCs w:val="12"/>
        </w:rPr>
        <w:t xml:space="preserve"> material in this document is provided under a</w:t>
      </w:r>
      <w:r w:rsidRPr="007D7769">
        <w:rPr>
          <w:rFonts w:cstheme="minorHAnsi"/>
          <w:color w:val="000000"/>
          <w:sz w:val="12"/>
          <w:szCs w:val="12"/>
        </w:rPr>
        <w:br/>
        <w:t> </w:t>
      </w:r>
      <w:hyperlink r:id="rId14" w:history="1">
        <w:r w:rsidRPr="007D7769">
          <w:rPr>
            <w:rStyle w:val="Hyperlink"/>
            <w:rFonts w:cstheme="minorHAnsi"/>
            <w:sz w:val="12"/>
            <w:szCs w:val="12"/>
          </w:rPr>
          <w:t>Creative Commons Attribution 4.0 International</w:t>
        </w:r>
      </w:hyperlink>
      <w:r w:rsidR="007D7769" w:rsidRPr="007D7769">
        <w:rPr>
          <w:rFonts w:cstheme="minorHAnsi"/>
          <w:sz w:val="12"/>
          <w:szCs w:val="12"/>
        </w:rPr>
        <w:t xml:space="preserve">. </w:t>
      </w:r>
      <w:r w:rsidRPr="007D7769">
        <w:rPr>
          <w:rFonts w:cstheme="minorHAnsi"/>
          <w:color w:val="000000"/>
          <w:sz w:val="12"/>
          <w:szCs w:val="12"/>
        </w:rPr>
        <w:t>Please check the full </w:t>
      </w:r>
      <w:hyperlink r:id="rId15" w:history="1">
        <w:r w:rsidRPr="007D7769">
          <w:rPr>
            <w:rStyle w:val="Hyperlink"/>
            <w:rFonts w:cstheme="minorHAnsi"/>
            <w:sz w:val="12"/>
            <w:szCs w:val="12"/>
          </w:rPr>
          <w:t>copyright notice</w:t>
        </w:r>
      </w:hyperlink>
      <w:r w:rsidR="007D7769" w:rsidRPr="007D7769">
        <w:rPr>
          <w:rFonts w:cstheme="minorHAnsi"/>
          <w:color w:val="000000"/>
          <w:sz w:val="12"/>
          <w:szCs w:val="12"/>
        </w:rPr>
        <w:t>.</w:t>
      </w:r>
    </w:p>
    <w:bookmarkEnd w:id="2"/>
    <w:p w14:paraId="3950F060" w14:textId="6E1CEBD8" w:rsidR="00122369" w:rsidRPr="009E389B" w:rsidRDefault="00122369" w:rsidP="009E389B"/>
    <w:sectPr w:rsidR="00122369" w:rsidRPr="009E389B" w:rsidSect="006E2B9A">
      <w:headerReference w:type="even" r:id="rId16"/>
      <w:headerReference w:type="default" r:id="rId17"/>
      <w:footerReference w:type="even" r:id="rId18"/>
      <w:footerReference w:type="default" r:id="rId19"/>
      <w:headerReference w:type="first" r:id="rId20"/>
      <w:footerReference w:type="firs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7DE5" w14:textId="77777777" w:rsidR="00976F53" w:rsidRDefault="00976F53" w:rsidP="003967DD">
      <w:pPr>
        <w:spacing w:after="0"/>
      </w:pPr>
      <w:r>
        <w:separator/>
      </w:r>
    </w:p>
  </w:endnote>
  <w:endnote w:type="continuationSeparator" w:id="0">
    <w:p w14:paraId="5A71B3D4" w14:textId="77777777" w:rsidR="00976F53" w:rsidRDefault="00976F5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566F" w14:textId="77777777" w:rsidR="00E47CF5" w:rsidRDefault="00E4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5C3B" w14:textId="77777777" w:rsidR="00976F53" w:rsidRDefault="00976F53" w:rsidP="003967DD">
      <w:pPr>
        <w:spacing w:after="0"/>
      </w:pPr>
      <w:r>
        <w:separator/>
      </w:r>
    </w:p>
  </w:footnote>
  <w:footnote w:type="continuationSeparator" w:id="0">
    <w:p w14:paraId="7C8D29D5" w14:textId="77777777" w:rsidR="00976F53" w:rsidRDefault="00976F5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CD4F" w14:textId="77777777" w:rsidR="00E47CF5" w:rsidRDefault="00E4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5F86B550" w:rsidR="003967DD" w:rsidRDefault="00976F53">
    <w:pPr>
      <w:pStyle w:val="Header"/>
    </w:pPr>
    <w:sdt>
      <w:sdtPr>
        <w:id w:val="-1681111497"/>
        <w:docPartObj>
          <w:docPartGallery w:val="Watermarks"/>
          <w:docPartUnique/>
        </w:docPartObj>
      </w:sdtPr>
      <w:sdtEndPr/>
      <w:sdtContent>
        <w:r>
          <w:rPr>
            <w:noProof/>
          </w:rPr>
          <w:pict w14:anchorId="78FC8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6D41">
      <w:rPr>
        <w:noProof/>
      </w:rPr>
      <w:drawing>
        <wp:anchor distT="0" distB="0" distL="114300" distR="114300" simplePos="0" relativeHeight="251657216"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67E9" w14:textId="77777777" w:rsidR="00E47CF5" w:rsidRDefault="00E4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B3101"/>
    <w:multiLevelType w:val="multilevel"/>
    <w:tmpl w:val="529463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16037CF"/>
    <w:multiLevelType w:val="hybridMultilevel"/>
    <w:tmpl w:val="6C7AD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90B6F70"/>
    <w:multiLevelType w:val="hybridMultilevel"/>
    <w:tmpl w:val="B0AA1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0F63B7"/>
    <w:multiLevelType w:val="hybridMultilevel"/>
    <w:tmpl w:val="AED80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90A0CBB"/>
    <w:multiLevelType w:val="hybridMultilevel"/>
    <w:tmpl w:val="0C428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4028F"/>
    <w:multiLevelType w:val="hybridMultilevel"/>
    <w:tmpl w:val="A65EF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4A53851"/>
    <w:multiLevelType w:val="hybridMultilevel"/>
    <w:tmpl w:val="880A7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005F0C"/>
    <w:multiLevelType w:val="hybridMultilevel"/>
    <w:tmpl w:val="7826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60BF9"/>
    <w:multiLevelType w:val="hybridMultilevel"/>
    <w:tmpl w:val="C41C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7417BF"/>
    <w:multiLevelType w:val="hybridMultilevel"/>
    <w:tmpl w:val="5A8AB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3"/>
  </w:num>
  <w:num w:numId="14">
    <w:abstractNumId w:val="24"/>
  </w:num>
  <w:num w:numId="15">
    <w:abstractNumId w:val="16"/>
  </w:num>
  <w:num w:numId="16">
    <w:abstractNumId w:val="21"/>
  </w:num>
  <w:num w:numId="17">
    <w:abstractNumId w:val="17"/>
  </w:num>
  <w:num w:numId="18">
    <w:abstractNumId w:val="22"/>
  </w:num>
  <w:num w:numId="19">
    <w:abstractNumId w:val="25"/>
  </w:num>
  <w:num w:numId="20">
    <w:abstractNumId w:val="13"/>
  </w:num>
  <w:num w:numId="21">
    <w:abstractNumId w:val="20"/>
  </w:num>
  <w:num w:numId="22">
    <w:abstractNumId w:val="12"/>
  </w:num>
  <w:num w:numId="23">
    <w:abstractNumId w:val="19"/>
  </w:num>
  <w:num w:numId="24">
    <w:abstractNumId w:val="26"/>
  </w:num>
  <w:num w:numId="25">
    <w:abstractNumId w:val="14"/>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MzAzNDIxMTCyNDNW0lEKTi0uzszPAykwrAUA8wQO9iwAAAA="/>
  </w:docVars>
  <w:rsids>
    <w:rsidRoot w:val="003967DD"/>
    <w:rsid w:val="000000DE"/>
    <w:rsid w:val="00004C6C"/>
    <w:rsid w:val="00006A13"/>
    <w:rsid w:val="00010865"/>
    <w:rsid w:val="00011F31"/>
    <w:rsid w:val="00013339"/>
    <w:rsid w:val="000256E2"/>
    <w:rsid w:val="00035384"/>
    <w:rsid w:val="00036F42"/>
    <w:rsid w:val="00040D13"/>
    <w:rsid w:val="00047E59"/>
    <w:rsid w:val="000746C1"/>
    <w:rsid w:val="0007650F"/>
    <w:rsid w:val="00080DA9"/>
    <w:rsid w:val="00090337"/>
    <w:rsid w:val="00092550"/>
    <w:rsid w:val="00095C0E"/>
    <w:rsid w:val="000A47D4"/>
    <w:rsid w:val="000A7C8A"/>
    <w:rsid w:val="000B2C8B"/>
    <w:rsid w:val="000C5C0C"/>
    <w:rsid w:val="000D5346"/>
    <w:rsid w:val="000F352A"/>
    <w:rsid w:val="00107402"/>
    <w:rsid w:val="00122369"/>
    <w:rsid w:val="00122674"/>
    <w:rsid w:val="00123AD5"/>
    <w:rsid w:val="0013322B"/>
    <w:rsid w:val="00140FDF"/>
    <w:rsid w:val="00150E0F"/>
    <w:rsid w:val="00157212"/>
    <w:rsid w:val="0016287D"/>
    <w:rsid w:val="0016662A"/>
    <w:rsid w:val="00181FD5"/>
    <w:rsid w:val="001A21AD"/>
    <w:rsid w:val="001A6DD3"/>
    <w:rsid w:val="001B19A5"/>
    <w:rsid w:val="001B4861"/>
    <w:rsid w:val="001C2F57"/>
    <w:rsid w:val="001C7285"/>
    <w:rsid w:val="001D0D94"/>
    <w:rsid w:val="001D13F9"/>
    <w:rsid w:val="001D3BC4"/>
    <w:rsid w:val="001E560A"/>
    <w:rsid w:val="001F39DD"/>
    <w:rsid w:val="001F3F8D"/>
    <w:rsid w:val="00201A5F"/>
    <w:rsid w:val="00205A23"/>
    <w:rsid w:val="002068EF"/>
    <w:rsid w:val="0022322D"/>
    <w:rsid w:val="002414AD"/>
    <w:rsid w:val="002512BE"/>
    <w:rsid w:val="00275FB8"/>
    <w:rsid w:val="00292582"/>
    <w:rsid w:val="00295E6E"/>
    <w:rsid w:val="002A449F"/>
    <w:rsid w:val="002A48C1"/>
    <w:rsid w:val="002A4A96"/>
    <w:rsid w:val="002A5A8E"/>
    <w:rsid w:val="002A6945"/>
    <w:rsid w:val="002C7C0E"/>
    <w:rsid w:val="002E3BED"/>
    <w:rsid w:val="002F33B2"/>
    <w:rsid w:val="002F6115"/>
    <w:rsid w:val="002F644D"/>
    <w:rsid w:val="003079C0"/>
    <w:rsid w:val="00312720"/>
    <w:rsid w:val="003145CE"/>
    <w:rsid w:val="00321C37"/>
    <w:rsid w:val="00334685"/>
    <w:rsid w:val="00343AFC"/>
    <w:rsid w:val="0034745C"/>
    <w:rsid w:val="003967DD"/>
    <w:rsid w:val="003A4C39"/>
    <w:rsid w:val="003C795D"/>
    <w:rsid w:val="003D01E3"/>
    <w:rsid w:val="003D0D24"/>
    <w:rsid w:val="003F26E2"/>
    <w:rsid w:val="003F28D1"/>
    <w:rsid w:val="00405703"/>
    <w:rsid w:val="0042333B"/>
    <w:rsid w:val="00433DC4"/>
    <w:rsid w:val="004522EF"/>
    <w:rsid w:val="00466C76"/>
    <w:rsid w:val="00481F97"/>
    <w:rsid w:val="00486E33"/>
    <w:rsid w:val="004B2ED6"/>
    <w:rsid w:val="004C1137"/>
    <w:rsid w:val="005000A3"/>
    <w:rsid w:val="00514CEA"/>
    <w:rsid w:val="00517104"/>
    <w:rsid w:val="00522A45"/>
    <w:rsid w:val="00532CA7"/>
    <w:rsid w:val="00536F74"/>
    <w:rsid w:val="005410DF"/>
    <w:rsid w:val="00543543"/>
    <w:rsid w:val="005446BE"/>
    <w:rsid w:val="00555277"/>
    <w:rsid w:val="00567CF0"/>
    <w:rsid w:val="00574D57"/>
    <w:rsid w:val="005808FD"/>
    <w:rsid w:val="00581043"/>
    <w:rsid w:val="00584366"/>
    <w:rsid w:val="005869E2"/>
    <w:rsid w:val="005A1247"/>
    <w:rsid w:val="005A4F12"/>
    <w:rsid w:val="005B3C59"/>
    <w:rsid w:val="005B459C"/>
    <w:rsid w:val="005B7365"/>
    <w:rsid w:val="005C0CBB"/>
    <w:rsid w:val="005D08CE"/>
    <w:rsid w:val="005E14F4"/>
    <w:rsid w:val="005E3594"/>
    <w:rsid w:val="005E3A33"/>
    <w:rsid w:val="005F78F1"/>
    <w:rsid w:val="00602233"/>
    <w:rsid w:val="006218EB"/>
    <w:rsid w:val="00624A55"/>
    <w:rsid w:val="006440FC"/>
    <w:rsid w:val="0065156B"/>
    <w:rsid w:val="0065507F"/>
    <w:rsid w:val="00655B89"/>
    <w:rsid w:val="00661A41"/>
    <w:rsid w:val="006671CE"/>
    <w:rsid w:val="006677E4"/>
    <w:rsid w:val="006909E6"/>
    <w:rsid w:val="00697EF5"/>
    <w:rsid w:val="006A25AC"/>
    <w:rsid w:val="006C5D7C"/>
    <w:rsid w:val="006D57E0"/>
    <w:rsid w:val="006D5FD2"/>
    <w:rsid w:val="006E2A38"/>
    <w:rsid w:val="006E2B9A"/>
    <w:rsid w:val="006E6B47"/>
    <w:rsid w:val="0070223D"/>
    <w:rsid w:val="00710CED"/>
    <w:rsid w:val="007203F7"/>
    <w:rsid w:val="007323B7"/>
    <w:rsid w:val="007326C7"/>
    <w:rsid w:val="00756C01"/>
    <w:rsid w:val="007811CC"/>
    <w:rsid w:val="00795B3D"/>
    <w:rsid w:val="007A3DE3"/>
    <w:rsid w:val="007B556E"/>
    <w:rsid w:val="007B7E05"/>
    <w:rsid w:val="007C27B1"/>
    <w:rsid w:val="007C3F66"/>
    <w:rsid w:val="007D3E38"/>
    <w:rsid w:val="007D7769"/>
    <w:rsid w:val="007E3744"/>
    <w:rsid w:val="007E545E"/>
    <w:rsid w:val="007E5AAB"/>
    <w:rsid w:val="008008F7"/>
    <w:rsid w:val="008065DA"/>
    <w:rsid w:val="00806944"/>
    <w:rsid w:val="0081096D"/>
    <w:rsid w:val="00814DE9"/>
    <w:rsid w:val="00825C94"/>
    <w:rsid w:val="00836217"/>
    <w:rsid w:val="00851AA5"/>
    <w:rsid w:val="008547EF"/>
    <w:rsid w:val="0085549B"/>
    <w:rsid w:val="00874F7A"/>
    <w:rsid w:val="00882146"/>
    <w:rsid w:val="00884F35"/>
    <w:rsid w:val="00887E5A"/>
    <w:rsid w:val="008A3BF6"/>
    <w:rsid w:val="008B1737"/>
    <w:rsid w:val="008B5283"/>
    <w:rsid w:val="008B77F4"/>
    <w:rsid w:val="008D0B5A"/>
    <w:rsid w:val="008F45AF"/>
    <w:rsid w:val="009363B1"/>
    <w:rsid w:val="00942AD1"/>
    <w:rsid w:val="00946D5D"/>
    <w:rsid w:val="009471AD"/>
    <w:rsid w:val="00952690"/>
    <w:rsid w:val="00960C0C"/>
    <w:rsid w:val="00966040"/>
    <w:rsid w:val="00970BE7"/>
    <w:rsid w:val="009755FB"/>
    <w:rsid w:val="00976F53"/>
    <w:rsid w:val="00987FA9"/>
    <w:rsid w:val="0099289B"/>
    <w:rsid w:val="00996DA3"/>
    <w:rsid w:val="009A16E1"/>
    <w:rsid w:val="009A696D"/>
    <w:rsid w:val="009C295A"/>
    <w:rsid w:val="009D7216"/>
    <w:rsid w:val="009E04AB"/>
    <w:rsid w:val="009E389B"/>
    <w:rsid w:val="009F290A"/>
    <w:rsid w:val="009F4D7D"/>
    <w:rsid w:val="00A10733"/>
    <w:rsid w:val="00A16B03"/>
    <w:rsid w:val="00A17A8F"/>
    <w:rsid w:val="00A21DB7"/>
    <w:rsid w:val="00A31926"/>
    <w:rsid w:val="00A54FC7"/>
    <w:rsid w:val="00A63EC6"/>
    <w:rsid w:val="00A710DF"/>
    <w:rsid w:val="00A72E3D"/>
    <w:rsid w:val="00A7782C"/>
    <w:rsid w:val="00A837CC"/>
    <w:rsid w:val="00A839D0"/>
    <w:rsid w:val="00AA074F"/>
    <w:rsid w:val="00AA462C"/>
    <w:rsid w:val="00AA7219"/>
    <w:rsid w:val="00AC3DB1"/>
    <w:rsid w:val="00AE52CE"/>
    <w:rsid w:val="00AE7B6C"/>
    <w:rsid w:val="00AF184E"/>
    <w:rsid w:val="00B12460"/>
    <w:rsid w:val="00B21562"/>
    <w:rsid w:val="00B24880"/>
    <w:rsid w:val="00B24BF3"/>
    <w:rsid w:val="00B26F3A"/>
    <w:rsid w:val="00B37C47"/>
    <w:rsid w:val="00B51834"/>
    <w:rsid w:val="00B54FD1"/>
    <w:rsid w:val="00B86D41"/>
    <w:rsid w:val="00B93356"/>
    <w:rsid w:val="00B93B64"/>
    <w:rsid w:val="00BA0223"/>
    <w:rsid w:val="00BA2E9A"/>
    <w:rsid w:val="00BA35DE"/>
    <w:rsid w:val="00BE2E0E"/>
    <w:rsid w:val="00BF6FF4"/>
    <w:rsid w:val="00C06D47"/>
    <w:rsid w:val="00C15ACE"/>
    <w:rsid w:val="00C16BD0"/>
    <w:rsid w:val="00C22523"/>
    <w:rsid w:val="00C332AA"/>
    <w:rsid w:val="00C443A1"/>
    <w:rsid w:val="00C47C09"/>
    <w:rsid w:val="00C539BB"/>
    <w:rsid w:val="00C77078"/>
    <w:rsid w:val="00C84C82"/>
    <w:rsid w:val="00C87CC9"/>
    <w:rsid w:val="00CA43CD"/>
    <w:rsid w:val="00CB07A7"/>
    <w:rsid w:val="00CB0D1E"/>
    <w:rsid w:val="00CC5185"/>
    <w:rsid w:val="00CC5AA8"/>
    <w:rsid w:val="00CD5993"/>
    <w:rsid w:val="00CE5A74"/>
    <w:rsid w:val="00CE743D"/>
    <w:rsid w:val="00CF6BC5"/>
    <w:rsid w:val="00CF739C"/>
    <w:rsid w:val="00D0577D"/>
    <w:rsid w:val="00D06228"/>
    <w:rsid w:val="00D11479"/>
    <w:rsid w:val="00D3418F"/>
    <w:rsid w:val="00D36B21"/>
    <w:rsid w:val="00D54842"/>
    <w:rsid w:val="00D90135"/>
    <w:rsid w:val="00D91444"/>
    <w:rsid w:val="00D91494"/>
    <w:rsid w:val="00DA0871"/>
    <w:rsid w:val="00DB5B7E"/>
    <w:rsid w:val="00DC0C5E"/>
    <w:rsid w:val="00DC4D0D"/>
    <w:rsid w:val="00DD33FA"/>
    <w:rsid w:val="00DF5694"/>
    <w:rsid w:val="00E07BEC"/>
    <w:rsid w:val="00E14A51"/>
    <w:rsid w:val="00E23D5A"/>
    <w:rsid w:val="00E25A95"/>
    <w:rsid w:val="00E30C03"/>
    <w:rsid w:val="00E3246B"/>
    <w:rsid w:val="00E34263"/>
    <w:rsid w:val="00E34721"/>
    <w:rsid w:val="00E401D6"/>
    <w:rsid w:val="00E4111F"/>
    <w:rsid w:val="00E4317E"/>
    <w:rsid w:val="00E47CF5"/>
    <w:rsid w:val="00E5030B"/>
    <w:rsid w:val="00E5657C"/>
    <w:rsid w:val="00E64758"/>
    <w:rsid w:val="00E651D1"/>
    <w:rsid w:val="00E766D6"/>
    <w:rsid w:val="00E77EB9"/>
    <w:rsid w:val="00E866E7"/>
    <w:rsid w:val="00E90146"/>
    <w:rsid w:val="00E93F1E"/>
    <w:rsid w:val="00EA2D79"/>
    <w:rsid w:val="00EC7806"/>
    <w:rsid w:val="00ED285D"/>
    <w:rsid w:val="00EE748D"/>
    <w:rsid w:val="00EF257E"/>
    <w:rsid w:val="00F00CC8"/>
    <w:rsid w:val="00F101AF"/>
    <w:rsid w:val="00F109DC"/>
    <w:rsid w:val="00F14FFB"/>
    <w:rsid w:val="00F2162A"/>
    <w:rsid w:val="00F24C40"/>
    <w:rsid w:val="00F3076D"/>
    <w:rsid w:val="00F31B84"/>
    <w:rsid w:val="00F37F75"/>
    <w:rsid w:val="00F45CB0"/>
    <w:rsid w:val="00F47FF9"/>
    <w:rsid w:val="00F5271F"/>
    <w:rsid w:val="00F62674"/>
    <w:rsid w:val="00F7296F"/>
    <w:rsid w:val="00F812BC"/>
    <w:rsid w:val="00F84F98"/>
    <w:rsid w:val="00F93508"/>
    <w:rsid w:val="00F94715"/>
    <w:rsid w:val="00F97A38"/>
    <w:rsid w:val="00FA0CC3"/>
    <w:rsid w:val="00FD54BE"/>
    <w:rsid w:val="00FD6532"/>
    <w:rsid w:val="00FD70C9"/>
    <w:rsid w:val="00FE3AC3"/>
    <w:rsid w:val="00FE3C91"/>
    <w:rsid w:val="00FE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NormalWeb">
    <w:name w:val="Normal (Web)"/>
    <w:basedOn w:val="Normal"/>
    <w:uiPriority w:val="99"/>
    <w:unhideWhenUsed/>
    <w:rsid w:val="0085549B"/>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07650F"/>
    <w:pPr>
      <w:ind w:left="720"/>
      <w:contextualSpacing/>
    </w:pPr>
  </w:style>
  <w:style w:type="paragraph" w:styleId="BalloonText">
    <w:name w:val="Balloon Text"/>
    <w:basedOn w:val="Normal"/>
    <w:link w:val="BalloonTextChar"/>
    <w:uiPriority w:val="99"/>
    <w:semiHidden/>
    <w:unhideWhenUsed/>
    <w:rsid w:val="00DB5B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7E"/>
    <w:rPr>
      <w:rFonts w:ascii="Segoe UI" w:hAnsi="Segoe UI" w:cs="Segoe UI"/>
      <w:sz w:val="18"/>
      <w:szCs w:val="18"/>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A16B03"/>
    <w:rPr>
      <w:sz w:val="22"/>
    </w:rPr>
  </w:style>
  <w:style w:type="character" w:styleId="CommentReference">
    <w:name w:val="annotation reference"/>
    <w:basedOn w:val="DefaultParagraphFont"/>
    <w:uiPriority w:val="99"/>
    <w:semiHidden/>
    <w:unhideWhenUsed/>
    <w:rsid w:val="00E14A51"/>
    <w:rPr>
      <w:sz w:val="16"/>
      <w:szCs w:val="16"/>
    </w:rPr>
  </w:style>
  <w:style w:type="paragraph" w:styleId="CommentText">
    <w:name w:val="annotation text"/>
    <w:basedOn w:val="Normal"/>
    <w:link w:val="CommentTextChar"/>
    <w:uiPriority w:val="99"/>
    <w:semiHidden/>
    <w:unhideWhenUsed/>
    <w:rsid w:val="00E14A51"/>
    <w:rPr>
      <w:sz w:val="20"/>
      <w:szCs w:val="20"/>
    </w:rPr>
  </w:style>
  <w:style w:type="character" w:customStyle="1" w:styleId="CommentTextChar">
    <w:name w:val="Comment Text Char"/>
    <w:basedOn w:val="DefaultParagraphFont"/>
    <w:link w:val="CommentText"/>
    <w:uiPriority w:val="99"/>
    <w:semiHidden/>
    <w:rsid w:val="00E14A51"/>
    <w:rPr>
      <w:sz w:val="20"/>
      <w:szCs w:val="20"/>
    </w:rPr>
  </w:style>
  <w:style w:type="paragraph" w:styleId="CommentSubject">
    <w:name w:val="annotation subject"/>
    <w:basedOn w:val="CommentText"/>
    <w:next w:val="CommentText"/>
    <w:link w:val="CommentSubjectChar"/>
    <w:uiPriority w:val="99"/>
    <w:semiHidden/>
    <w:unhideWhenUsed/>
    <w:rsid w:val="00E14A51"/>
    <w:rPr>
      <w:b/>
      <w:bCs/>
    </w:rPr>
  </w:style>
  <w:style w:type="character" w:customStyle="1" w:styleId="CommentSubjectChar">
    <w:name w:val="Comment Subject Char"/>
    <w:basedOn w:val="CommentTextChar"/>
    <w:link w:val="CommentSubject"/>
    <w:uiPriority w:val="99"/>
    <w:semiHidden/>
    <w:rsid w:val="00E14A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27350191">
      <w:bodyDiv w:val="1"/>
      <w:marLeft w:val="0"/>
      <w:marRight w:val="0"/>
      <w:marTop w:val="0"/>
      <w:marBottom w:val="0"/>
      <w:divBdr>
        <w:top w:val="none" w:sz="0" w:space="0" w:color="auto"/>
        <w:left w:val="none" w:sz="0" w:space="0" w:color="auto"/>
        <w:bottom w:val="none" w:sz="0" w:space="0" w:color="auto"/>
        <w:right w:val="none" w:sz="0" w:space="0" w:color="auto"/>
      </w:divBdr>
    </w:div>
    <w:div w:id="260651077">
      <w:bodyDiv w:val="1"/>
      <w:marLeft w:val="0"/>
      <w:marRight w:val="0"/>
      <w:marTop w:val="0"/>
      <w:marBottom w:val="0"/>
      <w:divBdr>
        <w:top w:val="none" w:sz="0" w:space="0" w:color="auto"/>
        <w:left w:val="none" w:sz="0" w:space="0" w:color="auto"/>
        <w:bottom w:val="none" w:sz="0" w:space="0" w:color="auto"/>
        <w:right w:val="none" w:sz="0" w:space="0" w:color="auto"/>
      </w:divBdr>
    </w:div>
    <w:div w:id="104229382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2509037">
      <w:bodyDiv w:val="1"/>
      <w:marLeft w:val="0"/>
      <w:marRight w:val="0"/>
      <w:marTop w:val="0"/>
      <w:marBottom w:val="0"/>
      <w:divBdr>
        <w:top w:val="none" w:sz="0" w:space="0" w:color="auto"/>
        <w:left w:val="none" w:sz="0" w:space="0" w:color="auto"/>
        <w:bottom w:val="none" w:sz="0" w:space="0" w:color="auto"/>
        <w:right w:val="none" w:sz="0" w:space="0" w:color="auto"/>
      </w:divBdr>
    </w:div>
    <w:div w:id="1432626468">
      <w:bodyDiv w:val="1"/>
      <w:marLeft w:val="0"/>
      <w:marRight w:val="0"/>
      <w:marTop w:val="0"/>
      <w:marBottom w:val="0"/>
      <w:divBdr>
        <w:top w:val="none" w:sz="0" w:space="0" w:color="auto"/>
        <w:left w:val="none" w:sz="0" w:space="0" w:color="auto"/>
        <w:bottom w:val="none" w:sz="0" w:space="0" w:color="auto"/>
        <w:right w:val="none" w:sz="0" w:space="0" w:color="auto"/>
      </w:divBdr>
    </w:div>
    <w:div w:id="1468475577">
      <w:bodyDiv w:val="1"/>
      <w:marLeft w:val="0"/>
      <w:marRight w:val="0"/>
      <w:marTop w:val="0"/>
      <w:marBottom w:val="0"/>
      <w:divBdr>
        <w:top w:val="none" w:sz="0" w:space="0" w:color="auto"/>
        <w:left w:val="none" w:sz="0" w:space="0" w:color="auto"/>
        <w:bottom w:val="none" w:sz="0" w:space="0" w:color="auto"/>
        <w:right w:val="none" w:sz="0" w:space="0" w:color="auto"/>
      </w:divBdr>
    </w:div>
    <w:div w:id="1654409317">
      <w:bodyDiv w:val="1"/>
      <w:marLeft w:val="0"/>
      <w:marRight w:val="0"/>
      <w:marTop w:val="0"/>
      <w:marBottom w:val="0"/>
      <w:divBdr>
        <w:top w:val="none" w:sz="0" w:space="0" w:color="auto"/>
        <w:left w:val="none" w:sz="0" w:space="0" w:color="auto"/>
        <w:bottom w:val="none" w:sz="0" w:space="0" w:color="auto"/>
        <w:right w:val="none" w:sz="0" w:space="0" w:color="auto"/>
      </w:divBdr>
    </w:div>
    <w:div w:id="1655790084">
      <w:bodyDiv w:val="1"/>
      <w:marLeft w:val="0"/>
      <w:marRight w:val="0"/>
      <w:marTop w:val="0"/>
      <w:marBottom w:val="0"/>
      <w:divBdr>
        <w:top w:val="none" w:sz="0" w:space="0" w:color="auto"/>
        <w:left w:val="none" w:sz="0" w:space="0" w:color="auto"/>
        <w:bottom w:val="none" w:sz="0" w:space="0" w:color="auto"/>
        <w:right w:val="none" w:sz="0" w:space="0" w:color="auto"/>
      </w:divBdr>
    </w:div>
    <w:div w:id="1981496469">
      <w:bodyDiv w:val="1"/>
      <w:marLeft w:val="0"/>
      <w:marRight w:val="0"/>
      <w:marTop w:val="0"/>
      <w:marBottom w:val="0"/>
      <w:divBdr>
        <w:top w:val="none" w:sz="0" w:space="0" w:color="auto"/>
        <w:left w:val="none" w:sz="0" w:space="0" w:color="auto"/>
        <w:bottom w:val="none" w:sz="0" w:space="0" w:color="auto"/>
        <w:right w:val="none" w:sz="0" w:space="0" w:color="auto"/>
      </w:divBdr>
    </w:div>
    <w:div w:id="209034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copyrigh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Daphne.Cohen@education.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copyright.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421</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DF219A92A61F84439D3ED73AB73D7D29" ma:contentTypeVersion="6" ma:contentTypeDescription="DET Document" ma:contentTypeScope="" ma:versionID="48b18947e9d406939411329e8275fc82">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25cfb36f35cf0f567fe3a6936ae09d2"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2:DET_EDRMS_Category" minOccurs="0"/>
                <xsd:element ref="ns3:b94599ac76d74d0a81e2e0d597ad60b0" minOccurs="0"/>
                <xsd:element ref="ns3:ma09474bef6b487d93431ac28330710e" minOccurs="0"/>
                <xsd:element ref="ns3:lf325da747e242898db023622dd7f8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hidden="true"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Description" ma:index="12" nillable="true" ma:displayName="Document Description" ma:default="" ma:description="" ma:hidden="true" ma:internalName="DET_EDRMS_Description" ma:readOnly="false">
      <xsd:simpleType>
        <xsd:restriction base="dms:Note"/>
      </xsd:simpleType>
    </xsd:element>
    <xsd:element name="DET_EDRMS_Category" ma:index="14" nillable="true" ma:displayName="Category" ma:default="" ma:internalName="DET_EDRMS_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7"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9"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C2CC-5203-4FA4-B45C-25115A95537E}"/>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A07B8F9A-3014-48F5-B735-BF37BBAA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D21F57-482E-483B-BD83-E2D3CE66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Daphne Cohen</cp:lastModifiedBy>
  <cp:revision>2</cp:revision>
  <dcterms:created xsi:type="dcterms:W3CDTF">2021-02-18T23:59:00Z</dcterms:created>
  <dcterms:modified xsi:type="dcterms:W3CDTF">2021-02-18T23:59:00Z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{d588aa34-07a3-4d59-b975-b2f7c5ef7a89}</vt:lpwstr>
  </property>
  <property fmtid="{D5CDD505-2E9C-101B-9397-08002B2CF9AE}" pid="8" name="RecordPoint_ActiveItemListId">
    <vt:lpwstr>{58449ef8-9a43-40c5-8e2f-af539dcd3ca9}</vt:lpwstr>
  </property>
  <property fmtid="{D5CDD505-2E9C-101B-9397-08002B2CF9AE}" pid="9" name="RecordPoint_ActiveItemUniqueId">
    <vt:lpwstr>{8fbea162-ed26-485a-b082-abafea324b23}</vt:lpwstr>
  </property>
  <property fmtid="{D5CDD505-2E9C-101B-9397-08002B2CF9AE}" pid="10" name="RecordPoint_ActiveItemWebId">
    <vt:lpwstr>{1697feb4-41be-4414-9a7d-fe2ac66ee798}</vt:lpwstr>
  </property>
  <property fmtid="{D5CDD505-2E9C-101B-9397-08002B2CF9AE}" pid="11" name="RecordPoint_RecordNumberSubmitted">
    <vt:lpwstr>R20211358710</vt:lpwstr>
  </property>
  <property fmtid="{D5CDD505-2E9C-101B-9397-08002B2CF9AE}" pid="12" name="RecordPoint_SubmissionCompleted">
    <vt:lpwstr>2021-01-07T12:18:00.2607796+11:00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