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F347" w14:textId="01DFFAE9" w:rsidR="0013535F" w:rsidRPr="0013535F" w:rsidRDefault="0013535F" w:rsidP="0013535F">
      <w:pPr>
        <w:pStyle w:val="Heading1"/>
        <w:rPr>
          <w:lang w:val="en"/>
        </w:rPr>
      </w:pPr>
      <w:r>
        <w:rPr>
          <w:lang w:val="en"/>
        </w:rPr>
        <w:t>Education support guidelines - key research findings</w:t>
      </w:r>
    </w:p>
    <w:tbl>
      <w:tblPr>
        <w:tblStyle w:val="TableGrid"/>
        <w:tblpPr w:leftFromText="180" w:rightFromText="180" w:vertAnchor="text" w:horzAnchor="margin" w:tblpXSpec="center" w:tblpY="121"/>
        <w:tblW w:w="5640" w:type="pct"/>
        <w:tblLayout w:type="fixed"/>
        <w:tblLook w:val="04A0" w:firstRow="1" w:lastRow="0" w:firstColumn="1" w:lastColumn="0" w:noHBand="0" w:noVBand="1"/>
      </w:tblPr>
      <w:tblGrid>
        <w:gridCol w:w="3696"/>
        <w:gridCol w:w="4290"/>
        <w:gridCol w:w="4294"/>
        <w:gridCol w:w="4146"/>
      </w:tblGrid>
      <w:tr w:rsidR="009B7B49" w:rsidRPr="009B7B49" w14:paraId="61D7B45D" w14:textId="77777777" w:rsidTr="000E0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vAlign w:val="center"/>
          </w:tcPr>
          <w:p w14:paraId="36A3824B" w14:textId="77777777" w:rsidR="009B7B49" w:rsidRPr="009B7B49" w:rsidRDefault="009B7B49" w:rsidP="000E06CF">
            <w:pPr>
              <w:jc w:val="center"/>
              <w:rPr>
                <w:rFonts w:cstheme="minorHAnsi"/>
                <w:b w:val="0"/>
                <w:szCs w:val="20"/>
              </w:rPr>
            </w:pPr>
            <w:r w:rsidRPr="009B7B49">
              <w:rPr>
                <w:rFonts w:cstheme="minorHAnsi"/>
                <w:szCs w:val="20"/>
              </w:rPr>
              <w:t>Key research finding 1:</w:t>
            </w:r>
          </w:p>
          <w:p w14:paraId="39CA4EFD" w14:textId="5CC742F3" w:rsidR="009B7B49" w:rsidRPr="009B7B49" w:rsidRDefault="009B7B49" w:rsidP="000E06CF">
            <w:pPr>
              <w:jc w:val="center"/>
              <w:rPr>
                <w:rFonts w:cstheme="minorHAnsi"/>
                <w:b w:val="0"/>
                <w:szCs w:val="20"/>
              </w:rPr>
            </w:pPr>
            <w:r w:rsidRPr="009B7B49">
              <w:rPr>
                <w:rFonts w:cstheme="minorHAnsi"/>
                <w:b w:val="0"/>
                <w:szCs w:val="20"/>
              </w:rPr>
              <w:t xml:space="preserve">Lack of clarity regarding roles and responsibilities between teachers and </w:t>
            </w:r>
            <w:r w:rsidR="003B5948">
              <w:rPr>
                <w:rFonts w:cstheme="minorHAnsi"/>
                <w:b w:val="0"/>
                <w:szCs w:val="20"/>
              </w:rPr>
              <w:t>education support</w:t>
            </w:r>
            <w:r w:rsidRPr="009B7B49">
              <w:rPr>
                <w:rFonts w:cstheme="minorHAnsi"/>
                <w:b w:val="0"/>
                <w:szCs w:val="20"/>
              </w:rPr>
              <w:t xml:space="preserve"> </w:t>
            </w:r>
            <w:r w:rsidR="003B5948">
              <w:rPr>
                <w:rFonts w:cstheme="minorHAnsi"/>
                <w:b w:val="0"/>
                <w:szCs w:val="20"/>
              </w:rPr>
              <w:t xml:space="preserve">(ES) </w:t>
            </w:r>
            <w:r w:rsidRPr="009B7B49">
              <w:rPr>
                <w:rFonts w:cstheme="minorHAnsi"/>
                <w:b w:val="0"/>
                <w:szCs w:val="20"/>
              </w:rPr>
              <w:t>staff, impacts implementation of best practice and consequently students’ learning outcomes</w:t>
            </w:r>
          </w:p>
        </w:tc>
        <w:tc>
          <w:tcPr>
            <w:tcW w:w="1306" w:type="pct"/>
            <w:vAlign w:val="center"/>
          </w:tcPr>
          <w:p w14:paraId="21450E4A" w14:textId="77777777" w:rsidR="009B7B49" w:rsidRPr="009B7B49" w:rsidRDefault="009B7B49" w:rsidP="000E0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B7B49">
              <w:rPr>
                <w:rFonts w:cstheme="minorHAnsi"/>
                <w:szCs w:val="20"/>
              </w:rPr>
              <w:t>Key research finding 2:</w:t>
            </w:r>
          </w:p>
          <w:p w14:paraId="7141E035" w14:textId="29C06582" w:rsidR="009B7B49" w:rsidRPr="009B7B49" w:rsidRDefault="009B7B49" w:rsidP="000E0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B7B49">
              <w:rPr>
                <w:rFonts w:cstheme="minorHAnsi"/>
                <w:b w:val="0"/>
                <w:szCs w:val="20"/>
              </w:rPr>
              <w:t xml:space="preserve">Insufficient professional learning, impacts teachers and </w:t>
            </w:r>
            <w:r w:rsidR="003B5948">
              <w:rPr>
                <w:rFonts w:cstheme="minorHAnsi"/>
                <w:b w:val="0"/>
                <w:szCs w:val="20"/>
              </w:rPr>
              <w:t>education support</w:t>
            </w:r>
            <w:r w:rsidR="003B5948" w:rsidRPr="009B7B49">
              <w:rPr>
                <w:rFonts w:cstheme="minorHAnsi"/>
                <w:b w:val="0"/>
                <w:szCs w:val="20"/>
              </w:rPr>
              <w:t xml:space="preserve"> </w:t>
            </w:r>
            <w:r w:rsidR="003B5948">
              <w:rPr>
                <w:rFonts w:cstheme="minorHAnsi"/>
                <w:b w:val="0"/>
                <w:szCs w:val="20"/>
              </w:rPr>
              <w:t>(ES)</w:t>
            </w:r>
            <w:r w:rsidR="003B5948">
              <w:rPr>
                <w:rFonts w:cstheme="minorHAnsi"/>
                <w:b w:val="0"/>
                <w:szCs w:val="20"/>
              </w:rPr>
              <w:t xml:space="preserve"> staff</w:t>
            </w:r>
            <w:r w:rsidRPr="009B7B49">
              <w:rPr>
                <w:rFonts w:cstheme="minorHAnsi"/>
                <w:b w:val="0"/>
                <w:szCs w:val="20"/>
              </w:rPr>
              <w:t>, as it limits the development of professional capabilities</w:t>
            </w:r>
          </w:p>
        </w:tc>
        <w:tc>
          <w:tcPr>
            <w:tcW w:w="1307" w:type="pct"/>
            <w:vAlign w:val="center"/>
          </w:tcPr>
          <w:p w14:paraId="07433B5B" w14:textId="77777777" w:rsidR="009B7B49" w:rsidRPr="009B7B49" w:rsidRDefault="009B7B49" w:rsidP="000E0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B7B49">
              <w:rPr>
                <w:rFonts w:cstheme="minorHAnsi"/>
                <w:szCs w:val="20"/>
              </w:rPr>
              <w:t>Key research finding 3:</w:t>
            </w:r>
          </w:p>
          <w:p w14:paraId="3948CD54" w14:textId="7C6F131D" w:rsidR="009B7B49" w:rsidRPr="009B7B49" w:rsidRDefault="009B7B49" w:rsidP="000E0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0"/>
              </w:rPr>
            </w:pPr>
            <w:r w:rsidRPr="009B7B49">
              <w:rPr>
                <w:rFonts w:cstheme="minorHAnsi"/>
                <w:b w:val="0"/>
                <w:szCs w:val="20"/>
              </w:rPr>
              <w:t xml:space="preserve">Ineffective partnerships between </w:t>
            </w:r>
            <w:r w:rsidR="003B5948">
              <w:rPr>
                <w:rFonts w:cstheme="minorHAnsi"/>
                <w:b w:val="0"/>
                <w:szCs w:val="20"/>
              </w:rPr>
              <w:t>education support</w:t>
            </w:r>
            <w:r w:rsidR="003B5948" w:rsidRPr="009B7B49">
              <w:rPr>
                <w:rFonts w:cstheme="minorHAnsi"/>
                <w:b w:val="0"/>
                <w:szCs w:val="20"/>
              </w:rPr>
              <w:t xml:space="preserve"> </w:t>
            </w:r>
            <w:r w:rsidR="003B5948">
              <w:rPr>
                <w:rFonts w:cstheme="minorHAnsi"/>
                <w:b w:val="0"/>
                <w:szCs w:val="20"/>
              </w:rPr>
              <w:t>(ES)</w:t>
            </w:r>
            <w:r w:rsidR="00DD72E5">
              <w:rPr>
                <w:rFonts w:cstheme="minorHAnsi"/>
                <w:b w:val="0"/>
                <w:szCs w:val="20"/>
              </w:rPr>
              <w:t xml:space="preserve"> </w:t>
            </w:r>
            <w:bookmarkStart w:id="0" w:name="_GoBack"/>
            <w:bookmarkEnd w:id="0"/>
            <w:r w:rsidR="003B5948">
              <w:rPr>
                <w:rFonts w:cstheme="minorHAnsi"/>
                <w:b w:val="0"/>
                <w:szCs w:val="20"/>
              </w:rPr>
              <w:t>staff</w:t>
            </w:r>
            <w:r w:rsidRPr="009B7B49">
              <w:rPr>
                <w:rFonts w:cstheme="minorHAnsi"/>
                <w:b w:val="0"/>
                <w:szCs w:val="20"/>
              </w:rPr>
              <w:t>, parents/carers, teachers and other professionals supporting students, impacts ES staff capability building, understanding students and their needs and in turn, student outcomes</w:t>
            </w:r>
          </w:p>
        </w:tc>
        <w:tc>
          <w:tcPr>
            <w:tcW w:w="1262" w:type="pct"/>
            <w:vAlign w:val="center"/>
          </w:tcPr>
          <w:p w14:paraId="38F9DCFE" w14:textId="77777777" w:rsidR="009B7B49" w:rsidRPr="009B7B49" w:rsidRDefault="009B7B49" w:rsidP="000E0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0"/>
              </w:rPr>
            </w:pPr>
            <w:r w:rsidRPr="009B7B49">
              <w:rPr>
                <w:rFonts w:cstheme="minorHAnsi"/>
                <w:szCs w:val="20"/>
              </w:rPr>
              <w:t>Key research finding 4:</w:t>
            </w:r>
          </w:p>
          <w:p w14:paraId="649FCF11" w14:textId="1D9BFF59" w:rsidR="009B7B49" w:rsidRPr="009B7B49" w:rsidRDefault="009B7B49" w:rsidP="000E0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Cs w:val="20"/>
              </w:rPr>
            </w:pPr>
            <w:r w:rsidRPr="009B7B49">
              <w:rPr>
                <w:rFonts w:cstheme="minorHAnsi"/>
                <w:b w:val="0"/>
                <w:szCs w:val="20"/>
              </w:rPr>
              <w:t xml:space="preserve">Inadequacy of teaching and </w:t>
            </w:r>
            <w:r w:rsidR="003B5948">
              <w:rPr>
                <w:rFonts w:cstheme="minorHAnsi"/>
                <w:b w:val="0"/>
                <w:szCs w:val="20"/>
              </w:rPr>
              <w:t>education support</w:t>
            </w:r>
            <w:r w:rsidR="003B5948" w:rsidRPr="009B7B49">
              <w:rPr>
                <w:rFonts w:cstheme="minorHAnsi"/>
                <w:b w:val="0"/>
                <w:szCs w:val="20"/>
              </w:rPr>
              <w:t xml:space="preserve"> </w:t>
            </w:r>
            <w:r w:rsidR="003B5948">
              <w:rPr>
                <w:rFonts w:cstheme="minorHAnsi"/>
                <w:b w:val="0"/>
                <w:szCs w:val="20"/>
              </w:rPr>
              <w:t xml:space="preserve">(ES) </w:t>
            </w:r>
            <w:r w:rsidR="003B5948">
              <w:rPr>
                <w:rFonts w:cstheme="minorHAnsi"/>
                <w:b w:val="0"/>
                <w:szCs w:val="20"/>
              </w:rPr>
              <w:t xml:space="preserve">staff </w:t>
            </w:r>
            <w:r w:rsidRPr="009B7B49">
              <w:rPr>
                <w:rFonts w:cstheme="minorHAnsi"/>
                <w:b w:val="0"/>
                <w:szCs w:val="20"/>
              </w:rPr>
              <w:t>collaboration, and teacher designed learning, impacts students’ learning, social inclusion, independence and responsibility</w:t>
            </w:r>
          </w:p>
        </w:tc>
      </w:tr>
      <w:tr w:rsidR="009B7B49" w:rsidRPr="009B7B49" w14:paraId="059296B7" w14:textId="77777777" w:rsidTr="000E06CF">
        <w:trPr>
          <w:trHeight w:val="3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2B2F30EC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 xml:space="preserve">The roles and responsibilities of ES staff working in classroom support roles should be clearly delineated </w:t>
            </w:r>
          </w:p>
          <w:p w14:paraId="4C749F1B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ES staff sometimes have limited training or experience for their role</w:t>
            </w:r>
          </w:p>
          <w:p w14:paraId="3108B2B0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There is a tendency toward an increased reliance on ES staff to take an instructional role with students, often without clear direction and training</w:t>
            </w:r>
          </w:p>
          <w:p w14:paraId="35BBE8A6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Staff with the least pedagogical expertise are sometimes placed in instructional roles with students with the greatest learning support needs</w:t>
            </w:r>
          </w:p>
        </w:tc>
        <w:tc>
          <w:tcPr>
            <w:tcW w:w="1306" w:type="pct"/>
          </w:tcPr>
          <w:p w14:paraId="04D8F290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Teachers may over rely on ES staff for support as they feel ill equipped to work with students with disability and additional needs</w:t>
            </w:r>
          </w:p>
          <w:p w14:paraId="11DE3204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 xml:space="preserve">Ongoing relevant professional learning is needed for school leaders, teachers and ES staff on evidence-based inclusive practices </w:t>
            </w:r>
          </w:p>
          <w:p w14:paraId="143183AB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Student learning is positively affected when ES staff receive professional learning and support, to use evidence-based interventions developed and led by teaching staff</w:t>
            </w:r>
          </w:p>
          <w:p w14:paraId="4A950426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Specific and targeted professional learning for ES staff can improve social interactions between all students, including those with disability and additional needs, and their peers</w:t>
            </w:r>
          </w:p>
        </w:tc>
        <w:tc>
          <w:tcPr>
            <w:tcW w:w="1307" w:type="pct"/>
          </w:tcPr>
          <w:p w14:paraId="51CCF527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ES staff capabilities are enhanced when they have coordinated opportunities for collaborative planning with teachers and other professionals supporting students</w:t>
            </w:r>
          </w:p>
          <w:p w14:paraId="3EE5C0B8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ES staff capabilities are enhanced when they have consistent opportunities to attend teacher/student meetings, parent/carer meetings or meetings with teachers and other professionals supporting students</w:t>
            </w:r>
          </w:p>
          <w:p w14:paraId="0F1F2DBC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Partnerships in the classroom between teachers, ES staff and students are integral to students’ learning: students may sometimes become dependent on support from ES staff rather than asking a teacher, a peer, or taking responsibility for their own learning</w:t>
            </w:r>
          </w:p>
        </w:tc>
        <w:tc>
          <w:tcPr>
            <w:tcW w:w="1262" w:type="pct"/>
          </w:tcPr>
          <w:p w14:paraId="3A2A4570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 xml:space="preserve">ES staff need guidance and support from teachers, a coach or mentor, to ensure there is less emphasis on task completion and greater emphasis placed on students’ engagement in learning and independence </w:t>
            </w:r>
          </w:p>
          <w:p w14:paraId="02B69FC0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Students can become overly dependent on ES staff help in the classroom</w:t>
            </w:r>
          </w:p>
          <w:p w14:paraId="331B35DC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Some students may feel embarrassed by the obvious support of ES staff</w:t>
            </w:r>
          </w:p>
          <w:p w14:paraId="35EDF9BD" w14:textId="77777777" w:rsidR="009B7B49" w:rsidRPr="009B7B49" w:rsidRDefault="009B7B49" w:rsidP="009B7B49">
            <w:pPr>
              <w:pStyle w:val="Tablebody"/>
              <w:numPr>
                <w:ilvl w:val="0"/>
                <w:numId w:val="18"/>
              </w:numPr>
              <w:spacing w:after="120"/>
              <w:ind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B7B49">
              <w:rPr>
                <w:rFonts w:cstheme="minorHAnsi"/>
                <w:color w:val="000000" w:themeColor="text1"/>
                <w:szCs w:val="20"/>
              </w:rPr>
              <w:t>All students need to be provided with safe opportunities for interaction with teachers and peers, rather than being separated from their peers and class</w:t>
            </w:r>
          </w:p>
        </w:tc>
      </w:tr>
      <w:tr w:rsidR="009B7B49" w:rsidRPr="009B7B49" w14:paraId="0779CE39" w14:textId="77777777" w:rsidTr="000E06CF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</w:tcPr>
          <w:p w14:paraId="63AC8FCB" w14:textId="77777777" w:rsidR="009B7B49" w:rsidRPr="001D2179" w:rsidRDefault="009B7B49" w:rsidP="003019D5">
            <w:pPr>
              <w:pStyle w:val="Tablebody"/>
              <w:spacing w:after="120"/>
              <w:rPr>
                <w:rFonts w:cstheme="minorHAnsi"/>
                <w:b/>
                <w:color w:val="auto"/>
                <w:sz w:val="15"/>
                <w:szCs w:val="15"/>
              </w:rPr>
            </w:pPr>
            <w:r w:rsidRPr="001D2179">
              <w:rPr>
                <w:rFonts w:cstheme="minorHAnsi"/>
                <w:b/>
                <w:color w:val="auto"/>
                <w:sz w:val="15"/>
                <w:szCs w:val="15"/>
              </w:rPr>
              <w:lastRenderedPageBreak/>
              <w:t>Evidence Base</w:t>
            </w:r>
          </w:p>
          <w:p w14:paraId="6E154A1E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bookmarkStart w:id="1" w:name="_ENREF_8"/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Blatchford, P., Bassett, P., Brown, P., Martin, C., </w:t>
            </w:r>
          </w:p>
          <w:p w14:paraId="41C945E7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Russell, A., &amp; Webster, R. (2011). The impact of </w:t>
            </w:r>
          </w:p>
          <w:p w14:paraId="618B8310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support staff on pupils' 'positive approaches to </w:t>
            </w:r>
          </w:p>
          <w:p w14:paraId="402FD5FA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i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learning' and their academic progress. </w:t>
            </w:r>
            <w:r w:rsidRPr="001D2179">
              <w:rPr>
                <w:rFonts w:cstheme="minorHAnsi"/>
                <w:i/>
                <w:noProof/>
                <w:color w:val="000000" w:themeColor="text1"/>
                <w:sz w:val="15"/>
                <w:szCs w:val="15"/>
              </w:rPr>
              <w:t xml:space="preserve">British </w:t>
            </w:r>
          </w:p>
          <w:p w14:paraId="0630B782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color w:val="000000" w:themeColor="text1"/>
                <w:sz w:val="15"/>
                <w:szCs w:val="15"/>
              </w:rPr>
              <w:t>Educational Research Journal, 37</w:t>
            </w: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>(3), 443-464.</w:t>
            </w:r>
            <w:bookmarkEnd w:id="1"/>
          </w:p>
          <w:p w14:paraId="15FCA7FB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</w:p>
          <w:p w14:paraId="18C5130A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bookmarkStart w:id="2" w:name="_ENREF_19"/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Department of Education Employment and </w:t>
            </w:r>
          </w:p>
          <w:p w14:paraId="5B782BB7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Workplace Relations. (2012). Report on the </w:t>
            </w:r>
          </w:p>
          <w:p w14:paraId="2C31F774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Review of Disability Standards for Education 2005. </w:t>
            </w:r>
          </w:p>
          <w:p w14:paraId="13EEED2B" w14:textId="77777777" w:rsidR="009B7B49" w:rsidRPr="001D2179" w:rsidRDefault="009B7B49" w:rsidP="003019D5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Retrieved from </w:t>
            </w:r>
            <w:bookmarkEnd w:id="2"/>
            <w:r w:rsidRPr="001D2179">
              <w:rPr>
                <w:rFonts w:cstheme="minorHAnsi"/>
                <w:sz w:val="15"/>
                <w:szCs w:val="15"/>
              </w:rPr>
              <w:t xml:space="preserve"> </w:t>
            </w:r>
            <w:hyperlink r:id="rId10" w:history="1">
              <w:r w:rsidRPr="001D2179">
                <w:rPr>
                  <w:rStyle w:val="Hyperlink"/>
                  <w:rFonts w:cstheme="minorHAnsi"/>
                  <w:sz w:val="15"/>
                  <w:szCs w:val="15"/>
                </w:rPr>
                <w:t>https://docs.education.gov.au/system/files/doc/other/report_on_the_review_of_disability_standards_for_education_2005.pdf</w:t>
              </w:r>
            </w:hyperlink>
          </w:p>
          <w:p w14:paraId="500D3DCC" w14:textId="77777777" w:rsidR="009B7B49" w:rsidRPr="001D2179" w:rsidRDefault="009B7B49" w:rsidP="003019D5">
            <w:pPr>
              <w:spacing w:after="0"/>
              <w:rPr>
                <w:rFonts w:cstheme="minorHAnsi"/>
                <w:noProof/>
                <w:sz w:val="15"/>
                <w:szCs w:val="15"/>
              </w:rPr>
            </w:pPr>
          </w:p>
          <w:p w14:paraId="27089746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Howard, R., &amp; Ford, J. (2007). The roles and </w:t>
            </w:r>
          </w:p>
          <w:p w14:paraId="0FA01BF1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responsibilities of teacher aides supporting </w:t>
            </w:r>
          </w:p>
          <w:p w14:paraId="0C5CB948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students with special needs in secondary school </w:t>
            </w:r>
          </w:p>
          <w:p w14:paraId="5C3CB2A1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i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 xml:space="preserve">settings. </w:t>
            </w:r>
            <w:r w:rsidRPr="001D2179">
              <w:rPr>
                <w:rFonts w:cstheme="minorHAnsi"/>
                <w:i/>
                <w:noProof/>
                <w:color w:val="000000" w:themeColor="text1"/>
                <w:sz w:val="15"/>
                <w:szCs w:val="15"/>
              </w:rPr>
              <w:t xml:space="preserve">Australasian Journal of Special </w:t>
            </w:r>
          </w:p>
          <w:p w14:paraId="1F9DC287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color w:val="000000" w:themeColor="text1"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color w:val="000000" w:themeColor="text1"/>
                <w:sz w:val="15"/>
                <w:szCs w:val="15"/>
              </w:rPr>
              <w:t>Education, 31</w:t>
            </w:r>
            <w:r w:rsidRPr="001D2179">
              <w:rPr>
                <w:rFonts w:cstheme="minorHAnsi"/>
                <w:noProof/>
                <w:color w:val="000000" w:themeColor="text1"/>
                <w:sz w:val="15"/>
                <w:szCs w:val="15"/>
              </w:rPr>
              <w:t>(1), 25-43.</w:t>
            </w:r>
          </w:p>
          <w:p w14:paraId="023C6813" w14:textId="77777777" w:rsidR="009B7B49" w:rsidRPr="001D2179" w:rsidRDefault="009B7B49" w:rsidP="003019D5">
            <w:pPr>
              <w:spacing w:after="0"/>
              <w:ind w:left="720" w:hanging="720"/>
              <w:rPr>
                <w:rFonts w:cstheme="minorHAnsi"/>
                <w:noProof/>
                <w:sz w:val="15"/>
                <w:szCs w:val="15"/>
              </w:rPr>
            </w:pPr>
          </w:p>
          <w:p w14:paraId="627148C3" w14:textId="77777777" w:rsidR="009B7B49" w:rsidRPr="001D2179" w:rsidRDefault="009B7B49" w:rsidP="003019D5">
            <w:pPr>
              <w:pStyle w:val="Tablebody"/>
              <w:spacing w:after="120"/>
              <w:rPr>
                <w:rFonts w:cstheme="minorHAnsi"/>
                <w:color w:val="auto"/>
                <w:sz w:val="15"/>
                <w:szCs w:val="15"/>
              </w:rPr>
            </w:pPr>
            <w:r w:rsidRPr="001D2179">
              <w:rPr>
                <w:rFonts w:cstheme="minorHAnsi"/>
                <w:color w:val="auto"/>
                <w:sz w:val="15"/>
                <w:szCs w:val="15"/>
              </w:rPr>
              <w:t xml:space="preserve">Punch, R 2015, </w:t>
            </w:r>
            <w:r w:rsidRPr="001D2179">
              <w:rPr>
                <w:rFonts w:cstheme="minorHAnsi"/>
                <w:i/>
                <w:color w:val="auto"/>
                <w:sz w:val="15"/>
                <w:szCs w:val="15"/>
              </w:rPr>
              <w:t>Literature review: The use and efficacy of integration aides with students with disability in general education settings</w:t>
            </w:r>
            <w:r w:rsidRPr="001D2179">
              <w:rPr>
                <w:rFonts w:cstheme="minorHAnsi"/>
                <w:color w:val="auto"/>
                <w:sz w:val="15"/>
                <w:szCs w:val="15"/>
              </w:rPr>
              <w:t>. Conducted for the PSD Review Unit, DET, Victoria</w:t>
            </w:r>
          </w:p>
        </w:tc>
        <w:tc>
          <w:tcPr>
            <w:tcW w:w="1306" w:type="pct"/>
          </w:tcPr>
          <w:p w14:paraId="2F0152F6" w14:textId="77777777" w:rsidR="009B7B49" w:rsidRPr="001D2179" w:rsidRDefault="009B7B49" w:rsidP="003019D5">
            <w:pPr>
              <w:pStyle w:val="Table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5"/>
                <w:szCs w:val="15"/>
              </w:rPr>
            </w:pPr>
            <w:r w:rsidRPr="001D2179">
              <w:rPr>
                <w:rFonts w:cstheme="minorHAnsi"/>
                <w:b/>
                <w:sz w:val="15"/>
                <w:szCs w:val="15"/>
              </w:rPr>
              <w:t>Evidence Base</w:t>
            </w:r>
          </w:p>
          <w:p w14:paraId="60D863FC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3" w:name="_ENREF_2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Alborz, A., Pearson, D., Farrell, P., &amp; Howes, A. (2009). The </w:t>
            </w:r>
          </w:p>
          <w:p w14:paraId="6880925C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impact of adult support staff on pupils and mainstream </w:t>
            </w:r>
          </w:p>
          <w:p w14:paraId="277BCF21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schools.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 xml:space="preserve"> Research Evidence in Education Library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 xml:space="preserve">. London: </w:t>
            </w:r>
          </w:p>
          <w:p w14:paraId="53C5FA8E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EPPI-Centre, Social Science Research Unit, Institute of </w:t>
            </w:r>
          </w:p>
          <w:p w14:paraId="6D2A040E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>Education, University of London.</w:t>
            </w:r>
            <w:bookmarkEnd w:id="3"/>
            <w:r w:rsidRPr="001D2179">
              <w:rPr>
                <w:rFonts w:cstheme="minorHAnsi"/>
                <w:noProof/>
                <w:sz w:val="15"/>
                <w:szCs w:val="15"/>
              </w:rPr>
              <w:br/>
            </w:r>
          </w:p>
          <w:p w14:paraId="7FEA918E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4" w:name="_ENREF_4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Australian Association of Special Education. (2007). </w:t>
            </w:r>
          </w:p>
          <w:p w14:paraId="64DEFA2E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Position paper on teacher aides. Retrieved from </w:t>
            </w:r>
            <w:bookmarkEnd w:id="4"/>
          </w:p>
          <w:bookmarkStart w:id="5" w:name="_ENREF_38"/>
          <w:p w14:paraId="5930B1D1" w14:textId="77777777" w:rsidR="009B7B49" w:rsidRPr="001D2179" w:rsidRDefault="009B7B49" w:rsidP="003019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1D2179">
              <w:rPr>
                <w:rFonts w:cstheme="minorHAnsi"/>
                <w:sz w:val="15"/>
                <w:szCs w:val="15"/>
              </w:rPr>
              <w:fldChar w:fldCharType="begin"/>
            </w:r>
            <w:r w:rsidRPr="001D2179">
              <w:rPr>
                <w:rFonts w:cstheme="minorHAnsi"/>
                <w:sz w:val="15"/>
                <w:szCs w:val="15"/>
              </w:rPr>
              <w:instrText xml:space="preserve"> HYPERLINK "https://aase.edu.au/wp-content/uploads/documents/Teacher-Aide-Position-Paper.pdf" </w:instrText>
            </w:r>
            <w:r w:rsidRPr="001D2179">
              <w:rPr>
                <w:rFonts w:cstheme="minorHAnsi"/>
                <w:sz w:val="15"/>
                <w:szCs w:val="15"/>
              </w:rPr>
              <w:fldChar w:fldCharType="separate"/>
            </w:r>
            <w:r w:rsidRPr="001D2179">
              <w:rPr>
                <w:rStyle w:val="Hyperlink"/>
                <w:rFonts w:cstheme="minorHAnsi"/>
                <w:sz w:val="15"/>
                <w:szCs w:val="15"/>
              </w:rPr>
              <w:t>https://aase.edu.au/wp-content/uploads/documents/Teacher-Aide-Position-Paper.pdf</w:t>
            </w:r>
            <w:r w:rsidRPr="001D2179">
              <w:rPr>
                <w:rFonts w:cstheme="minorHAnsi"/>
                <w:sz w:val="15"/>
                <w:szCs w:val="15"/>
              </w:rPr>
              <w:fldChar w:fldCharType="end"/>
            </w:r>
          </w:p>
          <w:p w14:paraId="3C228979" w14:textId="77777777" w:rsidR="009B7B49" w:rsidRPr="001D2179" w:rsidRDefault="009B7B49" w:rsidP="003019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sz w:val="15"/>
                <w:szCs w:val="15"/>
              </w:rPr>
              <w:br/>
            </w:r>
            <w:r w:rsidRPr="001D2179">
              <w:rPr>
                <w:rFonts w:cstheme="minorHAnsi"/>
                <w:noProof/>
                <w:sz w:val="15"/>
                <w:szCs w:val="15"/>
              </w:rPr>
              <w:t xml:space="preserve">Giangreco, M. F., Doyle, M. B., &amp; Suter, J. C. (2012). </w:t>
            </w:r>
          </w:p>
          <w:p w14:paraId="1400CC0A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Constructively responding to requests for </w:t>
            </w:r>
          </w:p>
          <w:p w14:paraId="7DA05061" w14:textId="77777777" w:rsidR="009B7B49" w:rsidRPr="001D2179" w:rsidRDefault="009B7B49" w:rsidP="003019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paraprofessionals: We keep asking the wrong questions. </w:t>
            </w:r>
          </w:p>
          <w:p w14:paraId="0A3894A6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Remedial and Special Education, 33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>(6), 362-373.</w:t>
            </w:r>
            <w:bookmarkEnd w:id="5"/>
            <w:r w:rsidRPr="001D2179">
              <w:rPr>
                <w:rFonts w:cstheme="minorHAnsi"/>
                <w:noProof/>
                <w:sz w:val="15"/>
                <w:szCs w:val="15"/>
              </w:rPr>
              <w:br/>
            </w:r>
          </w:p>
          <w:p w14:paraId="37AB5E13" w14:textId="77777777" w:rsidR="009B7B49" w:rsidRPr="001D2179" w:rsidRDefault="009B7B49" w:rsidP="003019D5">
            <w:pPr>
              <w:pStyle w:val="Table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1D2179">
              <w:rPr>
                <w:rFonts w:cstheme="minorHAnsi"/>
                <w:sz w:val="15"/>
                <w:szCs w:val="15"/>
              </w:rPr>
              <w:t xml:space="preserve">Punch, R 2015, </w:t>
            </w:r>
            <w:r w:rsidRPr="001D2179">
              <w:rPr>
                <w:rFonts w:cstheme="minorHAnsi"/>
                <w:i/>
                <w:sz w:val="15"/>
                <w:szCs w:val="15"/>
              </w:rPr>
              <w:t>Literature review: The use and efficacy of integration aides with students with disability in general education settings</w:t>
            </w:r>
            <w:r w:rsidRPr="001D2179">
              <w:rPr>
                <w:rFonts w:cstheme="minorHAnsi"/>
                <w:sz w:val="15"/>
                <w:szCs w:val="15"/>
              </w:rPr>
              <w:t>. Conducted for the PSD Review Unit, DET, Victoria</w:t>
            </w:r>
          </w:p>
          <w:p w14:paraId="4444DA77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6" w:name="_ENREF_84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Webster, R., Blatchford, P., Bassett, P., Brown, P., Martin, </w:t>
            </w:r>
          </w:p>
          <w:p w14:paraId="207DDFB9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C., &amp; Russell, A. (2010). Double standards and first </w:t>
            </w:r>
          </w:p>
          <w:p w14:paraId="17FC838B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principles: Framing teaching assistant support for pupils </w:t>
            </w:r>
          </w:p>
          <w:p w14:paraId="4D4F1BF9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with special educational needs.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 xml:space="preserve">European Journal of </w:t>
            </w:r>
          </w:p>
          <w:p w14:paraId="6EF10D4D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Special Needs Education, 25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>(4), 319-336.</w:t>
            </w:r>
            <w:bookmarkEnd w:id="6"/>
          </w:p>
        </w:tc>
        <w:tc>
          <w:tcPr>
            <w:tcW w:w="1307" w:type="pct"/>
          </w:tcPr>
          <w:p w14:paraId="309827C1" w14:textId="77777777" w:rsidR="009B7B49" w:rsidRPr="001D2179" w:rsidRDefault="009B7B49" w:rsidP="003019D5">
            <w:pPr>
              <w:pStyle w:val="Table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5"/>
                <w:szCs w:val="15"/>
              </w:rPr>
            </w:pPr>
            <w:r w:rsidRPr="001D2179">
              <w:rPr>
                <w:rFonts w:cstheme="minorHAnsi"/>
                <w:b/>
                <w:sz w:val="15"/>
                <w:szCs w:val="15"/>
              </w:rPr>
              <w:t>Evidence Base</w:t>
            </w:r>
          </w:p>
          <w:p w14:paraId="5839D66D" w14:textId="77777777" w:rsidR="009B7B49" w:rsidRPr="001D2179" w:rsidRDefault="009B7B49" w:rsidP="003019D5">
            <w:pPr>
              <w:pStyle w:val="Table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1D2179">
              <w:rPr>
                <w:rFonts w:cstheme="minorHAnsi"/>
                <w:sz w:val="15"/>
                <w:szCs w:val="15"/>
              </w:rPr>
              <w:t xml:space="preserve">Punch, R 2015, </w:t>
            </w:r>
            <w:r w:rsidRPr="001D2179">
              <w:rPr>
                <w:rFonts w:cstheme="minorHAnsi"/>
                <w:i/>
                <w:sz w:val="15"/>
                <w:szCs w:val="15"/>
              </w:rPr>
              <w:t>Literature review: The use and efficacy of integration aides with students with disability in general education settings</w:t>
            </w:r>
            <w:r w:rsidRPr="001D2179">
              <w:rPr>
                <w:rFonts w:cstheme="minorHAnsi"/>
                <w:sz w:val="15"/>
                <w:szCs w:val="15"/>
              </w:rPr>
              <w:t>. Conducted for the PSD Review Unit, DET, Victoria</w:t>
            </w:r>
          </w:p>
          <w:p w14:paraId="3DE40018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7" w:name="_ENREF_62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Radford, J., Bosanquet, P., Webster, R., &amp; Blatchford, P. </w:t>
            </w:r>
          </w:p>
          <w:p w14:paraId="6EE47328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(2015). Scaffolding learning for independence: Clarifying </w:t>
            </w:r>
          </w:p>
          <w:p w14:paraId="4D22A896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teacher and teaching assistant roles for children with </w:t>
            </w:r>
          </w:p>
          <w:p w14:paraId="45AA616D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special educational needs.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Learning and Instruction, 36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 xml:space="preserve">(0), </w:t>
            </w:r>
          </w:p>
          <w:p w14:paraId="346871C2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>1-10.</w:t>
            </w:r>
            <w:bookmarkEnd w:id="7"/>
          </w:p>
          <w:p w14:paraId="25E0ED2E" w14:textId="77777777" w:rsidR="009B7B49" w:rsidRPr="001D2179" w:rsidRDefault="009B7B49" w:rsidP="003019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8" w:name="_ENREF_83"/>
            <w:r w:rsidRPr="001D2179">
              <w:rPr>
                <w:rFonts w:cstheme="minorHAnsi"/>
                <w:sz w:val="15"/>
                <w:szCs w:val="15"/>
                <w:lang w:val="en-AU"/>
              </w:rPr>
              <w:br/>
            </w:r>
            <w:r w:rsidRPr="001D2179">
              <w:rPr>
                <w:rFonts w:cstheme="minorHAnsi"/>
                <w:noProof/>
                <w:sz w:val="15"/>
                <w:szCs w:val="15"/>
              </w:rPr>
              <w:t xml:space="preserve">Webster, R., &amp; Blatchford, P. (2015). Worlds apart? The </w:t>
            </w:r>
          </w:p>
          <w:p w14:paraId="40F7BF0C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nature and quality of the educational experiences of pupils </w:t>
            </w:r>
          </w:p>
          <w:p w14:paraId="7B69182E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with a statement for special educational needs in </w:t>
            </w:r>
          </w:p>
          <w:p w14:paraId="09D1A156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mainstream primary schools.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 xml:space="preserve">British Educational Research </w:t>
            </w:r>
          </w:p>
          <w:p w14:paraId="4A272733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Journal, 41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>(2), 324-342.</w:t>
            </w:r>
            <w:bookmarkEnd w:id="8"/>
            <w:r w:rsidRPr="001D2179">
              <w:rPr>
                <w:rFonts w:cstheme="minorHAnsi"/>
                <w:noProof/>
                <w:sz w:val="15"/>
                <w:szCs w:val="15"/>
              </w:rPr>
              <w:br/>
            </w:r>
          </w:p>
          <w:p w14:paraId="5B17A9E4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9" w:name="_ENREF_85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Webster, R., Blatchford, P., &amp; Russell, A. (2013). </w:t>
            </w:r>
          </w:p>
          <w:p w14:paraId="35DD6BEA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Challenging and changing how schools use teaching </w:t>
            </w:r>
          </w:p>
          <w:p w14:paraId="0A81D2EB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assistants: Findings from the Effective Deployment of </w:t>
            </w:r>
          </w:p>
          <w:p w14:paraId="31852BDB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Teaching Assistants project.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 xml:space="preserve">School Leadership &amp; </w:t>
            </w:r>
          </w:p>
          <w:p w14:paraId="5CF04A06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Management, 33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>(1), 78-96.</w:t>
            </w:r>
            <w:bookmarkEnd w:id="9"/>
          </w:p>
          <w:p w14:paraId="09549D60" w14:textId="77777777" w:rsidR="009B7B49" w:rsidRPr="001D2179" w:rsidRDefault="009B7B49" w:rsidP="003019D5">
            <w:pPr>
              <w:pStyle w:val="Table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62" w:type="pct"/>
          </w:tcPr>
          <w:p w14:paraId="0E263383" w14:textId="77777777" w:rsidR="009B7B49" w:rsidRPr="001D2179" w:rsidRDefault="009B7B49" w:rsidP="003019D5">
            <w:pPr>
              <w:pStyle w:val="Table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5"/>
                <w:szCs w:val="15"/>
              </w:rPr>
            </w:pPr>
            <w:r w:rsidRPr="001D2179">
              <w:rPr>
                <w:rFonts w:cstheme="minorHAnsi"/>
                <w:b/>
                <w:sz w:val="15"/>
                <w:szCs w:val="15"/>
              </w:rPr>
              <w:t>Evidence Base</w:t>
            </w:r>
          </w:p>
          <w:p w14:paraId="6A92CE94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Alborz, A., Pearson, D., Farrell, P., &amp; Howes, A. (2009). </w:t>
            </w:r>
          </w:p>
          <w:p w14:paraId="1D0BE121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The impact of adult support staff on pupils and </w:t>
            </w:r>
          </w:p>
          <w:p w14:paraId="6BC86EE6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mainstream schools.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 xml:space="preserve"> Research Evidence in Education </w:t>
            </w:r>
          </w:p>
          <w:p w14:paraId="03536B70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Library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 xml:space="preserve">. London: EPPI-Centre, Social Science Research </w:t>
            </w:r>
          </w:p>
          <w:p w14:paraId="324D6129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>Unit, Institute of Education, University of London.</w:t>
            </w:r>
          </w:p>
          <w:p w14:paraId="5D952196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</w:p>
          <w:p w14:paraId="3D36511B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10" w:name="_ENREF_12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Broer, S. M., Doyle, M. B., &amp; Giangreco, M. F. (2005). </w:t>
            </w:r>
          </w:p>
          <w:p w14:paraId="67D25BF0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Perspectives of students with intellectual disability </w:t>
            </w:r>
          </w:p>
          <w:p w14:paraId="0C1DEBF2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about their experiences with paraprofessional support. </w:t>
            </w:r>
          </w:p>
          <w:p w14:paraId="72F149A6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Exceptional Children, 71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>(4), 415-430.</w:t>
            </w:r>
            <w:bookmarkEnd w:id="10"/>
          </w:p>
          <w:p w14:paraId="2DA361FD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</w:p>
          <w:p w14:paraId="6FF2E3F9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11" w:name="_ENREF_53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O'rourke, J., &amp; Houghton, S. (2008). Perceptions of </w:t>
            </w:r>
          </w:p>
          <w:p w14:paraId="5420C915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secondary school students with mild disability to the </w:t>
            </w:r>
          </w:p>
          <w:p w14:paraId="08CF0DC3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academic and social support mechanisms implemented </w:t>
            </w:r>
          </w:p>
          <w:p w14:paraId="0A4FB13C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in regular classrooms.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 xml:space="preserve">International Journal of Disability, </w:t>
            </w:r>
          </w:p>
          <w:p w14:paraId="2E4EF189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Development and Education, 55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>(3), 227-237.</w:t>
            </w:r>
            <w:bookmarkEnd w:id="11"/>
          </w:p>
          <w:p w14:paraId="2594EB17" w14:textId="77777777" w:rsidR="009B7B49" w:rsidRPr="001D2179" w:rsidRDefault="009B7B49" w:rsidP="003019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</w:p>
          <w:p w14:paraId="5D0B8E6C" w14:textId="77777777" w:rsidR="009B7B49" w:rsidRPr="001D2179" w:rsidRDefault="009B7B49" w:rsidP="003019D5">
            <w:pPr>
              <w:pStyle w:val="Tablebody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1D2179">
              <w:rPr>
                <w:rFonts w:cstheme="minorHAnsi"/>
                <w:sz w:val="15"/>
                <w:szCs w:val="15"/>
              </w:rPr>
              <w:t xml:space="preserve">Punch, R 2015, </w:t>
            </w:r>
            <w:r w:rsidRPr="001D2179">
              <w:rPr>
                <w:rFonts w:cstheme="minorHAnsi"/>
                <w:i/>
                <w:sz w:val="15"/>
                <w:szCs w:val="15"/>
              </w:rPr>
              <w:t>Literature review: The use and efficacy of integration aides with students with disability in general education settings</w:t>
            </w:r>
            <w:r w:rsidRPr="001D2179">
              <w:rPr>
                <w:rFonts w:cstheme="minorHAnsi"/>
                <w:sz w:val="15"/>
                <w:szCs w:val="15"/>
              </w:rPr>
              <w:t>. Conducted for the PSD Review Unit, DET, Victoria</w:t>
            </w:r>
          </w:p>
          <w:p w14:paraId="1F63A080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bookmarkStart w:id="12" w:name="_ENREF_67"/>
            <w:r w:rsidRPr="001D2179">
              <w:rPr>
                <w:rFonts w:cstheme="minorHAnsi"/>
                <w:noProof/>
                <w:sz w:val="15"/>
                <w:szCs w:val="15"/>
              </w:rPr>
              <w:t xml:space="preserve">Saggers, B., Hwang, Y.-S., &amp; Mercer, K. L. (2011). Your </w:t>
            </w:r>
          </w:p>
          <w:p w14:paraId="4C110B1E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voice counts: Listening to the voice of high school </w:t>
            </w:r>
          </w:p>
          <w:p w14:paraId="44E455B7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5"/>
                <w:szCs w:val="15"/>
              </w:rPr>
            </w:pPr>
            <w:r w:rsidRPr="001D2179">
              <w:rPr>
                <w:rFonts w:cstheme="minorHAnsi"/>
                <w:noProof/>
                <w:sz w:val="15"/>
                <w:szCs w:val="15"/>
              </w:rPr>
              <w:t xml:space="preserve">students with Autism Spectrum Disorder. </w:t>
            </w: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 xml:space="preserve">Australasian </w:t>
            </w:r>
          </w:p>
          <w:p w14:paraId="06B922D4" w14:textId="77777777" w:rsidR="009B7B49" w:rsidRPr="001D2179" w:rsidRDefault="009B7B49" w:rsidP="003019D5">
            <w:pPr>
              <w:spacing w:after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5"/>
                <w:szCs w:val="15"/>
              </w:rPr>
            </w:pPr>
            <w:r w:rsidRPr="001D2179">
              <w:rPr>
                <w:rFonts w:cstheme="minorHAnsi"/>
                <w:i/>
                <w:noProof/>
                <w:sz w:val="15"/>
                <w:szCs w:val="15"/>
              </w:rPr>
              <w:t>Journal of Special Education, 35</w:t>
            </w:r>
            <w:r w:rsidRPr="001D2179">
              <w:rPr>
                <w:rFonts w:cstheme="minorHAnsi"/>
                <w:noProof/>
                <w:sz w:val="15"/>
                <w:szCs w:val="15"/>
              </w:rPr>
              <w:t>(02), 173-190.</w:t>
            </w:r>
            <w:bookmarkEnd w:id="12"/>
          </w:p>
        </w:tc>
      </w:tr>
    </w:tbl>
    <w:p w14:paraId="66E924D1" w14:textId="77777777" w:rsidR="009B7B49" w:rsidRPr="009B7B49" w:rsidRDefault="009B7B49" w:rsidP="009B7B49">
      <w:pPr>
        <w:tabs>
          <w:tab w:val="left" w:pos="4538"/>
        </w:tabs>
        <w:rPr>
          <w:rFonts w:cstheme="minorHAnsi"/>
          <w:szCs w:val="20"/>
        </w:rPr>
      </w:pPr>
    </w:p>
    <w:p w14:paraId="7A80B4C2" w14:textId="77777777" w:rsidR="009B7B49" w:rsidRPr="009B7B49" w:rsidRDefault="009B7B49" w:rsidP="009B7B49">
      <w:pPr>
        <w:rPr>
          <w:rFonts w:cstheme="minorHAnsi"/>
          <w:szCs w:val="20"/>
          <w:lang w:val="en"/>
        </w:rPr>
      </w:pPr>
    </w:p>
    <w:sectPr w:rsidR="009B7B49" w:rsidRPr="009B7B49" w:rsidSect="00DC152C">
      <w:headerReference w:type="default" r:id="rId11"/>
      <w:footerReference w:type="even" r:id="rId12"/>
      <w:footerReference w:type="default" r:id="rId13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7F58" w14:textId="77777777" w:rsidR="005A5249" w:rsidRDefault="005A5249" w:rsidP="003967DD">
      <w:pPr>
        <w:spacing w:after="0"/>
      </w:pPr>
      <w:r>
        <w:separator/>
      </w:r>
    </w:p>
  </w:endnote>
  <w:endnote w:type="continuationSeparator" w:id="0">
    <w:p w14:paraId="23663A8F" w14:textId="77777777" w:rsidR="005A5249" w:rsidRDefault="005A524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5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5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6F3C" w14:textId="77777777" w:rsidR="005A5249" w:rsidRDefault="005A5249" w:rsidP="003967DD">
      <w:pPr>
        <w:spacing w:after="0"/>
      </w:pPr>
      <w:r>
        <w:separator/>
      </w:r>
    </w:p>
  </w:footnote>
  <w:footnote w:type="continuationSeparator" w:id="0">
    <w:p w14:paraId="5D4AC422" w14:textId="77777777" w:rsidR="005A5249" w:rsidRDefault="005A524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0719200B" w:rsidR="003E1EA1" w:rsidRDefault="00F779DE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69EEE889" wp14:editId="5E9B3E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_Narrow_landscape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352003"/>
    <w:multiLevelType w:val="hybridMultilevel"/>
    <w:tmpl w:val="B032E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41F3"/>
    <w:rsid w:val="000539D3"/>
    <w:rsid w:val="000A47D4"/>
    <w:rsid w:val="000B5940"/>
    <w:rsid w:val="00122369"/>
    <w:rsid w:val="0013535F"/>
    <w:rsid w:val="001650D1"/>
    <w:rsid w:val="00183B20"/>
    <w:rsid w:val="001D2179"/>
    <w:rsid w:val="002E3BED"/>
    <w:rsid w:val="003019D5"/>
    <w:rsid w:val="00312720"/>
    <w:rsid w:val="003967DD"/>
    <w:rsid w:val="003B5948"/>
    <w:rsid w:val="003D0168"/>
    <w:rsid w:val="003E1EA1"/>
    <w:rsid w:val="004F42FC"/>
    <w:rsid w:val="005A1E8A"/>
    <w:rsid w:val="005A5249"/>
    <w:rsid w:val="005B32B0"/>
    <w:rsid w:val="005F118E"/>
    <w:rsid w:val="00624A55"/>
    <w:rsid w:val="00676B1C"/>
    <w:rsid w:val="006A25AC"/>
    <w:rsid w:val="006E6915"/>
    <w:rsid w:val="007B556E"/>
    <w:rsid w:val="007D3E38"/>
    <w:rsid w:val="008279F6"/>
    <w:rsid w:val="00917E39"/>
    <w:rsid w:val="009248EA"/>
    <w:rsid w:val="009B7B49"/>
    <w:rsid w:val="00A01A61"/>
    <w:rsid w:val="00A31926"/>
    <w:rsid w:val="00A53B37"/>
    <w:rsid w:val="00AA74E8"/>
    <w:rsid w:val="00AE5335"/>
    <w:rsid w:val="00B70F14"/>
    <w:rsid w:val="00BD3727"/>
    <w:rsid w:val="00C16748"/>
    <w:rsid w:val="00C42FCD"/>
    <w:rsid w:val="00C53329"/>
    <w:rsid w:val="00C702F2"/>
    <w:rsid w:val="00CD74EE"/>
    <w:rsid w:val="00D4685A"/>
    <w:rsid w:val="00DC152C"/>
    <w:rsid w:val="00DD445C"/>
    <w:rsid w:val="00DD72E5"/>
    <w:rsid w:val="00E11CD9"/>
    <w:rsid w:val="00E25AF9"/>
    <w:rsid w:val="00EA51C7"/>
    <w:rsid w:val="00EF1071"/>
    <w:rsid w:val="00F71063"/>
    <w:rsid w:val="00F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11C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141F3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1F3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0141F3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01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education.gov.au/system/files/doc/other/report_on_the_review_of_disability_standards_for_education_200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416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7D7C5-0132-4339-BA48-FBA17DEA2246}"/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Nicholson, Jacqueline J</cp:lastModifiedBy>
  <cp:revision>6</cp:revision>
  <cp:lastPrinted>2020-09-23T04:44:00Z</cp:lastPrinted>
  <dcterms:created xsi:type="dcterms:W3CDTF">2020-09-23T05:25:00Z</dcterms:created>
  <dcterms:modified xsi:type="dcterms:W3CDTF">2020-09-24T03:54:00Z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