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70E306A" w:rsidR="00624A55" w:rsidRPr="00624A55" w:rsidRDefault="00486CFE" w:rsidP="00624A55">
      <w:pPr>
        <w:pStyle w:val="Heading1"/>
        <w:rPr>
          <w:lang w:val="en-AU"/>
        </w:rPr>
      </w:pPr>
      <w:r>
        <w:rPr>
          <w:lang w:val="en-AU"/>
        </w:rPr>
        <w:t>Schools Entering into Credit Facilities</w:t>
      </w:r>
    </w:p>
    <w:p w14:paraId="41D3A6D5" w14:textId="77777777" w:rsidR="009A1E25" w:rsidRPr="00BF2E60" w:rsidRDefault="009A1E25" w:rsidP="00BF2E60">
      <w:pPr>
        <w:pStyle w:val="Intro"/>
        <w:spacing w:line="276" w:lineRule="auto"/>
        <w:rPr>
          <w:rFonts w:cstheme="minorHAnsi"/>
        </w:rPr>
      </w:pPr>
      <w:r w:rsidRPr="00BF2E60">
        <w:rPr>
          <w:rFonts w:cstheme="minorHAnsi"/>
        </w:rPr>
        <w:t xml:space="preserve">Under the </w:t>
      </w:r>
      <w:r w:rsidRPr="00BF2E60">
        <w:rPr>
          <w:rFonts w:cstheme="minorHAnsi"/>
          <w:i/>
        </w:rPr>
        <w:t xml:space="preserve">Education and Training Reform Act 2006 </w:t>
      </w:r>
      <w:r w:rsidRPr="00BF2E60">
        <w:rPr>
          <w:rFonts w:cstheme="minorHAnsi"/>
        </w:rPr>
        <w:t xml:space="preserve">(ETRA), schools are prohibited to enter into credit facilities without Ministerial approval. </w:t>
      </w:r>
    </w:p>
    <w:p w14:paraId="2DCBDB65" w14:textId="7E730F1C" w:rsidR="0093413A" w:rsidRPr="00BF2E60" w:rsidRDefault="009A1E25" w:rsidP="00BF2E60">
      <w:pPr>
        <w:pStyle w:val="Intro"/>
        <w:spacing w:line="276" w:lineRule="auto"/>
        <w:rPr>
          <w:rFonts w:cstheme="minorHAnsi"/>
        </w:rPr>
      </w:pPr>
      <w:r w:rsidRPr="00BF2E60">
        <w:rPr>
          <w:rFonts w:cstheme="minorHAnsi"/>
        </w:rPr>
        <w:t xml:space="preserve">These FAQs </w:t>
      </w:r>
      <w:r w:rsidR="00D639F3" w:rsidRPr="00BF2E60">
        <w:rPr>
          <w:rFonts w:cstheme="minorHAnsi"/>
        </w:rPr>
        <w:t xml:space="preserve">provide </w:t>
      </w:r>
      <w:r w:rsidR="0096246F">
        <w:rPr>
          <w:rFonts w:cstheme="minorHAnsi"/>
        </w:rPr>
        <w:t xml:space="preserve">general </w:t>
      </w:r>
      <w:r w:rsidR="00D639F3" w:rsidRPr="00BF2E60">
        <w:rPr>
          <w:rFonts w:cstheme="minorHAnsi"/>
        </w:rPr>
        <w:t>guidance</w:t>
      </w:r>
      <w:r w:rsidR="00FB6A1D">
        <w:rPr>
          <w:rFonts w:cstheme="minorHAnsi"/>
        </w:rPr>
        <w:t xml:space="preserve"> only</w:t>
      </w:r>
      <w:r w:rsidRPr="00BF2E60">
        <w:rPr>
          <w:rFonts w:cstheme="minorHAnsi"/>
        </w:rPr>
        <w:t xml:space="preserve"> to assist in determining what can and cannot </w:t>
      </w:r>
      <w:r w:rsidR="00FB6A1D">
        <w:rPr>
          <w:rFonts w:cstheme="minorHAnsi"/>
        </w:rPr>
        <w:t xml:space="preserve">be </w:t>
      </w:r>
      <w:r w:rsidRPr="00BF2E60">
        <w:rPr>
          <w:rFonts w:cstheme="minorHAnsi"/>
        </w:rPr>
        <w:t>do</w:t>
      </w:r>
      <w:r w:rsidR="00FB6A1D">
        <w:rPr>
          <w:rFonts w:cstheme="minorHAnsi"/>
        </w:rPr>
        <w:t>ne</w:t>
      </w:r>
      <w:r w:rsidR="009D2B30" w:rsidRPr="00BF2E60">
        <w:rPr>
          <w:rFonts w:cstheme="minorHAnsi"/>
        </w:rPr>
        <w:t xml:space="preserve">, and clearly outline differences </w:t>
      </w:r>
      <w:r w:rsidR="00636A4F" w:rsidRPr="00BF2E60">
        <w:rPr>
          <w:rFonts w:cstheme="minorHAnsi"/>
        </w:rPr>
        <w:t>between a credit arrangement and normal terms of trade.</w:t>
      </w:r>
      <w:r w:rsidR="00D639F3" w:rsidRPr="00BF2E60">
        <w:rPr>
          <w:rFonts w:cstheme="minorHAnsi"/>
        </w:rPr>
        <w:t xml:space="preserve"> </w:t>
      </w:r>
    </w:p>
    <w:p w14:paraId="560D67FE" w14:textId="7D0AF6ED" w:rsidR="00544E9D" w:rsidRPr="00BF2E60" w:rsidRDefault="00544E9D" w:rsidP="00BF2E60">
      <w:pPr>
        <w:pStyle w:val="Intro"/>
        <w:spacing w:line="276" w:lineRule="auto"/>
        <w:rPr>
          <w:rFonts w:cstheme="minorHAnsi"/>
          <w:b/>
          <w:bCs/>
          <w:szCs w:val="22"/>
        </w:rPr>
      </w:pPr>
      <w:r w:rsidRPr="00BF2E60">
        <w:rPr>
          <w:rFonts w:cstheme="minorHAnsi"/>
          <w:bCs/>
          <w:szCs w:val="22"/>
        </w:rPr>
        <w:t xml:space="preserve">For further advice or support </w:t>
      </w:r>
      <w:r w:rsidR="0096246F">
        <w:rPr>
          <w:rFonts w:cstheme="minorHAnsi"/>
          <w:bCs/>
          <w:szCs w:val="22"/>
        </w:rPr>
        <w:t xml:space="preserve">regarding your school </w:t>
      </w:r>
      <w:r w:rsidRPr="00BF2E60">
        <w:rPr>
          <w:rFonts w:cstheme="minorHAnsi"/>
          <w:bCs/>
          <w:szCs w:val="22"/>
        </w:rPr>
        <w:t>please contact Financial Services Division</w:t>
      </w:r>
      <w:r w:rsidR="00964D0C" w:rsidRPr="00BF2E60">
        <w:rPr>
          <w:rFonts w:cstheme="minorHAnsi"/>
          <w:bCs/>
          <w:szCs w:val="22"/>
        </w:rPr>
        <w:t xml:space="preserve"> </w:t>
      </w:r>
      <w:hyperlink r:id="rId11" w:history="1">
        <w:r w:rsidRPr="00BF2E60">
          <w:rPr>
            <w:rStyle w:val="Hyperlink"/>
            <w:rFonts w:cstheme="minorHAnsi"/>
            <w:bCs/>
          </w:rPr>
          <w:t>schools.finance.support@education.vic.gov.au</w:t>
        </w:r>
      </w:hyperlink>
      <w:r w:rsidRPr="00BF2E60">
        <w:rPr>
          <w:rFonts w:cstheme="minorHAnsi"/>
          <w:bCs/>
          <w:szCs w:val="22"/>
        </w:rPr>
        <w:t xml:space="preserve">. </w:t>
      </w:r>
    </w:p>
    <w:p w14:paraId="7D101E54" w14:textId="538B9B26" w:rsidR="00624A55" w:rsidRPr="00BF2E60" w:rsidRDefault="00636A4F" w:rsidP="00BF2E60">
      <w:pPr>
        <w:pStyle w:val="Intro"/>
        <w:spacing w:line="276" w:lineRule="auto"/>
        <w:rPr>
          <w:rFonts w:cstheme="minorHAnsi"/>
          <w:i/>
        </w:rPr>
      </w:pPr>
      <w:r w:rsidRPr="00BF2E60">
        <w:rPr>
          <w:rFonts w:cstheme="minorHAnsi"/>
        </w:rPr>
        <w:t xml:space="preserve"> </w:t>
      </w:r>
      <w:r w:rsidR="009A1E25" w:rsidRPr="00BF2E60">
        <w:rPr>
          <w:rFonts w:cstheme="minorHAnsi"/>
        </w:rPr>
        <w:t xml:space="preserve"> </w:t>
      </w:r>
      <w:r w:rsidR="009A1E25" w:rsidRPr="00BF2E60">
        <w:rPr>
          <w:rFonts w:cstheme="minorHAnsi"/>
          <w:i/>
        </w:rPr>
        <w:t xml:space="preserve"> </w:t>
      </w:r>
    </w:p>
    <w:p w14:paraId="651B0A67" w14:textId="67B426ED" w:rsidR="009958F4" w:rsidRPr="0096246F" w:rsidRDefault="009958F4" w:rsidP="0096246F">
      <w:pPr>
        <w:pStyle w:val="Heading2"/>
      </w:pPr>
      <w:r w:rsidRPr="0096246F">
        <w:t>Frequently Asked Questions</w:t>
      </w:r>
    </w:p>
    <w:p w14:paraId="368BB2F0" w14:textId="5861C9D5" w:rsidR="00624A55" w:rsidRPr="00BF2E60" w:rsidRDefault="005528A2" w:rsidP="00BF2E60">
      <w:pPr>
        <w:pStyle w:val="Heading3"/>
        <w:spacing w:line="276" w:lineRule="auto"/>
        <w:rPr>
          <w:rFonts w:asciiTheme="minorHAnsi" w:hAnsiTheme="minorHAnsi" w:cstheme="minorHAnsi"/>
          <w:lang w:val="en-AU"/>
        </w:rPr>
      </w:pPr>
      <w:r w:rsidRPr="00BF2E60">
        <w:rPr>
          <w:rFonts w:asciiTheme="minorHAnsi" w:hAnsiTheme="minorHAnsi" w:cstheme="minorHAnsi"/>
          <w:lang w:val="en-AU"/>
        </w:rPr>
        <w:t>What is a credit facility?</w:t>
      </w:r>
    </w:p>
    <w:p w14:paraId="1930426E" w14:textId="58967E78" w:rsidR="00624A55" w:rsidRPr="00BF2E60" w:rsidRDefault="00234EC6" w:rsidP="00BF2E60">
      <w:pPr>
        <w:spacing w:line="276" w:lineRule="auto"/>
        <w:rPr>
          <w:rFonts w:cstheme="minorHAnsi"/>
          <w:sz w:val="24"/>
          <w:lang w:val="en-AU"/>
        </w:rPr>
      </w:pPr>
      <w:r w:rsidRPr="00BF2E60">
        <w:rPr>
          <w:rFonts w:cstheme="minorHAnsi"/>
          <w:sz w:val="24"/>
          <w:lang w:val="en-AU"/>
        </w:rPr>
        <w:t xml:space="preserve">A credit facility is typically a type of loan made by a financial institution, such as a bank. A credit facility can also </w:t>
      </w:r>
      <w:r w:rsidR="00A8312F" w:rsidRPr="00BF2E60">
        <w:rPr>
          <w:rFonts w:cstheme="minorHAnsi"/>
          <w:sz w:val="24"/>
          <w:lang w:val="en-AU"/>
        </w:rPr>
        <w:t xml:space="preserve">be </w:t>
      </w:r>
      <w:r w:rsidRPr="00BF2E60">
        <w:rPr>
          <w:rFonts w:cstheme="minorHAnsi"/>
          <w:sz w:val="24"/>
          <w:lang w:val="en-AU"/>
        </w:rPr>
        <w:t>an arrangement that allows customers to buy goods on credit.</w:t>
      </w:r>
      <w:r w:rsidR="00C70042" w:rsidRPr="00BF2E60">
        <w:rPr>
          <w:rFonts w:cstheme="minorHAnsi"/>
          <w:sz w:val="24"/>
          <w:lang w:val="en-AU"/>
        </w:rPr>
        <w:t xml:space="preserve"> That is, the customer can </w:t>
      </w:r>
      <w:r w:rsidR="00B73AEE" w:rsidRPr="00BF2E60">
        <w:rPr>
          <w:rFonts w:cstheme="minorHAnsi"/>
          <w:sz w:val="24"/>
          <w:lang w:val="en-AU"/>
        </w:rPr>
        <w:t>obtain</w:t>
      </w:r>
      <w:r w:rsidR="00C70042" w:rsidRPr="00BF2E60">
        <w:rPr>
          <w:rFonts w:cstheme="minorHAnsi"/>
          <w:sz w:val="24"/>
          <w:lang w:val="en-AU"/>
        </w:rPr>
        <w:t xml:space="preserve"> good</w:t>
      </w:r>
      <w:r w:rsidR="00B73AEE" w:rsidRPr="00BF2E60">
        <w:rPr>
          <w:rFonts w:cstheme="minorHAnsi"/>
          <w:sz w:val="24"/>
          <w:lang w:val="en-AU"/>
        </w:rPr>
        <w:t>s</w:t>
      </w:r>
      <w:r w:rsidR="00C70042" w:rsidRPr="00BF2E60">
        <w:rPr>
          <w:rFonts w:cstheme="minorHAnsi"/>
          <w:sz w:val="24"/>
          <w:lang w:val="en-AU"/>
        </w:rPr>
        <w:t xml:space="preserve"> or service</w:t>
      </w:r>
      <w:r w:rsidR="00B73AEE" w:rsidRPr="00BF2E60">
        <w:rPr>
          <w:rFonts w:cstheme="minorHAnsi"/>
          <w:sz w:val="24"/>
          <w:lang w:val="en-AU"/>
        </w:rPr>
        <w:t>s</w:t>
      </w:r>
      <w:r w:rsidR="00C70042" w:rsidRPr="00BF2E60">
        <w:rPr>
          <w:rFonts w:cstheme="minorHAnsi"/>
          <w:sz w:val="24"/>
          <w:lang w:val="en-AU"/>
        </w:rPr>
        <w:t xml:space="preserve"> </w:t>
      </w:r>
      <w:r w:rsidR="00B73AEE" w:rsidRPr="00BF2E60">
        <w:rPr>
          <w:rFonts w:cstheme="minorHAnsi"/>
          <w:sz w:val="24"/>
          <w:lang w:val="en-AU"/>
        </w:rPr>
        <w:t>before payment, based on the trust that payment will occur in the future</w:t>
      </w:r>
      <w:r w:rsidR="00C70042" w:rsidRPr="00BF2E60">
        <w:rPr>
          <w:rFonts w:cstheme="minorHAnsi"/>
          <w:sz w:val="24"/>
          <w:lang w:val="en-AU"/>
        </w:rPr>
        <w:t xml:space="preserve">. </w:t>
      </w:r>
      <w:r w:rsidRPr="00BF2E60">
        <w:rPr>
          <w:rFonts w:cstheme="minorHAnsi"/>
          <w:sz w:val="24"/>
          <w:lang w:val="en-AU"/>
        </w:rPr>
        <w:t xml:space="preserve"> </w:t>
      </w:r>
    </w:p>
    <w:p w14:paraId="7CEEF5ED" w14:textId="77777777" w:rsidR="00D8013B" w:rsidRPr="00BF2E60" w:rsidRDefault="00D8013B" w:rsidP="00BF2E60">
      <w:pPr>
        <w:pStyle w:val="Heading3"/>
        <w:spacing w:line="276" w:lineRule="auto"/>
        <w:rPr>
          <w:rFonts w:asciiTheme="minorHAnsi" w:hAnsiTheme="minorHAnsi" w:cstheme="minorHAnsi"/>
          <w:lang w:val="en-AU"/>
        </w:rPr>
      </w:pPr>
    </w:p>
    <w:p w14:paraId="6B714828" w14:textId="15F1EBC7" w:rsidR="00624A55" w:rsidRPr="00BF2E60" w:rsidRDefault="005528A2" w:rsidP="00BF2E60">
      <w:pPr>
        <w:pStyle w:val="Heading3"/>
        <w:spacing w:line="276" w:lineRule="auto"/>
        <w:rPr>
          <w:rFonts w:asciiTheme="minorHAnsi" w:hAnsiTheme="minorHAnsi" w:cstheme="minorHAnsi"/>
          <w:lang w:val="en-AU"/>
        </w:rPr>
      </w:pPr>
      <w:r w:rsidRPr="00BF2E60">
        <w:rPr>
          <w:rFonts w:asciiTheme="minorHAnsi" w:hAnsiTheme="minorHAnsi" w:cstheme="minorHAnsi"/>
          <w:lang w:val="en-AU"/>
        </w:rPr>
        <w:t xml:space="preserve">Why can’t a school </w:t>
      </w:r>
      <w:proofErr w:type="gramStart"/>
      <w:r w:rsidRPr="00BF2E60">
        <w:rPr>
          <w:rFonts w:asciiTheme="minorHAnsi" w:hAnsiTheme="minorHAnsi" w:cstheme="minorHAnsi"/>
          <w:lang w:val="en-AU"/>
        </w:rPr>
        <w:t>enter into</w:t>
      </w:r>
      <w:proofErr w:type="gramEnd"/>
      <w:r w:rsidRPr="00BF2E60">
        <w:rPr>
          <w:rFonts w:asciiTheme="minorHAnsi" w:hAnsiTheme="minorHAnsi" w:cstheme="minorHAnsi"/>
          <w:lang w:val="en-AU"/>
        </w:rPr>
        <w:t xml:space="preserve"> a credit facility?</w:t>
      </w:r>
    </w:p>
    <w:p w14:paraId="60AD00CD" w14:textId="5D661B4D" w:rsidR="00624A55" w:rsidRPr="00BF2E60" w:rsidRDefault="005528A2" w:rsidP="00BF2E60">
      <w:pPr>
        <w:spacing w:line="276" w:lineRule="auto"/>
        <w:rPr>
          <w:rFonts w:cstheme="minorHAnsi"/>
          <w:sz w:val="24"/>
        </w:rPr>
      </w:pPr>
      <w:r w:rsidRPr="00BF2E60">
        <w:rPr>
          <w:rFonts w:cstheme="minorHAnsi"/>
          <w:sz w:val="24"/>
        </w:rPr>
        <w:t xml:space="preserve">Under the ETRA, schools are prohibited to </w:t>
      </w:r>
      <w:proofErr w:type="gramStart"/>
      <w:r w:rsidRPr="00BF2E60">
        <w:rPr>
          <w:rFonts w:cstheme="minorHAnsi"/>
          <w:sz w:val="24"/>
        </w:rPr>
        <w:t>enter into</w:t>
      </w:r>
      <w:proofErr w:type="gramEnd"/>
      <w:r w:rsidRPr="00BF2E60">
        <w:rPr>
          <w:rFonts w:cstheme="minorHAnsi"/>
          <w:sz w:val="24"/>
        </w:rPr>
        <w:t xml:space="preserve"> credit facilities without Ministerial approval. It is therefore strongly recommended that schools do not sign credit applications. </w:t>
      </w:r>
    </w:p>
    <w:p w14:paraId="313233A3" w14:textId="346A4C71" w:rsidR="005528A2" w:rsidRPr="00BF2E60" w:rsidRDefault="005528A2" w:rsidP="00BF2E60">
      <w:pPr>
        <w:spacing w:line="276" w:lineRule="auto"/>
        <w:rPr>
          <w:rFonts w:cstheme="minorHAnsi"/>
          <w:sz w:val="24"/>
        </w:rPr>
      </w:pPr>
      <w:r w:rsidRPr="00BF2E60">
        <w:rPr>
          <w:rFonts w:cstheme="minorHAnsi"/>
          <w:sz w:val="24"/>
        </w:rPr>
        <w:t>There are two common issues with credit applications:</w:t>
      </w:r>
    </w:p>
    <w:p w14:paraId="6D0352AE" w14:textId="02242DBB" w:rsidR="005528A2" w:rsidRPr="00BF2E60" w:rsidRDefault="005528A2" w:rsidP="00BF2E60">
      <w:pPr>
        <w:pStyle w:val="Numberlist"/>
        <w:spacing w:line="276" w:lineRule="auto"/>
        <w:rPr>
          <w:rFonts w:cstheme="minorHAnsi"/>
          <w:sz w:val="24"/>
        </w:rPr>
      </w:pPr>
      <w:r w:rsidRPr="00BF2E60">
        <w:rPr>
          <w:rFonts w:cstheme="minorHAnsi"/>
          <w:sz w:val="24"/>
        </w:rPr>
        <w:t>Guarantor requests. Applications frequently request that the individual signing the application fill in their personal details for the purpose of acting as a ‘guarantor’. Under no circumstances should you complete this section as it can make an individual personally liable under the contract</w:t>
      </w:r>
    </w:p>
    <w:p w14:paraId="5DB7B78C" w14:textId="77777777" w:rsidR="00FF14E4" w:rsidRDefault="005528A2" w:rsidP="00BF2E60">
      <w:pPr>
        <w:pStyle w:val="Numberlist"/>
        <w:spacing w:line="276" w:lineRule="auto"/>
        <w:rPr>
          <w:rFonts w:cstheme="minorHAnsi"/>
          <w:sz w:val="24"/>
        </w:rPr>
      </w:pPr>
      <w:r w:rsidRPr="00BF2E60">
        <w:rPr>
          <w:rFonts w:cstheme="minorHAnsi"/>
          <w:sz w:val="24"/>
        </w:rPr>
        <w:t>Security. Applications frequently state that the supplier can register a personal property security over the goods purchased. Again, under no circumstances should you agree to this as it is in breach of the ETRA for a school council to grant security over its property.</w:t>
      </w:r>
    </w:p>
    <w:p w14:paraId="65BF4A3C" w14:textId="6C096BB8" w:rsidR="005528A2" w:rsidRPr="00FF14E4" w:rsidRDefault="005528A2" w:rsidP="00FF14E4">
      <w:pPr>
        <w:pStyle w:val="Numberlist"/>
        <w:numPr>
          <w:ilvl w:val="0"/>
          <w:numId w:val="0"/>
        </w:numPr>
        <w:spacing w:line="276" w:lineRule="auto"/>
        <w:rPr>
          <w:rFonts w:cstheme="minorHAnsi"/>
          <w:sz w:val="24"/>
        </w:rPr>
      </w:pPr>
      <w:r w:rsidRPr="00FF14E4">
        <w:rPr>
          <w:rFonts w:cstheme="minorHAnsi"/>
          <w:sz w:val="24"/>
        </w:rPr>
        <w:t xml:space="preserve"> </w:t>
      </w:r>
    </w:p>
    <w:p w14:paraId="1F5435E3" w14:textId="57BB6E52" w:rsidR="005528A2" w:rsidRPr="00BF2E60" w:rsidRDefault="008A21A8" w:rsidP="00BF2E60">
      <w:pPr>
        <w:spacing w:line="276" w:lineRule="auto"/>
        <w:rPr>
          <w:rFonts w:cstheme="minorHAnsi"/>
          <w:sz w:val="24"/>
          <w:lang w:val="en-AU"/>
        </w:rPr>
      </w:pPr>
      <w:r w:rsidRPr="00BF2E60">
        <w:rPr>
          <w:rFonts w:cstheme="minorHAnsi"/>
          <w:sz w:val="24"/>
          <w:lang w:val="en-AU"/>
        </w:rPr>
        <w:t xml:space="preserve">Rather, Legal Division advises schools to use the Department’s </w:t>
      </w:r>
      <w:hyperlink r:id="rId12" w:history="1">
        <w:r w:rsidRPr="00BF2E60">
          <w:rPr>
            <w:rStyle w:val="Hyperlink"/>
            <w:rFonts w:cstheme="minorHAnsi"/>
            <w:sz w:val="24"/>
            <w:lang w:val="en-AU"/>
          </w:rPr>
          <w:t>Template Agreement for the Supply of Goods.</w:t>
        </w:r>
      </w:hyperlink>
      <w:r w:rsidRPr="00BF2E60">
        <w:rPr>
          <w:rFonts w:cstheme="minorHAnsi"/>
          <w:sz w:val="24"/>
          <w:lang w:val="en-AU"/>
        </w:rPr>
        <w:t xml:space="preserve"> This Agreement is drafted with the school in mind and contains necessary protections around indemnities, termination rights and insurance etc. </w:t>
      </w:r>
    </w:p>
    <w:p w14:paraId="6BB2533E" w14:textId="46228672" w:rsidR="00384DE5" w:rsidRPr="00BF2E60" w:rsidRDefault="00384DE5" w:rsidP="00BF2E60">
      <w:pPr>
        <w:spacing w:line="276" w:lineRule="auto"/>
        <w:rPr>
          <w:rFonts w:cstheme="minorHAnsi"/>
          <w:sz w:val="24"/>
          <w:lang w:val="en-AU"/>
        </w:rPr>
      </w:pPr>
      <w:r w:rsidRPr="00BF2E60">
        <w:rPr>
          <w:rFonts w:cstheme="minorHAnsi"/>
          <w:sz w:val="24"/>
          <w:lang w:val="en-AU"/>
        </w:rPr>
        <w:lastRenderedPageBreak/>
        <w:t xml:space="preserve">Additionally, Section 2 of the Finance Manual for Victorian Government Schools, specifically reference 2.2.2.1, states that a school council does not have the power to obtain loan or credit facilities. </w:t>
      </w:r>
    </w:p>
    <w:p w14:paraId="05B6C6D7" w14:textId="77777777" w:rsidR="00D8013B" w:rsidRPr="00BF2E60" w:rsidRDefault="00D8013B" w:rsidP="00BF2E60">
      <w:pPr>
        <w:pStyle w:val="Heading3"/>
        <w:spacing w:line="276" w:lineRule="auto"/>
        <w:rPr>
          <w:rFonts w:asciiTheme="minorHAnsi" w:hAnsiTheme="minorHAnsi" w:cstheme="minorHAnsi"/>
          <w:lang w:val="en-AU"/>
        </w:rPr>
      </w:pPr>
    </w:p>
    <w:p w14:paraId="358CAB91" w14:textId="764D11F4" w:rsidR="0066036E" w:rsidRPr="00BF2E60" w:rsidRDefault="009958F4" w:rsidP="00BF2E60">
      <w:pPr>
        <w:pStyle w:val="Heading3"/>
        <w:spacing w:line="276" w:lineRule="auto"/>
        <w:rPr>
          <w:rFonts w:asciiTheme="minorHAnsi" w:hAnsiTheme="minorHAnsi" w:cstheme="minorHAnsi"/>
          <w:lang w:val="en-AU"/>
        </w:rPr>
      </w:pPr>
      <w:r w:rsidRPr="00BF2E60">
        <w:rPr>
          <w:rFonts w:asciiTheme="minorHAnsi" w:hAnsiTheme="minorHAnsi" w:cstheme="minorHAnsi"/>
          <w:lang w:val="en-AU"/>
        </w:rPr>
        <w:t>M</w:t>
      </w:r>
      <w:r w:rsidR="0060317A" w:rsidRPr="00BF2E60">
        <w:rPr>
          <w:rFonts w:asciiTheme="minorHAnsi" w:hAnsiTheme="minorHAnsi" w:cstheme="minorHAnsi"/>
          <w:lang w:val="en-AU"/>
        </w:rPr>
        <w:t xml:space="preserve">y school has already </w:t>
      </w:r>
      <w:proofErr w:type="gramStart"/>
      <w:r w:rsidR="0060317A" w:rsidRPr="00BF2E60">
        <w:rPr>
          <w:rFonts w:asciiTheme="minorHAnsi" w:hAnsiTheme="minorHAnsi" w:cstheme="minorHAnsi"/>
          <w:lang w:val="en-AU"/>
        </w:rPr>
        <w:t>entered into</w:t>
      </w:r>
      <w:proofErr w:type="gramEnd"/>
      <w:r w:rsidR="0060317A" w:rsidRPr="00BF2E60">
        <w:rPr>
          <w:rFonts w:asciiTheme="minorHAnsi" w:hAnsiTheme="minorHAnsi" w:cstheme="minorHAnsi"/>
          <w:lang w:val="en-AU"/>
        </w:rPr>
        <w:t xml:space="preserve"> a credit facility – what do I do now?</w:t>
      </w:r>
    </w:p>
    <w:p w14:paraId="311958DC" w14:textId="6B80E085" w:rsidR="0060317A" w:rsidRPr="00BF2E60" w:rsidRDefault="000946E0" w:rsidP="00BF2E60">
      <w:pPr>
        <w:spacing w:line="276" w:lineRule="auto"/>
        <w:rPr>
          <w:rFonts w:cstheme="minorHAnsi"/>
          <w:sz w:val="24"/>
          <w:lang w:val="en-AU"/>
        </w:rPr>
      </w:pPr>
      <w:r w:rsidRPr="00BF2E60">
        <w:rPr>
          <w:rFonts w:cstheme="minorHAnsi"/>
          <w:sz w:val="24"/>
          <w:lang w:val="en-AU"/>
        </w:rPr>
        <w:t>Read the terms and conditions of the agreement and seek advice from Legal Division (</w:t>
      </w:r>
      <w:hyperlink r:id="rId13" w:history="1">
        <w:r w:rsidR="002279AF" w:rsidRPr="00BF2E60">
          <w:rPr>
            <w:rStyle w:val="Hyperlink"/>
            <w:rFonts w:cstheme="minorHAnsi"/>
            <w:sz w:val="24"/>
            <w:lang w:val="en-AU"/>
          </w:rPr>
          <w:t>legal.services@education.vic.gov.au</w:t>
        </w:r>
      </w:hyperlink>
      <w:r w:rsidRPr="00BF2E60">
        <w:rPr>
          <w:rFonts w:cstheme="minorHAnsi"/>
          <w:sz w:val="24"/>
          <w:lang w:val="en-AU"/>
        </w:rPr>
        <w:t>) about what to do next.</w:t>
      </w:r>
      <w:r w:rsidR="008F0759" w:rsidRPr="00BF2E60">
        <w:rPr>
          <w:rFonts w:cstheme="minorHAnsi"/>
          <w:sz w:val="24"/>
          <w:lang w:val="en-AU"/>
        </w:rPr>
        <w:t xml:space="preserve"> They will be able to provide some assistance in how to terminate the arrangement or mitigate the risks. </w:t>
      </w:r>
    </w:p>
    <w:p w14:paraId="2EE9DBCA" w14:textId="77777777" w:rsidR="006B7095" w:rsidRPr="00BF2E60" w:rsidRDefault="006B7095" w:rsidP="00BF2E60">
      <w:pPr>
        <w:pStyle w:val="Heading3"/>
        <w:spacing w:line="276" w:lineRule="auto"/>
        <w:rPr>
          <w:rFonts w:asciiTheme="minorHAnsi" w:hAnsiTheme="minorHAnsi" w:cstheme="minorHAnsi"/>
          <w:lang w:val="en-AU"/>
        </w:rPr>
      </w:pPr>
    </w:p>
    <w:p w14:paraId="53A293DA" w14:textId="64FF3D91" w:rsidR="009958F4" w:rsidRPr="00BF2E60" w:rsidRDefault="00D8013B" w:rsidP="00BF2E60">
      <w:pPr>
        <w:pStyle w:val="Heading3"/>
        <w:spacing w:line="276" w:lineRule="auto"/>
        <w:rPr>
          <w:rFonts w:asciiTheme="minorHAnsi" w:hAnsiTheme="minorHAnsi" w:cstheme="minorHAnsi"/>
          <w:lang w:val="en-AU"/>
        </w:rPr>
      </w:pPr>
      <w:r w:rsidRPr="00BF2E60">
        <w:rPr>
          <w:rFonts w:asciiTheme="minorHAnsi" w:hAnsiTheme="minorHAnsi" w:cstheme="minorHAnsi"/>
          <w:lang w:val="en-AU"/>
        </w:rPr>
        <w:t xml:space="preserve">How can I purchase goods and avoid </w:t>
      </w:r>
      <w:proofErr w:type="gramStart"/>
      <w:r w:rsidRPr="00BF2E60">
        <w:rPr>
          <w:rFonts w:asciiTheme="minorHAnsi" w:hAnsiTheme="minorHAnsi" w:cstheme="minorHAnsi"/>
          <w:lang w:val="en-AU"/>
        </w:rPr>
        <w:t>entering into</w:t>
      </w:r>
      <w:proofErr w:type="gramEnd"/>
      <w:r w:rsidRPr="00BF2E60">
        <w:rPr>
          <w:rFonts w:asciiTheme="minorHAnsi" w:hAnsiTheme="minorHAnsi" w:cstheme="minorHAnsi"/>
          <w:lang w:val="en-AU"/>
        </w:rPr>
        <w:t xml:space="preserve"> a credit facility?</w:t>
      </w:r>
    </w:p>
    <w:p w14:paraId="6B25F729" w14:textId="0ADD6BE5" w:rsidR="00996DF9" w:rsidRPr="00BF2E60" w:rsidRDefault="00EF1D2C" w:rsidP="00BF2E60">
      <w:pPr>
        <w:spacing w:line="276" w:lineRule="auto"/>
        <w:rPr>
          <w:rFonts w:cstheme="minorHAnsi"/>
          <w:sz w:val="24"/>
          <w:lang w:val="en-AU"/>
        </w:rPr>
      </w:pPr>
      <w:r w:rsidRPr="00BF2E60">
        <w:rPr>
          <w:rFonts w:cstheme="minorHAnsi"/>
          <w:sz w:val="24"/>
          <w:lang w:val="en-AU"/>
        </w:rPr>
        <w:t>A school purchasing card can be used as an alternative to creating a credit facility. For example, rather than creating an account with Coles</w:t>
      </w:r>
      <w:r w:rsidR="00316447" w:rsidRPr="00BF2E60">
        <w:rPr>
          <w:rFonts w:cstheme="minorHAnsi"/>
          <w:sz w:val="24"/>
          <w:lang w:val="en-AU"/>
        </w:rPr>
        <w:t xml:space="preserve"> that you settle monthly</w:t>
      </w:r>
      <w:r w:rsidRPr="00BF2E60">
        <w:rPr>
          <w:rFonts w:cstheme="minorHAnsi"/>
          <w:sz w:val="24"/>
          <w:lang w:val="en-AU"/>
        </w:rPr>
        <w:t xml:space="preserve"> for the purchase of food, you can organise for </w:t>
      </w:r>
      <w:r w:rsidR="00316447" w:rsidRPr="00BF2E60">
        <w:rPr>
          <w:rFonts w:cstheme="minorHAnsi"/>
          <w:sz w:val="24"/>
          <w:lang w:val="en-AU"/>
        </w:rPr>
        <w:t>a</w:t>
      </w:r>
      <w:r w:rsidRPr="00BF2E60">
        <w:rPr>
          <w:rFonts w:cstheme="minorHAnsi"/>
          <w:sz w:val="24"/>
          <w:lang w:val="en-AU"/>
        </w:rPr>
        <w:t xml:space="preserve"> staff member with a school purchasing card</w:t>
      </w:r>
      <w:r w:rsidR="00316447" w:rsidRPr="00BF2E60">
        <w:rPr>
          <w:rFonts w:cstheme="minorHAnsi"/>
          <w:sz w:val="24"/>
          <w:lang w:val="en-AU"/>
        </w:rPr>
        <w:t xml:space="preserve"> to make those purchases</w:t>
      </w:r>
      <w:r w:rsidRPr="00BF2E60">
        <w:rPr>
          <w:rFonts w:cstheme="minorHAnsi"/>
          <w:sz w:val="24"/>
          <w:lang w:val="en-AU"/>
        </w:rPr>
        <w:t xml:space="preserve">. </w:t>
      </w:r>
      <w:r w:rsidR="00954C1A" w:rsidRPr="00BF2E60">
        <w:rPr>
          <w:rFonts w:cstheme="minorHAnsi"/>
          <w:sz w:val="24"/>
          <w:lang w:val="en-AU"/>
        </w:rPr>
        <w:t>Please note that a</w:t>
      </w:r>
      <w:r w:rsidR="00A64AD7" w:rsidRPr="00BF2E60">
        <w:rPr>
          <w:rFonts w:cstheme="minorHAnsi"/>
          <w:sz w:val="24"/>
          <w:lang w:val="en-AU"/>
        </w:rPr>
        <w:t>ll</w:t>
      </w:r>
      <w:r w:rsidR="0034229C" w:rsidRPr="00BF2E60">
        <w:rPr>
          <w:rFonts w:cstheme="minorHAnsi"/>
          <w:sz w:val="24"/>
          <w:lang w:val="en-AU"/>
        </w:rPr>
        <w:t xml:space="preserve"> normal</w:t>
      </w:r>
      <w:r w:rsidR="00A64AD7" w:rsidRPr="00BF2E60">
        <w:rPr>
          <w:rFonts w:cstheme="minorHAnsi"/>
          <w:sz w:val="24"/>
          <w:lang w:val="en-AU"/>
        </w:rPr>
        <w:t xml:space="preserve"> </w:t>
      </w:r>
      <w:hyperlink r:id="rId14" w:history="1">
        <w:r w:rsidR="00A64AD7" w:rsidRPr="00BF2E60">
          <w:rPr>
            <w:rStyle w:val="Hyperlink"/>
            <w:rFonts w:cstheme="minorHAnsi"/>
            <w:sz w:val="24"/>
            <w:lang w:val="en-AU"/>
          </w:rPr>
          <w:t>schools</w:t>
        </w:r>
        <w:r w:rsidR="000E7C53">
          <w:rPr>
            <w:rStyle w:val="Hyperlink"/>
            <w:rFonts w:cstheme="minorHAnsi"/>
            <w:sz w:val="24"/>
            <w:lang w:val="en-AU"/>
          </w:rPr>
          <w:t>’</w:t>
        </w:r>
        <w:r w:rsidR="00A64AD7" w:rsidRPr="00BF2E60">
          <w:rPr>
            <w:rStyle w:val="Hyperlink"/>
            <w:rFonts w:cstheme="minorHAnsi"/>
            <w:sz w:val="24"/>
            <w:lang w:val="en-AU"/>
          </w:rPr>
          <w:t xml:space="preserve"> procurement</w:t>
        </w:r>
      </w:hyperlink>
      <w:r w:rsidR="00A64AD7" w:rsidRPr="00BF2E60">
        <w:rPr>
          <w:rFonts w:cstheme="minorHAnsi"/>
          <w:sz w:val="24"/>
          <w:lang w:val="en-AU"/>
        </w:rPr>
        <w:t xml:space="preserve"> and purchasing policies still apply. </w:t>
      </w:r>
    </w:p>
    <w:p w14:paraId="65AE288F" w14:textId="77777777" w:rsidR="00996DF9" w:rsidRPr="00BF2E60" w:rsidRDefault="00996DF9" w:rsidP="00BF2E60">
      <w:pPr>
        <w:spacing w:line="276" w:lineRule="auto"/>
        <w:rPr>
          <w:rFonts w:cstheme="minorHAnsi"/>
          <w:sz w:val="24"/>
          <w:lang w:val="en-AU"/>
        </w:rPr>
      </w:pPr>
    </w:p>
    <w:p w14:paraId="09FD9F74" w14:textId="77777777" w:rsidR="00996DF9" w:rsidRPr="00BF2E60" w:rsidRDefault="00996DF9" w:rsidP="00BF2E60">
      <w:pPr>
        <w:pStyle w:val="Heading3"/>
        <w:spacing w:line="276" w:lineRule="auto"/>
        <w:rPr>
          <w:rFonts w:asciiTheme="minorHAnsi" w:hAnsiTheme="minorHAnsi" w:cstheme="minorHAnsi"/>
          <w:lang w:val="en-AU"/>
        </w:rPr>
      </w:pPr>
      <w:r w:rsidRPr="00BF2E60">
        <w:rPr>
          <w:rFonts w:asciiTheme="minorHAnsi" w:hAnsiTheme="minorHAnsi" w:cstheme="minorHAnsi"/>
          <w:lang w:val="en-AU"/>
        </w:rPr>
        <w:t>Can my school have a store account with a supplier?</w:t>
      </w:r>
    </w:p>
    <w:p w14:paraId="3547F70D" w14:textId="60CA16F0" w:rsidR="00221B14" w:rsidRPr="00BF2E60" w:rsidRDefault="00776AA9" w:rsidP="00BF2E60">
      <w:pPr>
        <w:spacing w:line="276" w:lineRule="auto"/>
        <w:rPr>
          <w:rFonts w:cstheme="minorHAnsi"/>
          <w:sz w:val="24"/>
          <w:lang w:val="en-AU"/>
        </w:rPr>
      </w:pPr>
      <w:r w:rsidRPr="00BF2E60">
        <w:rPr>
          <w:rFonts w:cstheme="minorHAnsi"/>
          <w:sz w:val="24"/>
          <w:lang w:val="en-AU"/>
        </w:rPr>
        <w:t>You must be familiar with any terms and conditions related to having an account with a supplier.</w:t>
      </w:r>
      <w:r w:rsidR="007A7FD6" w:rsidRPr="00BF2E60">
        <w:rPr>
          <w:rFonts w:cstheme="minorHAnsi"/>
          <w:sz w:val="24"/>
          <w:lang w:val="en-AU"/>
        </w:rPr>
        <w:t xml:space="preserve"> Schools should not have cards registered in an individual’s name. Schools should check the Terms &amp; Conditions for words </w:t>
      </w:r>
      <w:proofErr w:type="gramStart"/>
      <w:r w:rsidR="007A7FD6" w:rsidRPr="00BF2E60">
        <w:rPr>
          <w:rFonts w:cstheme="minorHAnsi"/>
          <w:sz w:val="24"/>
          <w:lang w:val="en-AU"/>
        </w:rPr>
        <w:t>similar to</w:t>
      </w:r>
      <w:proofErr w:type="gramEnd"/>
      <w:r w:rsidR="007A7FD6" w:rsidRPr="00BF2E60">
        <w:rPr>
          <w:rFonts w:cstheme="minorHAnsi"/>
          <w:sz w:val="24"/>
          <w:lang w:val="en-AU"/>
        </w:rPr>
        <w:t xml:space="preserve"> “credit facility” or “credit limit”, and whether there is a default which gives the company rights over school property.</w:t>
      </w:r>
      <w:r w:rsidR="00221B14" w:rsidRPr="00BF2E60">
        <w:rPr>
          <w:rFonts w:cstheme="minorHAnsi"/>
          <w:sz w:val="24"/>
          <w:lang w:val="en-AU"/>
        </w:rPr>
        <w:t xml:space="preserve"> It is recommended to provide the </w:t>
      </w:r>
      <w:hyperlink r:id="rId15" w:history="1">
        <w:r w:rsidR="00221B14" w:rsidRPr="00BF2E60">
          <w:rPr>
            <w:rStyle w:val="Hyperlink"/>
            <w:rFonts w:cstheme="minorHAnsi"/>
            <w:sz w:val="24"/>
            <w:lang w:val="en-AU"/>
          </w:rPr>
          <w:t>DET Terms and Conditions</w:t>
        </w:r>
      </w:hyperlink>
      <w:r w:rsidR="00221B14" w:rsidRPr="00BF2E60">
        <w:rPr>
          <w:rFonts w:cstheme="minorHAnsi"/>
          <w:sz w:val="24"/>
          <w:lang w:val="en-AU"/>
        </w:rPr>
        <w:t xml:space="preserve"> together with the application. </w:t>
      </w:r>
    </w:p>
    <w:p w14:paraId="3E1B67F5" w14:textId="24DD7415" w:rsidR="00776AA9" w:rsidRPr="00BF2E60" w:rsidRDefault="00776AA9" w:rsidP="00BF2E60">
      <w:pPr>
        <w:spacing w:line="276" w:lineRule="auto"/>
        <w:rPr>
          <w:rFonts w:cstheme="minorHAnsi"/>
          <w:sz w:val="24"/>
          <w:lang w:val="en-AU"/>
        </w:rPr>
      </w:pPr>
      <w:r w:rsidRPr="00BF2E60">
        <w:rPr>
          <w:rFonts w:cstheme="minorHAnsi"/>
          <w:sz w:val="24"/>
          <w:lang w:val="en-AU"/>
        </w:rPr>
        <w:t>Generally, if the</w:t>
      </w:r>
      <w:r w:rsidR="00E40834" w:rsidRPr="00BF2E60">
        <w:rPr>
          <w:rFonts w:cstheme="minorHAnsi"/>
          <w:sz w:val="24"/>
          <w:lang w:val="en-AU"/>
        </w:rPr>
        <w:t xml:space="preserve"> supplier</w:t>
      </w:r>
      <w:r w:rsidRPr="00BF2E60">
        <w:rPr>
          <w:rFonts w:cstheme="minorHAnsi"/>
          <w:sz w:val="24"/>
          <w:lang w:val="en-AU"/>
        </w:rPr>
        <w:t xml:space="preserve"> ask</w:t>
      </w:r>
      <w:r w:rsidR="00E40834" w:rsidRPr="00BF2E60">
        <w:rPr>
          <w:rFonts w:cstheme="minorHAnsi"/>
          <w:sz w:val="24"/>
          <w:lang w:val="en-AU"/>
        </w:rPr>
        <w:t>s</w:t>
      </w:r>
      <w:r w:rsidRPr="00BF2E60">
        <w:rPr>
          <w:rFonts w:cstheme="minorHAnsi"/>
          <w:sz w:val="24"/>
          <w:lang w:val="en-AU"/>
        </w:rPr>
        <w:t xml:space="preserve"> for an individual (rather than the school) to be a guarantor or to register assets as security, then it is prohibited for </w:t>
      </w:r>
      <w:r w:rsidR="00E40834" w:rsidRPr="00BF2E60">
        <w:rPr>
          <w:rFonts w:cstheme="minorHAnsi"/>
          <w:sz w:val="24"/>
          <w:lang w:val="en-AU"/>
        </w:rPr>
        <w:t xml:space="preserve">the </w:t>
      </w:r>
      <w:r w:rsidRPr="00BF2E60">
        <w:rPr>
          <w:rFonts w:cstheme="minorHAnsi"/>
          <w:sz w:val="24"/>
          <w:lang w:val="en-AU"/>
        </w:rPr>
        <w:t>school to create an account</w:t>
      </w:r>
      <w:r w:rsidR="00E40834" w:rsidRPr="00BF2E60">
        <w:rPr>
          <w:rFonts w:cstheme="minorHAnsi"/>
          <w:sz w:val="24"/>
          <w:lang w:val="en-AU"/>
        </w:rPr>
        <w:t xml:space="preserve"> with that supplier</w:t>
      </w:r>
      <w:r w:rsidRPr="00BF2E60">
        <w:rPr>
          <w:rFonts w:cstheme="minorHAnsi"/>
          <w:sz w:val="24"/>
          <w:lang w:val="en-AU"/>
        </w:rPr>
        <w:t xml:space="preserve">. </w:t>
      </w:r>
    </w:p>
    <w:p w14:paraId="32BB6A5B" w14:textId="621A258C" w:rsidR="00E40834" w:rsidRPr="00BF2E60" w:rsidRDefault="00776AA9" w:rsidP="00BF2E60">
      <w:pPr>
        <w:spacing w:line="276" w:lineRule="auto"/>
        <w:rPr>
          <w:rFonts w:cstheme="minorHAnsi"/>
          <w:sz w:val="24"/>
          <w:lang w:val="en-AU"/>
        </w:rPr>
      </w:pPr>
      <w:r w:rsidRPr="00BF2E60">
        <w:rPr>
          <w:rFonts w:cstheme="minorHAnsi"/>
          <w:sz w:val="24"/>
          <w:lang w:val="en-AU"/>
        </w:rPr>
        <w:t xml:space="preserve">If the account does not have these obligations attached to it, then it may be acceptable for a school to enter this arrangement. </w:t>
      </w:r>
    </w:p>
    <w:p w14:paraId="15172655" w14:textId="4C589B67" w:rsidR="00605D1D" w:rsidRPr="00BF2E60" w:rsidRDefault="00E40834" w:rsidP="00BF2E60">
      <w:pPr>
        <w:spacing w:line="276" w:lineRule="auto"/>
        <w:rPr>
          <w:rFonts w:cstheme="minorHAnsi"/>
          <w:sz w:val="24"/>
          <w:lang w:val="en-AU"/>
        </w:rPr>
      </w:pPr>
      <w:r w:rsidRPr="00BF2E60">
        <w:rPr>
          <w:rFonts w:cstheme="minorHAnsi"/>
          <w:sz w:val="24"/>
          <w:lang w:val="en-AU"/>
        </w:rPr>
        <w:t xml:space="preserve">The Department understands that having an account with local suppliers for easy access to goods that may be needed in classroom is convenient, but schools need to be aware of any potential risks. </w:t>
      </w:r>
      <w:r w:rsidR="003E4520" w:rsidRPr="00BF2E60">
        <w:rPr>
          <w:rFonts w:cstheme="minorHAnsi"/>
          <w:sz w:val="24"/>
          <w:lang w:val="en-AU"/>
        </w:rPr>
        <w:t>As such, s</w:t>
      </w:r>
      <w:r w:rsidR="00776AA9" w:rsidRPr="00BF2E60">
        <w:rPr>
          <w:rFonts w:cstheme="minorHAnsi"/>
          <w:sz w:val="24"/>
          <w:lang w:val="en-AU"/>
        </w:rPr>
        <w:t>chools are advised to seek advice from Legal Division to ensure all risks are mitigated and appropriate protections are in place.</w:t>
      </w:r>
    </w:p>
    <w:p w14:paraId="3EE41F8F" w14:textId="77777777" w:rsidR="0024739A" w:rsidRPr="00BF2E60" w:rsidRDefault="0024739A" w:rsidP="00BF2E60">
      <w:pPr>
        <w:spacing w:line="276" w:lineRule="auto"/>
        <w:rPr>
          <w:rFonts w:cstheme="minorHAnsi"/>
          <w:sz w:val="24"/>
          <w:lang w:val="en-AU"/>
        </w:rPr>
      </w:pPr>
    </w:p>
    <w:sectPr w:rsidR="0024739A" w:rsidRPr="00BF2E60" w:rsidSect="00FF14E4">
      <w:headerReference w:type="default" r:id="rId16"/>
      <w:footerReference w:type="even" r:id="rId17"/>
      <w:footerReference w:type="default" r:id="rId18"/>
      <w:pgSz w:w="11900" w:h="16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4CE8" w14:textId="77777777" w:rsidR="0036767C" w:rsidRDefault="0036767C" w:rsidP="003967DD">
      <w:pPr>
        <w:spacing w:after="0"/>
      </w:pPr>
      <w:r>
        <w:separator/>
      </w:r>
    </w:p>
  </w:endnote>
  <w:endnote w:type="continuationSeparator" w:id="0">
    <w:p w14:paraId="297B902D" w14:textId="77777777" w:rsidR="0036767C" w:rsidRDefault="0036767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7419" w14:textId="7AE004B9" w:rsidR="00253BCD" w:rsidRPr="00253BCD" w:rsidRDefault="00253BCD" w:rsidP="00253BCD">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486CFE">
      <w:rPr>
        <w:sz w:val="12"/>
        <w:szCs w:val="12"/>
      </w:rPr>
      <w:t>2019.</w:t>
    </w:r>
    <w:r w:rsidRPr="001105FA">
      <w:rPr>
        <w:sz w:val="12"/>
        <w:szCs w:val="12"/>
      </w:rPr>
      <w:t xml:space="preserve"> </w:t>
    </w:r>
    <w:r w:rsidRPr="00E34721">
      <w:rPr>
        <w:rFonts w:cstheme="minorHAnsi"/>
        <w:color w:val="000000"/>
        <w:sz w:val="12"/>
        <w:szCs w:val="12"/>
      </w:rPr>
      <w:t>Except where otherwise </w:t>
    </w:r>
    <w:hyperlink r:id="rId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3" w:history="1">
      <w:r w:rsidRPr="00E34721">
        <w:rPr>
          <w:rStyle w:val="Hyperlink"/>
          <w:rFonts w:cstheme="minorHAnsi"/>
          <w:sz w:val="12"/>
          <w:szCs w:val="12"/>
        </w:rPr>
        <w:t>copyright notice </w:t>
      </w:r>
    </w:hyperlink>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C319" w14:textId="77777777" w:rsidR="0036767C" w:rsidRDefault="0036767C" w:rsidP="003967DD">
      <w:pPr>
        <w:spacing w:after="0"/>
      </w:pPr>
      <w:r>
        <w:separator/>
      </w:r>
    </w:p>
  </w:footnote>
  <w:footnote w:type="continuationSeparator" w:id="0">
    <w:p w14:paraId="2C87D882" w14:textId="77777777" w:rsidR="0036767C" w:rsidRDefault="0036767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446761">
    <w:abstractNumId w:val="0"/>
  </w:num>
  <w:num w:numId="2" w16cid:durableId="1245333893">
    <w:abstractNumId w:val="1"/>
  </w:num>
  <w:num w:numId="3" w16cid:durableId="967667194">
    <w:abstractNumId w:val="2"/>
  </w:num>
  <w:num w:numId="4" w16cid:durableId="647704428">
    <w:abstractNumId w:val="3"/>
  </w:num>
  <w:num w:numId="5" w16cid:durableId="54471359">
    <w:abstractNumId w:val="4"/>
  </w:num>
  <w:num w:numId="6" w16cid:durableId="1826508603">
    <w:abstractNumId w:val="9"/>
  </w:num>
  <w:num w:numId="7" w16cid:durableId="409741276">
    <w:abstractNumId w:val="5"/>
  </w:num>
  <w:num w:numId="8" w16cid:durableId="1911188614">
    <w:abstractNumId w:val="6"/>
  </w:num>
  <w:num w:numId="9" w16cid:durableId="447505240">
    <w:abstractNumId w:val="7"/>
  </w:num>
  <w:num w:numId="10" w16cid:durableId="983657465">
    <w:abstractNumId w:val="8"/>
  </w:num>
  <w:num w:numId="11" w16cid:durableId="1803421000">
    <w:abstractNumId w:val="10"/>
  </w:num>
  <w:num w:numId="12" w16cid:durableId="34812480">
    <w:abstractNumId w:val="13"/>
  </w:num>
  <w:num w:numId="13" w16cid:durableId="2086104835">
    <w:abstractNumId w:val="15"/>
  </w:num>
  <w:num w:numId="14" w16cid:durableId="1508519304">
    <w:abstractNumId w:val="16"/>
  </w:num>
  <w:num w:numId="15" w16cid:durableId="1079212068">
    <w:abstractNumId w:val="11"/>
  </w:num>
  <w:num w:numId="16" w16cid:durableId="1810631999">
    <w:abstractNumId w:val="14"/>
  </w:num>
  <w:num w:numId="17" w16cid:durableId="10265660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2E86"/>
    <w:rsid w:val="00080DA9"/>
    <w:rsid w:val="000946E0"/>
    <w:rsid w:val="000A47D4"/>
    <w:rsid w:val="000A6376"/>
    <w:rsid w:val="000E7C53"/>
    <w:rsid w:val="000F40B8"/>
    <w:rsid w:val="00122369"/>
    <w:rsid w:val="00150E0F"/>
    <w:rsid w:val="00157212"/>
    <w:rsid w:val="0016287D"/>
    <w:rsid w:val="001845CC"/>
    <w:rsid w:val="001D0D94"/>
    <w:rsid w:val="001D13F9"/>
    <w:rsid w:val="001F39DD"/>
    <w:rsid w:val="001F3B53"/>
    <w:rsid w:val="00221B14"/>
    <w:rsid w:val="002279AF"/>
    <w:rsid w:val="00234EC6"/>
    <w:rsid w:val="0024739A"/>
    <w:rsid w:val="002512BE"/>
    <w:rsid w:val="00253BCD"/>
    <w:rsid w:val="00275FB8"/>
    <w:rsid w:val="002A4A96"/>
    <w:rsid w:val="002D00CD"/>
    <w:rsid w:val="002E16B6"/>
    <w:rsid w:val="002E3BED"/>
    <w:rsid w:val="002F6115"/>
    <w:rsid w:val="002F62FA"/>
    <w:rsid w:val="00302ECC"/>
    <w:rsid w:val="00312720"/>
    <w:rsid w:val="00316447"/>
    <w:rsid w:val="0034229C"/>
    <w:rsid w:val="00343AFC"/>
    <w:rsid w:val="0034745C"/>
    <w:rsid w:val="0036767C"/>
    <w:rsid w:val="00384DE5"/>
    <w:rsid w:val="003967DD"/>
    <w:rsid w:val="003A4C39"/>
    <w:rsid w:val="003D4F5C"/>
    <w:rsid w:val="003E4520"/>
    <w:rsid w:val="0042333B"/>
    <w:rsid w:val="00476BC8"/>
    <w:rsid w:val="004837AE"/>
    <w:rsid w:val="00486CFE"/>
    <w:rsid w:val="004B2ED6"/>
    <w:rsid w:val="004B464A"/>
    <w:rsid w:val="004C652F"/>
    <w:rsid w:val="004D0343"/>
    <w:rsid w:val="004D08B4"/>
    <w:rsid w:val="004F3EDB"/>
    <w:rsid w:val="0051380C"/>
    <w:rsid w:val="00544E9D"/>
    <w:rsid w:val="005528A2"/>
    <w:rsid w:val="00555277"/>
    <w:rsid w:val="00567CF0"/>
    <w:rsid w:val="00584366"/>
    <w:rsid w:val="005A1E4A"/>
    <w:rsid w:val="005A4F12"/>
    <w:rsid w:val="005F0686"/>
    <w:rsid w:val="0060317A"/>
    <w:rsid w:val="006037BF"/>
    <w:rsid w:val="00605D1D"/>
    <w:rsid w:val="00624A55"/>
    <w:rsid w:val="00636A4F"/>
    <w:rsid w:val="0066036E"/>
    <w:rsid w:val="006671CE"/>
    <w:rsid w:val="006A25AC"/>
    <w:rsid w:val="006B7095"/>
    <w:rsid w:val="006E2B9A"/>
    <w:rsid w:val="00710CED"/>
    <w:rsid w:val="00756C01"/>
    <w:rsid w:val="007643B3"/>
    <w:rsid w:val="00776AA9"/>
    <w:rsid w:val="007A7FD6"/>
    <w:rsid w:val="007B16CC"/>
    <w:rsid w:val="007B556E"/>
    <w:rsid w:val="007D3E38"/>
    <w:rsid w:val="008065DA"/>
    <w:rsid w:val="00853372"/>
    <w:rsid w:val="008557A9"/>
    <w:rsid w:val="008858EF"/>
    <w:rsid w:val="008A21A8"/>
    <w:rsid w:val="008B1737"/>
    <w:rsid w:val="008E2B9A"/>
    <w:rsid w:val="008F0759"/>
    <w:rsid w:val="008F2F06"/>
    <w:rsid w:val="00917D19"/>
    <w:rsid w:val="0093413A"/>
    <w:rsid w:val="00952690"/>
    <w:rsid w:val="00954C1A"/>
    <w:rsid w:val="0096246F"/>
    <w:rsid w:val="00964D0C"/>
    <w:rsid w:val="009958F4"/>
    <w:rsid w:val="00996DF9"/>
    <w:rsid w:val="009A1E25"/>
    <w:rsid w:val="009D18B4"/>
    <w:rsid w:val="009D2B30"/>
    <w:rsid w:val="009F591E"/>
    <w:rsid w:val="00A002DD"/>
    <w:rsid w:val="00A31926"/>
    <w:rsid w:val="00A64AD7"/>
    <w:rsid w:val="00A710DF"/>
    <w:rsid w:val="00A8312F"/>
    <w:rsid w:val="00AB66DC"/>
    <w:rsid w:val="00AD38E8"/>
    <w:rsid w:val="00AE4049"/>
    <w:rsid w:val="00AE4618"/>
    <w:rsid w:val="00AE7FE7"/>
    <w:rsid w:val="00B201BF"/>
    <w:rsid w:val="00B21562"/>
    <w:rsid w:val="00B45C26"/>
    <w:rsid w:val="00B73AEE"/>
    <w:rsid w:val="00B86CCB"/>
    <w:rsid w:val="00B86D41"/>
    <w:rsid w:val="00BF2E60"/>
    <w:rsid w:val="00BF516E"/>
    <w:rsid w:val="00C2123F"/>
    <w:rsid w:val="00C23257"/>
    <w:rsid w:val="00C41C5A"/>
    <w:rsid w:val="00C539BB"/>
    <w:rsid w:val="00C70042"/>
    <w:rsid w:val="00C9617D"/>
    <w:rsid w:val="00CA2E6D"/>
    <w:rsid w:val="00CC5AA8"/>
    <w:rsid w:val="00CD5993"/>
    <w:rsid w:val="00D235CB"/>
    <w:rsid w:val="00D639F3"/>
    <w:rsid w:val="00D8013B"/>
    <w:rsid w:val="00DC4D0D"/>
    <w:rsid w:val="00E34263"/>
    <w:rsid w:val="00E34721"/>
    <w:rsid w:val="00E40834"/>
    <w:rsid w:val="00E4317E"/>
    <w:rsid w:val="00E5030B"/>
    <w:rsid w:val="00E54C87"/>
    <w:rsid w:val="00E64758"/>
    <w:rsid w:val="00E73C81"/>
    <w:rsid w:val="00E77EB9"/>
    <w:rsid w:val="00ED5044"/>
    <w:rsid w:val="00EE6D0D"/>
    <w:rsid w:val="00EF1D2C"/>
    <w:rsid w:val="00EF5CEB"/>
    <w:rsid w:val="00F1128C"/>
    <w:rsid w:val="00F17F8A"/>
    <w:rsid w:val="00F5271F"/>
    <w:rsid w:val="00F94715"/>
    <w:rsid w:val="00FB6A1D"/>
    <w:rsid w:val="00FE6EE1"/>
    <w:rsid w:val="00FE79EE"/>
    <w:rsid w:val="00FF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96246F"/>
    <w:pPr>
      <w:keepNext/>
      <w:keepLines/>
      <w:spacing w:before="40"/>
      <w:outlineLvl w:val="1"/>
    </w:pPr>
    <w:rPr>
      <w:rFonts w:asciiTheme="majorHAnsi" w:eastAsiaTheme="majorEastAsia" w:hAnsiTheme="majorHAnsi" w:cstheme="majorBidi"/>
      <w:b/>
      <w:caps/>
      <w:color w:val="E57100" w:themeColor="accent2"/>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96246F"/>
    <w:rPr>
      <w:rFonts w:asciiTheme="majorHAnsi" w:eastAsiaTheme="majorEastAsia" w:hAnsiTheme="majorHAnsi" w:cstheme="majorBidi"/>
      <w:b/>
      <w:caps/>
      <w:color w:val="E57100" w:themeColor="accent2"/>
      <w:sz w:val="28"/>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Spacing">
    <w:name w:val="No Spacing"/>
    <w:uiPriority w:val="1"/>
    <w:qFormat/>
    <w:rsid w:val="00996DF9"/>
    <w:rPr>
      <w:sz w:val="22"/>
    </w:rPr>
  </w:style>
  <w:style w:type="character" w:styleId="UnresolvedMention">
    <w:name w:val="Unresolved Mention"/>
    <w:basedOn w:val="DefaultParagraphFont"/>
    <w:uiPriority w:val="99"/>
    <w:semiHidden/>
    <w:unhideWhenUsed/>
    <w:rsid w:val="0022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services@education.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ervices/legal/Intranet%20templates/School%20Council%20Agreement%20for%20the%20Supply%20of%20Good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finance.support@education.vic.gov.au" TargetMode="External"/><Relationship Id="rId5" Type="http://schemas.openxmlformats.org/officeDocument/2006/relationships/numbering" Target="numbering.xml"/><Relationship Id="rId15" Type="http://schemas.openxmlformats.org/officeDocument/2006/relationships/hyperlink" Target="https://edugate.eduweb.vic.gov.au/Services/legal/Intranet%20templates/School%20Council%20Purchase%20Order%20Terms%20and%20Conditions%20-%20Goods%20and%20Services%20up%20to%20%242%2C500.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curement-in-schools/poli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125</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60407-CE40-40AD-9E15-3460DB72FA0D}"/>
</file>

<file path=customXml/itemProps2.xml><?xml version="1.0" encoding="utf-8"?>
<ds:datastoreItem xmlns:ds="http://schemas.openxmlformats.org/officeDocument/2006/customXml" ds:itemID="{254CD108-3CB3-4F18-A80C-32A703D5F3E7}">
  <ds:schemaRefs>
    <ds:schemaRef ds:uri="http://schemas.openxmlformats.org/officeDocument/2006/bibliography"/>
  </ds:schemaRefs>
</ds:datastoreItem>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Mackenzie Webster</cp:lastModifiedBy>
  <cp:revision>2</cp:revision>
  <dcterms:created xsi:type="dcterms:W3CDTF">2022-07-12T07:16:00Z</dcterms:created>
  <dcterms:modified xsi:type="dcterms:W3CDTF">2022-07-12T07:16:00Z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