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4BEA01BB" w:rsidR="00C22AC2" w:rsidRPr="00624A55" w:rsidRDefault="004E5A31" w:rsidP="00C22AC2">
      <w:pPr>
        <w:pStyle w:val="Heading1"/>
        <w:rPr>
          <w:lang w:val="en-AU"/>
        </w:rPr>
      </w:pPr>
      <w:r>
        <w:rPr>
          <w:lang w:val="en-AU"/>
        </w:rPr>
        <w:t xml:space="preserve">responding to students who </w:t>
      </w:r>
      <w:r w:rsidR="00101571">
        <w:rPr>
          <w:lang w:val="en-AU"/>
        </w:rPr>
        <w:t>Bite</w:t>
      </w:r>
    </w:p>
    <w:p w14:paraId="74D9034E" w14:textId="421F4066" w:rsidR="00C22AC2" w:rsidRPr="00624A55" w:rsidRDefault="004E5A31" w:rsidP="00C22AC2">
      <w:pPr>
        <w:pStyle w:val="Heading2"/>
        <w:rPr>
          <w:lang w:val="en-AU"/>
        </w:rPr>
      </w:pPr>
      <w:bookmarkStart w:id="0" w:name="_GoBack"/>
      <w:bookmarkEnd w:id="0"/>
      <w:r>
        <w:rPr>
          <w:lang w:val="en-AU"/>
        </w:rPr>
        <w:t>Key messages</w:t>
      </w:r>
    </w:p>
    <w:p w14:paraId="3D1044C5" w14:textId="19EFD18F" w:rsidR="004E5A31" w:rsidRPr="004E5A31" w:rsidRDefault="004E5A31" w:rsidP="00C535E2">
      <w:pPr>
        <w:pStyle w:val="ListParagraph"/>
        <w:numPr>
          <w:ilvl w:val="0"/>
          <w:numId w:val="24"/>
        </w:numPr>
        <w:spacing w:line="276" w:lineRule="auto"/>
        <w:ind w:left="284" w:hanging="284"/>
      </w:pPr>
      <w:r w:rsidRPr="004E5A31">
        <w:t xml:space="preserve">Follow the guidance issued to schools by the Department for school operations </w:t>
      </w:r>
      <w:r w:rsidR="00C535E2">
        <w:t xml:space="preserve">for remote and on-site teaching </w:t>
      </w:r>
    </w:p>
    <w:p w14:paraId="342B06BE" w14:textId="77777777" w:rsidR="004E5A31" w:rsidRPr="004E5A31" w:rsidRDefault="004E5A31" w:rsidP="0025755E">
      <w:pPr>
        <w:pStyle w:val="ListParagraph"/>
        <w:numPr>
          <w:ilvl w:val="0"/>
          <w:numId w:val="18"/>
        </w:numPr>
        <w:spacing w:line="276" w:lineRule="auto"/>
        <w:ind w:left="284" w:hanging="284"/>
      </w:pPr>
      <w:r w:rsidRPr="004E5A31">
        <w:t xml:space="preserve">Biting others at school is a challenging behaviour. </w:t>
      </w:r>
    </w:p>
    <w:p w14:paraId="71AE844E" w14:textId="4676482E" w:rsidR="004E5A31" w:rsidRPr="004E5A31" w:rsidRDefault="004E5A31" w:rsidP="0025755E">
      <w:pPr>
        <w:pStyle w:val="ListParagraph"/>
        <w:numPr>
          <w:ilvl w:val="0"/>
          <w:numId w:val="18"/>
        </w:numPr>
        <w:spacing w:line="276" w:lineRule="auto"/>
        <w:ind w:left="284" w:hanging="284"/>
      </w:pPr>
      <w:r w:rsidRPr="004E5A31">
        <w:t xml:space="preserve">Biting may constitute </w:t>
      </w:r>
      <w:hyperlink r:id="rId10" w:history="1">
        <w:r w:rsidRPr="0045208A">
          <w:rPr>
            <w:rStyle w:val="Hyperlink"/>
          </w:rPr>
          <w:t>occupational violence and aggression</w:t>
        </w:r>
      </w:hyperlink>
      <w:r w:rsidR="00E70AB8">
        <w:t>. Refer to reporting requirements in</w:t>
      </w:r>
      <w:r w:rsidRPr="004E5A31">
        <w:t xml:space="preserve"> </w:t>
      </w:r>
      <w:hyperlink r:id="rId11" w:history="1">
        <w:r w:rsidR="00C9721E" w:rsidRPr="009E0C7A">
          <w:rPr>
            <w:rStyle w:val="Hyperlink"/>
          </w:rPr>
          <w:t>eduSafe</w:t>
        </w:r>
      </w:hyperlink>
      <w:r w:rsidRPr="004E5A31">
        <w:t>.</w:t>
      </w:r>
    </w:p>
    <w:p w14:paraId="4F16AA02" w14:textId="77777777" w:rsidR="004E5A31" w:rsidRPr="004E5A31" w:rsidRDefault="004E5A31" w:rsidP="0025755E">
      <w:pPr>
        <w:pStyle w:val="ListParagraph"/>
        <w:numPr>
          <w:ilvl w:val="0"/>
          <w:numId w:val="18"/>
        </w:numPr>
        <w:spacing w:line="276" w:lineRule="auto"/>
        <w:ind w:left="284" w:hanging="284"/>
      </w:pPr>
      <w:r w:rsidRPr="004E5A31">
        <w:t>When a student bites another person, the priority is to ensure everyone’s safety, and support the student through the behavioural episode.</w:t>
      </w:r>
    </w:p>
    <w:p w14:paraId="3384EA5D" w14:textId="77777777" w:rsidR="004E5A31" w:rsidRPr="004E5A31" w:rsidRDefault="004E5A31" w:rsidP="0025755E">
      <w:pPr>
        <w:pStyle w:val="ListParagraph"/>
        <w:numPr>
          <w:ilvl w:val="0"/>
          <w:numId w:val="18"/>
        </w:numPr>
        <w:spacing w:line="276" w:lineRule="auto"/>
        <w:ind w:left="284" w:hanging="284"/>
      </w:pPr>
      <w:r w:rsidRPr="004E5A31">
        <w:t xml:space="preserve">Staff should respond to a student who bites as they typically would for any student exhibiting a challenging behaviour. </w:t>
      </w:r>
    </w:p>
    <w:p w14:paraId="3CDEBA88" w14:textId="545BCAD2" w:rsidR="00C22AC2" w:rsidRPr="00624A55" w:rsidRDefault="004E5A31" w:rsidP="00C22AC2">
      <w:pPr>
        <w:pStyle w:val="Heading2"/>
        <w:rPr>
          <w:lang w:val="en-AU"/>
        </w:rPr>
      </w:pPr>
      <w:r>
        <w:rPr>
          <w:lang w:val="en-AU"/>
        </w:rPr>
        <w:t>definition of biting</w:t>
      </w:r>
    </w:p>
    <w:p w14:paraId="61B8A29D" w14:textId="3006AC4C" w:rsidR="00C22AC2" w:rsidRDefault="004E5A31" w:rsidP="004E5A31">
      <w:pPr>
        <w:pStyle w:val="Bullet1"/>
        <w:numPr>
          <w:ilvl w:val="0"/>
          <w:numId w:val="0"/>
        </w:numPr>
        <w:ind w:left="284" w:hanging="284"/>
      </w:pPr>
      <w:r w:rsidRPr="004E5A31">
        <w:t xml:space="preserve">Biting is tissue damage caused by the teeth of a human. A bite may or may not break the skin. </w:t>
      </w:r>
    </w:p>
    <w:p w14:paraId="40CA66DF" w14:textId="3833BC42" w:rsidR="004E5A31" w:rsidRDefault="004E5A31" w:rsidP="004E5A31">
      <w:pPr>
        <w:pStyle w:val="Bullet2"/>
        <w:numPr>
          <w:ilvl w:val="0"/>
          <w:numId w:val="0"/>
        </w:numPr>
      </w:pPr>
      <w:r>
        <w:t xml:space="preserve">Young students, and some students with disability may bite themselves. This document does not address self-inflicted biting. </w:t>
      </w:r>
    </w:p>
    <w:p w14:paraId="1E8160C6" w14:textId="77777777" w:rsidR="004E5A31" w:rsidRDefault="004E5A31" w:rsidP="004E5A31">
      <w:pPr>
        <w:pStyle w:val="Bullet2"/>
        <w:numPr>
          <w:ilvl w:val="0"/>
          <w:numId w:val="0"/>
        </w:numPr>
      </w:pPr>
      <w:r>
        <w:t>Staff should respond to a student who bites as they typically would for any student exhibiting a problem or challenging behaviour:</w:t>
      </w:r>
    </w:p>
    <w:p w14:paraId="646A5043" w14:textId="6F362B83" w:rsidR="004E5A31" w:rsidRDefault="004E5A31" w:rsidP="0025755E">
      <w:pPr>
        <w:pStyle w:val="Bullet2"/>
        <w:numPr>
          <w:ilvl w:val="0"/>
          <w:numId w:val="20"/>
        </w:numPr>
        <w:ind w:left="284" w:hanging="284"/>
      </w:pPr>
      <w:r>
        <w:t>Ensure everyone’s safety and implement appropriate hygiene control measures.</w:t>
      </w:r>
    </w:p>
    <w:p w14:paraId="44097A91" w14:textId="77777777" w:rsidR="004E5A31" w:rsidRDefault="004E5A31" w:rsidP="0025755E">
      <w:pPr>
        <w:pStyle w:val="Bullet2"/>
        <w:numPr>
          <w:ilvl w:val="0"/>
          <w:numId w:val="19"/>
        </w:numPr>
        <w:ind w:left="284" w:hanging="284"/>
      </w:pPr>
      <w:r>
        <w:t>For a student with a history of biting, follow the student’s Behaviour Support Plan (BSP) which outlines ways to support the student to not bite</w:t>
      </w:r>
    </w:p>
    <w:p w14:paraId="33C9FC41" w14:textId="4CC1DB5E" w:rsidR="004E5A31" w:rsidRDefault="004E5A31" w:rsidP="0025755E">
      <w:pPr>
        <w:pStyle w:val="Bullet2"/>
        <w:numPr>
          <w:ilvl w:val="0"/>
          <w:numId w:val="19"/>
        </w:numPr>
        <w:ind w:left="284" w:hanging="284"/>
      </w:pPr>
      <w:r>
        <w:t>For a student that has begun biting, develop a BSP, to understand and respond to the behaviour. The BSP must address the function of the behaviour to be effective.</w:t>
      </w:r>
    </w:p>
    <w:p w14:paraId="7ABFBBA8" w14:textId="3E78E6A9" w:rsidR="00C22AC2" w:rsidRPr="00624A55" w:rsidRDefault="004E5A31" w:rsidP="00C22AC2">
      <w:pPr>
        <w:pStyle w:val="Heading2"/>
        <w:rPr>
          <w:lang w:val="en-AU"/>
        </w:rPr>
      </w:pPr>
      <w:r>
        <w:rPr>
          <w:lang w:val="en-AU"/>
        </w:rPr>
        <w:t>understanding the function of biting</w:t>
      </w:r>
    </w:p>
    <w:p w14:paraId="62C9DF91" w14:textId="77777777" w:rsidR="004E5A31" w:rsidRPr="009C29DB" w:rsidRDefault="004E5A31" w:rsidP="004E5A31">
      <w:pPr>
        <w:spacing w:line="276" w:lineRule="auto"/>
      </w:pPr>
      <w:r>
        <w:t>U</w:t>
      </w:r>
      <w:r w:rsidRPr="009C29DB">
        <w:t xml:space="preserve">nderstanding the function of the </w:t>
      </w:r>
      <w:r>
        <w:t>biting is to understand its purpose</w:t>
      </w:r>
      <w:r w:rsidRPr="009C29DB">
        <w:t xml:space="preserve">: </w:t>
      </w:r>
    </w:p>
    <w:p w14:paraId="75929DE1" w14:textId="77777777" w:rsidR="004E5A31" w:rsidRPr="009C29DB" w:rsidRDefault="004E5A31" w:rsidP="0025755E">
      <w:pPr>
        <w:pStyle w:val="ListParagraph"/>
        <w:numPr>
          <w:ilvl w:val="0"/>
          <w:numId w:val="21"/>
        </w:numPr>
        <w:ind w:left="284" w:hanging="284"/>
      </w:pPr>
      <w:r w:rsidRPr="009C29DB">
        <w:t xml:space="preserve">Is it to escape something: reduced attention, </w:t>
      </w:r>
      <w:r>
        <w:t>academic</w:t>
      </w:r>
      <w:r w:rsidRPr="009C29DB">
        <w:t xml:space="preserve"> demands?</w:t>
      </w:r>
    </w:p>
    <w:p w14:paraId="14BFC9A3" w14:textId="77777777" w:rsidR="004E5A31" w:rsidRPr="009C29DB" w:rsidRDefault="004E5A31" w:rsidP="0025755E">
      <w:pPr>
        <w:pStyle w:val="ListParagraph"/>
        <w:numPr>
          <w:ilvl w:val="0"/>
          <w:numId w:val="21"/>
        </w:numPr>
        <w:spacing w:line="276" w:lineRule="auto"/>
        <w:ind w:left="284" w:hanging="284"/>
      </w:pPr>
      <w:r w:rsidRPr="009C29DB">
        <w:t>Is it to gain something</w:t>
      </w:r>
      <w:r>
        <w:t>:</w:t>
      </w:r>
      <w:r w:rsidRPr="009C29DB">
        <w:t xml:space="preserve"> social attention, interruption of task demands, access to </w:t>
      </w:r>
      <w:r>
        <w:t>something the student can touch (e.g. an object)</w:t>
      </w:r>
      <w:r w:rsidRPr="009C29DB">
        <w:t>?</w:t>
      </w:r>
    </w:p>
    <w:p w14:paraId="1CA7204C" w14:textId="77777777" w:rsidR="004E5A31" w:rsidRPr="009C29DB" w:rsidRDefault="004E5A31" w:rsidP="0025755E">
      <w:pPr>
        <w:pStyle w:val="ListParagraph"/>
        <w:numPr>
          <w:ilvl w:val="0"/>
          <w:numId w:val="21"/>
        </w:numPr>
        <w:spacing w:line="276" w:lineRule="auto"/>
        <w:ind w:left="284" w:hanging="284"/>
      </w:pPr>
      <w:r>
        <w:t>Does</w:t>
      </w:r>
      <w:r w:rsidRPr="009C29DB">
        <w:t xml:space="preserve"> it produce a positive bodily or emotional sensation for the student?</w:t>
      </w:r>
    </w:p>
    <w:p w14:paraId="11121962" w14:textId="260C0BF4" w:rsidR="004E5A31" w:rsidRDefault="004E5A31" w:rsidP="004E5A31">
      <w:pPr>
        <w:spacing w:line="276" w:lineRule="auto"/>
      </w:pPr>
      <w:r w:rsidRPr="009C29DB">
        <w:t xml:space="preserve">Understanding the function of the </w:t>
      </w:r>
      <w:r>
        <w:t>biting</w:t>
      </w:r>
      <w:r w:rsidRPr="009C29DB">
        <w:t xml:space="preserve"> behaviour</w:t>
      </w:r>
      <w:r>
        <w:t xml:space="preserve"> </w:t>
      </w:r>
      <w:r w:rsidRPr="009C29DB">
        <w:t>help</w:t>
      </w:r>
      <w:r>
        <w:t>s</w:t>
      </w:r>
      <w:r w:rsidRPr="009C29DB">
        <w:t xml:space="preserve"> determine </w:t>
      </w:r>
      <w:r>
        <w:t>the</w:t>
      </w:r>
      <w:r w:rsidRPr="009C29DB">
        <w:t xml:space="preserve"> appropriate response to the behaviour. </w:t>
      </w:r>
      <w:r w:rsidRPr="00414359">
        <w:t xml:space="preserve"> </w:t>
      </w:r>
      <w:r w:rsidRPr="009C29DB">
        <w:t>Refer to</w:t>
      </w:r>
      <w:r>
        <w:t xml:space="preserve"> </w:t>
      </w:r>
      <w:r w:rsidRPr="009C29DB">
        <w:t xml:space="preserve">Antecedent (A), behaviour (B), and consequence (C) data in </w:t>
      </w:r>
      <w:hyperlink r:id="rId12" w:history="1">
        <w:r w:rsidRPr="003C0AA3">
          <w:rPr>
            <w:rStyle w:val="Hyperlink"/>
          </w:rPr>
          <w:t>Functional behaviour assessment</w:t>
        </w:r>
      </w:hyperlink>
      <w:r>
        <w:t xml:space="preserve"> for more information.</w:t>
      </w:r>
    </w:p>
    <w:p w14:paraId="37336522" w14:textId="49BBACDB" w:rsidR="00FC0587" w:rsidRDefault="00FC0587" w:rsidP="004E5A31">
      <w:pPr>
        <w:spacing w:line="276" w:lineRule="auto"/>
      </w:pPr>
    </w:p>
    <w:p w14:paraId="3FE32FCA" w14:textId="09AD373F" w:rsidR="00FC0587" w:rsidRDefault="00FC0587" w:rsidP="004E5A31">
      <w:pPr>
        <w:spacing w:line="276" w:lineRule="auto"/>
      </w:pPr>
    </w:p>
    <w:p w14:paraId="552D1DB7" w14:textId="3ED9C74D" w:rsidR="00FC0587" w:rsidRDefault="00FC0587" w:rsidP="004E5A31">
      <w:pPr>
        <w:spacing w:line="276" w:lineRule="auto"/>
      </w:pPr>
    </w:p>
    <w:p w14:paraId="43BFBC4D" w14:textId="77777777" w:rsidR="00FC0587" w:rsidRPr="009C29DB" w:rsidRDefault="00FC0587" w:rsidP="004E5A31">
      <w:pPr>
        <w:spacing w:line="276" w:lineRule="auto"/>
      </w:pPr>
    </w:p>
    <w:p w14:paraId="2047544C" w14:textId="77777777" w:rsidR="004E5A31" w:rsidRDefault="004E5A31" w:rsidP="00C22AC2">
      <w:pPr>
        <w:rPr>
          <w:lang w:val="en-AU"/>
        </w:rPr>
      </w:pPr>
    </w:p>
    <w:tbl>
      <w:tblPr>
        <w:tblW w:w="963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68"/>
        <w:gridCol w:w="2835"/>
        <w:gridCol w:w="2127"/>
        <w:gridCol w:w="2409"/>
      </w:tblGrid>
      <w:tr w:rsidR="00FC0587" w:rsidRPr="00414359" w14:paraId="0C2387CA" w14:textId="77777777" w:rsidTr="00FC0587">
        <w:trPr>
          <w:trHeight w:val="895"/>
        </w:trPr>
        <w:tc>
          <w:tcPr>
            <w:tcW w:w="2268" w:type="dxa"/>
            <w:tcBorders>
              <w:top w:val="nil"/>
              <w:left w:val="nil"/>
              <w:bottom w:val="single" w:sz="8" w:space="0" w:color="004EA8" w:themeColor="accent1"/>
              <w:right w:val="single" w:sz="8" w:space="0" w:color="004EA8" w:themeColor="accent1"/>
            </w:tcBorders>
          </w:tcPr>
          <w:p w14:paraId="6D5F2395" w14:textId="77777777" w:rsidR="00FC0587" w:rsidRPr="00414359" w:rsidRDefault="00FC0587" w:rsidP="00306E7F">
            <w:pPr>
              <w:spacing w:after="160" w:line="259" w:lineRule="auto"/>
              <w:rPr>
                <w:sz w:val="20"/>
                <w:szCs w:val="20"/>
                <w:lang w:bidi="en-US"/>
              </w:rPr>
            </w:pPr>
          </w:p>
        </w:tc>
        <w:tc>
          <w:tcPr>
            <w:tcW w:w="2835"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75E50C9A" w14:textId="77777777" w:rsidR="00FC0587" w:rsidRPr="006765B7" w:rsidRDefault="00FC0587" w:rsidP="00306E7F">
            <w:pPr>
              <w:spacing w:after="160" w:line="259" w:lineRule="auto"/>
              <w:ind w:left="132" w:right="124"/>
              <w:rPr>
                <w:b/>
                <w:bCs/>
                <w:sz w:val="20"/>
                <w:szCs w:val="20"/>
                <w:lang w:bidi="en-US"/>
              </w:rPr>
            </w:pPr>
            <w:r w:rsidRPr="006765B7">
              <w:rPr>
                <w:b/>
                <w:bCs/>
                <w:sz w:val="20"/>
                <w:szCs w:val="20"/>
                <w:lang w:bidi="en-US"/>
              </w:rPr>
              <w:t>Antecedent (A)</w:t>
            </w:r>
          </w:p>
          <w:p w14:paraId="6F216B5A" w14:textId="77777777" w:rsidR="00FC0587" w:rsidRPr="00414359" w:rsidRDefault="00FC0587" w:rsidP="00306E7F">
            <w:pPr>
              <w:spacing w:after="160" w:line="259" w:lineRule="auto"/>
              <w:ind w:left="132" w:right="124"/>
              <w:rPr>
                <w:sz w:val="20"/>
                <w:szCs w:val="20"/>
                <w:lang w:bidi="en-US"/>
              </w:rPr>
            </w:pPr>
            <w:r w:rsidRPr="00414359">
              <w:rPr>
                <w:sz w:val="20"/>
                <w:szCs w:val="20"/>
                <w:lang w:bidi="en-US"/>
              </w:rPr>
              <w:t>What occurred before the behaviour?</w:t>
            </w:r>
          </w:p>
        </w:tc>
        <w:tc>
          <w:tcPr>
            <w:tcW w:w="2127"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70203BD3" w14:textId="77777777" w:rsidR="00FC0587" w:rsidRPr="006765B7" w:rsidRDefault="00FC0587" w:rsidP="00306E7F">
            <w:pPr>
              <w:spacing w:after="160" w:line="259" w:lineRule="auto"/>
              <w:ind w:left="132" w:right="130"/>
              <w:rPr>
                <w:b/>
                <w:bCs/>
                <w:sz w:val="20"/>
                <w:szCs w:val="20"/>
                <w:lang w:bidi="en-US"/>
              </w:rPr>
            </w:pPr>
            <w:r w:rsidRPr="006765B7">
              <w:rPr>
                <w:b/>
                <w:bCs/>
                <w:sz w:val="20"/>
                <w:szCs w:val="20"/>
                <w:lang w:bidi="en-US"/>
              </w:rPr>
              <w:t xml:space="preserve">Behaviour (B) </w:t>
            </w:r>
          </w:p>
          <w:p w14:paraId="1FA40FA8" w14:textId="77777777" w:rsidR="00FC0587" w:rsidRPr="00414359" w:rsidRDefault="00FC0587" w:rsidP="00306E7F">
            <w:pPr>
              <w:spacing w:after="160" w:line="259" w:lineRule="auto"/>
              <w:ind w:left="132" w:right="130"/>
              <w:rPr>
                <w:sz w:val="20"/>
                <w:szCs w:val="20"/>
                <w:lang w:bidi="en-US"/>
              </w:rPr>
            </w:pPr>
            <w:r w:rsidRPr="00414359">
              <w:rPr>
                <w:sz w:val="20"/>
                <w:szCs w:val="20"/>
                <w:lang w:bidi="en-US"/>
              </w:rPr>
              <w:t xml:space="preserve">What did </w:t>
            </w:r>
            <w:r>
              <w:rPr>
                <w:sz w:val="20"/>
                <w:szCs w:val="20"/>
                <w:lang w:bidi="en-US"/>
              </w:rPr>
              <w:t>the student</w:t>
            </w:r>
            <w:r w:rsidRPr="00414359">
              <w:rPr>
                <w:sz w:val="20"/>
                <w:szCs w:val="20"/>
                <w:lang w:bidi="en-US"/>
              </w:rPr>
              <w:t xml:space="preserve"> do?</w:t>
            </w:r>
          </w:p>
        </w:tc>
        <w:tc>
          <w:tcPr>
            <w:tcW w:w="2409"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73F95933" w14:textId="77777777" w:rsidR="00FC0587" w:rsidRPr="006765B7" w:rsidRDefault="00FC0587" w:rsidP="00306E7F">
            <w:pPr>
              <w:spacing w:after="160" w:line="259" w:lineRule="auto"/>
              <w:ind w:left="135" w:right="127"/>
              <w:rPr>
                <w:b/>
                <w:bCs/>
                <w:sz w:val="20"/>
                <w:szCs w:val="20"/>
                <w:lang w:bidi="en-US"/>
              </w:rPr>
            </w:pPr>
            <w:r w:rsidRPr="006765B7">
              <w:rPr>
                <w:b/>
                <w:bCs/>
                <w:sz w:val="20"/>
                <w:szCs w:val="20"/>
                <w:lang w:bidi="en-US"/>
              </w:rPr>
              <w:t>Consequence (C)</w:t>
            </w:r>
          </w:p>
          <w:p w14:paraId="3FDFEA12" w14:textId="77777777" w:rsidR="00FC0587" w:rsidRPr="00414359" w:rsidRDefault="00FC0587" w:rsidP="00306E7F">
            <w:pPr>
              <w:spacing w:after="160" w:line="259" w:lineRule="auto"/>
              <w:ind w:left="135" w:right="127"/>
              <w:rPr>
                <w:sz w:val="20"/>
                <w:szCs w:val="20"/>
                <w:lang w:bidi="en-US"/>
              </w:rPr>
            </w:pPr>
            <w:r w:rsidRPr="00414359">
              <w:rPr>
                <w:sz w:val="20"/>
                <w:szCs w:val="20"/>
                <w:lang w:bidi="en-US"/>
              </w:rPr>
              <w:t>How did you or others respond?</w:t>
            </w:r>
            <w:r>
              <w:rPr>
                <w:sz w:val="20"/>
                <w:szCs w:val="20"/>
                <w:lang w:bidi="en-US"/>
              </w:rPr>
              <w:t xml:space="preserve"> What did the student do then? </w:t>
            </w:r>
          </w:p>
        </w:tc>
      </w:tr>
      <w:tr w:rsidR="00FC0587" w:rsidRPr="00414359" w14:paraId="1CD2750A" w14:textId="77777777" w:rsidTr="00FC0587">
        <w:trPr>
          <w:trHeight w:val="1698"/>
        </w:trPr>
        <w:tc>
          <w:tcPr>
            <w:tcW w:w="2268"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4A1CFC4A" w14:textId="77777777" w:rsidR="00FC0587" w:rsidRPr="00414359" w:rsidRDefault="00FC0587" w:rsidP="00306E7F">
            <w:pPr>
              <w:spacing w:after="160" w:line="259" w:lineRule="auto"/>
              <w:ind w:left="133" w:right="124"/>
              <w:rPr>
                <w:sz w:val="20"/>
                <w:szCs w:val="20"/>
                <w:lang w:bidi="en-US"/>
              </w:rPr>
            </w:pPr>
            <w:r w:rsidRPr="00414359">
              <w:rPr>
                <w:sz w:val="20"/>
                <w:szCs w:val="20"/>
                <w:lang w:bidi="en-US"/>
              </w:rPr>
              <w:t xml:space="preserve">Are there conditions, events or factors connected with when the behaviour happens? </w:t>
            </w:r>
          </w:p>
          <w:p w14:paraId="55078DA8" w14:textId="77777777" w:rsidR="00FC0587" w:rsidRDefault="00FC0587" w:rsidP="00306E7F">
            <w:pPr>
              <w:spacing w:after="160" w:line="259" w:lineRule="auto"/>
              <w:ind w:left="133" w:right="124"/>
              <w:rPr>
                <w:sz w:val="20"/>
                <w:szCs w:val="20"/>
                <w:lang w:bidi="en-US"/>
              </w:rPr>
            </w:pPr>
          </w:p>
          <w:p w14:paraId="1DD239A7" w14:textId="77777777" w:rsidR="00FC0587" w:rsidRPr="00414359" w:rsidRDefault="00FC0587" w:rsidP="00306E7F">
            <w:pPr>
              <w:spacing w:after="160" w:line="259" w:lineRule="auto"/>
              <w:ind w:left="133" w:right="124"/>
              <w:rPr>
                <w:sz w:val="20"/>
                <w:szCs w:val="20"/>
                <w:lang w:bidi="en-US"/>
              </w:rPr>
            </w:pPr>
            <w:r w:rsidRPr="00414359">
              <w:rPr>
                <w:sz w:val="20"/>
                <w:szCs w:val="20"/>
                <w:lang w:bidi="en-US"/>
              </w:rPr>
              <w:t xml:space="preserve">Consider where and when the </w:t>
            </w:r>
            <w:r>
              <w:rPr>
                <w:sz w:val="20"/>
                <w:szCs w:val="20"/>
                <w:lang w:bidi="en-US"/>
              </w:rPr>
              <w:t>biting</w:t>
            </w:r>
            <w:r w:rsidRPr="00414359">
              <w:rPr>
                <w:sz w:val="20"/>
                <w:szCs w:val="20"/>
                <w:lang w:bidi="en-US"/>
              </w:rPr>
              <w:t xml:space="preserve"> happens? Does it happen in a specific place, at a specific time, linked to a specific activity or person?</w:t>
            </w:r>
          </w:p>
        </w:tc>
        <w:tc>
          <w:tcPr>
            <w:tcW w:w="2835"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24FA8A6B" w14:textId="77777777" w:rsidR="00FC0587" w:rsidRPr="00414359" w:rsidRDefault="00FC0587" w:rsidP="00306E7F">
            <w:pPr>
              <w:spacing w:after="160" w:line="259" w:lineRule="auto"/>
              <w:ind w:left="132" w:right="124"/>
              <w:rPr>
                <w:sz w:val="20"/>
                <w:szCs w:val="20"/>
                <w:lang w:bidi="en-US"/>
              </w:rPr>
            </w:pPr>
            <w:r w:rsidRPr="00414359">
              <w:rPr>
                <w:sz w:val="20"/>
                <w:szCs w:val="20"/>
                <w:lang w:bidi="en-US"/>
              </w:rPr>
              <w:t xml:space="preserve">What happens immediately before the student </w:t>
            </w:r>
            <w:r>
              <w:rPr>
                <w:sz w:val="20"/>
                <w:szCs w:val="20"/>
                <w:lang w:bidi="en-US"/>
              </w:rPr>
              <w:t>bites another person</w:t>
            </w:r>
            <w:r w:rsidRPr="00414359">
              <w:rPr>
                <w:sz w:val="20"/>
                <w:szCs w:val="20"/>
                <w:lang w:bidi="en-US"/>
              </w:rPr>
              <w:t>?</w:t>
            </w:r>
          </w:p>
          <w:p w14:paraId="3A9D010A" w14:textId="77777777" w:rsidR="00FC0587" w:rsidRPr="00414359" w:rsidRDefault="00FC0587" w:rsidP="00306E7F">
            <w:pPr>
              <w:spacing w:after="160" w:line="259" w:lineRule="auto"/>
              <w:ind w:left="132" w:right="124"/>
              <w:rPr>
                <w:sz w:val="20"/>
                <w:szCs w:val="20"/>
                <w:lang w:bidi="en-US"/>
              </w:rPr>
            </w:pPr>
            <w:r w:rsidRPr="00414359">
              <w:rPr>
                <w:sz w:val="20"/>
                <w:szCs w:val="20"/>
                <w:lang w:bidi="en-US"/>
              </w:rPr>
              <w:t>What is the trigger for the behaviour?</w:t>
            </w:r>
          </w:p>
          <w:p w14:paraId="343DB221" w14:textId="77777777" w:rsidR="00FC0587" w:rsidRPr="00414359" w:rsidRDefault="00FC0587" w:rsidP="00306E7F">
            <w:pPr>
              <w:spacing w:after="160" w:line="259" w:lineRule="auto"/>
              <w:ind w:left="132" w:right="124"/>
              <w:rPr>
                <w:sz w:val="20"/>
                <w:szCs w:val="20"/>
                <w:lang w:bidi="en-US"/>
              </w:rPr>
            </w:pPr>
            <w:r w:rsidRPr="00414359">
              <w:rPr>
                <w:sz w:val="20"/>
                <w:szCs w:val="20"/>
                <w:lang w:bidi="en-US"/>
              </w:rPr>
              <w:t>Consider if there any setting events that might relate to when the behaviour happens?</w:t>
            </w:r>
          </w:p>
          <w:p w14:paraId="3DE75921" w14:textId="77777777" w:rsidR="00FC0587" w:rsidRPr="00414359" w:rsidRDefault="00FC0587" w:rsidP="00306E7F">
            <w:pPr>
              <w:spacing w:after="160" w:line="259" w:lineRule="auto"/>
              <w:ind w:left="132" w:right="124"/>
              <w:rPr>
                <w:sz w:val="20"/>
                <w:szCs w:val="20"/>
                <w:lang w:bidi="en-US"/>
              </w:rPr>
            </w:pPr>
            <w:r w:rsidRPr="00414359">
              <w:rPr>
                <w:sz w:val="20"/>
                <w:szCs w:val="20"/>
                <w:lang w:bidi="en-US"/>
              </w:rPr>
              <w:t xml:space="preserve">Consider if there has been a recent change in </w:t>
            </w:r>
            <w:r>
              <w:rPr>
                <w:sz w:val="20"/>
                <w:szCs w:val="20"/>
                <w:lang w:bidi="en-US"/>
              </w:rPr>
              <w:t xml:space="preserve">the </w:t>
            </w:r>
            <w:r w:rsidRPr="00414359">
              <w:rPr>
                <w:sz w:val="20"/>
                <w:szCs w:val="20"/>
                <w:lang w:bidi="en-US"/>
              </w:rPr>
              <w:t xml:space="preserve">classroom </w:t>
            </w:r>
            <w:r>
              <w:rPr>
                <w:sz w:val="20"/>
                <w:szCs w:val="20"/>
                <w:lang w:bidi="en-US"/>
              </w:rPr>
              <w:t>set up, staff or students in class, access to an activity or object</w:t>
            </w:r>
            <w:r w:rsidRPr="00414359">
              <w:rPr>
                <w:sz w:val="20"/>
                <w:szCs w:val="20"/>
                <w:lang w:bidi="en-US"/>
              </w:rPr>
              <w:t>?</w:t>
            </w:r>
          </w:p>
        </w:tc>
        <w:tc>
          <w:tcPr>
            <w:tcW w:w="2127"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6F532937" w14:textId="77777777" w:rsidR="00FC0587" w:rsidRDefault="00FC0587" w:rsidP="00306E7F">
            <w:pPr>
              <w:spacing w:after="160" w:line="259" w:lineRule="auto"/>
              <w:ind w:left="132" w:right="130"/>
              <w:rPr>
                <w:sz w:val="20"/>
                <w:szCs w:val="20"/>
                <w:lang w:bidi="en-US"/>
              </w:rPr>
            </w:pPr>
            <w:r w:rsidRPr="00B45004">
              <w:rPr>
                <w:sz w:val="20"/>
                <w:szCs w:val="20"/>
                <w:lang w:bidi="en-US"/>
              </w:rPr>
              <w:t>Describe the behaviour objectively</w:t>
            </w:r>
            <w:r>
              <w:rPr>
                <w:sz w:val="20"/>
                <w:szCs w:val="20"/>
                <w:lang w:bidi="en-US"/>
              </w:rPr>
              <w:t xml:space="preserve">, with facts. </w:t>
            </w:r>
          </w:p>
          <w:p w14:paraId="64612833" w14:textId="77777777" w:rsidR="00FC0587" w:rsidRPr="00414359" w:rsidRDefault="00FC0587" w:rsidP="00306E7F">
            <w:pPr>
              <w:spacing w:after="160" w:line="259" w:lineRule="auto"/>
              <w:ind w:left="132" w:right="130"/>
              <w:rPr>
                <w:sz w:val="20"/>
                <w:szCs w:val="20"/>
                <w:lang w:bidi="en-US"/>
              </w:rPr>
            </w:pPr>
            <w:r>
              <w:rPr>
                <w:sz w:val="20"/>
                <w:szCs w:val="20"/>
                <w:lang w:bidi="en-US"/>
              </w:rPr>
              <w:t xml:space="preserve">Do not include </w:t>
            </w:r>
            <w:r w:rsidRPr="00B45004">
              <w:rPr>
                <w:sz w:val="20"/>
                <w:szCs w:val="20"/>
                <w:lang w:bidi="en-US"/>
              </w:rPr>
              <w:t>personal feelings, interpretations, or</w:t>
            </w:r>
            <w:r>
              <w:rPr>
                <w:sz w:val="20"/>
                <w:szCs w:val="20"/>
                <w:lang w:bidi="en-US"/>
              </w:rPr>
              <w:t xml:space="preserve"> assumptions about what the student was thinking or feeling.</w:t>
            </w:r>
          </w:p>
        </w:tc>
        <w:tc>
          <w:tcPr>
            <w:tcW w:w="2409"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7E502B3A" w14:textId="77777777" w:rsidR="00FC0587" w:rsidRPr="00414359" w:rsidRDefault="00FC0587" w:rsidP="00306E7F">
            <w:pPr>
              <w:spacing w:after="160" w:line="259" w:lineRule="auto"/>
              <w:ind w:left="135" w:right="127"/>
              <w:rPr>
                <w:sz w:val="20"/>
                <w:szCs w:val="20"/>
                <w:lang w:bidi="en-US"/>
              </w:rPr>
            </w:pPr>
            <w:r w:rsidRPr="00414359">
              <w:rPr>
                <w:sz w:val="20"/>
                <w:szCs w:val="20"/>
                <w:lang w:bidi="en-US"/>
              </w:rPr>
              <w:t xml:space="preserve">How do staff typically respond to </w:t>
            </w:r>
            <w:r>
              <w:rPr>
                <w:sz w:val="20"/>
                <w:szCs w:val="20"/>
                <w:lang w:bidi="en-US"/>
              </w:rPr>
              <w:t>being bitten, or nearly bitten</w:t>
            </w:r>
            <w:r w:rsidRPr="00414359">
              <w:rPr>
                <w:sz w:val="20"/>
                <w:szCs w:val="20"/>
                <w:lang w:bidi="en-US"/>
              </w:rPr>
              <w:t xml:space="preserve">? </w:t>
            </w:r>
          </w:p>
          <w:p w14:paraId="64975631" w14:textId="77777777" w:rsidR="00FC0587" w:rsidRPr="00414359" w:rsidRDefault="00FC0587" w:rsidP="00306E7F">
            <w:pPr>
              <w:spacing w:after="160" w:line="259" w:lineRule="auto"/>
              <w:ind w:left="135" w:right="127"/>
              <w:rPr>
                <w:sz w:val="20"/>
                <w:szCs w:val="20"/>
                <w:lang w:bidi="en-US"/>
              </w:rPr>
            </w:pPr>
            <w:r w:rsidRPr="00414359">
              <w:rPr>
                <w:sz w:val="20"/>
                <w:szCs w:val="20"/>
                <w:lang w:bidi="en-US"/>
              </w:rPr>
              <w:t>Is the behaviour being reinforced (encouraged) because staff engage with it</w:t>
            </w:r>
            <w:r>
              <w:rPr>
                <w:sz w:val="20"/>
                <w:szCs w:val="20"/>
                <w:lang w:bidi="en-US"/>
              </w:rPr>
              <w:t xml:space="preserve"> or respond to it somehow</w:t>
            </w:r>
            <w:r w:rsidRPr="00414359">
              <w:rPr>
                <w:sz w:val="20"/>
                <w:szCs w:val="20"/>
                <w:lang w:bidi="en-US"/>
              </w:rPr>
              <w:t>?</w:t>
            </w:r>
          </w:p>
        </w:tc>
      </w:tr>
      <w:tr w:rsidR="00FC0587" w:rsidRPr="00414359" w14:paraId="7864912B" w14:textId="77777777" w:rsidTr="00FC0587">
        <w:trPr>
          <w:trHeight w:val="570"/>
        </w:trPr>
        <w:tc>
          <w:tcPr>
            <w:tcW w:w="2268"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50E0AEF0" w14:textId="77777777" w:rsidR="00FC0587" w:rsidRPr="00414359" w:rsidRDefault="00FC0587" w:rsidP="00306E7F">
            <w:pPr>
              <w:spacing w:after="160" w:line="259" w:lineRule="auto"/>
              <w:ind w:left="133" w:right="124"/>
              <w:rPr>
                <w:sz w:val="20"/>
                <w:szCs w:val="20"/>
                <w:lang w:bidi="en-US"/>
              </w:rPr>
            </w:pPr>
            <w:r>
              <w:rPr>
                <w:sz w:val="20"/>
                <w:szCs w:val="20"/>
                <w:lang w:bidi="en-US"/>
              </w:rPr>
              <w:t>Arrival in classroom each morning</w:t>
            </w:r>
            <w:r w:rsidRPr="00414359">
              <w:rPr>
                <w:sz w:val="20"/>
                <w:szCs w:val="20"/>
                <w:lang w:bidi="en-US"/>
              </w:rPr>
              <w:t xml:space="preserve"> </w:t>
            </w:r>
          </w:p>
        </w:tc>
        <w:tc>
          <w:tcPr>
            <w:tcW w:w="2835"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56A410C4" w14:textId="77777777" w:rsidR="00FC0587" w:rsidRPr="00414359" w:rsidRDefault="00FC0587" w:rsidP="00306E7F">
            <w:pPr>
              <w:spacing w:after="160" w:line="259" w:lineRule="auto"/>
              <w:ind w:left="132" w:right="124"/>
              <w:rPr>
                <w:sz w:val="20"/>
                <w:szCs w:val="20"/>
                <w:lang w:bidi="en-US"/>
              </w:rPr>
            </w:pPr>
            <w:r w:rsidRPr="00414359">
              <w:rPr>
                <w:sz w:val="20"/>
                <w:szCs w:val="20"/>
                <w:lang w:bidi="en-US"/>
              </w:rPr>
              <w:t xml:space="preserve">Student </w:t>
            </w:r>
            <w:r>
              <w:rPr>
                <w:sz w:val="20"/>
                <w:szCs w:val="20"/>
                <w:lang w:bidi="en-US"/>
              </w:rPr>
              <w:t>asked</w:t>
            </w:r>
            <w:r w:rsidRPr="00414359">
              <w:rPr>
                <w:sz w:val="20"/>
                <w:szCs w:val="20"/>
                <w:lang w:bidi="en-US"/>
              </w:rPr>
              <w:t xml:space="preserve"> to </w:t>
            </w:r>
            <w:r>
              <w:rPr>
                <w:sz w:val="20"/>
                <w:szCs w:val="20"/>
                <w:lang w:bidi="en-US"/>
              </w:rPr>
              <w:t xml:space="preserve">sit in circle and the teacher places their hand on the student’s shoulder as a prompt </w:t>
            </w:r>
          </w:p>
        </w:tc>
        <w:tc>
          <w:tcPr>
            <w:tcW w:w="2127"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6F241866" w14:textId="77777777" w:rsidR="00FC0587" w:rsidRPr="00414359" w:rsidRDefault="00FC0587" w:rsidP="00306E7F">
            <w:pPr>
              <w:spacing w:after="160" w:line="259" w:lineRule="auto"/>
              <w:ind w:left="132" w:right="130"/>
              <w:rPr>
                <w:sz w:val="20"/>
                <w:szCs w:val="20"/>
                <w:lang w:bidi="en-US"/>
              </w:rPr>
            </w:pPr>
            <w:r w:rsidRPr="00414359">
              <w:rPr>
                <w:sz w:val="20"/>
                <w:szCs w:val="20"/>
                <w:lang w:bidi="en-US"/>
              </w:rPr>
              <w:t xml:space="preserve">Student </w:t>
            </w:r>
            <w:r>
              <w:rPr>
                <w:sz w:val="20"/>
                <w:szCs w:val="20"/>
                <w:lang w:bidi="en-US"/>
              </w:rPr>
              <w:t>bites teacher on the forearm</w:t>
            </w:r>
          </w:p>
        </w:tc>
        <w:tc>
          <w:tcPr>
            <w:tcW w:w="2409" w:type="dxa"/>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p w14:paraId="56C90228" w14:textId="77777777" w:rsidR="00FC0587" w:rsidRPr="00414359" w:rsidRDefault="00FC0587" w:rsidP="00306E7F">
            <w:pPr>
              <w:spacing w:after="160" w:line="259" w:lineRule="auto"/>
              <w:ind w:left="135" w:right="127"/>
              <w:rPr>
                <w:sz w:val="20"/>
                <w:szCs w:val="20"/>
                <w:lang w:bidi="en-US"/>
              </w:rPr>
            </w:pPr>
            <w:r>
              <w:rPr>
                <w:sz w:val="20"/>
                <w:szCs w:val="20"/>
                <w:lang w:bidi="en-US"/>
              </w:rPr>
              <w:t xml:space="preserve">Teacher tells the student they can sit at their desk   </w:t>
            </w:r>
          </w:p>
        </w:tc>
      </w:tr>
    </w:tbl>
    <w:p w14:paraId="37A07A3A" w14:textId="2EC03D27" w:rsidR="004E5A31" w:rsidRDefault="004E5A31" w:rsidP="00C22AC2">
      <w:pPr>
        <w:rPr>
          <w:lang w:val="en-AU"/>
        </w:rPr>
      </w:pPr>
    </w:p>
    <w:p w14:paraId="5CF1C540" w14:textId="77777777" w:rsidR="002F2AE3" w:rsidRDefault="002F2AE3" w:rsidP="002F2AE3">
      <w:pPr>
        <w:spacing w:line="276" w:lineRule="auto"/>
      </w:pPr>
      <w:r w:rsidRPr="00222149">
        <w:rPr>
          <w:i/>
          <w:iCs/>
        </w:rPr>
        <w:t>Interpretation:</w:t>
      </w:r>
      <w:r>
        <w:t xml:space="preserve"> The student bites the teacher when given a non-preferred direction to sit in the circle. </w:t>
      </w:r>
      <w:r w:rsidRPr="00222149">
        <w:rPr>
          <w:i/>
          <w:iCs/>
        </w:rPr>
        <w:t>Hypothesised function:</w:t>
      </w:r>
      <w:r>
        <w:t xml:space="preserve"> Escape (the student is permitted to sit elsewhere, thereby escaping the teacher’s request). </w:t>
      </w:r>
      <w:r w:rsidRPr="00222149">
        <w:rPr>
          <w:i/>
          <w:iCs/>
        </w:rPr>
        <w:t>Possible immediate proactive strategy:</w:t>
      </w:r>
      <w:r>
        <w:t xml:space="preserve"> (1) Prompt the student to sit in circle using appropriate communication method and without physical prompt. Reinforce appropriately for sitting in circle. (2) If the student does not sit in circle, ask the student where they would like to sit. Reinforce choice appropriately. (3) Avoid physical contact with the student when giving an instruction. </w:t>
      </w:r>
      <w:r w:rsidRPr="00222149">
        <w:rPr>
          <w:i/>
          <w:iCs/>
        </w:rPr>
        <w:t>Rationale for strategy:</w:t>
      </w:r>
      <w:r>
        <w:t xml:space="preserve"> Avoids possible injury to teacher by removing antecedent to student’s behaviour; maximises student cooperation. </w:t>
      </w:r>
    </w:p>
    <w:p w14:paraId="75442AB7" w14:textId="6F530FE7" w:rsidR="002A6AEA" w:rsidRPr="00624A55" w:rsidRDefault="002A6AEA" w:rsidP="002A6AEA">
      <w:pPr>
        <w:pStyle w:val="Heading2"/>
        <w:rPr>
          <w:lang w:val="en-AU"/>
        </w:rPr>
      </w:pPr>
      <w:r>
        <w:rPr>
          <w:lang w:val="en-AU"/>
        </w:rPr>
        <w:t>responding to biting</w:t>
      </w:r>
    </w:p>
    <w:p w14:paraId="6DC6A8B7" w14:textId="77777777" w:rsidR="00A55051" w:rsidRPr="009C29DB" w:rsidRDefault="00A55051" w:rsidP="00A55051">
      <w:pPr>
        <w:spacing w:line="276" w:lineRule="auto"/>
      </w:pPr>
      <w:r w:rsidRPr="009C29DB">
        <w:t xml:space="preserve">Responding to </w:t>
      </w:r>
      <w:r>
        <w:t>biting</w:t>
      </w:r>
      <w:r w:rsidRPr="009C29DB">
        <w:t xml:space="preserve"> will include prevention and intervention strategies. These focus on making changes to prevent </w:t>
      </w:r>
      <w:r>
        <w:t>biting</w:t>
      </w:r>
      <w:r w:rsidRPr="009C29DB">
        <w:t xml:space="preserve"> from happening. </w:t>
      </w:r>
      <w:r>
        <w:t xml:space="preserve">The strategies must target the purpose or function of the biting. </w:t>
      </w:r>
      <w:r w:rsidRPr="009C29DB">
        <w:t xml:space="preserve">Using your understanding of the </w:t>
      </w:r>
      <w:r>
        <w:t>biting,</w:t>
      </w:r>
      <w:r w:rsidRPr="009C29DB">
        <w:t xml:space="preserve"> these strategies might include:</w:t>
      </w:r>
    </w:p>
    <w:p w14:paraId="79436D09" w14:textId="77777777" w:rsidR="00A55051" w:rsidRPr="009C29DB" w:rsidRDefault="00A55051" w:rsidP="0025755E">
      <w:pPr>
        <w:pStyle w:val="ListParagraph"/>
        <w:numPr>
          <w:ilvl w:val="0"/>
          <w:numId w:val="22"/>
        </w:numPr>
        <w:spacing w:line="276" w:lineRule="auto"/>
        <w:ind w:left="284" w:hanging="284"/>
      </w:pPr>
      <w:r>
        <w:t>If the function of the behaviour is to gain attention, e</w:t>
      </w:r>
      <w:r w:rsidRPr="009C29DB">
        <w:t>ncourag</w:t>
      </w:r>
      <w:r>
        <w:t>ing</w:t>
      </w:r>
      <w:r w:rsidRPr="009C29DB">
        <w:t xml:space="preserve"> appropriate behaviour by withholding social attention. For instance, </w:t>
      </w:r>
      <w:r>
        <w:rPr>
          <w:lang w:bidi="en-US"/>
        </w:rPr>
        <w:t>s</w:t>
      </w:r>
      <w:r w:rsidRPr="0040669E">
        <w:rPr>
          <w:lang w:bidi="en-US"/>
        </w:rPr>
        <w:t xml:space="preserve">taff </w:t>
      </w:r>
      <w:r w:rsidRPr="009C29DB">
        <w:rPr>
          <w:lang w:bidi="en-US"/>
        </w:rPr>
        <w:t xml:space="preserve">ignore the </w:t>
      </w:r>
      <w:r>
        <w:rPr>
          <w:lang w:bidi="en-US"/>
        </w:rPr>
        <w:t>biting</w:t>
      </w:r>
      <w:r w:rsidRPr="009C29DB">
        <w:rPr>
          <w:lang w:bidi="en-US"/>
        </w:rPr>
        <w:t xml:space="preserve"> </w:t>
      </w:r>
      <w:r>
        <w:t xml:space="preserve">and </w:t>
      </w:r>
      <w:r w:rsidRPr="009C29DB">
        <w:t xml:space="preserve">withhold </w:t>
      </w:r>
      <w:r>
        <w:t>social attention</w:t>
      </w:r>
      <w:r w:rsidRPr="009C29DB">
        <w:t xml:space="preserve"> </w:t>
      </w:r>
      <w:r>
        <w:t>which</w:t>
      </w:r>
      <w:r w:rsidRPr="009C29DB">
        <w:t xml:space="preserve"> has been identified as being </w:t>
      </w:r>
      <w:r>
        <w:t xml:space="preserve">a </w:t>
      </w:r>
      <w:r w:rsidRPr="009C29DB">
        <w:t>positive reinforce</w:t>
      </w:r>
      <w:r>
        <w:t xml:space="preserve">r for this particular student. When the student requests attention without biting or other type of challenging behaviour, the teacher provides explicit acknowledge of the student using expected behaviour and reinforces this appropriately.  </w:t>
      </w:r>
    </w:p>
    <w:p w14:paraId="2ABAFC84" w14:textId="77777777" w:rsidR="00A55051" w:rsidRPr="009C29DB" w:rsidRDefault="00A55051" w:rsidP="0025755E">
      <w:pPr>
        <w:pStyle w:val="ListParagraph"/>
        <w:numPr>
          <w:ilvl w:val="0"/>
          <w:numId w:val="22"/>
        </w:numPr>
        <w:spacing w:line="276" w:lineRule="auto"/>
        <w:ind w:left="284" w:hanging="284"/>
      </w:pPr>
      <w:r w:rsidRPr="009C29DB">
        <w:t xml:space="preserve">Changing the student’s activities to include a </w:t>
      </w:r>
      <w:hyperlink r:id="rId13" w:history="1">
        <w:r w:rsidRPr="009C29DB">
          <w:rPr>
            <w:rStyle w:val="Hyperlink"/>
          </w:rPr>
          <w:t>story-based intervention</w:t>
        </w:r>
      </w:hyperlink>
      <w:r w:rsidRPr="009C29DB">
        <w:t xml:space="preserve"> with self-modelling. This activity </w:t>
      </w:r>
      <w:r>
        <w:t>concentrates</w:t>
      </w:r>
      <w:r w:rsidRPr="009C29DB">
        <w:t xml:space="preserve"> the student’s attention on appropriate replacement behaviours. The activity might include showing </w:t>
      </w:r>
      <w:r>
        <w:t xml:space="preserve">the </w:t>
      </w:r>
      <w:r w:rsidRPr="009C29DB">
        <w:t xml:space="preserve">visual reactions to the student’s </w:t>
      </w:r>
      <w:r>
        <w:t>biting</w:t>
      </w:r>
      <w:r w:rsidRPr="009C29DB">
        <w:t xml:space="preserve"> to demonstrate its impact</w:t>
      </w:r>
      <w:r>
        <w:t xml:space="preserve"> on </w:t>
      </w:r>
      <w:r>
        <w:lastRenderedPageBreak/>
        <w:t>others</w:t>
      </w:r>
      <w:r w:rsidRPr="009C29DB">
        <w:t>,</w:t>
      </w:r>
      <w:r>
        <w:t xml:space="preserve"> and</w:t>
      </w:r>
      <w:r w:rsidRPr="009C29DB">
        <w:t xml:space="preserve"> a previously identified reinforce</w:t>
      </w:r>
      <w:r>
        <w:t>r</w:t>
      </w:r>
      <w:r w:rsidRPr="009C29DB">
        <w:t xml:space="preserve"> such as verbal praise given when the student participates in the activity</w:t>
      </w:r>
      <w:r>
        <w:t xml:space="preserve">, such as </w:t>
      </w:r>
      <w:r>
        <w:rPr>
          <w:lang w:bidi="en-US"/>
        </w:rPr>
        <w:t>sitting in the circle</w:t>
      </w:r>
      <w:r w:rsidRPr="0040669E">
        <w:rPr>
          <w:lang w:bidi="en-US"/>
        </w:rPr>
        <w:t xml:space="preserve"> </w:t>
      </w:r>
      <w:r>
        <w:rPr>
          <w:lang w:bidi="en-US"/>
        </w:rPr>
        <w:t xml:space="preserve">when prompted to </w:t>
      </w:r>
      <w:r w:rsidRPr="0040669E">
        <w:rPr>
          <w:lang w:bidi="en-US"/>
        </w:rPr>
        <w:t>by staff</w:t>
      </w:r>
      <w:r w:rsidRPr="009C29DB">
        <w:t>.</w:t>
      </w:r>
    </w:p>
    <w:p w14:paraId="62760C5F" w14:textId="77777777" w:rsidR="00A55051" w:rsidRPr="009C29DB" w:rsidRDefault="00A55051" w:rsidP="0025755E">
      <w:pPr>
        <w:pStyle w:val="ListParagraph"/>
        <w:numPr>
          <w:ilvl w:val="0"/>
          <w:numId w:val="22"/>
        </w:numPr>
        <w:spacing w:line="276" w:lineRule="auto"/>
        <w:ind w:left="284" w:hanging="284"/>
      </w:pPr>
      <w:r w:rsidRPr="009C29DB">
        <w:t xml:space="preserve">Disrupting the student’s behaviour pattern </w:t>
      </w:r>
      <w:r>
        <w:t>in advance of a behavioural incident</w:t>
      </w:r>
      <w:r w:rsidRPr="009C29DB">
        <w:t>.</w:t>
      </w:r>
      <w:r>
        <w:t xml:space="preserve"> This requires careful monitoring of the student and understanding their patterns of behaviour.</w:t>
      </w:r>
    </w:p>
    <w:p w14:paraId="65C59018" w14:textId="77777777" w:rsidR="00A55051" w:rsidRPr="009C29DB" w:rsidRDefault="00A55051" w:rsidP="0025755E">
      <w:pPr>
        <w:pStyle w:val="ListParagraph"/>
        <w:numPr>
          <w:ilvl w:val="0"/>
          <w:numId w:val="22"/>
        </w:numPr>
        <w:spacing w:line="276" w:lineRule="auto"/>
        <w:ind w:left="284" w:hanging="284"/>
      </w:pPr>
      <w:r w:rsidRPr="009C29DB">
        <w:t xml:space="preserve">Teaching the student replacement behaviours for </w:t>
      </w:r>
      <w:r>
        <w:t>biting</w:t>
      </w:r>
      <w:r w:rsidRPr="009C29DB">
        <w:t xml:space="preserve">. That is, teaching the student how to </w:t>
      </w:r>
      <w:r>
        <w:t xml:space="preserve">escape an activity or </w:t>
      </w:r>
      <w:r w:rsidRPr="009C29DB">
        <w:t xml:space="preserve">gain attention in more acceptable </w:t>
      </w:r>
      <w:r>
        <w:t>ways</w:t>
      </w:r>
      <w:r w:rsidRPr="009C29DB">
        <w:t xml:space="preserve"> such as</w:t>
      </w:r>
      <w:r>
        <w:t xml:space="preserve"> saying no or </w:t>
      </w:r>
      <w:r w:rsidRPr="009C29DB">
        <w:t>raising an arm to summon staff.</w:t>
      </w:r>
      <w:r>
        <w:t xml:space="preserve"> The student must be positively </w:t>
      </w:r>
      <w:r w:rsidRPr="009C29DB">
        <w:t>reinforce</w:t>
      </w:r>
      <w:r>
        <w:t xml:space="preserve">d, for example, given specific verbal praise, for using the </w:t>
      </w:r>
      <w:r w:rsidRPr="009C29DB">
        <w:t xml:space="preserve">replacement behaviour for </w:t>
      </w:r>
      <w:r>
        <w:t>biting</w:t>
      </w:r>
      <w:r w:rsidRPr="009C29DB">
        <w:t>.</w:t>
      </w:r>
    </w:p>
    <w:p w14:paraId="30CA128B" w14:textId="19D514C7" w:rsidR="00440650" w:rsidRPr="00624A55" w:rsidRDefault="00561302" w:rsidP="00440650">
      <w:pPr>
        <w:pStyle w:val="Heading2"/>
        <w:rPr>
          <w:lang w:val="en-AU"/>
        </w:rPr>
      </w:pPr>
      <w:r>
        <w:rPr>
          <w:lang w:val="en-AU"/>
        </w:rPr>
        <w:t>risk prevention in specialist schools</w:t>
      </w:r>
    </w:p>
    <w:p w14:paraId="30922C38" w14:textId="25BE6CDB" w:rsidR="00DC0B7F" w:rsidRDefault="00DC0B7F" w:rsidP="00DC0B7F">
      <w:pPr>
        <w:spacing w:line="276" w:lineRule="auto"/>
      </w:pPr>
      <w:r>
        <w:t xml:space="preserve">The </w:t>
      </w:r>
      <w:hyperlink r:id="rId14" w:history="1">
        <w:r w:rsidRPr="00B45004">
          <w:rPr>
            <w:rStyle w:val="Hyperlink"/>
          </w:rPr>
          <w:t>Health, Safety and Wellbeing Policy</w:t>
        </w:r>
      </w:hyperlink>
      <w:r>
        <w:t xml:space="preserve"> recognises that every employee has the right to workplace health and safety, and that </w:t>
      </w:r>
      <w:r w:rsidRPr="009C29DB">
        <w:t>employee health</w:t>
      </w:r>
      <w:r>
        <w:t xml:space="preserve">, </w:t>
      </w:r>
      <w:r w:rsidRPr="009C29DB">
        <w:t xml:space="preserve">safety </w:t>
      </w:r>
      <w:r>
        <w:t xml:space="preserve">and wellbeing is essential for achieving excellent educational and work performance outcomes. </w:t>
      </w:r>
    </w:p>
    <w:p w14:paraId="77714F13" w14:textId="03D5EB34" w:rsidR="00DC0B7F" w:rsidRDefault="00DC0B7F" w:rsidP="00DC0B7F">
      <w:pPr>
        <w:spacing w:line="276" w:lineRule="auto"/>
      </w:pPr>
      <w:r w:rsidRPr="009C29DB">
        <w:t xml:space="preserve">When a student </w:t>
      </w:r>
      <w:r w:rsidR="006F63E4">
        <w:t>bites</w:t>
      </w:r>
      <w:r w:rsidRPr="009C29DB">
        <w:t>, the immediate focus should be on</w:t>
      </w:r>
      <w:r>
        <w:t xml:space="preserve"> making sure that everyone is safe and</w:t>
      </w:r>
      <w:r w:rsidRPr="009C29DB">
        <w:t xml:space="preserve"> supporting the student through the behavioural episode whilst making sure that nothing is done to accidently reinforce their behaviour.</w:t>
      </w:r>
    </w:p>
    <w:p w14:paraId="1FF6DFBB" w14:textId="2E3A0633" w:rsidR="002F2AE3" w:rsidRDefault="00DC0B7F" w:rsidP="00DC0B7F">
      <w:r w:rsidRPr="009C29DB">
        <w:t xml:space="preserve">Specialist schools must control, as much as possible, </w:t>
      </w:r>
      <w:hyperlink r:id="rId15" w:history="1">
        <w:r w:rsidRPr="003C0AA3">
          <w:rPr>
            <w:rStyle w:val="Hyperlink"/>
          </w:rPr>
          <w:t>the risks to employees from student challenging behaviour</w:t>
        </w:r>
      </w:hyperlink>
      <w:r w:rsidRPr="009C29DB">
        <w:t>.</w:t>
      </w:r>
    </w:p>
    <w:p w14:paraId="10E682F1" w14:textId="77777777" w:rsidR="00EE6A2E" w:rsidRDefault="00EE6A2E" w:rsidP="006D5BEC">
      <w:pPr>
        <w:rPr>
          <w:rFonts w:asciiTheme="majorHAnsi" w:eastAsiaTheme="majorEastAsia" w:hAnsiTheme="majorHAnsi" w:cstheme="majorBidi"/>
          <w:b/>
          <w:caps/>
          <w:color w:val="004EA8" w:themeColor="accent1"/>
          <w:sz w:val="26"/>
          <w:szCs w:val="26"/>
          <w:lang w:val="en-AU"/>
        </w:rPr>
      </w:pPr>
      <w:r w:rsidRPr="00EE6A2E">
        <w:rPr>
          <w:rFonts w:asciiTheme="majorHAnsi" w:eastAsiaTheme="majorEastAsia" w:hAnsiTheme="majorHAnsi" w:cstheme="majorBidi"/>
          <w:b/>
          <w:caps/>
          <w:color w:val="004EA8" w:themeColor="accent1"/>
          <w:sz w:val="26"/>
          <w:szCs w:val="26"/>
          <w:lang w:val="en-AU"/>
        </w:rPr>
        <w:t>PRACTICAL TIPS FOR WORKING WITH STUDENTS WHO REGULARLY BITE</w:t>
      </w:r>
    </w:p>
    <w:p w14:paraId="339033DB" w14:textId="77777777" w:rsidR="0025755E" w:rsidRPr="009C29DB" w:rsidRDefault="0025755E" w:rsidP="0025755E">
      <w:pPr>
        <w:pStyle w:val="ListParagraph"/>
        <w:numPr>
          <w:ilvl w:val="0"/>
          <w:numId w:val="23"/>
        </w:numPr>
        <w:spacing w:line="276" w:lineRule="auto"/>
      </w:pPr>
      <w:r w:rsidRPr="009C29DB">
        <w:t xml:space="preserve">Allocate back-up staff who could make themselves available to temporarily support the student while </w:t>
      </w:r>
      <w:r>
        <w:t>another</w:t>
      </w:r>
      <w:r w:rsidRPr="009C29DB">
        <w:t xml:space="preserve"> staff member </w:t>
      </w:r>
      <w:r>
        <w:t>attends to their injury.</w:t>
      </w:r>
      <w:r w:rsidRPr="009C29DB">
        <w:t xml:space="preserve">  </w:t>
      </w:r>
    </w:p>
    <w:p w14:paraId="3E222E47" w14:textId="77777777" w:rsidR="0025755E" w:rsidRPr="009C29DB" w:rsidRDefault="0025755E" w:rsidP="0025755E">
      <w:pPr>
        <w:pStyle w:val="ListParagraph"/>
        <w:numPr>
          <w:ilvl w:val="0"/>
          <w:numId w:val="23"/>
        </w:numPr>
        <w:spacing w:line="276" w:lineRule="auto"/>
      </w:pPr>
      <w:r w:rsidRPr="009C29DB">
        <w:t>Document and communicate handover procedures to all staff working with the student. Include a checklist of steps to follow before and after working with the student</w:t>
      </w:r>
      <w:r>
        <w:t xml:space="preserve">. </w:t>
      </w:r>
    </w:p>
    <w:p w14:paraId="40562BD7" w14:textId="77777777" w:rsidR="0025755E" w:rsidRPr="009C29DB" w:rsidRDefault="0025755E" w:rsidP="0025755E">
      <w:pPr>
        <w:pStyle w:val="ListParagraph"/>
        <w:numPr>
          <w:ilvl w:val="0"/>
          <w:numId w:val="23"/>
        </w:numPr>
        <w:spacing w:line="276" w:lineRule="auto"/>
      </w:pPr>
      <w:r w:rsidRPr="009C29DB">
        <w:t xml:space="preserve">Collect </w:t>
      </w:r>
      <w:hyperlink r:id="rId16" w:history="1">
        <w:r w:rsidRPr="00583439">
          <w:rPr>
            <w:rStyle w:val="Hyperlink"/>
          </w:rPr>
          <w:t>ABC data</w:t>
        </w:r>
      </w:hyperlink>
      <w:r w:rsidRPr="009C29DB">
        <w:t xml:space="preserve"> by one or more staff members who frequently work or interact with the student. Data informed decisions </w:t>
      </w:r>
      <w:r>
        <w:t>are necessary to develop effective strategies.</w:t>
      </w:r>
    </w:p>
    <w:p w14:paraId="44DCACF9" w14:textId="77777777" w:rsidR="0025755E" w:rsidRPr="009C29DB" w:rsidRDefault="0025755E" w:rsidP="0025755E">
      <w:pPr>
        <w:pStyle w:val="ListParagraph"/>
        <w:numPr>
          <w:ilvl w:val="0"/>
          <w:numId w:val="23"/>
        </w:numPr>
        <w:spacing w:line="276" w:lineRule="auto"/>
      </w:pPr>
      <w:r>
        <w:t>Ensure the</w:t>
      </w:r>
      <w:r w:rsidRPr="009C29DB">
        <w:t xml:space="preserve"> </w:t>
      </w:r>
      <w:r>
        <w:t>BSP</w:t>
      </w:r>
      <w:r w:rsidRPr="009C29DB">
        <w:t xml:space="preserve"> </w:t>
      </w:r>
      <w:r>
        <w:t>is being used</w:t>
      </w:r>
      <w:r w:rsidRPr="009C29DB">
        <w:t xml:space="preserve"> accurate</w:t>
      </w:r>
      <w:r>
        <w:t xml:space="preserve">ly </w:t>
      </w:r>
      <w:r w:rsidRPr="009C29DB">
        <w:t>by staff</w:t>
      </w:r>
      <w:r>
        <w:t xml:space="preserve"> by regularly observing if staff are implementing the plan as it is written and providing feedback and coaching as necessary.</w:t>
      </w:r>
    </w:p>
    <w:p w14:paraId="60E4AC70" w14:textId="77777777" w:rsidR="0025755E" w:rsidRPr="009C29DB" w:rsidRDefault="0025755E" w:rsidP="0025755E">
      <w:pPr>
        <w:pStyle w:val="ListParagraph"/>
        <w:numPr>
          <w:ilvl w:val="0"/>
          <w:numId w:val="23"/>
        </w:numPr>
        <w:spacing w:line="276" w:lineRule="auto"/>
      </w:pPr>
      <w:r w:rsidRPr="009C29DB">
        <w:t xml:space="preserve">Ensure resources needed to support the student, and keep staff safe, are readily available when needed. This might </w:t>
      </w:r>
      <w:r>
        <w:t xml:space="preserve">include easy access to first aid supplies. </w:t>
      </w:r>
    </w:p>
    <w:p w14:paraId="3FB838AD" w14:textId="77777777" w:rsidR="0025755E" w:rsidRPr="009C29DB" w:rsidRDefault="0025755E" w:rsidP="0025755E">
      <w:pPr>
        <w:pStyle w:val="ListParagraph"/>
        <w:numPr>
          <w:ilvl w:val="0"/>
          <w:numId w:val="23"/>
        </w:numPr>
        <w:spacing w:line="276" w:lineRule="auto"/>
      </w:pPr>
      <w:r>
        <w:t xml:space="preserve">Offer support </w:t>
      </w:r>
      <w:r w:rsidRPr="009C29DB">
        <w:t xml:space="preserve">to staff </w:t>
      </w:r>
      <w:r>
        <w:t>impacted</w:t>
      </w:r>
      <w:r w:rsidRPr="009C29DB">
        <w:t xml:space="preserve"> by </w:t>
      </w:r>
      <w:r>
        <w:t xml:space="preserve">the student’s behaviour. </w:t>
      </w:r>
      <w:r w:rsidRPr="009C29DB">
        <w:t xml:space="preserve">Refer to </w:t>
      </w:r>
      <w:hyperlink r:id="rId17" w:history="1">
        <w:r w:rsidRPr="00C2797C">
          <w:rPr>
            <w:rStyle w:val="Hyperlink"/>
          </w:rPr>
          <w:t>Employee Health, Safety and Wellbeing Services</w:t>
        </w:r>
      </w:hyperlink>
      <w:r w:rsidRPr="00C2797C">
        <w:t xml:space="preserve"> </w:t>
      </w:r>
      <w:r>
        <w:t>for more information.</w:t>
      </w:r>
    </w:p>
    <w:p w14:paraId="19632595" w14:textId="245C7231" w:rsidR="0025755E" w:rsidRDefault="0025755E" w:rsidP="0025755E">
      <w:pPr>
        <w:pStyle w:val="ListParagraph"/>
        <w:numPr>
          <w:ilvl w:val="0"/>
          <w:numId w:val="23"/>
        </w:numPr>
        <w:spacing w:line="276" w:lineRule="auto"/>
      </w:pPr>
      <w:r w:rsidRPr="009C29DB">
        <w:t xml:space="preserve">Consider whether staff require additional training in </w:t>
      </w:r>
      <w:r>
        <w:t>data collection and interpretation, devising an intervention etc.</w:t>
      </w:r>
      <w:r w:rsidRPr="009C29DB">
        <w:t xml:space="preserve"> </w:t>
      </w:r>
    </w:p>
    <w:p w14:paraId="49616CB1" w14:textId="77777777" w:rsidR="000269A2" w:rsidRPr="009C29DB" w:rsidRDefault="000269A2" w:rsidP="000269A2">
      <w:pPr>
        <w:pStyle w:val="ListParagraph"/>
        <w:numPr>
          <w:ilvl w:val="0"/>
          <w:numId w:val="23"/>
        </w:numPr>
        <w:spacing w:line="276" w:lineRule="auto"/>
      </w:pPr>
      <w:r>
        <w:t xml:space="preserve">Ensure </w:t>
      </w:r>
      <w:r w:rsidRPr="009C29DB">
        <w:t xml:space="preserve">there </w:t>
      </w:r>
      <w:r>
        <w:t xml:space="preserve">is </w:t>
      </w:r>
      <w:r w:rsidRPr="009C29DB">
        <w:t>a review process for incidents</w:t>
      </w:r>
      <w:r>
        <w:t xml:space="preserve"> that considers the data, and whether the identified function of the behaviour continues to be accurate, the reinforcer continues to be effective and strategies are being used by staff in line with the BSP.</w:t>
      </w:r>
    </w:p>
    <w:p w14:paraId="6D14AF6A" w14:textId="7EAFCB44" w:rsidR="00BE1977" w:rsidRPr="00BE1977" w:rsidRDefault="00BE1977" w:rsidP="00BE1977">
      <w:pPr>
        <w:rPr>
          <w:rFonts w:asciiTheme="majorHAnsi" w:eastAsiaTheme="majorEastAsia" w:hAnsiTheme="majorHAnsi" w:cstheme="majorBidi"/>
          <w:b/>
          <w:caps/>
          <w:color w:val="004EA8" w:themeColor="accent1"/>
          <w:sz w:val="26"/>
          <w:szCs w:val="26"/>
        </w:rPr>
      </w:pPr>
      <w:r>
        <w:rPr>
          <w:rFonts w:asciiTheme="majorHAnsi" w:eastAsiaTheme="majorEastAsia" w:hAnsiTheme="majorHAnsi" w:cstheme="majorBidi"/>
          <w:b/>
          <w:caps/>
          <w:color w:val="004EA8" w:themeColor="accent1"/>
          <w:sz w:val="26"/>
          <w:szCs w:val="26"/>
        </w:rPr>
        <w:t>what to do if you have been bitten</w:t>
      </w:r>
    </w:p>
    <w:p w14:paraId="3E0F397A" w14:textId="77777777" w:rsidR="00D2182A" w:rsidRPr="009C29DB" w:rsidRDefault="00D2182A" w:rsidP="00D2182A">
      <w:pPr>
        <w:spacing w:line="276" w:lineRule="auto"/>
      </w:pPr>
      <w:r>
        <w:t>S</w:t>
      </w:r>
      <w:r w:rsidRPr="009C29DB">
        <w:t>taff should take the following steps immediately:</w:t>
      </w:r>
    </w:p>
    <w:p w14:paraId="691CD5E2" w14:textId="77777777" w:rsidR="00D2182A" w:rsidRPr="009C29DB" w:rsidRDefault="00D2182A" w:rsidP="00D2182A">
      <w:pPr>
        <w:pStyle w:val="ListParagraph"/>
        <w:numPr>
          <w:ilvl w:val="0"/>
          <w:numId w:val="18"/>
        </w:numPr>
        <w:spacing w:line="276" w:lineRule="auto"/>
      </w:pPr>
      <w:r w:rsidRPr="009C29DB">
        <w:t xml:space="preserve">Handover the student to another staff member for </w:t>
      </w:r>
      <w:r>
        <w:t>support</w:t>
      </w:r>
      <w:r w:rsidRPr="009C29DB">
        <w:t xml:space="preserve"> </w:t>
      </w:r>
    </w:p>
    <w:p w14:paraId="124633C5" w14:textId="006F0E0D" w:rsidR="00D2182A" w:rsidRDefault="00D2182A" w:rsidP="00D2182A">
      <w:pPr>
        <w:pStyle w:val="ListParagraph"/>
        <w:numPr>
          <w:ilvl w:val="0"/>
          <w:numId w:val="18"/>
        </w:numPr>
        <w:spacing w:line="276" w:lineRule="auto"/>
      </w:pPr>
      <w:r w:rsidRPr="009C29DB">
        <w:t xml:space="preserve">Refer to </w:t>
      </w:r>
      <w:hyperlink r:id="rId18" w:history="1">
        <w:r w:rsidRPr="003C0AA3">
          <w:rPr>
            <w:rStyle w:val="Hyperlink"/>
          </w:rPr>
          <w:t>First Aid and Infection Control</w:t>
        </w:r>
      </w:hyperlink>
    </w:p>
    <w:p w14:paraId="3F7AC2A5" w14:textId="2835EA64" w:rsidR="00A55A4B" w:rsidRPr="009C29DB" w:rsidRDefault="00A55A4B" w:rsidP="00D2182A">
      <w:pPr>
        <w:pStyle w:val="ListParagraph"/>
        <w:numPr>
          <w:ilvl w:val="0"/>
          <w:numId w:val="18"/>
        </w:numPr>
        <w:spacing w:line="276" w:lineRule="auto"/>
      </w:pPr>
      <w:r>
        <w:t xml:space="preserve">Refer to the </w:t>
      </w:r>
      <w:hyperlink r:id="rId19" w:history="1">
        <w:r w:rsidR="00B23074" w:rsidRPr="00B23074">
          <w:rPr>
            <w:rStyle w:val="Hyperlink"/>
          </w:rPr>
          <w:t>Occupational Violence and Aggression in Schools Post Incident Checklist</w:t>
        </w:r>
      </w:hyperlink>
      <w:r w:rsidR="00B23074">
        <w:t xml:space="preserve"> </w:t>
      </w:r>
    </w:p>
    <w:p w14:paraId="09958D7B" w14:textId="77777777" w:rsidR="000269A2" w:rsidRPr="009C29DB" w:rsidRDefault="000269A2" w:rsidP="00BE1977">
      <w:pPr>
        <w:spacing w:line="276" w:lineRule="auto"/>
      </w:pPr>
    </w:p>
    <w:p w14:paraId="030CAAF2" w14:textId="2EC76C3D" w:rsidR="006D5BEC" w:rsidRDefault="006D5BEC" w:rsidP="0025755E">
      <w:pPr>
        <w:rPr>
          <w:lang w:val="en-AU"/>
        </w:rPr>
      </w:pPr>
    </w:p>
    <w:sectPr w:rsidR="006D5BEC" w:rsidSect="00985DC7">
      <w:headerReference w:type="even" r:id="rId20"/>
      <w:headerReference w:type="default" r:id="rId21"/>
      <w:footerReference w:type="even" r:id="rId22"/>
      <w:footerReference w:type="default" r:id="rId23"/>
      <w:headerReference w:type="first" r:id="rId24"/>
      <w:footerReference w:type="first" r:id="rId25"/>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12B0" w14:textId="77777777" w:rsidR="000C1FE8" w:rsidRDefault="000C1FE8" w:rsidP="003967DD">
      <w:pPr>
        <w:spacing w:after="0"/>
      </w:pPr>
      <w:r>
        <w:separator/>
      </w:r>
    </w:p>
  </w:endnote>
  <w:endnote w:type="continuationSeparator" w:id="0">
    <w:p w14:paraId="5CC42C38" w14:textId="77777777" w:rsidR="000C1FE8" w:rsidRDefault="000C1FE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0057" w14:textId="77777777" w:rsidR="000C1FE8" w:rsidRDefault="000C1FE8" w:rsidP="003967DD">
      <w:pPr>
        <w:spacing w:after="0"/>
      </w:pPr>
      <w:r>
        <w:separator/>
      </w:r>
    </w:p>
  </w:footnote>
  <w:footnote w:type="continuationSeparator" w:id="0">
    <w:p w14:paraId="0BADA48E" w14:textId="77777777" w:rsidR="000C1FE8" w:rsidRDefault="000C1FE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A66B4"/>
    <w:multiLevelType w:val="hybridMultilevel"/>
    <w:tmpl w:val="9C3A0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5B3CC9"/>
    <w:multiLevelType w:val="hybridMultilevel"/>
    <w:tmpl w:val="3936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B320ED"/>
    <w:multiLevelType w:val="hybridMultilevel"/>
    <w:tmpl w:val="CB9235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70449"/>
    <w:multiLevelType w:val="hybridMultilevel"/>
    <w:tmpl w:val="2C56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5078E"/>
    <w:multiLevelType w:val="hybridMultilevel"/>
    <w:tmpl w:val="F16082D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9C263D"/>
    <w:multiLevelType w:val="hybridMultilevel"/>
    <w:tmpl w:val="4BB23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1"/>
  </w:num>
  <w:num w:numId="14">
    <w:abstractNumId w:val="22"/>
  </w:num>
  <w:num w:numId="15">
    <w:abstractNumId w:val="14"/>
  </w:num>
  <w:num w:numId="16">
    <w:abstractNumId w:val="19"/>
  </w:num>
  <w:num w:numId="17">
    <w:abstractNumId w:val="15"/>
  </w:num>
  <w:num w:numId="18">
    <w:abstractNumId w:val="13"/>
  </w:num>
  <w:num w:numId="19">
    <w:abstractNumId w:val="11"/>
  </w:num>
  <w:num w:numId="20">
    <w:abstractNumId w:val="17"/>
  </w:num>
  <w:num w:numId="21">
    <w:abstractNumId w:val="12"/>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69A2"/>
    <w:rsid w:val="000675BF"/>
    <w:rsid w:val="000A47D4"/>
    <w:rsid w:val="000C1FE8"/>
    <w:rsid w:val="000F0B86"/>
    <w:rsid w:val="00101571"/>
    <w:rsid w:val="00122369"/>
    <w:rsid w:val="001C4396"/>
    <w:rsid w:val="001D47F6"/>
    <w:rsid w:val="0022129C"/>
    <w:rsid w:val="0025755E"/>
    <w:rsid w:val="002833E0"/>
    <w:rsid w:val="002A4A96"/>
    <w:rsid w:val="002A6AEA"/>
    <w:rsid w:val="002E3BED"/>
    <w:rsid w:val="002F2AE3"/>
    <w:rsid w:val="00312720"/>
    <w:rsid w:val="003967DD"/>
    <w:rsid w:val="003977C1"/>
    <w:rsid w:val="003C0943"/>
    <w:rsid w:val="00440650"/>
    <w:rsid w:val="0045208A"/>
    <w:rsid w:val="00497FFE"/>
    <w:rsid w:val="004B2ED6"/>
    <w:rsid w:val="004E5A31"/>
    <w:rsid w:val="004F49E2"/>
    <w:rsid w:val="00561302"/>
    <w:rsid w:val="00570D29"/>
    <w:rsid w:val="00584366"/>
    <w:rsid w:val="005D0FF4"/>
    <w:rsid w:val="00624A55"/>
    <w:rsid w:val="006765B7"/>
    <w:rsid w:val="006A25AC"/>
    <w:rsid w:val="006D5BEC"/>
    <w:rsid w:val="006E2E76"/>
    <w:rsid w:val="006F63E4"/>
    <w:rsid w:val="0071231C"/>
    <w:rsid w:val="007A6334"/>
    <w:rsid w:val="007B556E"/>
    <w:rsid w:val="007D3E38"/>
    <w:rsid w:val="008746F7"/>
    <w:rsid w:val="00877059"/>
    <w:rsid w:val="00877D85"/>
    <w:rsid w:val="008B1737"/>
    <w:rsid w:val="0094760E"/>
    <w:rsid w:val="00970EA5"/>
    <w:rsid w:val="00985DC7"/>
    <w:rsid w:val="009B4FB6"/>
    <w:rsid w:val="00A31926"/>
    <w:rsid w:val="00A55051"/>
    <w:rsid w:val="00A55A4B"/>
    <w:rsid w:val="00AF2E0F"/>
    <w:rsid w:val="00B23074"/>
    <w:rsid w:val="00B42A1B"/>
    <w:rsid w:val="00B76695"/>
    <w:rsid w:val="00B8120E"/>
    <w:rsid w:val="00BE1977"/>
    <w:rsid w:val="00C22AC2"/>
    <w:rsid w:val="00C535E2"/>
    <w:rsid w:val="00C9721E"/>
    <w:rsid w:val="00CB1473"/>
    <w:rsid w:val="00CE01D0"/>
    <w:rsid w:val="00D15A5F"/>
    <w:rsid w:val="00D2182A"/>
    <w:rsid w:val="00D62C99"/>
    <w:rsid w:val="00DC0B7F"/>
    <w:rsid w:val="00DC425A"/>
    <w:rsid w:val="00DE64A7"/>
    <w:rsid w:val="00E70AB8"/>
    <w:rsid w:val="00EE6A2E"/>
    <w:rsid w:val="00FC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4E5A31"/>
    <w:pPr>
      <w:spacing w:after="160" w:line="259" w:lineRule="auto"/>
      <w:ind w:left="720"/>
      <w:contextualSpacing/>
    </w:pPr>
    <w:rPr>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4E5A31"/>
    <w:rPr>
      <w:sz w:val="22"/>
      <w:szCs w:val="22"/>
      <w:lang w:val="en-AU"/>
    </w:rPr>
  </w:style>
  <w:style w:type="paragraph" w:styleId="BalloonText">
    <w:name w:val="Balloon Text"/>
    <w:basedOn w:val="Normal"/>
    <w:link w:val="BalloonTextChar"/>
    <w:uiPriority w:val="99"/>
    <w:semiHidden/>
    <w:unhideWhenUsed/>
    <w:rsid w:val="001015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71"/>
    <w:rPr>
      <w:rFonts w:ascii="Segoe UI" w:hAnsi="Segoe UI" w:cs="Segoe UI"/>
      <w:sz w:val="18"/>
      <w:szCs w:val="18"/>
    </w:rPr>
  </w:style>
  <w:style w:type="character" w:styleId="UnresolvedMention">
    <w:name w:val="Unresolved Mention"/>
    <w:basedOn w:val="DefaultParagraphFont"/>
    <w:uiPriority w:val="99"/>
    <w:rsid w:val="0045208A"/>
    <w:rPr>
      <w:color w:val="605E5C"/>
      <w:shd w:val="clear" w:color="auto" w:fill="E1DFDD"/>
    </w:rPr>
  </w:style>
  <w:style w:type="character" w:customStyle="1" w:styleId="rpl-text-label">
    <w:name w:val="rpl-text-label"/>
    <w:basedOn w:val="DefaultParagraphFont"/>
    <w:rsid w:val="00A55A4B"/>
  </w:style>
  <w:style w:type="character" w:customStyle="1" w:styleId="rpl-text-icongroup">
    <w:name w:val="rpl-text-icon__group"/>
    <w:basedOn w:val="DefaultParagraphFont"/>
    <w:rsid w:val="00A5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984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rautismsupport.com/classroom-tools?rcpid=933" TargetMode="External"/><Relationship Id="rId18" Type="http://schemas.openxmlformats.org/officeDocument/2006/relationships/hyperlink" Target="https://www.education.vic.gov.au/hrweb/safetyhw/Pages/firstaidohsm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app-policy-det-vic-gov-au-production.lagoon.vicsdp.amazee.io/pal/behaviour-students/guidance/7-functional-behaviour-assessment" TargetMode="External"/><Relationship Id="rId17" Type="http://schemas.openxmlformats.org/officeDocument/2006/relationships/hyperlink" Target="https://www.education.vic.gov.au/hrweb/safetyhw/Pages/employeeservices.aspx?utm_source=email+marketing+Mailigen&amp;utm_campaign=Direct+Send+%E2%80%93+Emergency&amp;utm_medium=emailhttps://www.education.vic.gov.au/hrweb/safetyhw/Pages/employeeservices.aspx?utm_source=email+marketing+Mailigen&amp;utm_campaign=Direct+Send+%E2%80%93+Emergency&amp;utm_medium=emai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policy-det-vic-gov-au-production.lagoon.vicsdp.amazee.io/pal/behaviour-students/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reporting-and-managing-school-incidents-including-emergencies/policy"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worksafe.vic.gov.au/resources/guide-challenging-behaviour-risk-prevention-specialist-schools" TargetMode="External"/><Relationship Id="rId23" Type="http://schemas.openxmlformats.org/officeDocument/2006/relationships/footer" Target="footer2.xml"/><Relationship Id="rId10" Type="http://schemas.openxmlformats.org/officeDocument/2006/relationships/hyperlink" Target="https://www2.education.vic.gov.au/pal/occupational-violence-and-aggression-schools/policy" TargetMode="External"/><Relationship Id="rId19" Type="http://schemas.openxmlformats.org/officeDocument/2006/relationships/hyperlink" Target="https://nginx-php-content-policy-det-vic-gov-au-production.lagoon.vicsdp.amazee.io/sites/default/files/2020-07/Occupational-Violence-post-incident-checkli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hrweb/safetyhw/Pages/hswpolicy.asp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24</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04725592-DCCE-45CA-AE52-0B848E478743}"/>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Young, Rachel R</cp:lastModifiedBy>
  <cp:revision>11</cp:revision>
  <dcterms:created xsi:type="dcterms:W3CDTF">2020-08-03T07:37:00Z</dcterms:created>
  <dcterms:modified xsi:type="dcterms:W3CDTF">2020-08-24T03:45:00Z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