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9570" w14:textId="040F611A" w:rsidR="00D57070" w:rsidRPr="00D57070" w:rsidRDefault="00D57070" w:rsidP="00D57070">
      <w:pPr>
        <w:rPr>
          <w:rFonts w:asciiTheme="majorHAnsi" w:eastAsiaTheme="majorEastAsia" w:hAnsiTheme="majorHAnsi" w:cs="Times New Roman (Headings CS)"/>
          <w:b/>
          <w:bCs/>
          <w:color w:val="AE272F" w:themeColor="accent1"/>
          <w:sz w:val="48"/>
          <w:szCs w:val="32"/>
          <w:lang w:val="en-AU"/>
        </w:rPr>
      </w:pPr>
      <w:r w:rsidRPr="00D57070">
        <w:rPr>
          <w:rFonts w:asciiTheme="majorHAnsi" w:eastAsiaTheme="majorEastAsia" w:hAnsiTheme="majorHAnsi" w:cs="Times New Roman (Headings CS)"/>
          <w:b/>
          <w:bCs/>
          <w:color w:val="AE272F" w:themeColor="accent1"/>
          <w:sz w:val="48"/>
          <w:szCs w:val="32"/>
          <w:lang w:val="en-AU"/>
        </w:rPr>
        <w:t>The Australian Fire Danger Rating System</w:t>
      </w:r>
    </w:p>
    <w:p w14:paraId="7D101E54" w14:textId="58FDE8C5" w:rsidR="00624A55" w:rsidRPr="00624A55" w:rsidRDefault="00624A55" w:rsidP="00624A55">
      <w:pPr>
        <w:pStyle w:val="Intro"/>
      </w:pPr>
    </w:p>
    <w:p w14:paraId="6E6868DC" w14:textId="724E2937" w:rsidR="00624A55" w:rsidRPr="00624A55" w:rsidRDefault="00CC5FA8" w:rsidP="00624A55">
      <w:pPr>
        <w:pStyle w:val="Heading2"/>
        <w:rPr>
          <w:lang w:val="en-AU"/>
        </w:rPr>
      </w:pPr>
      <w:r>
        <w:rPr>
          <w:lang w:val="en-AU"/>
        </w:rPr>
        <w:t>Background</w:t>
      </w:r>
    </w:p>
    <w:p w14:paraId="54BB5FB1" w14:textId="77777777" w:rsidR="00356CBE" w:rsidRDefault="00356CBE" w:rsidP="00356CBE">
      <w:pPr>
        <w:spacing w:after="0"/>
      </w:pPr>
      <w:bookmarkStart w:id="0" w:name="_Hlk106717004"/>
      <w:r>
        <w:t xml:space="preserve">In September 2022, Australia implemented the Australian Fire Danger Rating System (AFDRS). This is a nationally consistent system for fire danger ratings based on the latest scientific research.  This will result in more accurate predictions for fire danger.  It has fewer levels (from 6 to 4). It also has clearer, simplified messaging for all communities. </w:t>
      </w:r>
    </w:p>
    <w:bookmarkEnd w:id="0"/>
    <w:p w14:paraId="3352ECA8" w14:textId="77777777" w:rsidR="00356CBE" w:rsidRDefault="00356CBE" w:rsidP="00356CBE">
      <w:pPr>
        <w:spacing w:after="0"/>
      </w:pPr>
      <w:r>
        <w:t xml:space="preserve"> </w:t>
      </w:r>
    </w:p>
    <w:p w14:paraId="0F4DBD54" w14:textId="77777777" w:rsidR="00356CBE" w:rsidRDefault="00356CBE" w:rsidP="00356CBE">
      <w:pPr>
        <w:spacing w:after="0"/>
        <w:rPr>
          <w:rFonts w:cs="Calibri"/>
        </w:rPr>
      </w:pPr>
      <w:bookmarkStart w:id="1" w:name="_Hlk106717065"/>
      <w:r>
        <w:rPr>
          <w:rFonts w:cs="Calibri"/>
        </w:rPr>
        <w:t>T</w:t>
      </w:r>
      <w:r w:rsidRPr="00B25DAF">
        <w:rPr>
          <w:rFonts w:cs="Calibri"/>
        </w:rPr>
        <w:t xml:space="preserve">he department worked with the </w:t>
      </w:r>
      <w:r>
        <w:rPr>
          <w:rFonts w:cs="Calibri"/>
        </w:rPr>
        <w:t>Commonwealth Scientific and Industrial Research Organisation (</w:t>
      </w:r>
      <w:r w:rsidRPr="00B25DAF">
        <w:rPr>
          <w:rFonts w:cs="Calibri"/>
        </w:rPr>
        <w:t>CSIRO</w:t>
      </w:r>
      <w:r>
        <w:rPr>
          <w:rFonts w:cs="Calibri"/>
        </w:rPr>
        <w:t>)</w:t>
      </w:r>
      <w:r w:rsidRPr="00B25DAF">
        <w:rPr>
          <w:rFonts w:cs="Calibri"/>
        </w:rPr>
        <w:t xml:space="preserve"> to update our bushfire risk methodology in line with the </w:t>
      </w:r>
      <w:r>
        <w:rPr>
          <w:rFonts w:cs="Calibri"/>
        </w:rPr>
        <w:t>changes</w:t>
      </w:r>
      <w:r w:rsidRPr="00B25DAF">
        <w:rPr>
          <w:rFonts w:cs="Calibri"/>
        </w:rPr>
        <w:t>.</w:t>
      </w:r>
      <w:bookmarkEnd w:id="1"/>
      <w:r w:rsidRPr="00B25DAF">
        <w:rPr>
          <w:rFonts w:cs="Calibri"/>
        </w:rPr>
        <w:t xml:space="preserve"> </w:t>
      </w:r>
      <w:r>
        <w:rPr>
          <w:rFonts w:cs="Calibri"/>
        </w:rPr>
        <w:t xml:space="preserve">There were minimal changes to the methodology and department policy because of the AFDRS.  </w:t>
      </w:r>
    </w:p>
    <w:p w14:paraId="34650041" w14:textId="77777777" w:rsidR="00356CBE" w:rsidRPr="00B25DAF" w:rsidRDefault="00356CBE" w:rsidP="00356CBE">
      <w:pPr>
        <w:spacing w:after="0"/>
        <w:rPr>
          <w:rFonts w:cs="Calibri"/>
        </w:rPr>
      </w:pPr>
    </w:p>
    <w:p w14:paraId="21C7950F" w14:textId="1F055345" w:rsidR="00356CBE" w:rsidRDefault="00356CBE" w:rsidP="00356CBE">
      <w:pPr>
        <w:spacing w:after="0"/>
        <w:rPr>
          <w:rFonts w:cs="Calibri"/>
        </w:rPr>
      </w:pPr>
      <w:r>
        <w:rPr>
          <w:rFonts w:cs="Calibri"/>
        </w:rPr>
        <w:t xml:space="preserve">The changes were implemented for last bushfire season, but this </w:t>
      </w:r>
      <w:r w:rsidR="00814358">
        <w:rPr>
          <w:rFonts w:cs="Calibri"/>
        </w:rPr>
        <w:t>information</w:t>
      </w:r>
      <w:r>
        <w:rPr>
          <w:rFonts w:cs="Calibri"/>
        </w:rPr>
        <w:t xml:space="preserve"> sheet is a reminder.</w:t>
      </w:r>
    </w:p>
    <w:p w14:paraId="18CCC0FE" w14:textId="77777777" w:rsidR="00814358" w:rsidRDefault="00814358" w:rsidP="00356CBE">
      <w:pPr>
        <w:spacing w:after="0"/>
        <w:rPr>
          <w:rFonts w:cs="Calibri"/>
        </w:rPr>
      </w:pPr>
    </w:p>
    <w:p w14:paraId="6B714828" w14:textId="3990B529" w:rsidR="00624A55" w:rsidRDefault="00C2776D" w:rsidP="00624A55">
      <w:pPr>
        <w:pStyle w:val="Heading2"/>
        <w:rPr>
          <w:lang w:val="en-AU"/>
        </w:rPr>
      </w:pPr>
      <w:r>
        <w:rPr>
          <w:lang w:val="en-AU"/>
        </w:rPr>
        <w:t>Key Changes</w:t>
      </w:r>
    </w:p>
    <w:p w14:paraId="38861DA6" w14:textId="77777777" w:rsidR="00F6539E" w:rsidRDefault="00F6539E" w:rsidP="00F6539E">
      <w:pPr>
        <w:spacing w:after="0"/>
      </w:pPr>
      <w:r>
        <w:rPr>
          <w:rFonts w:cs="Calibri"/>
        </w:rPr>
        <w:t xml:space="preserve">The below outlines the approach under the AFDRS:  </w:t>
      </w:r>
      <w:r w:rsidRPr="00096BD5">
        <w:t xml:space="preserve"> </w:t>
      </w:r>
    </w:p>
    <w:tbl>
      <w:tblPr>
        <w:tblStyle w:val="TableGridLight"/>
        <w:tblW w:w="0" w:type="auto"/>
        <w:tblLook w:val="04A0" w:firstRow="1" w:lastRow="0" w:firstColumn="1" w:lastColumn="0" w:noHBand="0" w:noVBand="1"/>
      </w:tblPr>
      <w:tblGrid>
        <w:gridCol w:w="4700"/>
        <w:gridCol w:w="4527"/>
      </w:tblGrid>
      <w:tr w:rsidR="00F6539E" w14:paraId="404F69B5" w14:textId="77777777" w:rsidTr="0079573A">
        <w:tc>
          <w:tcPr>
            <w:tcW w:w="4527" w:type="dxa"/>
            <w:tcBorders>
              <w:top w:val="nil"/>
              <w:left w:val="nil"/>
              <w:bottom w:val="nil"/>
              <w:right w:val="nil"/>
            </w:tcBorders>
            <w:vAlign w:val="center"/>
          </w:tcPr>
          <w:p w14:paraId="0C2C434C" w14:textId="77777777" w:rsidR="00F6539E" w:rsidRDefault="00F6539E" w:rsidP="0079573A">
            <w:pPr>
              <w:spacing w:after="0"/>
              <w:jc w:val="center"/>
              <w:rPr>
                <w:b/>
                <w:bCs/>
              </w:rPr>
            </w:pPr>
            <w:r>
              <w:rPr>
                <w:rFonts w:cs="Calibri"/>
                <w:noProof/>
              </w:rPr>
              <w:drawing>
                <wp:inline distT="0" distB="0" distL="0" distR="0" wp14:anchorId="3D8F1E78" wp14:editId="4DFA5DB3">
                  <wp:extent cx="2847600" cy="1346400"/>
                  <wp:effectExtent l="0" t="0" r="0" b="0"/>
                  <wp:docPr id="2" name="Picture 2" descr="A picture of the current Australian Fire Danger Rating chart, with six tiers of fire danger rating including low-moderate (green), high (blue), very high (yellow), extreme (red) and code red (red with black ha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of the current Australian Fire Danger Rating chart, with six tiers of fire danger rating including low-moderate (green), high (blue), very high (yellow), extreme (red) and code red (red with black hatching)."/>
                          <pic:cNvPicPr>
                            <a:picLocks noChangeAspect="1"/>
                          </pic:cNvPicPr>
                        </pic:nvPicPr>
                        <pic:blipFill rotWithShape="1">
                          <a:blip r:embed="rId11">
                            <a:extLst>
                              <a:ext uri="{28A0092B-C50C-407E-A947-70E740481C1C}">
                                <a14:useLocalDpi xmlns:a14="http://schemas.microsoft.com/office/drawing/2010/main" val="0"/>
                              </a:ext>
                            </a:extLst>
                          </a:blip>
                          <a:srcRect b="17198"/>
                          <a:stretch/>
                        </pic:blipFill>
                        <pic:spPr bwMode="auto">
                          <a:xfrm>
                            <a:off x="0" y="0"/>
                            <a:ext cx="2847600" cy="1346400"/>
                          </a:xfrm>
                          <a:prstGeom prst="rect">
                            <a:avLst/>
                          </a:prstGeom>
                          <a:ln>
                            <a:noFill/>
                          </a:ln>
                          <a:extLst>
                            <a:ext uri="{53640926-AAD7-44D8-BBD7-CCE9431645EC}">
                              <a14:shadowObscured xmlns:a14="http://schemas.microsoft.com/office/drawing/2010/main"/>
                            </a:ext>
                          </a:extLst>
                        </pic:spPr>
                      </pic:pic>
                    </a:graphicData>
                  </a:graphic>
                </wp:inline>
              </w:drawing>
            </w:r>
          </w:p>
        </w:tc>
        <w:tc>
          <w:tcPr>
            <w:tcW w:w="4527" w:type="dxa"/>
            <w:tcBorders>
              <w:top w:val="nil"/>
              <w:left w:val="nil"/>
              <w:bottom w:val="nil"/>
              <w:right w:val="nil"/>
            </w:tcBorders>
            <w:vAlign w:val="center"/>
          </w:tcPr>
          <w:p w14:paraId="191E73DB" w14:textId="77777777" w:rsidR="00F6539E" w:rsidRDefault="00F6539E" w:rsidP="0079573A">
            <w:pPr>
              <w:spacing w:after="0"/>
              <w:jc w:val="center"/>
              <w:rPr>
                <w:b/>
                <w:bCs/>
              </w:rPr>
            </w:pPr>
            <w:r>
              <w:rPr>
                <w:rFonts w:cs="Calibri"/>
                <w:noProof/>
              </w:rPr>
              <w:drawing>
                <wp:inline distT="0" distB="0" distL="0" distR="0" wp14:anchorId="6928A65B" wp14:editId="51ABBCAE">
                  <wp:extent cx="2390140" cy="1216660"/>
                  <wp:effectExtent l="0" t="0" r="0" b="2540"/>
                  <wp:docPr id="12" name="Picture 12" descr="A picture of the new Australian Fire Danger Rating chart, with four tiers of fire danger rating including moderate (green), high (yellow), extreme (orange) and catastrophic (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of the new Australian Fire Danger Rating chart, with four tiers of fire danger rating including moderate (green), high (yellow), extreme (orange) and catastrophic (red). "/>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140" cy="1216660"/>
                          </a:xfrm>
                          <a:prstGeom prst="rect">
                            <a:avLst/>
                          </a:prstGeom>
                          <a:noFill/>
                          <a:ln>
                            <a:noFill/>
                          </a:ln>
                        </pic:spPr>
                      </pic:pic>
                    </a:graphicData>
                  </a:graphic>
                </wp:inline>
              </w:drawing>
            </w:r>
          </w:p>
        </w:tc>
      </w:tr>
      <w:tr w:rsidR="00F6539E" w14:paraId="3C97D012" w14:textId="77777777" w:rsidTr="0079573A">
        <w:tc>
          <w:tcPr>
            <w:tcW w:w="4527" w:type="dxa"/>
            <w:tcBorders>
              <w:top w:val="nil"/>
              <w:left w:val="nil"/>
              <w:bottom w:val="nil"/>
              <w:right w:val="nil"/>
            </w:tcBorders>
            <w:vAlign w:val="center"/>
          </w:tcPr>
          <w:p w14:paraId="419713BB" w14:textId="77777777" w:rsidR="00F6539E" w:rsidRDefault="00F6539E" w:rsidP="0079573A">
            <w:pPr>
              <w:spacing w:after="0"/>
              <w:jc w:val="center"/>
              <w:rPr>
                <w:b/>
                <w:bCs/>
              </w:rPr>
            </w:pPr>
            <w:r>
              <w:rPr>
                <w:b/>
                <w:bCs/>
              </w:rPr>
              <w:t>Old</w:t>
            </w:r>
            <w:r w:rsidRPr="0051546E">
              <w:rPr>
                <w:b/>
                <w:bCs/>
              </w:rPr>
              <w:t xml:space="preserve"> Victorian Fire Danger Rating</w:t>
            </w:r>
          </w:p>
        </w:tc>
        <w:tc>
          <w:tcPr>
            <w:tcW w:w="4527" w:type="dxa"/>
            <w:tcBorders>
              <w:top w:val="nil"/>
              <w:left w:val="nil"/>
              <w:bottom w:val="nil"/>
              <w:right w:val="nil"/>
            </w:tcBorders>
            <w:vAlign w:val="center"/>
          </w:tcPr>
          <w:p w14:paraId="5BDCB1A4" w14:textId="77777777" w:rsidR="00F6539E" w:rsidRDefault="00F6539E" w:rsidP="0079573A">
            <w:pPr>
              <w:spacing w:after="0"/>
              <w:jc w:val="center"/>
              <w:rPr>
                <w:b/>
                <w:bCs/>
              </w:rPr>
            </w:pPr>
            <w:r>
              <w:rPr>
                <w:b/>
                <w:bCs/>
              </w:rPr>
              <w:t xml:space="preserve">New Australian </w:t>
            </w:r>
            <w:r w:rsidRPr="0051546E">
              <w:rPr>
                <w:b/>
                <w:bCs/>
              </w:rPr>
              <w:t>Fire Danger Rating</w:t>
            </w:r>
          </w:p>
        </w:tc>
      </w:tr>
    </w:tbl>
    <w:p w14:paraId="2716272B" w14:textId="77777777" w:rsidR="00F6539E" w:rsidRDefault="00F6539E" w:rsidP="00F6539E">
      <w:pPr>
        <w:spacing w:after="0"/>
        <w:rPr>
          <w:rFonts w:cs="Calibri"/>
        </w:rPr>
      </w:pPr>
    </w:p>
    <w:tbl>
      <w:tblPr>
        <w:tblW w:w="9060" w:type="dxa"/>
        <w:jc w:val="center"/>
        <w:tblCellMar>
          <w:left w:w="0" w:type="dxa"/>
          <w:right w:w="0" w:type="dxa"/>
        </w:tblCellMar>
        <w:tblLook w:val="04A0" w:firstRow="1" w:lastRow="0" w:firstColumn="1" w:lastColumn="0" w:noHBand="0" w:noVBand="1"/>
      </w:tblPr>
      <w:tblGrid>
        <w:gridCol w:w="2260"/>
        <w:gridCol w:w="6800"/>
      </w:tblGrid>
      <w:tr w:rsidR="00F6539E" w:rsidRPr="00132437" w14:paraId="2AA7AEB2" w14:textId="77777777" w:rsidTr="00EC1AC7">
        <w:trPr>
          <w:trHeight w:val="407"/>
          <w:jc w:val="center"/>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E9744A" w14:textId="77777777" w:rsidR="00F6539E" w:rsidRPr="00132437" w:rsidRDefault="00F6539E" w:rsidP="00EC1AC7">
            <w:pPr>
              <w:spacing w:before="100" w:beforeAutospacing="1" w:after="100" w:afterAutospacing="1"/>
              <w:rPr>
                <w:rFonts w:cs="Calibri"/>
              </w:rPr>
            </w:pPr>
            <w:r w:rsidRPr="00132437">
              <w:rPr>
                <w:rFonts w:cs="Calibri"/>
                <w:b/>
                <w:bCs/>
              </w:rPr>
              <w:t>Fire Danger Rating</w:t>
            </w:r>
          </w:p>
        </w:tc>
        <w:tc>
          <w:tcPr>
            <w:tcW w:w="6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1F0249" w14:textId="77777777" w:rsidR="00F6539E" w:rsidRPr="00132437" w:rsidRDefault="00F6539E" w:rsidP="00EC1AC7">
            <w:pPr>
              <w:spacing w:before="100" w:beforeAutospacing="1" w:after="100" w:afterAutospacing="1"/>
              <w:rPr>
                <w:rFonts w:cs="Calibri"/>
              </w:rPr>
            </w:pPr>
            <w:r w:rsidRPr="00132437">
              <w:rPr>
                <w:rFonts w:cs="Calibri"/>
                <w:b/>
                <w:bCs/>
              </w:rPr>
              <w:t>Key messages for the community</w:t>
            </w:r>
          </w:p>
        </w:tc>
      </w:tr>
      <w:tr w:rsidR="00F6539E" w:rsidRPr="00132437" w14:paraId="3A1BB41C" w14:textId="77777777" w:rsidTr="00EC1AC7">
        <w:trPr>
          <w:jc w:val="center"/>
        </w:trPr>
        <w:tc>
          <w:tcPr>
            <w:tcW w:w="2260" w:type="dxa"/>
            <w:tcBorders>
              <w:top w:val="single" w:sz="8" w:space="0" w:color="000000"/>
              <w:left w:val="single" w:sz="8" w:space="0" w:color="000000"/>
              <w:bottom w:val="single" w:sz="8" w:space="0" w:color="000000"/>
              <w:right w:val="single" w:sz="8" w:space="0" w:color="000000"/>
            </w:tcBorders>
            <w:shd w:val="clear" w:color="auto" w:fill="AD0909"/>
            <w:tcMar>
              <w:top w:w="15" w:type="dxa"/>
              <w:left w:w="108" w:type="dxa"/>
              <w:bottom w:w="0" w:type="dxa"/>
              <w:right w:w="108" w:type="dxa"/>
            </w:tcMar>
            <w:hideMark/>
          </w:tcPr>
          <w:p w14:paraId="7DE5A605" w14:textId="77777777" w:rsidR="00F6539E" w:rsidRPr="00132437" w:rsidRDefault="00F6539E" w:rsidP="00EC1AC7">
            <w:pPr>
              <w:spacing w:before="100" w:beforeAutospacing="1" w:after="100" w:afterAutospacing="1"/>
              <w:rPr>
                <w:rFonts w:cs="Calibri"/>
                <w:b/>
                <w:bCs/>
              </w:rPr>
            </w:pPr>
            <w:r w:rsidRPr="00132437">
              <w:rPr>
                <w:rFonts w:cs="Calibri"/>
                <w:b/>
                <w:bCs/>
              </w:rPr>
              <w:t>Catastrophic</w:t>
            </w:r>
          </w:p>
        </w:tc>
        <w:tc>
          <w:tcPr>
            <w:tcW w:w="6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1F1955" w14:textId="77777777" w:rsidR="00F6539E" w:rsidRPr="00132437" w:rsidRDefault="00F6539E" w:rsidP="00EC1AC7">
            <w:pPr>
              <w:spacing w:before="100" w:beforeAutospacing="1" w:after="100" w:afterAutospacing="1"/>
              <w:rPr>
                <w:rFonts w:cs="Calibri"/>
              </w:rPr>
            </w:pPr>
            <w:r w:rsidRPr="00132437">
              <w:rPr>
                <w:rFonts w:cs="Calibri"/>
              </w:rPr>
              <w:t xml:space="preserve">If a fire starts and takes hold, lives are likely to be lost. For your survival </w:t>
            </w:r>
            <w:r w:rsidRPr="00132437">
              <w:rPr>
                <w:rFonts w:cs="Calibri"/>
                <w:b/>
                <w:bCs/>
              </w:rPr>
              <w:t>leave bushfire risk areas.</w:t>
            </w:r>
          </w:p>
        </w:tc>
      </w:tr>
      <w:tr w:rsidR="00F6539E" w:rsidRPr="00132437" w14:paraId="1F30D6CC" w14:textId="77777777" w:rsidTr="00EC1AC7">
        <w:trPr>
          <w:jc w:val="center"/>
        </w:trPr>
        <w:tc>
          <w:tcPr>
            <w:tcW w:w="2260" w:type="dxa"/>
            <w:tcBorders>
              <w:top w:val="single" w:sz="8" w:space="0" w:color="000000"/>
              <w:left w:val="single" w:sz="8" w:space="0" w:color="000000"/>
              <w:bottom w:val="single" w:sz="8" w:space="0" w:color="000000"/>
              <w:right w:val="single" w:sz="8" w:space="0" w:color="000000"/>
            </w:tcBorders>
            <w:shd w:val="clear" w:color="auto" w:fill="F78100"/>
            <w:tcMar>
              <w:top w:w="15" w:type="dxa"/>
              <w:left w:w="108" w:type="dxa"/>
              <w:bottom w:w="0" w:type="dxa"/>
              <w:right w:w="108" w:type="dxa"/>
            </w:tcMar>
            <w:hideMark/>
          </w:tcPr>
          <w:p w14:paraId="53D9751B" w14:textId="77777777" w:rsidR="00F6539E" w:rsidRPr="00132437" w:rsidRDefault="00F6539E" w:rsidP="00EC1AC7">
            <w:pPr>
              <w:spacing w:before="100" w:beforeAutospacing="1" w:after="100" w:afterAutospacing="1"/>
              <w:rPr>
                <w:rFonts w:cs="Calibri"/>
                <w:b/>
                <w:bCs/>
              </w:rPr>
            </w:pPr>
            <w:r w:rsidRPr="00132437">
              <w:rPr>
                <w:rFonts w:cs="Calibri"/>
                <w:b/>
                <w:bCs/>
              </w:rPr>
              <w:t>Extreme</w:t>
            </w:r>
          </w:p>
        </w:tc>
        <w:tc>
          <w:tcPr>
            <w:tcW w:w="6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E6BF7" w14:textId="77777777" w:rsidR="00F6539E" w:rsidRPr="00132437" w:rsidRDefault="00F6539E" w:rsidP="00EC1AC7">
            <w:pPr>
              <w:spacing w:before="100" w:beforeAutospacing="1" w:after="100" w:afterAutospacing="1"/>
              <w:rPr>
                <w:rFonts w:cs="Calibri"/>
              </w:rPr>
            </w:pPr>
            <w:r w:rsidRPr="00132437">
              <w:rPr>
                <w:rFonts w:cs="Calibri"/>
              </w:rPr>
              <w:t xml:space="preserve">Fires will spread quickly and be extremely dangerous. </w:t>
            </w:r>
            <w:proofErr w:type="gramStart"/>
            <w:r w:rsidRPr="00132437">
              <w:rPr>
                <w:rFonts w:cs="Calibri"/>
                <w:b/>
                <w:bCs/>
              </w:rPr>
              <w:t>Take action</w:t>
            </w:r>
            <w:proofErr w:type="gramEnd"/>
            <w:r w:rsidRPr="00132437">
              <w:rPr>
                <w:rFonts w:cs="Calibri"/>
                <w:b/>
                <w:bCs/>
              </w:rPr>
              <w:t xml:space="preserve"> now</w:t>
            </w:r>
            <w:r w:rsidRPr="00132437">
              <w:rPr>
                <w:rFonts w:cs="Calibri"/>
              </w:rPr>
              <w:t xml:space="preserve"> to protect your life and property.</w:t>
            </w:r>
          </w:p>
        </w:tc>
      </w:tr>
      <w:tr w:rsidR="00F6539E" w:rsidRPr="00132437" w14:paraId="4C1EA16B" w14:textId="77777777" w:rsidTr="00EC1AC7">
        <w:trPr>
          <w:trHeight w:val="454"/>
          <w:jc w:val="center"/>
        </w:trPr>
        <w:tc>
          <w:tcPr>
            <w:tcW w:w="2260" w:type="dxa"/>
            <w:tcBorders>
              <w:top w:val="single" w:sz="8" w:space="0" w:color="000000"/>
              <w:left w:val="single" w:sz="8" w:space="0" w:color="000000"/>
              <w:bottom w:val="single" w:sz="8" w:space="0" w:color="000000"/>
              <w:right w:val="single" w:sz="8" w:space="0" w:color="000000"/>
            </w:tcBorders>
            <w:shd w:val="clear" w:color="auto" w:fill="FEDD3A"/>
            <w:tcMar>
              <w:top w:w="15" w:type="dxa"/>
              <w:left w:w="108" w:type="dxa"/>
              <w:bottom w:w="0" w:type="dxa"/>
              <w:right w:w="108" w:type="dxa"/>
            </w:tcMar>
            <w:hideMark/>
          </w:tcPr>
          <w:p w14:paraId="2FAD1173" w14:textId="77777777" w:rsidR="00F6539E" w:rsidRPr="00132437" w:rsidRDefault="00F6539E" w:rsidP="00EC1AC7">
            <w:pPr>
              <w:spacing w:before="100" w:beforeAutospacing="1" w:after="100" w:afterAutospacing="1"/>
              <w:rPr>
                <w:rFonts w:cs="Calibri"/>
                <w:b/>
                <w:bCs/>
              </w:rPr>
            </w:pPr>
            <w:r w:rsidRPr="00132437">
              <w:rPr>
                <w:rFonts w:cs="Calibri"/>
                <w:b/>
                <w:bCs/>
              </w:rPr>
              <w:t>High</w:t>
            </w:r>
          </w:p>
        </w:tc>
        <w:tc>
          <w:tcPr>
            <w:tcW w:w="6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32B3E" w14:textId="77777777" w:rsidR="00F6539E" w:rsidRPr="00132437" w:rsidRDefault="00F6539E" w:rsidP="00EC1AC7">
            <w:pPr>
              <w:spacing w:before="100" w:beforeAutospacing="1" w:after="100" w:afterAutospacing="1"/>
              <w:rPr>
                <w:rFonts w:cs="Calibri"/>
              </w:rPr>
            </w:pPr>
            <w:r w:rsidRPr="00132437">
              <w:rPr>
                <w:rFonts w:cs="Calibri"/>
              </w:rPr>
              <w:t xml:space="preserve">Fires can be dangerous. </w:t>
            </w:r>
            <w:r w:rsidRPr="00132437">
              <w:rPr>
                <w:rFonts w:cs="Calibri"/>
                <w:b/>
                <w:bCs/>
              </w:rPr>
              <w:t>Be ready to act</w:t>
            </w:r>
            <w:r w:rsidRPr="00132437">
              <w:rPr>
                <w:rFonts w:cs="Calibri"/>
              </w:rPr>
              <w:t xml:space="preserve">.                                                                  </w:t>
            </w:r>
          </w:p>
        </w:tc>
      </w:tr>
      <w:tr w:rsidR="00F6539E" w:rsidRPr="00132437" w14:paraId="6704C890" w14:textId="77777777" w:rsidTr="00EC1AC7">
        <w:trPr>
          <w:trHeight w:val="417"/>
          <w:jc w:val="center"/>
        </w:trPr>
        <w:tc>
          <w:tcPr>
            <w:tcW w:w="2260" w:type="dxa"/>
            <w:tcBorders>
              <w:top w:val="single" w:sz="8" w:space="0" w:color="000000"/>
              <w:left w:val="single" w:sz="8" w:space="0" w:color="000000"/>
              <w:bottom w:val="single" w:sz="8" w:space="0" w:color="000000"/>
              <w:right w:val="single" w:sz="8" w:space="0" w:color="000000"/>
            </w:tcBorders>
            <w:shd w:val="clear" w:color="auto" w:fill="64BF30"/>
            <w:tcMar>
              <w:top w:w="15" w:type="dxa"/>
              <w:left w:w="108" w:type="dxa"/>
              <w:bottom w:w="0" w:type="dxa"/>
              <w:right w:w="108" w:type="dxa"/>
            </w:tcMar>
            <w:hideMark/>
          </w:tcPr>
          <w:p w14:paraId="4E23730B" w14:textId="77777777" w:rsidR="00F6539E" w:rsidRPr="00132437" w:rsidRDefault="00F6539E" w:rsidP="00EC1AC7">
            <w:pPr>
              <w:spacing w:before="100" w:beforeAutospacing="1" w:after="100" w:afterAutospacing="1"/>
              <w:rPr>
                <w:rFonts w:cs="Calibri"/>
                <w:b/>
                <w:bCs/>
              </w:rPr>
            </w:pPr>
            <w:r w:rsidRPr="00132437">
              <w:rPr>
                <w:rFonts w:cs="Calibri"/>
                <w:b/>
                <w:bCs/>
              </w:rPr>
              <w:t>Moderate</w:t>
            </w:r>
            <w:r w:rsidRPr="00132437">
              <w:rPr>
                <w:rFonts w:cs="Calibri"/>
                <w:b/>
                <w:bCs/>
              </w:rPr>
              <w:tab/>
            </w:r>
          </w:p>
        </w:tc>
        <w:tc>
          <w:tcPr>
            <w:tcW w:w="6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01396C" w14:textId="77777777" w:rsidR="00F6539E" w:rsidRPr="00132437" w:rsidRDefault="00F6539E" w:rsidP="00EC1AC7">
            <w:pPr>
              <w:spacing w:before="100" w:beforeAutospacing="1" w:after="100" w:afterAutospacing="1"/>
              <w:rPr>
                <w:rFonts w:cs="Calibri"/>
              </w:rPr>
            </w:pPr>
            <w:r w:rsidRPr="00132437">
              <w:rPr>
                <w:rFonts w:cs="Calibri"/>
              </w:rPr>
              <w:t xml:space="preserve">Most fires can be controlled. </w:t>
            </w:r>
            <w:r w:rsidRPr="00132437">
              <w:rPr>
                <w:rFonts w:cs="Calibri"/>
                <w:b/>
                <w:bCs/>
              </w:rPr>
              <w:t>Plan and prepare</w:t>
            </w:r>
            <w:r>
              <w:rPr>
                <w:rFonts w:cs="Calibri"/>
                <w:b/>
                <w:bCs/>
              </w:rPr>
              <w:t>.</w:t>
            </w:r>
          </w:p>
        </w:tc>
      </w:tr>
    </w:tbl>
    <w:p w14:paraId="1A53DF3B" w14:textId="77777777" w:rsidR="00F6539E" w:rsidRPr="00F6539E" w:rsidRDefault="00F6539E" w:rsidP="00F6539E">
      <w:pPr>
        <w:rPr>
          <w:lang w:val="en-AU"/>
        </w:rPr>
      </w:pPr>
    </w:p>
    <w:p w14:paraId="5B118EAF" w14:textId="77777777" w:rsidR="00394DC1" w:rsidRPr="00FB7DDD" w:rsidRDefault="00394DC1" w:rsidP="00FB7DDD">
      <w:pPr>
        <w:pStyle w:val="ListParagraph"/>
        <w:numPr>
          <w:ilvl w:val="0"/>
          <w:numId w:val="19"/>
        </w:numPr>
        <w:spacing w:before="100" w:beforeAutospacing="1" w:after="100" w:afterAutospacing="1"/>
        <w:rPr>
          <w:rFonts w:asciiTheme="minorHAnsi" w:hAnsiTheme="minorHAnsi" w:cstheme="minorHAnsi"/>
        </w:rPr>
      </w:pPr>
      <w:r w:rsidRPr="00FB7DDD">
        <w:rPr>
          <w:rFonts w:asciiTheme="minorHAnsi" w:hAnsiTheme="minorHAnsi" w:cstheme="minorHAnsi"/>
          <w:b/>
          <w:bCs/>
        </w:rPr>
        <w:t xml:space="preserve">Extreme </w:t>
      </w:r>
      <w:r w:rsidRPr="00FB7DDD">
        <w:rPr>
          <w:rFonts w:asciiTheme="minorHAnsi" w:hAnsiTheme="minorHAnsi" w:cstheme="minorHAnsi"/>
        </w:rPr>
        <w:t xml:space="preserve">fire danger rating (FDR) under the AFDRS covers what used to be known as Severe and Extreme. </w:t>
      </w:r>
    </w:p>
    <w:p w14:paraId="4B9BC729" w14:textId="77777777" w:rsidR="00394DC1" w:rsidRPr="00FB7DDD" w:rsidRDefault="00394DC1" w:rsidP="00FB7DDD">
      <w:pPr>
        <w:pStyle w:val="ListParagraph"/>
        <w:numPr>
          <w:ilvl w:val="0"/>
          <w:numId w:val="19"/>
        </w:numPr>
        <w:spacing w:before="100" w:beforeAutospacing="1" w:after="100" w:afterAutospacing="1"/>
        <w:rPr>
          <w:rFonts w:asciiTheme="minorHAnsi" w:hAnsiTheme="minorHAnsi" w:cstheme="minorHAnsi"/>
        </w:rPr>
      </w:pPr>
      <w:r w:rsidRPr="00FB7DDD">
        <w:rPr>
          <w:rFonts w:asciiTheme="minorHAnsi" w:hAnsiTheme="minorHAnsi" w:cstheme="minorHAnsi"/>
          <w:b/>
          <w:bCs/>
        </w:rPr>
        <w:t>Catastrophic</w:t>
      </w:r>
      <w:r w:rsidRPr="00FB7DDD">
        <w:rPr>
          <w:rFonts w:asciiTheme="minorHAnsi" w:hAnsiTheme="minorHAnsi" w:cstheme="minorHAnsi"/>
        </w:rPr>
        <w:t xml:space="preserve"> fire danger represents the worst conditions (previously Code Red). </w:t>
      </w:r>
    </w:p>
    <w:p w14:paraId="07F86371" w14:textId="77777777" w:rsidR="006D448B" w:rsidRDefault="006D448B" w:rsidP="006D448B">
      <w:pPr>
        <w:spacing w:before="100" w:beforeAutospacing="1" w:after="100" w:afterAutospacing="1"/>
        <w:rPr>
          <w:rFonts w:cs="Calibri"/>
        </w:rPr>
      </w:pPr>
      <w:r>
        <w:rPr>
          <w:rFonts w:cs="Calibri"/>
        </w:rPr>
        <w:t>As a result,</w:t>
      </w:r>
      <w:r w:rsidRPr="00B25DAF">
        <w:rPr>
          <w:rFonts w:cs="Calibri"/>
        </w:rPr>
        <w:t xml:space="preserve"> the triggers for pre-emptive relocation and closure on elevated fire danger days </w:t>
      </w:r>
      <w:r>
        <w:rPr>
          <w:rFonts w:cs="Calibri"/>
        </w:rPr>
        <w:t xml:space="preserve">were </w:t>
      </w:r>
      <w:r w:rsidRPr="00B25DAF">
        <w:rPr>
          <w:rFonts w:cs="Calibri"/>
        </w:rPr>
        <w:t xml:space="preserve">adjusted slightly to reflect this new system. </w:t>
      </w:r>
    </w:p>
    <w:p w14:paraId="5F0B9D0C" w14:textId="77777777" w:rsidR="006D448B" w:rsidRPr="006D448B" w:rsidRDefault="006D448B" w:rsidP="006D448B">
      <w:pPr>
        <w:pStyle w:val="ListParagraph"/>
        <w:numPr>
          <w:ilvl w:val="0"/>
          <w:numId w:val="18"/>
        </w:numPr>
        <w:spacing w:before="100" w:beforeAutospacing="1" w:after="100" w:afterAutospacing="1" w:line="240" w:lineRule="auto"/>
        <w:rPr>
          <w:rFonts w:asciiTheme="minorHAnsi" w:eastAsia="MS PMincho" w:hAnsiTheme="minorHAnsi" w:cstheme="minorHAnsi"/>
          <w:lang w:eastAsia="en-AU"/>
        </w:rPr>
      </w:pPr>
      <w:r w:rsidRPr="006D448B">
        <w:rPr>
          <w:rFonts w:asciiTheme="minorHAnsi" w:eastAsia="Times New Roman" w:hAnsiTheme="minorHAnsi" w:cstheme="minorHAnsi"/>
          <w:b/>
          <w:bCs/>
          <w:lang w:eastAsia="en-AU"/>
        </w:rPr>
        <w:lastRenderedPageBreak/>
        <w:t>Category 1 and Category 2 schools</w:t>
      </w:r>
      <w:r w:rsidRPr="006D448B">
        <w:rPr>
          <w:rFonts w:asciiTheme="minorHAnsi" w:eastAsia="Times New Roman" w:hAnsiTheme="minorHAnsi" w:cstheme="minorHAnsi"/>
          <w:lang w:eastAsia="en-AU"/>
        </w:rPr>
        <w:t xml:space="preserve"> will relocate or close in accordance with their pre-approved plan on a day forecast </w:t>
      </w:r>
      <w:r w:rsidRPr="006D448B">
        <w:rPr>
          <w:rFonts w:asciiTheme="minorHAnsi" w:eastAsia="Times New Roman" w:hAnsiTheme="minorHAnsi" w:cstheme="minorHAnsi"/>
          <w:b/>
          <w:bCs/>
          <w:lang w:eastAsia="en-AU"/>
        </w:rPr>
        <w:t>Extreme FDR</w:t>
      </w:r>
      <w:r w:rsidRPr="006D448B">
        <w:rPr>
          <w:rFonts w:asciiTheme="minorHAnsi" w:eastAsia="Times New Roman" w:hAnsiTheme="minorHAnsi" w:cstheme="minorHAnsi"/>
          <w:lang w:eastAsia="en-AU"/>
        </w:rPr>
        <w:t xml:space="preserve"> </w:t>
      </w:r>
      <w:r w:rsidRPr="008C29EA">
        <w:rPr>
          <w:rFonts w:asciiTheme="minorHAnsi" w:eastAsia="Times New Roman" w:hAnsiTheme="minorHAnsi" w:cstheme="minorHAnsi"/>
          <w:u w:val="single"/>
          <w:lang w:eastAsia="en-AU"/>
        </w:rPr>
        <w:t>for their LGA</w:t>
      </w:r>
      <w:r w:rsidRPr="006D448B">
        <w:rPr>
          <w:rFonts w:asciiTheme="minorHAnsi" w:eastAsia="Times New Roman" w:hAnsiTheme="minorHAnsi" w:cstheme="minorHAnsi"/>
          <w:lang w:eastAsia="en-AU"/>
        </w:rPr>
        <w:t>.</w:t>
      </w:r>
    </w:p>
    <w:p w14:paraId="5B94BBA3" w14:textId="77777777" w:rsidR="006D448B" w:rsidRPr="006D448B" w:rsidRDefault="006D448B" w:rsidP="006D448B">
      <w:pPr>
        <w:pStyle w:val="ListParagraph"/>
        <w:numPr>
          <w:ilvl w:val="0"/>
          <w:numId w:val="18"/>
        </w:numPr>
        <w:spacing w:beforeAutospacing="1" w:afterAutospacing="1" w:line="240" w:lineRule="auto"/>
        <w:rPr>
          <w:rFonts w:asciiTheme="minorHAnsi" w:eastAsia="MS PMincho" w:hAnsiTheme="minorHAnsi" w:cstheme="minorHAnsi"/>
        </w:rPr>
      </w:pPr>
      <w:r w:rsidRPr="006D448B">
        <w:rPr>
          <w:rFonts w:asciiTheme="minorHAnsi" w:hAnsiTheme="minorHAnsi" w:cstheme="minorHAnsi"/>
        </w:rPr>
        <w:t xml:space="preserve">Like before, </w:t>
      </w:r>
      <w:r w:rsidRPr="006D448B">
        <w:rPr>
          <w:rFonts w:asciiTheme="minorHAnsi" w:hAnsiTheme="minorHAnsi" w:cstheme="minorHAnsi"/>
          <w:b/>
          <w:bCs/>
        </w:rPr>
        <w:t>all schools on the BARR (Category 1-3) and Category 4 list</w:t>
      </w:r>
      <w:r w:rsidRPr="006D448B">
        <w:rPr>
          <w:rFonts w:asciiTheme="minorHAnsi" w:hAnsiTheme="minorHAnsi" w:cstheme="minorHAnsi"/>
        </w:rPr>
        <w:t xml:space="preserve"> must close on a forecast </w:t>
      </w:r>
      <w:r w:rsidRPr="006D448B">
        <w:rPr>
          <w:rFonts w:asciiTheme="minorHAnsi" w:hAnsiTheme="minorHAnsi" w:cstheme="minorHAnsi"/>
          <w:b/>
          <w:bCs/>
        </w:rPr>
        <w:t>Catastrophic FDR</w:t>
      </w:r>
      <w:r w:rsidRPr="006D448B">
        <w:rPr>
          <w:rFonts w:asciiTheme="minorHAnsi" w:hAnsiTheme="minorHAnsi" w:cstheme="minorHAnsi"/>
        </w:rPr>
        <w:t xml:space="preserve"> day </w:t>
      </w:r>
      <w:r w:rsidRPr="008C29EA">
        <w:rPr>
          <w:rFonts w:asciiTheme="minorHAnsi" w:hAnsiTheme="minorHAnsi" w:cstheme="minorHAnsi"/>
          <w:u w:val="single"/>
        </w:rPr>
        <w:t>in their weather district</w:t>
      </w:r>
      <w:r w:rsidRPr="006D448B">
        <w:rPr>
          <w:rFonts w:asciiTheme="minorHAnsi" w:hAnsiTheme="minorHAnsi" w:cstheme="minorHAnsi"/>
        </w:rPr>
        <w:t xml:space="preserve">. Their buses will be cancelled. All other buses that travel through the </w:t>
      </w:r>
      <w:r w:rsidRPr="006D448B">
        <w:rPr>
          <w:rFonts w:asciiTheme="minorHAnsi" w:hAnsiTheme="minorHAnsi" w:cstheme="minorHAnsi"/>
          <w:b/>
          <w:bCs/>
        </w:rPr>
        <w:t>Catastrophic FDR</w:t>
      </w:r>
      <w:r w:rsidRPr="006D448B">
        <w:rPr>
          <w:rFonts w:asciiTheme="minorHAnsi" w:hAnsiTheme="minorHAnsi" w:cstheme="minorHAnsi"/>
        </w:rPr>
        <w:t xml:space="preserve"> area will also be cancelled.</w:t>
      </w:r>
    </w:p>
    <w:p w14:paraId="3CDF2822" w14:textId="49F8655F" w:rsidR="00320D58" w:rsidRDefault="00320D58" w:rsidP="00320D58">
      <w:pPr>
        <w:pStyle w:val="Heading2"/>
        <w:rPr>
          <w:lang w:val="en-AU"/>
        </w:rPr>
      </w:pPr>
      <w:r>
        <w:rPr>
          <w:lang w:val="en-AU"/>
        </w:rPr>
        <w:t>Bushfire Safety for Workers training</w:t>
      </w:r>
    </w:p>
    <w:p w14:paraId="56B6E55B" w14:textId="77777777" w:rsidR="00515EB3" w:rsidRPr="00515EB3" w:rsidRDefault="00515EB3" w:rsidP="00515EB3">
      <w:pPr>
        <w:pStyle w:val="NormalWeb"/>
        <w:spacing w:after="225"/>
        <w:rPr>
          <w:rFonts w:asciiTheme="minorHAnsi" w:eastAsia="Times New Roman" w:hAnsiTheme="minorHAnsi" w:cstheme="minorHAnsi"/>
          <w:color w:val="333333"/>
          <w:sz w:val="24"/>
          <w:lang w:eastAsia="en-AU"/>
        </w:rPr>
      </w:pPr>
      <w:r w:rsidRPr="00515EB3">
        <w:rPr>
          <w:rFonts w:asciiTheme="minorHAnsi" w:hAnsiTheme="minorHAnsi" w:cstheme="minorHAnsi"/>
        </w:rPr>
        <w:t xml:space="preserve">The Country Fire Authority (CFA) offers an e-learning module called </w:t>
      </w:r>
      <w:r w:rsidRPr="00515EB3">
        <w:rPr>
          <w:rFonts w:asciiTheme="minorHAnsi" w:hAnsiTheme="minorHAnsi" w:cstheme="minorHAnsi"/>
          <w:b/>
          <w:bCs/>
        </w:rPr>
        <w:t>Bushfire Safety for Workers</w:t>
      </w:r>
      <w:r w:rsidRPr="00515EB3">
        <w:rPr>
          <w:rFonts w:asciiTheme="minorHAnsi" w:hAnsiTheme="minorHAnsi" w:cstheme="minorHAnsi"/>
        </w:rPr>
        <w:t xml:space="preserve">. This course is highly recommended. It was designed to support people who work in and travel through bushfire risk areas as part of their job. It was updated to reflect the AFDRS. Visit the CFA website:  </w:t>
      </w:r>
      <w:hyperlink r:id="rId13" w:history="1">
        <w:r w:rsidRPr="00515EB3">
          <w:rPr>
            <w:rStyle w:val="Hyperlink"/>
            <w:rFonts w:asciiTheme="minorHAnsi" w:hAnsiTheme="minorHAnsi" w:cstheme="minorHAnsi"/>
          </w:rPr>
          <w:t>https://www.cfa.vic.gov.au/atrisk</w:t>
        </w:r>
      </w:hyperlink>
      <w:r w:rsidRPr="00515EB3">
        <w:rPr>
          <w:rFonts w:asciiTheme="minorHAnsi" w:hAnsiTheme="minorHAnsi" w:cstheme="minorHAnsi"/>
        </w:rPr>
        <w:t xml:space="preserve">  </w:t>
      </w:r>
    </w:p>
    <w:p w14:paraId="2A51391E" w14:textId="40A00583" w:rsidR="00515EB3" w:rsidRDefault="00515EB3" w:rsidP="00515EB3">
      <w:pPr>
        <w:pStyle w:val="Heading2"/>
        <w:rPr>
          <w:lang w:val="en-AU"/>
        </w:rPr>
      </w:pPr>
      <w:r>
        <w:rPr>
          <w:lang w:val="en-AU"/>
        </w:rPr>
        <w:t>Learn more</w:t>
      </w:r>
    </w:p>
    <w:p w14:paraId="3A411D7F" w14:textId="77777777" w:rsidR="00674D8D" w:rsidRDefault="00674D8D" w:rsidP="00674D8D">
      <w:pPr>
        <w:spacing w:after="0"/>
      </w:pPr>
      <w:r>
        <w:t xml:space="preserve">If you have any questions, please contact your regional emergency management staff or email </w:t>
      </w:r>
      <w:hyperlink r:id="rId14" w:history="1">
        <w:r w:rsidRPr="00B6260C">
          <w:rPr>
            <w:rStyle w:val="Hyperlink"/>
          </w:rPr>
          <w:t>emergency.management@education.vic.gov.au</w:t>
        </w:r>
      </w:hyperlink>
      <w:r>
        <w:t xml:space="preserve">. </w:t>
      </w:r>
    </w:p>
    <w:p w14:paraId="61678D53" w14:textId="77777777" w:rsidR="00515EB3" w:rsidRDefault="00515EB3" w:rsidP="00515EB3">
      <w:pPr>
        <w:rPr>
          <w:lang w:val="en-AU"/>
        </w:rPr>
      </w:pPr>
    </w:p>
    <w:p w14:paraId="44A79191" w14:textId="7D9D02DA" w:rsidR="00674D8D" w:rsidRPr="00515EB3" w:rsidRDefault="00674D8D" w:rsidP="00515EB3">
      <w:pPr>
        <w:rPr>
          <w:lang w:val="en-AU"/>
        </w:rPr>
      </w:pPr>
      <w:r>
        <w:rPr>
          <w:lang w:val="en-AU"/>
        </w:rPr>
        <w:t xml:space="preserve">Visit </w:t>
      </w:r>
      <w:hyperlink r:id="rId15" w:history="1">
        <w:r w:rsidR="00022F89" w:rsidRPr="006E168F">
          <w:rPr>
            <w:rStyle w:val="Hyperlink"/>
            <w:lang w:val="en-AU"/>
          </w:rPr>
          <w:t>https://www.afac.com.au/initiative/afdrs</w:t>
        </w:r>
      </w:hyperlink>
      <w:r w:rsidR="002C774C">
        <w:rPr>
          <w:lang w:val="en-AU"/>
        </w:rPr>
        <w:t>.</w:t>
      </w:r>
      <w:r w:rsidR="00022F89">
        <w:rPr>
          <w:lang w:val="en-AU"/>
        </w:rPr>
        <w:t xml:space="preserve"> </w:t>
      </w:r>
    </w:p>
    <w:p w14:paraId="0B3B960F" w14:textId="77777777" w:rsidR="006D448B" w:rsidRDefault="006D448B" w:rsidP="00394DC1">
      <w:pPr>
        <w:spacing w:before="100" w:beforeAutospacing="1" w:after="100" w:afterAutospacing="1"/>
        <w:rPr>
          <w:rFonts w:cs="Calibri"/>
        </w:rPr>
      </w:pPr>
    </w:p>
    <w:p w14:paraId="5A9E2189" w14:textId="03A2AA0C" w:rsidR="00E64758" w:rsidRDefault="00E64758" w:rsidP="0016287D">
      <w:pPr>
        <w:spacing w:after="40"/>
        <w:rPr>
          <w:b/>
          <w:color w:val="FF0000"/>
          <w:sz w:val="24"/>
          <w:lang w:val="en-AU"/>
        </w:rPr>
      </w:pPr>
    </w:p>
    <w:sectPr w:rsidR="00E64758" w:rsidSect="002D6A49">
      <w:headerReference w:type="default" r:id="rId16"/>
      <w:footerReference w:type="even" r:id="rId17"/>
      <w:footerReference w:type="default" r:id="rId18"/>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E665A" w14:textId="77777777" w:rsidR="00E21D9F" w:rsidRDefault="00E21D9F" w:rsidP="003967DD">
      <w:pPr>
        <w:spacing w:after="0"/>
      </w:pPr>
      <w:r>
        <w:separator/>
      </w:r>
    </w:p>
  </w:endnote>
  <w:endnote w:type="continuationSeparator" w:id="0">
    <w:p w14:paraId="6C67EC8D" w14:textId="77777777" w:rsidR="00E21D9F" w:rsidRDefault="00E21D9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E76B" w14:textId="77777777" w:rsidR="00E21D9F" w:rsidRDefault="00E21D9F" w:rsidP="003967DD">
      <w:pPr>
        <w:spacing w:after="0"/>
      </w:pPr>
      <w:r>
        <w:separator/>
      </w:r>
    </w:p>
  </w:footnote>
  <w:footnote w:type="continuationSeparator" w:id="0">
    <w:p w14:paraId="62893FDD" w14:textId="77777777" w:rsidR="00E21D9F" w:rsidRDefault="00E21D9F"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546D5173" w:rsidR="003967DD" w:rsidRDefault="000861DD">
    <w:pPr>
      <w:pStyle w:val="Header"/>
    </w:pPr>
    <w:r>
      <w:rPr>
        <w:noProof/>
      </w:rPr>
      <w:drawing>
        <wp:anchor distT="0" distB="0" distL="114300" distR="114300" simplePos="0" relativeHeight="251658240" behindDoc="1" locked="0" layoutInCell="1" allowOverlap="1" wp14:anchorId="7CE31918" wp14:editId="36977657">
          <wp:simplePos x="0" y="0"/>
          <wp:positionH relativeFrom="page">
            <wp:posOffset>0</wp:posOffset>
          </wp:positionH>
          <wp:positionV relativeFrom="page">
            <wp:posOffset>6344</wp:posOffset>
          </wp:positionV>
          <wp:extent cx="7550422" cy="10672109"/>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CCD0DA"/>
    <w:multiLevelType w:val="hybridMultilevel"/>
    <w:tmpl w:val="74D8042C"/>
    <w:lvl w:ilvl="0" w:tplc="7E7834E6">
      <w:start w:val="1"/>
      <w:numFmt w:val="bullet"/>
      <w:lvlText w:val=""/>
      <w:lvlJc w:val="left"/>
      <w:pPr>
        <w:ind w:left="720" w:hanging="360"/>
      </w:pPr>
      <w:rPr>
        <w:rFonts w:ascii="Symbol" w:hAnsi="Symbol" w:hint="default"/>
      </w:rPr>
    </w:lvl>
    <w:lvl w:ilvl="1" w:tplc="C30051CA">
      <w:start w:val="1"/>
      <w:numFmt w:val="bullet"/>
      <w:lvlText w:val=""/>
      <w:lvlJc w:val="left"/>
      <w:pPr>
        <w:ind w:left="1440" w:hanging="360"/>
      </w:pPr>
      <w:rPr>
        <w:rFonts w:ascii="Symbol" w:hAnsi="Symbol" w:hint="default"/>
      </w:rPr>
    </w:lvl>
    <w:lvl w:ilvl="2" w:tplc="1CBE3064">
      <w:start w:val="1"/>
      <w:numFmt w:val="bullet"/>
      <w:lvlText w:val=""/>
      <w:lvlJc w:val="left"/>
      <w:pPr>
        <w:ind w:left="2160" w:hanging="360"/>
      </w:pPr>
      <w:rPr>
        <w:rFonts w:ascii="Wingdings" w:hAnsi="Wingdings" w:hint="default"/>
      </w:rPr>
    </w:lvl>
    <w:lvl w:ilvl="3" w:tplc="B68803F8">
      <w:start w:val="1"/>
      <w:numFmt w:val="bullet"/>
      <w:lvlText w:val=""/>
      <w:lvlJc w:val="left"/>
      <w:pPr>
        <w:ind w:left="2880" w:hanging="360"/>
      </w:pPr>
      <w:rPr>
        <w:rFonts w:ascii="Symbol" w:hAnsi="Symbol" w:hint="default"/>
      </w:rPr>
    </w:lvl>
    <w:lvl w:ilvl="4" w:tplc="92F4190A">
      <w:start w:val="1"/>
      <w:numFmt w:val="bullet"/>
      <w:lvlText w:val="o"/>
      <w:lvlJc w:val="left"/>
      <w:pPr>
        <w:ind w:left="3600" w:hanging="360"/>
      </w:pPr>
      <w:rPr>
        <w:rFonts w:ascii="Courier New" w:hAnsi="Courier New" w:hint="default"/>
      </w:rPr>
    </w:lvl>
    <w:lvl w:ilvl="5" w:tplc="063225BC">
      <w:start w:val="1"/>
      <w:numFmt w:val="bullet"/>
      <w:lvlText w:val=""/>
      <w:lvlJc w:val="left"/>
      <w:pPr>
        <w:ind w:left="4320" w:hanging="360"/>
      </w:pPr>
      <w:rPr>
        <w:rFonts w:ascii="Wingdings" w:hAnsi="Wingdings" w:hint="default"/>
      </w:rPr>
    </w:lvl>
    <w:lvl w:ilvl="6" w:tplc="E06AE20C">
      <w:start w:val="1"/>
      <w:numFmt w:val="bullet"/>
      <w:lvlText w:val=""/>
      <w:lvlJc w:val="left"/>
      <w:pPr>
        <w:ind w:left="5040" w:hanging="360"/>
      </w:pPr>
      <w:rPr>
        <w:rFonts w:ascii="Symbol" w:hAnsi="Symbol" w:hint="default"/>
      </w:rPr>
    </w:lvl>
    <w:lvl w:ilvl="7" w:tplc="7856E258">
      <w:start w:val="1"/>
      <w:numFmt w:val="bullet"/>
      <w:lvlText w:val="o"/>
      <w:lvlJc w:val="left"/>
      <w:pPr>
        <w:ind w:left="5760" w:hanging="360"/>
      </w:pPr>
      <w:rPr>
        <w:rFonts w:ascii="Courier New" w:hAnsi="Courier New" w:hint="default"/>
      </w:rPr>
    </w:lvl>
    <w:lvl w:ilvl="8" w:tplc="0A9C6340">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2184A"/>
    <w:multiLevelType w:val="hybridMultilevel"/>
    <w:tmpl w:val="1A7ED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841467">
    <w:abstractNumId w:val="0"/>
  </w:num>
  <w:num w:numId="2" w16cid:durableId="473370865">
    <w:abstractNumId w:val="1"/>
  </w:num>
  <w:num w:numId="3" w16cid:durableId="2130666502">
    <w:abstractNumId w:val="2"/>
  </w:num>
  <w:num w:numId="4" w16cid:durableId="251209992">
    <w:abstractNumId w:val="3"/>
  </w:num>
  <w:num w:numId="5" w16cid:durableId="744693408">
    <w:abstractNumId w:val="4"/>
  </w:num>
  <w:num w:numId="6" w16cid:durableId="298147641">
    <w:abstractNumId w:val="9"/>
  </w:num>
  <w:num w:numId="7" w16cid:durableId="1852453574">
    <w:abstractNumId w:val="5"/>
  </w:num>
  <w:num w:numId="8" w16cid:durableId="1514995995">
    <w:abstractNumId w:val="6"/>
  </w:num>
  <w:num w:numId="9" w16cid:durableId="172305888">
    <w:abstractNumId w:val="7"/>
  </w:num>
  <w:num w:numId="10" w16cid:durableId="873541410">
    <w:abstractNumId w:val="8"/>
  </w:num>
  <w:num w:numId="11" w16cid:durableId="1113866138">
    <w:abstractNumId w:val="10"/>
  </w:num>
  <w:num w:numId="12" w16cid:durableId="236867408">
    <w:abstractNumId w:val="14"/>
  </w:num>
  <w:num w:numId="13" w16cid:durableId="1868909184">
    <w:abstractNumId w:val="17"/>
  </w:num>
  <w:num w:numId="14" w16cid:durableId="187722377">
    <w:abstractNumId w:val="18"/>
  </w:num>
  <w:num w:numId="15" w16cid:durableId="526286750">
    <w:abstractNumId w:val="12"/>
  </w:num>
  <w:num w:numId="16" w16cid:durableId="1689873312">
    <w:abstractNumId w:val="16"/>
  </w:num>
  <w:num w:numId="17" w16cid:durableId="862134203">
    <w:abstractNumId w:val="13"/>
  </w:num>
  <w:num w:numId="18" w16cid:durableId="2141335975">
    <w:abstractNumId w:val="11"/>
  </w:num>
  <w:num w:numId="19" w16cid:durableId="10039681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2F89"/>
    <w:rsid w:val="000256E2"/>
    <w:rsid w:val="00080DA9"/>
    <w:rsid w:val="000861DD"/>
    <w:rsid w:val="000A47D4"/>
    <w:rsid w:val="000C600E"/>
    <w:rsid w:val="00122369"/>
    <w:rsid w:val="00150E0F"/>
    <w:rsid w:val="00157212"/>
    <w:rsid w:val="0016287D"/>
    <w:rsid w:val="00175B13"/>
    <w:rsid w:val="001D0D94"/>
    <w:rsid w:val="001D13F9"/>
    <w:rsid w:val="001F39DD"/>
    <w:rsid w:val="002512BE"/>
    <w:rsid w:val="00261864"/>
    <w:rsid w:val="00275FB8"/>
    <w:rsid w:val="002A1CB4"/>
    <w:rsid w:val="002A4A96"/>
    <w:rsid w:val="002C774C"/>
    <w:rsid w:val="002D6A49"/>
    <w:rsid w:val="002E3BED"/>
    <w:rsid w:val="002F6115"/>
    <w:rsid w:val="00312720"/>
    <w:rsid w:val="00320D58"/>
    <w:rsid w:val="00343AFC"/>
    <w:rsid w:val="0034745C"/>
    <w:rsid w:val="00356CBE"/>
    <w:rsid w:val="003618C1"/>
    <w:rsid w:val="00394DC1"/>
    <w:rsid w:val="003967DD"/>
    <w:rsid w:val="003A4C39"/>
    <w:rsid w:val="0042333B"/>
    <w:rsid w:val="00443E58"/>
    <w:rsid w:val="00477D61"/>
    <w:rsid w:val="004A2E74"/>
    <w:rsid w:val="004B2ED6"/>
    <w:rsid w:val="004D4388"/>
    <w:rsid w:val="00500ADA"/>
    <w:rsid w:val="00512BBA"/>
    <w:rsid w:val="00515EB3"/>
    <w:rsid w:val="00555277"/>
    <w:rsid w:val="00567CF0"/>
    <w:rsid w:val="00584366"/>
    <w:rsid w:val="005A4F12"/>
    <w:rsid w:val="005C1063"/>
    <w:rsid w:val="005E0713"/>
    <w:rsid w:val="006039D1"/>
    <w:rsid w:val="00624A55"/>
    <w:rsid w:val="006523D7"/>
    <w:rsid w:val="006671CE"/>
    <w:rsid w:val="00674D8D"/>
    <w:rsid w:val="006A1F8A"/>
    <w:rsid w:val="006A25AC"/>
    <w:rsid w:val="006C45C0"/>
    <w:rsid w:val="006D448B"/>
    <w:rsid w:val="006E2B9A"/>
    <w:rsid w:val="00710CED"/>
    <w:rsid w:val="00735566"/>
    <w:rsid w:val="00767573"/>
    <w:rsid w:val="00786E0F"/>
    <w:rsid w:val="0079573A"/>
    <w:rsid w:val="007B114E"/>
    <w:rsid w:val="007B556E"/>
    <w:rsid w:val="007D3E38"/>
    <w:rsid w:val="007E43E9"/>
    <w:rsid w:val="00803A0F"/>
    <w:rsid w:val="008065DA"/>
    <w:rsid w:val="00814358"/>
    <w:rsid w:val="00890680"/>
    <w:rsid w:val="00892E24"/>
    <w:rsid w:val="008B1737"/>
    <w:rsid w:val="008C29EA"/>
    <w:rsid w:val="008F3D35"/>
    <w:rsid w:val="00952690"/>
    <w:rsid w:val="00954B9A"/>
    <w:rsid w:val="0099358C"/>
    <w:rsid w:val="009B24D9"/>
    <w:rsid w:val="009F6A77"/>
    <w:rsid w:val="00A31926"/>
    <w:rsid w:val="00A710DF"/>
    <w:rsid w:val="00B14EB1"/>
    <w:rsid w:val="00B21562"/>
    <w:rsid w:val="00B36CFB"/>
    <w:rsid w:val="00C1679B"/>
    <w:rsid w:val="00C2776D"/>
    <w:rsid w:val="00C32727"/>
    <w:rsid w:val="00C467D0"/>
    <w:rsid w:val="00C539BB"/>
    <w:rsid w:val="00CC5AA8"/>
    <w:rsid w:val="00CC5FA8"/>
    <w:rsid w:val="00CD5993"/>
    <w:rsid w:val="00CE7916"/>
    <w:rsid w:val="00D57070"/>
    <w:rsid w:val="00D9777A"/>
    <w:rsid w:val="00DC4D0D"/>
    <w:rsid w:val="00DC7437"/>
    <w:rsid w:val="00DD49F0"/>
    <w:rsid w:val="00E21D9F"/>
    <w:rsid w:val="00E33433"/>
    <w:rsid w:val="00E34263"/>
    <w:rsid w:val="00E34721"/>
    <w:rsid w:val="00E4317E"/>
    <w:rsid w:val="00E5030B"/>
    <w:rsid w:val="00E527F3"/>
    <w:rsid w:val="00E6100B"/>
    <w:rsid w:val="00E64758"/>
    <w:rsid w:val="00E77EB9"/>
    <w:rsid w:val="00F0610A"/>
    <w:rsid w:val="00F5271F"/>
    <w:rsid w:val="00F6539E"/>
    <w:rsid w:val="00F774DC"/>
    <w:rsid w:val="00F94715"/>
    <w:rsid w:val="00FB7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E25205" w:themeColor="accent3"/>
      <w:sz w:val="32"/>
      <w:szCs w:val="26"/>
    </w:rPr>
  </w:style>
  <w:style w:type="paragraph" w:styleId="Heading3">
    <w:name w:val="heading 3"/>
    <w:basedOn w:val="Normal"/>
    <w:next w:val="Normal"/>
    <w:link w:val="Heading3Char"/>
    <w:uiPriority w:val="9"/>
    <w:unhideWhenUsed/>
    <w:qFormat/>
    <w:rsid w:val="00803A0F"/>
    <w:pPr>
      <w:keepNext/>
      <w:keepLines/>
      <w:spacing w:before="40"/>
      <w:outlineLvl w:val="2"/>
    </w:pPr>
    <w:rPr>
      <w:rFonts w:asciiTheme="majorHAnsi" w:eastAsiaTheme="majorEastAsia" w:hAnsiTheme="majorHAnsi" w:cstheme="majorBidi"/>
      <w:b/>
      <w:color w:val="AE272F"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E25205" w:themeColor="accent3"/>
      <w:sz w:val="32"/>
      <w:szCs w:val="26"/>
    </w:rPr>
  </w:style>
  <w:style w:type="character" w:customStyle="1" w:styleId="Heading3Char">
    <w:name w:val="Heading 3 Char"/>
    <w:basedOn w:val="DefaultParagraphFont"/>
    <w:link w:val="Heading3"/>
    <w:uiPriority w:val="9"/>
    <w:rsid w:val="00803A0F"/>
    <w:rPr>
      <w:rFonts w:asciiTheme="majorHAnsi" w:eastAsiaTheme="majorEastAsia" w:hAnsiTheme="majorHAnsi" w:cstheme="majorBidi"/>
      <w:b/>
      <w:color w:val="AE272F"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803A0F"/>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AE272F" w:themeFill="accent1"/>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E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table" w:styleId="TableGridLight">
    <w:name w:val="Grid Table Light"/>
    <w:basedOn w:val="TableNormal"/>
    <w:uiPriority w:val="40"/>
    <w:rsid w:val="00F653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6D448B"/>
    <w:pPr>
      <w:spacing w:after="200" w:line="280" w:lineRule="exact"/>
      <w:ind w:left="720"/>
      <w:contextualSpacing/>
    </w:pPr>
    <w:rPr>
      <w:rFonts w:ascii="Calibri" w:eastAsiaTheme="minorEastAsia" w:hAnsi="Calibri"/>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6D448B"/>
    <w:rPr>
      <w:rFonts w:ascii="Calibri" w:eastAsiaTheme="minorEastAsia" w:hAnsi="Calibri"/>
      <w:sz w:val="22"/>
      <w:szCs w:val="22"/>
      <w:lang w:val="en-AU"/>
    </w:rPr>
  </w:style>
  <w:style w:type="paragraph" w:styleId="NormalWeb">
    <w:name w:val="Normal (Web)"/>
    <w:basedOn w:val="Normal"/>
    <w:uiPriority w:val="99"/>
    <w:unhideWhenUsed/>
    <w:rsid w:val="00515EB3"/>
    <w:pPr>
      <w:spacing w:after="200" w:line="280" w:lineRule="exact"/>
    </w:pPr>
    <w:rPr>
      <w:rFonts w:ascii="Times New Roman" w:eastAsiaTheme="minorEastAsia"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fa.vic.gov.au/atris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fac.com.au/initiative/afd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ergency.management@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d State - All sectors 1">
      <a:dk1>
        <a:srgbClr val="000000"/>
      </a:dk1>
      <a:lt1>
        <a:srgbClr val="FFFFFF"/>
      </a:lt1>
      <a:dk2>
        <a:srgbClr val="000000"/>
      </a:dk2>
      <a:lt2>
        <a:srgbClr val="E7E6E6"/>
      </a:lt2>
      <a:accent1>
        <a:srgbClr val="AE272F"/>
      </a:accent1>
      <a:accent2>
        <a:srgbClr val="BC95C8"/>
      </a:accent2>
      <a:accent3>
        <a:srgbClr val="E25205"/>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32</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D7B67D-17A9-46E5-B33F-47D4A56F3220}"/>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3925</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Laura Janes</cp:lastModifiedBy>
  <cp:revision>25</cp:revision>
  <dcterms:created xsi:type="dcterms:W3CDTF">2023-07-23T23:37:00Z</dcterms:created>
  <dcterms:modified xsi:type="dcterms:W3CDTF">2023-08-02T07:03:00Z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ClassificationContentMarkingHeaderShapeIds">
    <vt:lpwstr>7,a,d,10</vt:lpwstr>
  </property>
  <property fmtid="{D5CDD505-2E9C-101B-9397-08002B2CF9AE}" pid="4" name="ClassificationContentMarkingHeaderFontProps">
    <vt:lpwstr>#ff0000,12,Calibri</vt:lpwstr>
  </property>
  <property fmtid="{D5CDD505-2E9C-101B-9397-08002B2CF9AE}" pid="5" name="ClassificationContentMarkingHeaderText">
    <vt:lpwstr>Protected - Personal Privacy</vt:lpwstr>
  </property>
  <property fmtid="{D5CDD505-2E9C-101B-9397-08002B2CF9AE}" pid="6" name="RecordPoint_RecordNumberSubmitted">
    <vt:lpwstr>R20220318747</vt:lpwstr>
  </property>
  <property fmtid="{D5CDD505-2E9C-101B-9397-08002B2CF9AE}" pid="7" name="RecordPoint_ActiveItemSiteId">
    <vt:lpwstr>{61b3ca93-a8bf-4c99-aff3-b46cc7f4149e}</vt:lpwstr>
  </property>
  <property fmtid="{D5CDD505-2E9C-101B-9397-08002B2CF9AE}" pid="8" name="RecordPoint_ActiveItemListId">
    <vt:lpwstr>{73f2ff2b-cd9d-47fc-88cc-85cbf6784b97}</vt:lpwstr>
  </property>
  <property fmtid="{D5CDD505-2E9C-101B-9397-08002B2CF9AE}" pid="9" name="MediaServiceImageTags">
    <vt:lpwstr/>
  </property>
  <property fmtid="{D5CDD505-2E9C-101B-9397-08002B2CF9AE}" pid="10" name="RecordPoint_ActiveItemUniqueId">
    <vt:lpwstr>{90fa9454-c06c-47af-98d4-df6141c6569c}</vt:lpwstr>
  </property>
  <property fmtid="{D5CDD505-2E9C-101B-9397-08002B2CF9AE}" pid="11" name="RecordPoint_SubmissionCompleted">
    <vt:lpwstr>2022-05-26T13:52:36.9750976+10:00</vt:lpwstr>
  </property>
  <property fmtid="{D5CDD505-2E9C-101B-9397-08002B2CF9AE}" pid="12" name="RecordPoint_ActiveItemWebId">
    <vt:lpwstr>{0cef8406-c5f7-4435-841a-750b59bfaa60}</vt:lpwstr>
  </property>
  <property fmtid="{D5CDD505-2E9C-101B-9397-08002B2CF9AE}" pid="13" name="RecordPoint_WorkflowType">
    <vt:lpwstr>ActiveSubmitStub</vt:lpwstr>
  </property>
</Properties>
</file>