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0C1A" w14:textId="77777777" w:rsidR="002E5472" w:rsidRPr="000F6A81" w:rsidRDefault="002E5472" w:rsidP="00CE1158">
      <w:pPr>
        <w:pStyle w:val="FormName"/>
        <w:ind w:left="142" w:right="-142"/>
        <w:jc w:val="left"/>
      </w:pPr>
      <w:r>
        <w:rPr>
          <w:sz w:val="32"/>
        </w:rPr>
        <w:t>Amusement Rides, Attractions and Fireworks Checklist</w:t>
      </w:r>
    </w:p>
    <w:p w14:paraId="4C8341E1" w14:textId="738176AB" w:rsidR="00CE1158" w:rsidRPr="00217A49" w:rsidRDefault="00B04440" w:rsidP="00415F6E">
      <w:pPr>
        <w:pStyle w:val="SectionHeading"/>
        <w:spacing w:before="120" w:after="120" w:line="276" w:lineRule="auto"/>
        <w:ind w:left="142"/>
        <w:rPr>
          <w:rFonts w:ascii="Arial" w:hAnsi="Arial" w:cs="Arial"/>
          <w:b w:val="0"/>
          <w:bCs/>
          <w:sz w:val="22"/>
          <w:szCs w:val="22"/>
        </w:rPr>
      </w:pPr>
      <w:r w:rsidRPr="00217A49">
        <w:rPr>
          <w:rFonts w:ascii="Arial" w:hAnsi="Arial" w:cs="Arial"/>
          <w:b w:val="0"/>
          <w:bCs/>
          <w:sz w:val="22"/>
          <w:szCs w:val="22"/>
        </w:rPr>
        <w:t xml:space="preserve">Principals and/or their delegates must work with the </w:t>
      </w:r>
      <w:r w:rsidR="00397677" w:rsidRPr="00217A49">
        <w:rPr>
          <w:rFonts w:ascii="Arial" w:hAnsi="Arial" w:cs="Arial"/>
          <w:b w:val="0"/>
          <w:bCs/>
          <w:sz w:val="22"/>
          <w:szCs w:val="22"/>
        </w:rPr>
        <w:t xml:space="preserve">contracted </w:t>
      </w:r>
      <w:r w:rsidRPr="00217A49">
        <w:rPr>
          <w:rFonts w:ascii="Arial" w:hAnsi="Arial" w:cs="Arial"/>
          <w:b w:val="0"/>
          <w:bCs/>
          <w:sz w:val="22"/>
          <w:szCs w:val="22"/>
        </w:rPr>
        <w:t xml:space="preserve">operator to identify and mitigate risks that may arise from the operation of the ride, </w:t>
      </w:r>
      <w:r w:rsidR="00415F6E" w:rsidRPr="00217A49">
        <w:rPr>
          <w:rFonts w:ascii="Arial" w:hAnsi="Arial" w:cs="Arial"/>
          <w:b w:val="0"/>
          <w:bCs/>
          <w:sz w:val="22"/>
          <w:szCs w:val="22"/>
        </w:rPr>
        <w:t>attraction,</w:t>
      </w:r>
      <w:r w:rsidRPr="00217A49">
        <w:rPr>
          <w:rFonts w:ascii="Arial" w:hAnsi="Arial" w:cs="Arial"/>
          <w:b w:val="0"/>
          <w:bCs/>
          <w:sz w:val="22"/>
          <w:szCs w:val="22"/>
        </w:rPr>
        <w:t xml:space="preserve"> or firework.</w:t>
      </w:r>
      <w:r w:rsidR="00853635" w:rsidRPr="00217A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E1158" w:rsidRPr="00217A49">
        <w:rPr>
          <w:rFonts w:ascii="Arial" w:hAnsi="Arial" w:cs="Arial"/>
          <w:b w:val="0"/>
          <w:bCs/>
          <w:sz w:val="22"/>
          <w:szCs w:val="22"/>
        </w:rPr>
        <w:t>This checklist can be used when planning for the safe operation of an amusement ride or attraction</w:t>
      </w:r>
      <w:r w:rsidR="00AA6687">
        <w:rPr>
          <w:rFonts w:ascii="Arial" w:hAnsi="Arial" w:cs="Arial"/>
          <w:b w:val="0"/>
          <w:bCs/>
          <w:sz w:val="22"/>
          <w:szCs w:val="22"/>
        </w:rPr>
        <w:t xml:space="preserve"> on both school and non-school sites</w:t>
      </w:r>
      <w:r w:rsidR="00CE1158" w:rsidRPr="00217A49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4C5AF18D" w14:textId="24009FC8" w:rsidR="00853635" w:rsidRPr="00217A49" w:rsidRDefault="00853635" w:rsidP="00415F6E">
      <w:pPr>
        <w:pStyle w:val="SectionHeading"/>
        <w:spacing w:before="120" w:after="120" w:line="276" w:lineRule="auto"/>
        <w:ind w:left="142"/>
      </w:pPr>
      <w:r w:rsidRPr="00217A49">
        <w:rPr>
          <w:rFonts w:ascii="Arial" w:hAnsi="Arial" w:cs="Arial"/>
          <w:sz w:val="22"/>
          <w:szCs w:val="22"/>
        </w:rPr>
        <w:t>Schools must not operate their own amusement rides, attractions</w:t>
      </w:r>
      <w:r w:rsidR="00415F6E">
        <w:rPr>
          <w:rFonts w:ascii="Arial" w:hAnsi="Arial" w:cs="Arial"/>
          <w:sz w:val="22"/>
          <w:szCs w:val="22"/>
        </w:rPr>
        <w:t>,</w:t>
      </w:r>
      <w:r w:rsidRPr="00217A49">
        <w:rPr>
          <w:rFonts w:ascii="Arial" w:hAnsi="Arial" w:cs="Arial"/>
          <w:sz w:val="22"/>
          <w:szCs w:val="22"/>
        </w:rPr>
        <w:t xml:space="preserve"> or fireworks, and must not hire and operate amusement rides, attractions</w:t>
      </w:r>
      <w:r w:rsidR="00415F6E">
        <w:rPr>
          <w:rFonts w:ascii="Arial" w:hAnsi="Arial" w:cs="Arial"/>
          <w:sz w:val="22"/>
          <w:szCs w:val="22"/>
        </w:rPr>
        <w:t>,</w:t>
      </w:r>
      <w:r w:rsidRPr="00217A49">
        <w:rPr>
          <w:rFonts w:ascii="Arial" w:hAnsi="Arial" w:cs="Arial"/>
          <w:sz w:val="22"/>
          <w:szCs w:val="22"/>
        </w:rPr>
        <w:t xml:space="preserve"> or fireworks without the third-party operator on site.</w:t>
      </w:r>
    </w:p>
    <w:tbl>
      <w:tblPr>
        <w:tblW w:w="9913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  <w:tblCaption w:val="General details"/>
        <w:tblDescription w:val="Date of inspection. name of workplace. area being inspected and the name of the person doing the inspection"/>
      </w:tblPr>
      <w:tblGrid>
        <w:gridCol w:w="2684"/>
        <w:gridCol w:w="7229"/>
      </w:tblGrid>
      <w:tr w:rsidR="00922204" w:rsidRPr="00B75131" w14:paraId="1429A9DB" w14:textId="77777777" w:rsidTr="009E465F">
        <w:trPr>
          <w:trHeight w:val="333"/>
          <w:jc w:val="center"/>
        </w:trPr>
        <w:tc>
          <w:tcPr>
            <w:tcW w:w="2684" w:type="dxa"/>
            <w:shd w:val="clear" w:color="auto" w:fill="004EA8"/>
            <w:vAlign w:val="center"/>
          </w:tcPr>
          <w:p w14:paraId="07375A9F" w14:textId="77777777" w:rsidR="00922204" w:rsidRPr="00922204" w:rsidRDefault="00922204" w:rsidP="009E465F">
            <w:pPr>
              <w:rPr>
                <w:b/>
                <w:color w:val="FFFFFF" w:themeColor="background1"/>
              </w:rPr>
            </w:pPr>
            <w:r w:rsidRPr="00922204">
              <w:rPr>
                <w:b/>
                <w:color w:val="FFFFFF" w:themeColor="background1"/>
              </w:rPr>
              <w:t>Date:</w:t>
            </w:r>
          </w:p>
        </w:tc>
        <w:tc>
          <w:tcPr>
            <w:tcW w:w="7229" w:type="dxa"/>
            <w:vAlign w:val="center"/>
          </w:tcPr>
          <w:p w14:paraId="719C4C57" w14:textId="77777777" w:rsidR="00922204" w:rsidRPr="00B75131" w:rsidRDefault="00922204" w:rsidP="00B64ADE">
            <w:pPr>
              <w:rPr>
                <w:b/>
              </w:rPr>
            </w:pPr>
          </w:p>
        </w:tc>
      </w:tr>
      <w:tr w:rsidR="00922204" w:rsidRPr="00B75131" w14:paraId="4283857C" w14:textId="77777777" w:rsidTr="009E465F">
        <w:trPr>
          <w:trHeight w:val="333"/>
          <w:jc w:val="center"/>
        </w:trPr>
        <w:tc>
          <w:tcPr>
            <w:tcW w:w="2684" w:type="dxa"/>
            <w:shd w:val="clear" w:color="auto" w:fill="004EA8"/>
            <w:vAlign w:val="center"/>
          </w:tcPr>
          <w:p w14:paraId="1D6600F7" w14:textId="2F9ECEF1" w:rsidR="00922204" w:rsidRPr="00922204" w:rsidRDefault="00241EC0" w:rsidP="009E465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</w:t>
            </w:r>
            <w:r w:rsidR="00922204" w:rsidRPr="00922204">
              <w:rPr>
                <w:b/>
                <w:color w:val="FFFFFF" w:themeColor="background1"/>
              </w:rPr>
              <w:t>:</w:t>
            </w:r>
          </w:p>
        </w:tc>
        <w:tc>
          <w:tcPr>
            <w:tcW w:w="7229" w:type="dxa"/>
            <w:vAlign w:val="center"/>
          </w:tcPr>
          <w:p w14:paraId="6D3FC55D" w14:textId="77777777" w:rsidR="00922204" w:rsidRPr="00B75131" w:rsidRDefault="00922204" w:rsidP="00B64ADE">
            <w:pPr>
              <w:rPr>
                <w:b/>
              </w:rPr>
            </w:pPr>
          </w:p>
        </w:tc>
      </w:tr>
      <w:tr w:rsidR="00922204" w:rsidRPr="00B75131" w14:paraId="40349E99" w14:textId="77777777" w:rsidTr="009E465F">
        <w:trPr>
          <w:trHeight w:val="333"/>
          <w:jc w:val="center"/>
        </w:trPr>
        <w:tc>
          <w:tcPr>
            <w:tcW w:w="2684" w:type="dxa"/>
            <w:shd w:val="clear" w:color="auto" w:fill="004EA8"/>
            <w:vAlign w:val="center"/>
          </w:tcPr>
          <w:p w14:paraId="4AA4B3E6" w14:textId="3410CAB4" w:rsidR="00922204" w:rsidRPr="00922204" w:rsidRDefault="00241EC0" w:rsidP="009E465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School</w:t>
            </w:r>
            <w:r w:rsidR="00922204" w:rsidRPr="00922204">
              <w:rPr>
                <w:b/>
                <w:color w:val="FFFFFF" w:themeColor="background1"/>
              </w:rPr>
              <w:t>:</w:t>
            </w:r>
          </w:p>
        </w:tc>
        <w:tc>
          <w:tcPr>
            <w:tcW w:w="7229" w:type="dxa"/>
            <w:vAlign w:val="center"/>
          </w:tcPr>
          <w:p w14:paraId="2B964DD5" w14:textId="77777777" w:rsidR="00922204" w:rsidRPr="00B75131" w:rsidRDefault="00922204" w:rsidP="00B64ADE">
            <w:pPr>
              <w:rPr>
                <w:b/>
              </w:rPr>
            </w:pPr>
          </w:p>
        </w:tc>
      </w:tr>
      <w:tr w:rsidR="00BC3AA5" w:rsidRPr="00B75131" w14:paraId="00A365D7" w14:textId="77777777" w:rsidTr="009E465F">
        <w:trPr>
          <w:trHeight w:val="333"/>
          <w:jc w:val="center"/>
        </w:trPr>
        <w:tc>
          <w:tcPr>
            <w:tcW w:w="2684" w:type="dxa"/>
            <w:shd w:val="clear" w:color="auto" w:fill="004EA8"/>
            <w:vAlign w:val="center"/>
          </w:tcPr>
          <w:p w14:paraId="0534B0F0" w14:textId="65B934A0" w:rsidR="00BC3AA5" w:rsidRDefault="00BC3AA5" w:rsidP="009E465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Third-party operator:</w:t>
            </w:r>
          </w:p>
        </w:tc>
        <w:tc>
          <w:tcPr>
            <w:tcW w:w="7229" w:type="dxa"/>
            <w:vAlign w:val="center"/>
          </w:tcPr>
          <w:p w14:paraId="517495CB" w14:textId="77777777" w:rsidR="00BC3AA5" w:rsidRPr="00B75131" w:rsidRDefault="00BC3AA5" w:rsidP="00B64ADE">
            <w:pPr>
              <w:rPr>
                <w:b/>
              </w:rPr>
            </w:pPr>
          </w:p>
        </w:tc>
      </w:tr>
    </w:tbl>
    <w:p w14:paraId="7B276B1A" w14:textId="54B710CB" w:rsidR="00931839" w:rsidRPr="009E465F" w:rsidRDefault="00957AFA" w:rsidP="00B47391">
      <w:pPr>
        <w:pStyle w:val="SectionHeading"/>
        <w:spacing w:before="240" w:after="120" w:line="276" w:lineRule="auto"/>
        <w:ind w:firstLine="142"/>
        <w:rPr>
          <w:rFonts w:ascii="Arial" w:hAnsi="Arial" w:cs="Arial"/>
          <w:color w:val="004EA8"/>
          <w:szCs w:val="28"/>
        </w:rPr>
      </w:pPr>
      <w:r w:rsidRPr="009E465F">
        <w:rPr>
          <w:rFonts w:ascii="Arial" w:hAnsi="Arial" w:cs="Arial"/>
          <w:color w:val="004EA8"/>
          <w:szCs w:val="28"/>
        </w:rPr>
        <w:t>Checklist</w:t>
      </w:r>
      <w:r w:rsidR="004A17A8" w:rsidRPr="009E465F">
        <w:rPr>
          <w:rFonts w:ascii="Arial" w:hAnsi="Arial" w:cs="Arial"/>
          <w:color w:val="004EA8"/>
          <w:szCs w:val="28"/>
        </w:rPr>
        <w:t xml:space="preserve"> Instructions</w:t>
      </w:r>
    </w:p>
    <w:p w14:paraId="3C978203" w14:textId="029F337B" w:rsidR="00EA49B9" w:rsidRDefault="008A3687" w:rsidP="00B24CC5">
      <w:pPr>
        <w:pStyle w:val="SectionHeading"/>
        <w:spacing w:before="120" w:after="120" w:line="276" w:lineRule="auto"/>
        <w:ind w:left="142"/>
        <w:rPr>
          <w:rFonts w:ascii="Arial" w:hAnsi="Arial" w:cs="Arial"/>
          <w:b w:val="0"/>
          <w:bCs/>
          <w:sz w:val="22"/>
          <w:szCs w:val="22"/>
        </w:rPr>
      </w:pPr>
      <w:r w:rsidRPr="009E465F">
        <w:rPr>
          <w:rFonts w:ascii="Arial" w:hAnsi="Arial" w:cs="Arial"/>
          <w:b w:val="0"/>
          <w:bCs/>
          <w:sz w:val="22"/>
          <w:szCs w:val="22"/>
        </w:rPr>
        <w:t>All</w:t>
      </w:r>
      <w:r w:rsidR="00DB3144" w:rsidRPr="009E465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97677">
        <w:rPr>
          <w:rFonts w:ascii="Arial" w:hAnsi="Arial" w:cs="Arial"/>
          <w:b w:val="0"/>
          <w:bCs/>
          <w:sz w:val="22"/>
          <w:szCs w:val="22"/>
        </w:rPr>
        <w:t>checklist</w:t>
      </w:r>
      <w:r w:rsidR="00DB3144" w:rsidRPr="009E465F">
        <w:rPr>
          <w:rFonts w:ascii="Arial" w:hAnsi="Arial" w:cs="Arial"/>
          <w:b w:val="0"/>
          <w:bCs/>
          <w:sz w:val="22"/>
          <w:szCs w:val="22"/>
        </w:rPr>
        <w:t xml:space="preserve"> items</w:t>
      </w:r>
      <w:r w:rsidR="00931839" w:rsidRPr="009E465F">
        <w:rPr>
          <w:rFonts w:ascii="Arial" w:hAnsi="Arial" w:cs="Arial"/>
          <w:b w:val="0"/>
          <w:bCs/>
          <w:sz w:val="22"/>
          <w:szCs w:val="22"/>
        </w:rPr>
        <w:t xml:space="preserve"> are mandatory</w:t>
      </w:r>
      <w:r w:rsidR="00DB3144" w:rsidRPr="009E465F">
        <w:rPr>
          <w:rFonts w:ascii="Arial" w:hAnsi="Arial" w:cs="Arial"/>
          <w:b w:val="0"/>
          <w:bCs/>
          <w:sz w:val="22"/>
          <w:szCs w:val="22"/>
        </w:rPr>
        <w:t xml:space="preserve"> and must be </w:t>
      </w:r>
      <w:r w:rsidRPr="009E465F">
        <w:rPr>
          <w:rFonts w:ascii="Arial" w:hAnsi="Arial" w:cs="Arial"/>
          <w:b w:val="0"/>
          <w:bCs/>
          <w:sz w:val="22"/>
          <w:szCs w:val="22"/>
        </w:rPr>
        <w:t xml:space="preserve">obtained </w:t>
      </w:r>
      <w:r w:rsidR="006C4BB5" w:rsidRPr="009E465F">
        <w:rPr>
          <w:rFonts w:ascii="Arial" w:hAnsi="Arial" w:cs="Arial"/>
          <w:b w:val="0"/>
          <w:bCs/>
          <w:sz w:val="22"/>
          <w:szCs w:val="22"/>
        </w:rPr>
        <w:t xml:space="preserve">as a necessary condition for the operation of amusement </w:t>
      </w:r>
      <w:r w:rsidR="00B35A6E">
        <w:rPr>
          <w:rFonts w:ascii="Arial" w:hAnsi="Arial" w:cs="Arial"/>
          <w:b w:val="0"/>
          <w:bCs/>
          <w:sz w:val="22"/>
          <w:szCs w:val="22"/>
        </w:rPr>
        <w:t>rides, attractions and fireworks</w:t>
      </w:r>
      <w:r w:rsidR="00E53747" w:rsidRPr="009E465F">
        <w:rPr>
          <w:rFonts w:ascii="Arial" w:hAnsi="Arial" w:cs="Arial"/>
          <w:b w:val="0"/>
          <w:bCs/>
          <w:sz w:val="22"/>
          <w:szCs w:val="22"/>
        </w:rPr>
        <w:t>.</w:t>
      </w:r>
      <w:r w:rsidR="00712FD0" w:rsidRPr="009E465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C4983" w:rsidRPr="009E465F">
        <w:rPr>
          <w:rFonts w:ascii="Arial" w:hAnsi="Arial" w:cs="Arial"/>
          <w:b w:val="0"/>
          <w:bCs/>
          <w:sz w:val="22"/>
          <w:szCs w:val="22"/>
        </w:rPr>
        <w:t>If “</w:t>
      </w:r>
      <w:r w:rsidR="003E0499" w:rsidRPr="009E465F">
        <w:rPr>
          <w:rFonts w:ascii="Arial" w:hAnsi="Arial" w:cs="Arial"/>
          <w:b w:val="0"/>
          <w:bCs/>
          <w:sz w:val="22"/>
          <w:szCs w:val="22"/>
        </w:rPr>
        <w:t>N</w:t>
      </w:r>
      <w:r w:rsidR="003C4983" w:rsidRPr="009E465F">
        <w:rPr>
          <w:rFonts w:ascii="Arial" w:hAnsi="Arial" w:cs="Arial"/>
          <w:b w:val="0"/>
          <w:bCs/>
          <w:sz w:val="22"/>
          <w:szCs w:val="22"/>
        </w:rPr>
        <w:t xml:space="preserve">o” is selected for any of the items, </w:t>
      </w:r>
      <w:r w:rsidR="00A879DF" w:rsidRPr="009E465F">
        <w:rPr>
          <w:rFonts w:ascii="Arial" w:hAnsi="Arial" w:cs="Arial"/>
          <w:b w:val="0"/>
          <w:bCs/>
          <w:sz w:val="22"/>
          <w:szCs w:val="22"/>
        </w:rPr>
        <w:t xml:space="preserve">the </w:t>
      </w:r>
      <w:r w:rsidR="00A30039" w:rsidRPr="009E465F">
        <w:rPr>
          <w:rFonts w:ascii="Arial" w:hAnsi="Arial" w:cs="Arial"/>
          <w:b w:val="0"/>
          <w:bCs/>
          <w:sz w:val="22"/>
          <w:szCs w:val="22"/>
        </w:rPr>
        <w:t>activity</w:t>
      </w:r>
      <w:r w:rsidR="00A879DF" w:rsidRPr="009E465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D6A2A" w:rsidRPr="009E465F">
        <w:rPr>
          <w:rFonts w:ascii="Arial" w:hAnsi="Arial" w:cs="Arial"/>
          <w:b w:val="0"/>
          <w:bCs/>
          <w:sz w:val="22"/>
          <w:szCs w:val="22"/>
        </w:rPr>
        <w:t>must not proceed.</w:t>
      </w:r>
      <w:r w:rsidR="002E547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C28BB" w:rsidRPr="009E465F">
        <w:rPr>
          <w:rFonts w:ascii="Arial" w:hAnsi="Arial" w:cs="Arial"/>
          <w:b w:val="0"/>
          <w:bCs/>
          <w:sz w:val="22"/>
          <w:szCs w:val="22"/>
        </w:rPr>
        <w:t>Some items</w:t>
      </w:r>
      <w:r w:rsidR="00F70046" w:rsidRPr="009E465F">
        <w:rPr>
          <w:rFonts w:ascii="Arial" w:hAnsi="Arial" w:cs="Arial"/>
          <w:b w:val="0"/>
          <w:bCs/>
          <w:sz w:val="22"/>
          <w:szCs w:val="22"/>
        </w:rPr>
        <w:t xml:space="preserve"> m</w:t>
      </w:r>
      <w:r w:rsidR="001C6B91" w:rsidRPr="009E465F">
        <w:rPr>
          <w:rFonts w:ascii="Arial" w:hAnsi="Arial" w:cs="Arial"/>
          <w:b w:val="0"/>
          <w:bCs/>
          <w:sz w:val="22"/>
          <w:szCs w:val="22"/>
        </w:rPr>
        <w:t>ay</w:t>
      </w:r>
      <w:r w:rsidR="00F70046" w:rsidRPr="009E465F">
        <w:rPr>
          <w:rFonts w:ascii="Arial" w:hAnsi="Arial" w:cs="Arial"/>
          <w:b w:val="0"/>
          <w:bCs/>
          <w:sz w:val="22"/>
          <w:szCs w:val="22"/>
        </w:rPr>
        <w:t xml:space="preserve"> not apply (“N/A”)</w:t>
      </w:r>
      <w:r w:rsidR="004C0B51" w:rsidRPr="009E465F">
        <w:rPr>
          <w:rFonts w:ascii="Arial" w:hAnsi="Arial" w:cs="Arial"/>
          <w:b w:val="0"/>
          <w:bCs/>
          <w:sz w:val="22"/>
          <w:szCs w:val="22"/>
        </w:rPr>
        <w:t xml:space="preserve">, depending on the type of </w:t>
      </w:r>
      <w:r w:rsidR="00B35A6E">
        <w:rPr>
          <w:rFonts w:ascii="Arial" w:hAnsi="Arial" w:cs="Arial"/>
          <w:b w:val="0"/>
          <w:bCs/>
          <w:sz w:val="22"/>
          <w:szCs w:val="22"/>
        </w:rPr>
        <w:t xml:space="preserve">attraction </w:t>
      </w:r>
      <w:r w:rsidR="00491B19" w:rsidRPr="009E465F">
        <w:rPr>
          <w:rFonts w:ascii="Arial" w:hAnsi="Arial" w:cs="Arial"/>
          <w:b w:val="0"/>
          <w:bCs/>
          <w:sz w:val="22"/>
          <w:szCs w:val="22"/>
        </w:rPr>
        <w:t>being operated.</w:t>
      </w:r>
    </w:p>
    <w:p w14:paraId="0E3D7DB3" w14:textId="4A5EC5E4" w:rsidR="005C57B2" w:rsidRPr="00B24CC5" w:rsidRDefault="002E5472" w:rsidP="00B24CC5">
      <w:pPr>
        <w:pStyle w:val="SectionHeading"/>
        <w:spacing w:before="120" w:after="120" w:line="276" w:lineRule="auto"/>
        <w:ind w:left="14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checklist </w:t>
      </w:r>
      <w:r w:rsidR="001424A9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 xml:space="preserve">be used in conjunction with the </w:t>
      </w:r>
      <w:hyperlink r:id="rId11" w:history="1">
        <w:r w:rsidRPr="00BF1D20">
          <w:rPr>
            <w:rStyle w:val="Hyperlink"/>
            <w:rFonts w:ascii="Arial" w:hAnsi="Arial" w:cs="Arial"/>
            <w:sz w:val="22"/>
            <w:szCs w:val="22"/>
          </w:rPr>
          <w:t>Amusement Rides, Attractions and Fireworks Policy</w:t>
        </w:r>
        <w:r w:rsidR="001424A9" w:rsidRPr="00BF1D20">
          <w:rPr>
            <w:rStyle w:val="Hyperlink"/>
            <w:rFonts w:ascii="Arial" w:hAnsi="Arial" w:cs="Arial"/>
            <w:sz w:val="22"/>
            <w:szCs w:val="22"/>
          </w:rPr>
          <w:t xml:space="preserve"> and Procedure</w:t>
        </w:r>
      </w:hyperlink>
      <w:r>
        <w:rPr>
          <w:rFonts w:ascii="Arial" w:hAnsi="Arial" w:cs="Arial"/>
          <w:sz w:val="22"/>
          <w:szCs w:val="22"/>
        </w:rPr>
        <w:t>, which provides further detail into these items.</w:t>
      </w:r>
    </w:p>
    <w:tbl>
      <w:tblPr>
        <w:tblW w:w="9907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  <w:tblCaption w:val="Section 1-General Workplace Inspection Checklist"/>
        <w:tblDescription w:val="List of areas to be inspected"/>
      </w:tblPr>
      <w:tblGrid>
        <w:gridCol w:w="841"/>
        <w:gridCol w:w="6662"/>
        <w:gridCol w:w="1276"/>
        <w:gridCol w:w="1128"/>
      </w:tblGrid>
      <w:tr w:rsidR="005C57B2" w:rsidRPr="005C57B2" w14:paraId="5C0411E6" w14:textId="77777777" w:rsidTr="00687BE3">
        <w:trPr>
          <w:cantSplit/>
          <w:trHeight w:val="263"/>
          <w:tblHeader/>
          <w:jc w:val="center"/>
        </w:trPr>
        <w:tc>
          <w:tcPr>
            <w:tcW w:w="841" w:type="dxa"/>
            <w:tcBorders>
              <w:right w:val="nil"/>
            </w:tcBorders>
            <w:shd w:val="clear" w:color="auto" w:fill="004EA8"/>
            <w:vAlign w:val="center"/>
          </w:tcPr>
          <w:p w14:paraId="04B5286D" w14:textId="77777777" w:rsidR="005C57B2" w:rsidRPr="005C57B2" w:rsidRDefault="005C57B2" w:rsidP="00FE745A">
            <w:pPr>
              <w:spacing w:before="60" w:after="60" w:line="276" w:lineRule="auto"/>
              <w:jc w:val="center"/>
              <w:rPr>
                <w:rFonts w:eastAsia="Calibri"/>
                <w:b/>
                <w:color w:val="FFFFFF"/>
              </w:rPr>
            </w:pPr>
            <w:r w:rsidRPr="005C57B2">
              <w:rPr>
                <w:rFonts w:eastAsia="Calibri"/>
                <w:b/>
                <w:color w:val="FFFFFF"/>
              </w:rPr>
              <w:t>Ref No.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004EA8"/>
            <w:vAlign w:val="center"/>
          </w:tcPr>
          <w:p w14:paraId="34DC9100" w14:textId="5A4DE3B2" w:rsidR="005C57B2" w:rsidRPr="005C57B2" w:rsidRDefault="005C57B2" w:rsidP="00FE745A">
            <w:pPr>
              <w:spacing w:before="60" w:after="60" w:line="276" w:lineRule="auto"/>
              <w:jc w:val="center"/>
              <w:rPr>
                <w:rFonts w:eastAsia="Calibri"/>
                <w:b/>
                <w:color w:val="FFFFFF"/>
              </w:rPr>
            </w:pPr>
            <w:r w:rsidRPr="005C57B2">
              <w:rPr>
                <w:rFonts w:eastAsia="Calibri"/>
                <w:b/>
                <w:color w:val="FFFFFF"/>
              </w:rPr>
              <w:t>Item</w:t>
            </w:r>
          </w:p>
        </w:tc>
        <w:tc>
          <w:tcPr>
            <w:tcW w:w="2404" w:type="dxa"/>
            <w:gridSpan w:val="2"/>
            <w:tcBorders>
              <w:left w:val="nil"/>
            </w:tcBorders>
            <w:shd w:val="clear" w:color="auto" w:fill="004EA8"/>
            <w:vAlign w:val="center"/>
          </w:tcPr>
          <w:p w14:paraId="0CB377B5" w14:textId="77777777" w:rsidR="005C57B2" w:rsidRPr="005C57B2" w:rsidRDefault="005C57B2" w:rsidP="00FE745A">
            <w:pPr>
              <w:spacing w:before="60" w:after="60" w:line="276" w:lineRule="auto"/>
              <w:jc w:val="center"/>
              <w:rPr>
                <w:rFonts w:eastAsia="Calibri"/>
                <w:b/>
                <w:color w:val="FFFFFF"/>
              </w:rPr>
            </w:pPr>
          </w:p>
        </w:tc>
      </w:tr>
      <w:tr w:rsidR="005C57B2" w:rsidRPr="005C57B2" w14:paraId="74048CD6" w14:textId="77777777" w:rsidTr="00F40BC3">
        <w:trPr>
          <w:cantSplit/>
          <w:trHeight w:val="347"/>
          <w:jc w:val="center"/>
        </w:trPr>
        <w:tc>
          <w:tcPr>
            <w:tcW w:w="9907" w:type="dxa"/>
            <w:gridSpan w:val="4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F98C5" w14:textId="1BD61439" w:rsidR="005C57B2" w:rsidRPr="005C57B2" w:rsidRDefault="005C57B2" w:rsidP="00FE745A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outlineLvl w:val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5C57B2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General</w:t>
            </w:r>
          </w:p>
        </w:tc>
      </w:tr>
      <w:tr w:rsidR="006F54D1" w:rsidRPr="005C57B2" w14:paraId="7A06495C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right w:val="nil"/>
            </w:tcBorders>
            <w:vAlign w:val="center"/>
          </w:tcPr>
          <w:p w14:paraId="1C6E8D0F" w14:textId="63736597" w:rsidR="006F54D1" w:rsidRPr="005C57B2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1.</w:t>
            </w:r>
            <w:r w:rsidR="001D22B1">
              <w:rPr>
                <w:rFonts w:eastAsia="Times New Roman"/>
                <w:lang w:eastAsia="en-AU"/>
              </w:rPr>
              <w:t>1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14:paraId="58262E65" w14:textId="55AB2BE9" w:rsidR="006F54D1" w:rsidRPr="005C57B2" w:rsidRDefault="00CA3EEC" w:rsidP="00FE745A">
            <w:pPr>
              <w:spacing w:before="60" w:after="60" w:line="276" w:lineRule="auto"/>
              <w:rPr>
                <w:rFonts w:eastAsia="Times New Roman"/>
                <w:lang w:eastAsia="en-AU"/>
              </w:rPr>
            </w:pPr>
            <w:hyperlink r:id="rId12" w:history="1">
              <w:r w:rsidR="006F54D1" w:rsidRPr="00BF1D20">
                <w:rPr>
                  <w:rStyle w:val="Hyperlink"/>
                  <w:rFonts w:eastAsia="Times New Roman"/>
                  <w:lang w:eastAsia="en-AU"/>
                </w:rPr>
                <w:t>Contractor OHS Induction Checklist</w:t>
              </w:r>
            </w:hyperlink>
            <w:r w:rsidR="006F54D1">
              <w:rPr>
                <w:rFonts w:eastAsia="Times New Roman"/>
                <w:lang w:eastAsia="en-AU"/>
              </w:rPr>
              <w:t xml:space="preserve"> (or equivalent template) completed</w:t>
            </w:r>
            <w:r w:rsidR="00BF1D20">
              <w:rPr>
                <w:rFonts w:eastAsia="Times New Roman"/>
                <w:lang w:eastAsia="en-AU"/>
              </w:rPr>
              <w:t xml:space="preserve"> and signed by the operator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BCED080" w14:textId="167E4DB5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1E6A95EC" w14:textId="249AD12D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B35A6E" w:rsidRPr="005C57B2" w14:paraId="77DEDFC3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right w:val="nil"/>
            </w:tcBorders>
            <w:vAlign w:val="center"/>
          </w:tcPr>
          <w:p w14:paraId="3A050849" w14:textId="5D0D31D6" w:rsidR="00B35A6E" w:rsidRDefault="00B35A6E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1.</w:t>
            </w:r>
            <w:r w:rsidR="001D22B1">
              <w:rPr>
                <w:rFonts w:eastAsia="Times New Roman"/>
                <w:lang w:eastAsia="en-AU"/>
              </w:rPr>
              <w:t>2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14:paraId="6E1BAF95" w14:textId="168AF06C" w:rsidR="00B35A6E" w:rsidRDefault="00B35A6E" w:rsidP="00FE745A">
            <w:pPr>
              <w:spacing w:before="60" w:after="60" w:line="276" w:lineRule="auto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The Commercial Law Unit has been contacted </w:t>
            </w:r>
            <w:r w:rsidRPr="00CB28C0">
              <w:rPr>
                <w:rFonts w:eastAsia="Times New Roman"/>
                <w:i/>
                <w:iCs/>
                <w:lang w:eastAsia="en-AU"/>
              </w:rPr>
              <w:t>(for events</w:t>
            </w:r>
            <w:r>
              <w:rPr>
                <w:rFonts w:eastAsia="Times New Roman"/>
                <w:i/>
                <w:iCs/>
                <w:lang w:eastAsia="en-AU"/>
              </w:rPr>
              <w:t xml:space="preserve"> held</w:t>
            </w:r>
            <w:r w:rsidRPr="00CB28C0">
              <w:rPr>
                <w:rFonts w:eastAsia="Times New Roman"/>
                <w:i/>
                <w:iCs/>
                <w:lang w:eastAsia="en-AU"/>
              </w:rPr>
              <w:t xml:space="preserve"> at non-school sites only</w:t>
            </w:r>
            <w:r>
              <w:rPr>
                <w:rFonts w:eastAsia="Times New Roman"/>
                <w:i/>
                <w:iCs/>
                <w:lang w:eastAsia="en-AU"/>
              </w:rPr>
              <w:t xml:space="preserve">- see the </w:t>
            </w:r>
            <w:hyperlink r:id="rId13" w:history="1">
              <w:r w:rsidRPr="00BF1D20">
                <w:rPr>
                  <w:rStyle w:val="Hyperlink"/>
                  <w:rFonts w:eastAsia="Times New Roman"/>
                  <w:i/>
                  <w:iCs/>
                  <w:lang w:eastAsia="en-AU"/>
                </w:rPr>
                <w:t>related policy and procedure</w:t>
              </w:r>
            </w:hyperlink>
            <w:r w:rsidRPr="00CB28C0">
              <w:rPr>
                <w:rFonts w:eastAsia="Times New Roman"/>
                <w:i/>
                <w:iCs/>
                <w:lang w:eastAsia="en-AU"/>
              </w:rPr>
              <w:t>)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72BE9E1" w14:textId="3DFF584D" w:rsidR="00B35A6E" w:rsidRPr="005C57B2" w:rsidRDefault="00B35A6E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2AB8353B" w14:textId="5BF3A839" w:rsidR="00B35A6E" w:rsidRPr="005C57B2" w:rsidRDefault="00B35A6E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B61B53" w:rsidRPr="005C57B2" w14:paraId="194BB9F2" w14:textId="77777777" w:rsidTr="00C47629">
        <w:trPr>
          <w:cantSplit/>
          <w:trHeight w:val="347"/>
          <w:jc w:val="center"/>
        </w:trPr>
        <w:tc>
          <w:tcPr>
            <w:tcW w:w="990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305A0" w14:textId="71D00AAA" w:rsidR="00B61B53" w:rsidRPr="00B61B53" w:rsidRDefault="00B61B53" w:rsidP="00B61B53">
            <w:pPr>
              <w:pStyle w:val="ListParagraph"/>
              <w:numPr>
                <w:ilvl w:val="0"/>
                <w:numId w:val="5"/>
              </w:numPr>
              <w:spacing w:line="276" w:lineRule="auto"/>
              <w:outlineLvl w:val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B61B53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Risk controls </w:t>
            </w:r>
          </w:p>
        </w:tc>
      </w:tr>
      <w:tr w:rsidR="006F54D1" w:rsidRPr="005C57B2" w14:paraId="62E516D8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C649D" w14:textId="3B348083" w:rsidR="006F54D1" w:rsidRPr="005C57B2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2.1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94545" w14:textId="1976E5F1" w:rsidR="006F54D1" w:rsidRPr="005C57B2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Information about the safe use of the ride/attraction</w:t>
            </w:r>
            <w:r w:rsidR="00BA355B">
              <w:rPr>
                <w:rFonts w:eastAsia="Times New Roman"/>
                <w:lang w:eastAsia="en-AU"/>
              </w:rPr>
              <w:t xml:space="preserve"> has been provided by operator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1F11" w14:textId="6D3654D3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3CDF" w14:textId="3E8DB841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6F54D1" w:rsidRPr="005C57B2" w14:paraId="04CFD5A0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652F7" w14:textId="7E0AD900" w:rsidR="006F54D1" w:rsidRPr="005C57B2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2.2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A5987" w14:textId="26297F30" w:rsidR="006F54D1" w:rsidRPr="005C57B2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Information about </w:t>
            </w:r>
            <w:r w:rsidRPr="00451E92">
              <w:rPr>
                <w:rFonts w:eastAsia="Times New Roman" w:cstheme="minorHAnsi"/>
                <w:lang w:val="en" w:eastAsia="en-AU"/>
              </w:rPr>
              <w:t>the hazard identification, risk assessment and control of risks that have been carried out in relation to the design and manufacture of the plant</w:t>
            </w:r>
            <w:r w:rsidR="00D55238">
              <w:rPr>
                <w:rFonts w:eastAsia="Times New Roman" w:cstheme="minorHAnsi"/>
                <w:lang w:val="en" w:eastAsia="en-AU"/>
              </w:rPr>
              <w:t xml:space="preserve"> has been </w:t>
            </w:r>
            <w:r w:rsidR="00397677">
              <w:rPr>
                <w:rFonts w:eastAsia="Times New Roman" w:cstheme="minorHAnsi"/>
                <w:lang w:val="en" w:eastAsia="en-AU"/>
              </w:rPr>
              <w:t>provided by</w:t>
            </w:r>
            <w:r w:rsidR="00D55238">
              <w:rPr>
                <w:rFonts w:eastAsia="Times New Roman" w:cstheme="minorHAnsi"/>
                <w:lang w:val="en" w:eastAsia="en-AU"/>
              </w:rPr>
              <w:t xml:space="preserve"> operator</w:t>
            </w:r>
            <w:r w:rsidR="001D22B1">
              <w:rPr>
                <w:rFonts w:eastAsia="Times New Roman" w:cstheme="minorHAnsi"/>
                <w:lang w:val="en" w:eastAsia="en-AU"/>
              </w:rPr>
              <w:t>.</w:t>
            </w:r>
            <w:r w:rsidR="00D14333">
              <w:rPr>
                <w:rFonts w:eastAsia="Times New Roman" w:cstheme="minorHAnsi"/>
                <w:lang w:val="en" w:eastAsia="en-AU"/>
              </w:rPr>
              <w:t xml:space="preserve"> </w:t>
            </w:r>
            <w:r w:rsidR="007C2892">
              <w:rPr>
                <w:rFonts w:eastAsia="Times New Roman" w:cstheme="minorHAnsi"/>
                <w:lang w:val="en" w:eastAsia="en-AU"/>
              </w:rPr>
              <w:t>I</w:t>
            </w:r>
            <w:r w:rsidR="001D22B1" w:rsidRPr="00D14333">
              <w:rPr>
                <w:rFonts w:eastAsia="Times New Roman" w:cstheme="minorHAnsi"/>
                <w:lang w:val="en" w:eastAsia="en-AU"/>
              </w:rPr>
              <w:t>f</w:t>
            </w:r>
            <w:r w:rsidR="007C2892">
              <w:rPr>
                <w:rFonts w:eastAsia="Times New Roman" w:cstheme="minorHAnsi"/>
                <w:lang w:val="en" w:eastAsia="en-AU"/>
              </w:rPr>
              <w:t xml:space="preserve"> it is</w:t>
            </w:r>
            <w:r w:rsidR="001D22B1" w:rsidRPr="00D14333">
              <w:rPr>
                <w:rFonts w:eastAsia="Times New Roman" w:cstheme="minorHAnsi"/>
                <w:lang w:val="en" w:eastAsia="en-AU"/>
              </w:rPr>
              <w:t xml:space="preserve"> not practicable</w:t>
            </w:r>
            <w:r w:rsidR="007A3A03" w:rsidRPr="00D14333">
              <w:rPr>
                <w:rFonts w:eastAsia="Times New Roman" w:cstheme="minorHAnsi"/>
                <w:lang w:val="en" w:eastAsia="en-AU"/>
              </w:rPr>
              <w:t xml:space="preserve"> for the operator</w:t>
            </w:r>
            <w:r w:rsidR="001D22B1" w:rsidRPr="00D14333">
              <w:rPr>
                <w:rFonts w:eastAsia="Times New Roman" w:cstheme="minorHAnsi"/>
                <w:lang w:val="en" w:eastAsia="en-AU"/>
              </w:rPr>
              <w:t xml:space="preserve"> to </w:t>
            </w:r>
            <w:r w:rsidR="00D14333">
              <w:rPr>
                <w:rFonts w:eastAsia="Times New Roman" w:cstheme="minorHAnsi"/>
                <w:lang w:val="en" w:eastAsia="en-AU"/>
              </w:rPr>
              <w:t>provide</w:t>
            </w:r>
            <w:r w:rsidR="001D22B1" w:rsidRPr="00D14333">
              <w:rPr>
                <w:rFonts w:eastAsia="Times New Roman" w:cstheme="minorHAnsi"/>
                <w:lang w:val="en" w:eastAsia="en-AU"/>
              </w:rPr>
              <w:t xml:space="preserve"> this information, the operator must </w:t>
            </w:r>
            <w:r w:rsidR="007C2892">
              <w:rPr>
                <w:rFonts w:eastAsia="Times New Roman" w:cstheme="minorHAnsi"/>
                <w:lang w:val="en" w:eastAsia="en-AU"/>
              </w:rPr>
              <w:t xml:space="preserve">alternatively </w:t>
            </w:r>
            <w:r w:rsidR="001D22B1" w:rsidRPr="00D14333">
              <w:rPr>
                <w:rFonts w:eastAsia="Times New Roman" w:cstheme="minorHAnsi"/>
                <w:lang w:val="en" w:eastAsia="en-AU"/>
              </w:rPr>
              <w:t>be able to ensure the risk arising from use is eliminated or reduced so far as is practicable and in line with any applicable industry standards.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4996" w14:textId="1EE53B84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4272" w14:textId="2A94E64C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6F54D1" w:rsidRPr="005C57B2" w14:paraId="73A828B1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58045" w14:textId="2ADC9C9D" w:rsidR="006F54D1" w:rsidRPr="005C57B2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3162B" w14:textId="5B28F90A" w:rsidR="006F54D1" w:rsidRPr="005C57B2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Records </w:t>
            </w:r>
            <w:r w:rsidR="00397677">
              <w:rPr>
                <w:rFonts w:eastAsia="Times New Roman"/>
                <w:lang w:eastAsia="en-AU"/>
              </w:rPr>
              <w:t>have been provided</w:t>
            </w:r>
            <w:r w:rsidR="00D55238">
              <w:rPr>
                <w:rFonts w:eastAsia="Times New Roman"/>
                <w:lang w:eastAsia="en-AU"/>
              </w:rPr>
              <w:t xml:space="preserve"> by </w:t>
            </w:r>
            <w:r w:rsidR="007B3784">
              <w:rPr>
                <w:rFonts w:eastAsia="Times New Roman"/>
                <w:lang w:eastAsia="en-AU"/>
              </w:rPr>
              <w:t xml:space="preserve">operator </w:t>
            </w:r>
            <w:r>
              <w:rPr>
                <w:rFonts w:eastAsia="Times New Roman"/>
                <w:lang w:eastAsia="en-AU"/>
              </w:rPr>
              <w:t xml:space="preserve">showing </w:t>
            </w:r>
            <w:r w:rsidRPr="00E54EC9">
              <w:rPr>
                <w:rFonts w:eastAsia="Times New Roman"/>
                <w:lang w:eastAsia="en-AU"/>
              </w:rPr>
              <w:t>that inspections and maintenance have occurred on the item between hirings and leasings</w:t>
            </w:r>
            <w:r w:rsidR="00B24CC5">
              <w:rPr>
                <w:rFonts w:eastAsia="Times New Roman"/>
                <w:lang w:eastAsia="en-A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4E8F" w14:textId="2BBC7BEC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7916" w14:textId="7C207860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6F54D1" w:rsidRPr="005C57B2" w14:paraId="70BE1620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698FB" w14:textId="43F11A17" w:rsidR="006F54D1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799BD" w14:textId="5BB9D6B4" w:rsidR="006F54D1" w:rsidRDefault="003E6024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  <w:rPr>
                <w:rFonts w:eastAsia="Times New Roman"/>
                <w:lang w:eastAsia="en-AU"/>
              </w:rPr>
            </w:pPr>
            <w:r>
              <w:t>All o</w:t>
            </w:r>
            <w:r w:rsidR="007B3784">
              <w:t>perator</w:t>
            </w:r>
            <w:r>
              <w:t xml:space="preserve"> employees/volunteers</w:t>
            </w:r>
            <w:r w:rsidR="007B3784">
              <w:t xml:space="preserve"> ha</w:t>
            </w:r>
            <w:r>
              <w:t>ve provided evidence of</w:t>
            </w:r>
            <w:r w:rsidR="007B3784">
              <w:t xml:space="preserve"> a v</w:t>
            </w:r>
            <w:r w:rsidR="006F54D1" w:rsidRPr="007C749E">
              <w:t xml:space="preserve">alid Working with Children </w:t>
            </w:r>
            <w:r w:rsidR="001C6B91">
              <w:t>C</w:t>
            </w:r>
            <w:r w:rsidR="00792A7B">
              <w:t xml:space="preserve">learance, </w:t>
            </w:r>
            <w:r w:rsidR="003A0624">
              <w:t>Child Safety</w:t>
            </w:r>
            <w:r w:rsidR="00E41296">
              <w:t xml:space="preserve"> and Wellbeing Policy</w:t>
            </w:r>
            <w:r w:rsidR="004B4781">
              <w:t xml:space="preserve"> and</w:t>
            </w:r>
            <w:r w:rsidR="0092500A">
              <w:t xml:space="preserve"> Child Safety Code of Conduct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EF96" w14:textId="64520174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54D" w14:textId="2D313601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6F54D1" w:rsidRPr="00EA49B9" w14:paraId="2C660CDA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53384" w14:textId="63A1FBA9" w:rsidR="006F54D1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lastRenderedPageBreak/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62FFC" w14:textId="572B2DF7" w:rsidR="006F54D1" w:rsidRDefault="00816F10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</w:pPr>
            <w:r>
              <w:t xml:space="preserve">Operator </w:t>
            </w:r>
            <w:r w:rsidR="00397677">
              <w:t>has provided</w:t>
            </w:r>
            <w:r>
              <w:t xml:space="preserve"> e</w:t>
            </w:r>
            <w:r w:rsidR="006F54D1">
              <w:t>vidence of</w:t>
            </w:r>
            <w:r w:rsidR="006F54D1" w:rsidRPr="007C749E">
              <w:rPr>
                <w:rFonts w:eastAsia="Times New Roman" w:cstheme="minorHAnsi"/>
                <w:lang w:val="en" w:eastAsia="en-AU"/>
              </w:rPr>
              <w:t xml:space="preserve"> qualifications and/or experience</w:t>
            </w:r>
            <w:r w:rsidR="003300BD">
              <w:rPr>
                <w:rFonts w:eastAsia="Times New Roman" w:cstheme="minorHAnsi"/>
                <w:lang w:val="en" w:eastAsia="en-AU"/>
              </w:rPr>
              <w:t>, e.g.</w:t>
            </w:r>
            <w:r w:rsidR="00B24CC5">
              <w:rPr>
                <w:rFonts w:eastAsia="Times New Roman" w:cstheme="minorHAnsi"/>
                <w:lang w:val="en" w:eastAsia="en-AU"/>
              </w:rPr>
              <w:t>,</w:t>
            </w:r>
            <w:r w:rsidR="003300BD">
              <w:rPr>
                <w:rFonts w:eastAsia="Times New Roman" w:cstheme="minorHAnsi"/>
                <w:lang w:val="en" w:eastAsia="en-AU"/>
              </w:rPr>
              <w:t xml:space="preserve"> pyrotechnician license for anyone operating fireworks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B900" w14:textId="05456ADA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B308" w14:textId="3D328BD5" w:rsidR="0083456A" w:rsidRPr="0083456A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6F54D1" w:rsidRPr="005C57B2" w14:paraId="2C9EF78F" w14:textId="77777777" w:rsidTr="00687BE3">
        <w:trPr>
          <w:cantSplit/>
          <w:trHeight w:val="76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7E3F4" w14:textId="5F6C0634" w:rsidR="006F54D1" w:rsidRDefault="006F54D1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102E5" w14:textId="4978513C" w:rsidR="006F54D1" w:rsidRDefault="002763D2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</w:pPr>
            <w:r>
              <w:rPr>
                <w:rFonts w:eastAsia="Times New Roman" w:cstheme="minorHAnsi"/>
                <w:lang w:val="en" w:eastAsia="en-AU"/>
              </w:rPr>
              <w:t>Business</w:t>
            </w:r>
            <w:r w:rsidR="00816F10">
              <w:rPr>
                <w:rFonts w:eastAsia="Times New Roman" w:cstheme="minorHAnsi"/>
                <w:lang w:val="en" w:eastAsia="en-AU"/>
              </w:rPr>
              <w:t>/</w:t>
            </w:r>
            <w:r>
              <w:rPr>
                <w:rFonts w:eastAsia="Times New Roman" w:cstheme="minorHAnsi"/>
                <w:lang w:val="en" w:eastAsia="en-AU"/>
              </w:rPr>
              <w:t>operator</w:t>
            </w:r>
            <w:r w:rsidR="00816F10">
              <w:rPr>
                <w:rFonts w:eastAsia="Times New Roman" w:cstheme="minorHAnsi"/>
                <w:lang w:val="en" w:eastAsia="en-AU"/>
              </w:rPr>
              <w:t xml:space="preserve"> has</w:t>
            </w:r>
            <w:r w:rsidR="00BF1D20">
              <w:rPr>
                <w:rFonts w:eastAsia="Times New Roman" w:cstheme="minorHAnsi"/>
                <w:lang w:val="en" w:eastAsia="en-AU"/>
              </w:rPr>
              <w:t xml:space="preserve"> provided a</w:t>
            </w:r>
            <w:r w:rsidR="00816F10">
              <w:rPr>
                <w:rFonts w:eastAsia="Times New Roman" w:cstheme="minorHAnsi"/>
                <w:lang w:val="en" w:eastAsia="en-AU"/>
              </w:rPr>
              <w:t xml:space="preserve"> </w:t>
            </w:r>
            <w:r>
              <w:rPr>
                <w:rFonts w:eastAsia="Times New Roman" w:cstheme="minorHAnsi"/>
                <w:lang w:val="en" w:eastAsia="en-AU"/>
              </w:rPr>
              <w:t>c</w:t>
            </w:r>
            <w:r w:rsidR="006F54D1" w:rsidRPr="007C749E">
              <w:rPr>
                <w:rFonts w:eastAsia="Times New Roman" w:cstheme="minorHAnsi"/>
                <w:lang w:val="en" w:eastAsia="en-AU"/>
              </w:rPr>
              <w:t>urrent public liability insurance certificate</w:t>
            </w:r>
            <w:r w:rsidR="00BF1D20" w:rsidRPr="00BF1D20">
              <w:rPr>
                <w:rFonts w:eastAsia="Times New Roman" w:cstheme="minorHAnsi"/>
                <w:lang w:val="en" w:eastAsia="en-AU"/>
              </w:rPr>
              <w:t xml:space="preserve"> (minimum $10 million) covering the ride or activity supplied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03AC" w14:textId="1C548066" w:rsidR="006F54D1" w:rsidRPr="005C57B2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7583" w14:textId="7C29516D" w:rsidR="0083456A" w:rsidRPr="0083456A" w:rsidRDefault="006F54D1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F41196" w:rsidRPr="005C57B2" w14:paraId="41544506" w14:textId="77777777" w:rsidTr="00687BE3">
        <w:trPr>
          <w:cantSplit/>
          <w:trHeight w:val="76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C0209" w14:textId="2D27EA9B" w:rsidR="00F41196" w:rsidRDefault="00F41196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71259" w14:textId="5482F7A3" w:rsidR="00F41196" w:rsidRDefault="00F41196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</w:pPr>
            <w:r w:rsidRPr="00451E92">
              <w:rPr>
                <w:rFonts w:eastAsia="Times New Roman" w:cstheme="minorHAnsi"/>
                <w:b/>
                <w:bCs/>
                <w:lang w:val="en" w:eastAsia="en-AU"/>
              </w:rPr>
              <w:t>For fireworks only</w:t>
            </w:r>
            <w:r w:rsidRPr="007C749E">
              <w:rPr>
                <w:rFonts w:eastAsia="Times New Roman" w:cstheme="minorHAnsi"/>
                <w:lang w:val="en" w:eastAsia="en-AU"/>
              </w:rPr>
              <w:t xml:space="preserve"> - evidence of notifying the relevant authorities for the conduct of fireworks displays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BC92" w14:textId="109DA636" w:rsidR="00F41196" w:rsidRPr="005C57B2" w:rsidRDefault="00F41196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A4A4" w14:textId="6C055262" w:rsidR="003C1108" w:rsidRPr="0065286E" w:rsidRDefault="00F41196" w:rsidP="009B5178">
            <w:pPr>
              <w:spacing w:before="60" w:after="60" w:line="276" w:lineRule="auto"/>
              <w:ind w:hanging="106"/>
              <w:jc w:val="center"/>
              <w:rPr>
                <w:rFonts w:eastAsia="Calibri"/>
              </w:rPr>
            </w:pPr>
            <w:r w:rsidRPr="00CE1158">
              <w:rPr>
                <w:rFonts w:eastAsia="Calibri"/>
                <w:sz w:val="20"/>
                <w:szCs w:val="20"/>
              </w:rPr>
              <w:sym w:font="Wingdings 2" w:char="F0A3"/>
            </w:r>
            <w:r w:rsidRPr="00CE1158">
              <w:rPr>
                <w:rFonts w:eastAsia="Calibri"/>
                <w:sz w:val="20"/>
                <w:szCs w:val="20"/>
              </w:rPr>
              <w:t xml:space="preserve"> </w:t>
            </w:r>
            <w:r w:rsidRPr="0065286E">
              <w:rPr>
                <w:rFonts w:eastAsia="Calibri"/>
              </w:rPr>
              <w:t>No</w:t>
            </w:r>
          </w:p>
          <w:p w14:paraId="0CB971ED" w14:textId="70CE794E" w:rsidR="00D64AF3" w:rsidRPr="00CE1158" w:rsidRDefault="00D64AF3" w:rsidP="00FE745A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65286E">
              <w:rPr>
                <w:rFonts w:eastAsia="Calibri"/>
              </w:rPr>
              <w:sym w:font="Wingdings 2" w:char="F0A3"/>
            </w:r>
            <w:r w:rsidRPr="0065286E">
              <w:rPr>
                <w:rFonts w:eastAsia="Calibri"/>
              </w:rPr>
              <w:t xml:space="preserve"> N/A</w:t>
            </w:r>
          </w:p>
        </w:tc>
      </w:tr>
      <w:tr w:rsidR="00F41196" w:rsidRPr="005C57B2" w14:paraId="39829E23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FCF5D" w14:textId="48B3E34E" w:rsidR="00F41196" w:rsidRDefault="00F41196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2.8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2C83F" w14:textId="036E9548" w:rsidR="00F41196" w:rsidRPr="00451E92" w:rsidRDefault="00F41196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  <w:rPr>
                <w:rFonts w:eastAsia="Times New Roman" w:cstheme="minorHAnsi"/>
                <w:b/>
                <w:bCs/>
                <w:lang w:val="en" w:eastAsia="en-AU"/>
              </w:rPr>
            </w:pPr>
            <w:r>
              <w:rPr>
                <w:rFonts w:eastAsia="Times New Roman" w:cstheme="minorHAnsi"/>
                <w:b/>
                <w:bCs/>
                <w:lang w:val="en" w:eastAsia="en-AU"/>
              </w:rPr>
              <w:t>F</w:t>
            </w:r>
            <w:r w:rsidRPr="00044A52">
              <w:rPr>
                <w:rFonts w:eastAsia="Times New Roman" w:cstheme="minorHAnsi"/>
                <w:b/>
                <w:bCs/>
                <w:lang w:val="en" w:eastAsia="en-AU"/>
              </w:rPr>
              <w:t>or land-borne inflatable amusement devices</w:t>
            </w:r>
            <w:r>
              <w:rPr>
                <w:rFonts w:eastAsia="Times New Roman" w:cstheme="minorHAnsi"/>
                <w:b/>
                <w:bCs/>
                <w:lang w:val="en" w:eastAsia="en-AU"/>
              </w:rPr>
              <w:t xml:space="preserve">, </w:t>
            </w:r>
            <w:r w:rsidR="00175FD7">
              <w:rPr>
                <w:rFonts w:eastAsia="Times New Roman" w:cstheme="minorHAnsi"/>
                <w:lang w:val="en" w:eastAsia="en-AU"/>
              </w:rPr>
              <w:t>information about</w:t>
            </w:r>
            <w:r w:rsidR="00A01C35">
              <w:rPr>
                <w:rFonts w:eastAsia="Times New Roman" w:cstheme="minorHAnsi"/>
                <w:lang w:val="en" w:eastAsia="en-AU"/>
              </w:rPr>
              <w:t xml:space="preserve"> </w:t>
            </w:r>
            <w:r w:rsidRPr="00044A52">
              <w:rPr>
                <w:rFonts w:eastAsia="Times New Roman" w:cstheme="minorHAnsi"/>
                <w:lang w:val="en" w:eastAsia="en-AU"/>
              </w:rPr>
              <w:t xml:space="preserve">risk management </w:t>
            </w:r>
            <w:r w:rsidR="006E0B4A" w:rsidRPr="00044A52">
              <w:rPr>
                <w:rFonts w:eastAsia="Times New Roman" w:cstheme="minorHAnsi"/>
                <w:lang w:val="en" w:eastAsia="en-AU"/>
              </w:rPr>
              <w:t>process</w:t>
            </w:r>
            <w:r w:rsidR="00286BAE">
              <w:rPr>
                <w:rFonts w:eastAsia="Times New Roman" w:cstheme="minorHAnsi"/>
                <w:lang w:val="en" w:eastAsia="en-AU"/>
              </w:rPr>
              <w:t>es</w:t>
            </w:r>
            <w:r w:rsidR="006E0B4A">
              <w:rPr>
                <w:rFonts w:eastAsia="Times New Roman" w:cstheme="minorHAnsi"/>
                <w:lang w:val="en" w:eastAsia="en-AU"/>
              </w:rPr>
              <w:t xml:space="preserve"> </w:t>
            </w:r>
            <w:r w:rsidRPr="00044A52">
              <w:rPr>
                <w:rFonts w:eastAsia="Times New Roman" w:cstheme="minorHAnsi"/>
                <w:lang w:val="en" w:eastAsia="en-AU"/>
              </w:rPr>
              <w:t>for anchoring, monitoring wind speed, providing safe access and preventing unauthorised access</w:t>
            </w:r>
            <w:r w:rsidR="00CD44A3">
              <w:rPr>
                <w:rFonts w:eastAsia="Times New Roman" w:cstheme="minorHAnsi"/>
                <w:lang w:val="en" w:eastAsia="en-AU"/>
              </w:rPr>
              <w:t xml:space="preserve"> has been provided by the operator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1231" w14:textId="53AD8184" w:rsidR="00F41196" w:rsidRPr="005C57B2" w:rsidRDefault="00F41196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5168" w14:textId="77777777" w:rsidR="003C1108" w:rsidRPr="0065286E" w:rsidRDefault="00F41196" w:rsidP="009B5178">
            <w:pPr>
              <w:spacing w:before="60" w:after="60" w:line="276" w:lineRule="auto"/>
              <w:ind w:hanging="106"/>
              <w:jc w:val="center"/>
              <w:rPr>
                <w:rFonts w:eastAsia="Calibri"/>
              </w:rPr>
            </w:pPr>
            <w:r w:rsidRPr="00CE1158">
              <w:rPr>
                <w:rFonts w:eastAsia="Calibri"/>
                <w:sz w:val="20"/>
                <w:szCs w:val="20"/>
              </w:rPr>
              <w:sym w:font="Wingdings 2" w:char="F0A3"/>
            </w:r>
            <w:r w:rsidRPr="00CE1158">
              <w:rPr>
                <w:rFonts w:eastAsia="Calibri"/>
                <w:sz w:val="20"/>
                <w:szCs w:val="20"/>
              </w:rPr>
              <w:t xml:space="preserve"> </w:t>
            </w:r>
            <w:r w:rsidRPr="0065286E">
              <w:rPr>
                <w:rFonts w:eastAsia="Calibri"/>
              </w:rPr>
              <w:t>No</w:t>
            </w:r>
            <w:r w:rsidR="00CE1158" w:rsidRPr="0065286E">
              <w:rPr>
                <w:rFonts w:eastAsia="Calibri"/>
              </w:rPr>
              <w:t xml:space="preserve"> </w:t>
            </w:r>
          </w:p>
          <w:p w14:paraId="575A2D24" w14:textId="6588F26E" w:rsidR="00D64AF3" w:rsidRPr="00CE1158" w:rsidRDefault="00D64AF3" w:rsidP="00FE745A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65286E">
              <w:rPr>
                <w:rFonts w:eastAsia="Calibri"/>
              </w:rPr>
              <w:sym w:font="Wingdings 2" w:char="F0A3"/>
            </w:r>
            <w:r w:rsidRPr="0065286E">
              <w:rPr>
                <w:rFonts w:eastAsia="Calibri"/>
              </w:rPr>
              <w:t xml:space="preserve"> N/A</w:t>
            </w:r>
          </w:p>
        </w:tc>
      </w:tr>
      <w:tr w:rsidR="00F41196" w:rsidRPr="005C57B2" w14:paraId="68062D18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922AE" w14:textId="5C2413F4" w:rsidR="00F41196" w:rsidRDefault="00F41196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2.9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43897" w14:textId="1059E5F6" w:rsidR="00F41196" w:rsidRDefault="00F41196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  <w:rPr>
                <w:rFonts w:eastAsia="Times New Roman" w:cstheme="minorHAnsi"/>
                <w:b/>
                <w:bCs/>
                <w:lang w:val="en" w:eastAsia="en-AU"/>
              </w:rPr>
            </w:pPr>
            <w:r>
              <w:rPr>
                <w:rFonts w:eastAsia="Times New Roman" w:cstheme="minorHAnsi"/>
                <w:b/>
                <w:bCs/>
                <w:lang w:val="en" w:eastAsia="en-AU"/>
              </w:rPr>
              <w:t>F</w:t>
            </w:r>
            <w:r w:rsidRPr="00D13C62">
              <w:rPr>
                <w:rFonts w:eastAsia="Times New Roman" w:cstheme="minorHAnsi"/>
                <w:b/>
                <w:bCs/>
                <w:lang w:val="en" w:eastAsia="en-AU"/>
              </w:rPr>
              <w:t>or rides requiring patron restraints</w:t>
            </w:r>
            <w:r w:rsidRPr="00D13C62">
              <w:rPr>
                <w:rFonts w:eastAsia="Times New Roman" w:cstheme="minorHAnsi"/>
                <w:lang w:val="en" w:eastAsia="en-AU"/>
              </w:rPr>
              <w:t xml:space="preserve"> - evidence of the compliance of their equipment with ride patron control restraint systems and their risk control measures regarding patron restraint, procedures for screening patrons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C85B" w14:textId="1824A175" w:rsidR="00F41196" w:rsidRPr="005C57B2" w:rsidRDefault="00F41196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222" w14:textId="77777777" w:rsidR="003C1108" w:rsidRPr="0065286E" w:rsidRDefault="00F41196" w:rsidP="009B5178">
            <w:pPr>
              <w:spacing w:before="60" w:after="60" w:line="276" w:lineRule="auto"/>
              <w:ind w:hanging="106"/>
              <w:jc w:val="center"/>
              <w:rPr>
                <w:rFonts w:eastAsia="Calibri"/>
              </w:rPr>
            </w:pPr>
            <w:r w:rsidRPr="0065286E">
              <w:rPr>
                <w:rFonts w:eastAsia="Calibri"/>
              </w:rPr>
              <w:sym w:font="Wingdings 2" w:char="F0A3"/>
            </w:r>
            <w:r w:rsidRPr="0065286E">
              <w:rPr>
                <w:rFonts w:eastAsia="Calibri"/>
              </w:rPr>
              <w:t xml:space="preserve"> No</w:t>
            </w:r>
            <w:r w:rsidR="00CE1158" w:rsidRPr="0065286E">
              <w:rPr>
                <w:rFonts w:eastAsia="Calibri"/>
              </w:rPr>
              <w:t xml:space="preserve"> </w:t>
            </w:r>
          </w:p>
          <w:p w14:paraId="46B34FB8" w14:textId="3344EEC1" w:rsidR="00D64AF3" w:rsidRPr="0065286E" w:rsidRDefault="00D64AF3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65286E">
              <w:rPr>
                <w:rFonts w:eastAsia="Calibri"/>
              </w:rPr>
              <w:sym w:font="Wingdings 2" w:char="F0A3"/>
            </w:r>
            <w:r w:rsidRPr="0065286E">
              <w:rPr>
                <w:rFonts w:eastAsia="Calibri"/>
              </w:rPr>
              <w:t xml:space="preserve"> N/A</w:t>
            </w:r>
          </w:p>
        </w:tc>
      </w:tr>
      <w:tr w:rsidR="00F41196" w:rsidRPr="005C57B2" w14:paraId="2268B6CC" w14:textId="77777777" w:rsidTr="00687BE3">
        <w:trPr>
          <w:cantSplit/>
          <w:trHeight w:val="59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C381A" w14:textId="7ABFE93C" w:rsidR="00F41196" w:rsidRDefault="00F41196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2.10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0F81E" w14:textId="6CA48797" w:rsidR="00854FA0" w:rsidRPr="00854FA0" w:rsidRDefault="008D7BCD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  <w:rPr>
                <w:rFonts w:eastAsia="Times New Roman" w:cstheme="minorHAnsi"/>
                <w:b/>
                <w:bCs/>
                <w:sz w:val="18"/>
                <w:szCs w:val="18"/>
                <w:lang w:val="en" w:eastAsia="en-AU"/>
              </w:rPr>
            </w:pPr>
            <w:r>
              <w:rPr>
                <w:rFonts w:eastAsia="Times New Roman" w:cstheme="minorHAnsi"/>
                <w:lang w:val="en" w:eastAsia="en-AU"/>
              </w:rPr>
              <w:t>Operator has provided e</w:t>
            </w:r>
            <w:r w:rsidR="00F41196" w:rsidRPr="00451E92">
              <w:rPr>
                <w:rFonts w:eastAsia="Times New Roman" w:cstheme="minorHAnsi"/>
                <w:lang w:val="en" w:eastAsia="en-AU"/>
              </w:rPr>
              <w:t xml:space="preserve">vidence of </w:t>
            </w:r>
            <w:r w:rsidR="0022765A" w:rsidRPr="00451E92">
              <w:rPr>
                <w:rFonts w:eastAsia="Times New Roman" w:cstheme="minorHAnsi"/>
                <w:lang w:val="en" w:eastAsia="en-AU"/>
              </w:rPr>
              <w:t>registration of design</w:t>
            </w:r>
            <w:r w:rsidR="0022765A" w:rsidRPr="009E465F">
              <w:rPr>
                <w:rFonts w:eastAsia="Times New Roman" w:cstheme="minorHAnsi"/>
                <w:lang w:val="en" w:eastAsia="en-AU"/>
              </w:rPr>
              <w:t xml:space="preserve"> with </w:t>
            </w:r>
            <w:r w:rsidR="00F41196" w:rsidRPr="00451E92">
              <w:rPr>
                <w:rFonts w:eastAsia="Times New Roman" w:cstheme="minorHAnsi"/>
                <w:lang w:val="en" w:eastAsia="en-AU"/>
              </w:rPr>
              <w:t>WorkSafe Victoria</w:t>
            </w:r>
            <w:r w:rsidR="0022765A" w:rsidRPr="00856916">
              <w:rPr>
                <w:rFonts w:eastAsia="Times New Roman" w:cstheme="minorHAnsi"/>
                <w:sz w:val="32"/>
                <w:szCs w:val="32"/>
                <w:vertAlign w:val="superscript"/>
                <w:lang w:val="en" w:eastAsia="en-A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2FE" w14:textId="5962D7E8" w:rsidR="00F41196" w:rsidRPr="005C57B2" w:rsidRDefault="00F41196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93DA" w14:textId="77777777" w:rsidR="003C1108" w:rsidRPr="0065286E" w:rsidRDefault="00F41196" w:rsidP="009B5178">
            <w:pPr>
              <w:spacing w:before="60" w:after="60" w:line="276" w:lineRule="auto"/>
              <w:ind w:hanging="106"/>
              <w:jc w:val="center"/>
              <w:rPr>
                <w:rFonts w:eastAsia="Calibri"/>
              </w:rPr>
            </w:pPr>
            <w:r w:rsidRPr="0065286E">
              <w:rPr>
                <w:rFonts w:eastAsia="Calibri"/>
              </w:rPr>
              <w:sym w:font="Wingdings 2" w:char="F0A3"/>
            </w:r>
            <w:r w:rsidRPr="0065286E">
              <w:rPr>
                <w:rFonts w:eastAsia="Calibri"/>
              </w:rPr>
              <w:t xml:space="preserve"> No</w:t>
            </w:r>
            <w:r w:rsidR="00CE1158" w:rsidRPr="0065286E">
              <w:rPr>
                <w:rFonts w:eastAsia="Calibri"/>
              </w:rPr>
              <w:t xml:space="preserve"> </w:t>
            </w:r>
          </w:p>
          <w:p w14:paraId="7B5C63AC" w14:textId="61F84241" w:rsidR="00D64AF3" w:rsidRPr="0065286E" w:rsidRDefault="00D64AF3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65286E">
              <w:rPr>
                <w:rFonts w:eastAsia="Calibri"/>
              </w:rPr>
              <w:sym w:font="Wingdings 2" w:char="F0A3"/>
            </w:r>
            <w:r w:rsidRPr="0065286E">
              <w:rPr>
                <w:rFonts w:eastAsia="Calibri"/>
              </w:rPr>
              <w:t xml:space="preserve"> N/A</w:t>
            </w:r>
          </w:p>
        </w:tc>
      </w:tr>
      <w:tr w:rsidR="00611C0A" w:rsidRPr="005C57B2" w14:paraId="75F99F56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B2F7B" w14:textId="3E9F8236" w:rsidR="00611C0A" w:rsidRDefault="00611C0A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2.11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9595A" w14:textId="401C18D2" w:rsidR="00611C0A" w:rsidRDefault="00611C0A" w:rsidP="00FE745A">
            <w:pPr>
              <w:numPr>
                <w:ilvl w:val="1"/>
                <w:numId w:val="0"/>
              </w:numPr>
              <w:spacing w:before="60" w:after="60" w:line="276" w:lineRule="auto"/>
              <w:ind w:left="-109"/>
              <w:outlineLvl w:val="1"/>
              <w:rPr>
                <w:rFonts w:eastAsia="Times New Roman" w:cstheme="minorHAnsi"/>
                <w:lang w:val="en" w:eastAsia="en-AU"/>
              </w:rPr>
            </w:pPr>
            <w:r>
              <w:rPr>
                <w:rFonts w:eastAsia="Times New Roman" w:cstheme="minorHAnsi"/>
                <w:lang w:val="en" w:eastAsia="en-AU"/>
              </w:rPr>
              <w:t xml:space="preserve">School has complied with local risk management policies and strategies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991B" w14:textId="1F9D2F9D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5841" w14:textId="2288E59D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611C0A" w:rsidRPr="005C57B2" w14:paraId="6923FF24" w14:textId="77777777" w:rsidTr="00687BE3">
        <w:trPr>
          <w:cantSplit/>
          <w:trHeight w:val="347"/>
          <w:jc w:val="center"/>
        </w:trPr>
        <w:tc>
          <w:tcPr>
            <w:tcW w:w="7503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52DF721" w14:textId="071EA969" w:rsidR="00611C0A" w:rsidRPr="005C57B2" w:rsidRDefault="00611C0A" w:rsidP="00FE745A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outlineLvl w:val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Approval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6E64F6" w14:textId="77777777" w:rsidR="00611C0A" w:rsidRPr="005C57B2" w:rsidRDefault="00611C0A" w:rsidP="00FE745A">
            <w:pPr>
              <w:spacing w:before="60" w:after="60" w:line="276" w:lineRule="auto"/>
              <w:jc w:val="center"/>
              <w:outlineLvl w:val="0"/>
              <w:rPr>
                <w:rFonts w:eastAsia="Calibri"/>
              </w:rPr>
            </w:pPr>
          </w:p>
        </w:tc>
      </w:tr>
      <w:tr w:rsidR="00611C0A" w:rsidRPr="005C57B2" w14:paraId="5FEF578D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right w:val="nil"/>
            </w:tcBorders>
            <w:vAlign w:val="center"/>
          </w:tcPr>
          <w:p w14:paraId="24FFF6C0" w14:textId="604B081B" w:rsidR="00611C0A" w:rsidRPr="005C57B2" w:rsidRDefault="00611C0A" w:rsidP="00900C66">
            <w:pPr>
              <w:spacing w:before="60" w:after="60" w:line="276" w:lineRule="auto"/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3.1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14:paraId="0AA9E218" w14:textId="6DBC794B" w:rsidR="00611C0A" w:rsidRPr="005C57B2" w:rsidRDefault="001D22B1" w:rsidP="00900C66">
            <w:pPr>
              <w:spacing w:before="60" w:after="60" w:line="276" w:lineRule="auto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A signed written agreement is in place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2536AFE" w14:textId="49ABAD9C" w:rsidR="00611C0A" w:rsidRPr="005C57B2" w:rsidRDefault="00611C0A" w:rsidP="00900C66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36AB2D23" w14:textId="22F4CBBD" w:rsidR="00611C0A" w:rsidRPr="005C57B2" w:rsidRDefault="00611C0A" w:rsidP="00900C66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B61B53" w:rsidRPr="005C57B2" w14:paraId="024CE35F" w14:textId="77777777" w:rsidTr="00C50370">
        <w:trPr>
          <w:cantSplit/>
          <w:trHeight w:val="347"/>
          <w:jc w:val="center"/>
        </w:trPr>
        <w:tc>
          <w:tcPr>
            <w:tcW w:w="9907" w:type="dxa"/>
            <w:gridSpan w:val="4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0C5CB1" w14:textId="47E71FEF" w:rsidR="00B61B53" w:rsidRPr="00CD5A5B" w:rsidRDefault="00B61B53" w:rsidP="00CD5A5B">
            <w:pPr>
              <w:pStyle w:val="ListParagraph"/>
              <w:numPr>
                <w:ilvl w:val="0"/>
                <w:numId w:val="5"/>
              </w:numPr>
              <w:spacing w:line="276" w:lineRule="auto"/>
              <w:outlineLvl w:val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CD5A5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Supervision – </w:t>
            </w:r>
            <w:r w:rsidRPr="00CD5A5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AU"/>
              </w:rPr>
              <w:t>the below requirements only apply to</w:t>
            </w:r>
            <w:r w:rsidRPr="00CD5A5B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AU"/>
              </w:rPr>
              <w:t xml:space="preserve"> non-public events </w:t>
            </w:r>
            <w:r w:rsidRPr="00CD5A5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AU"/>
              </w:rPr>
              <w:t>where activities are limited to</w:t>
            </w:r>
            <w:r w:rsidRPr="00CD5A5B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AU"/>
              </w:rPr>
              <w:t xml:space="preserve"> enrolled students only</w:t>
            </w:r>
          </w:p>
        </w:tc>
      </w:tr>
      <w:tr w:rsidR="00611C0A" w:rsidRPr="005C57B2" w14:paraId="51EF58CC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right w:val="nil"/>
            </w:tcBorders>
            <w:vAlign w:val="center"/>
          </w:tcPr>
          <w:p w14:paraId="5ABB6ABC" w14:textId="22D0BA80" w:rsidR="00611C0A" w:rsidRPr="005C57B2" w:rsidRDefault="00611C0A" w:rsidP="00FE745A">
            <w:pPr>
              <w:spacing w:before="60" w:after="60" w:line="276" w:lineRule="auto"/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14:paraId="62FA831E" w14:textId="7DEAF6EA" w:rsidR="00611C0A" w:rsidRPr="005C57B2" w:rsidRDefault="00611C0A" w:rsidP="00FE745A">
            <w:pPr>
              <w:spacing w:before="60" w:after="60" w:line="276" w:lineRule="auto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Activities will be under the direct control </w:t>
            </w:r>
            <w:r w:rsidRPr="00451E92">
              <w:rPr>
                <w:rFonts w:eastAsia="Times New Roman" w:cstheme="minorHAnsi"/>
                <w:lang w:val="en" w:eastAsia="en-AU"/>
              </w:rPr>
              <w:t xml:space="preserve">of a teacher </w:t>
            </w:r>
            <w:proofErr w:type="gramStart"/>
            <w:r w:rsidRPr="00451E92">
              <w:rPr>
                <w:rFonts w:eastAsia="Times New Roman" w:cstheme="minorHAnsi"/>
                <w:lang w:val="en" w:eastAsia="en-AU"/>
              </w:rPr>
              <w:t xml:space="preserve">employed by the </w:t>
            </w:r>
            <w:r>
              <w:rPr>
                <w:rFonts w:eastAsia="Times New Roman" w:cstheme="minorHAnsi"/>
                <w:lang w:val="en" w:eastAsia="en-AU"/>
              </w:rPr>
              <w:t>d</w:t>
            </w:r>
            <w:r w:rsidRPr="00451E92">
              <w:rPr>
                <w:rFonts w:eastAsia="Times New Roman" w:cstheme="minorHAnsi"/>
                <w:lang w:val="en" w:eastAsia="en-AU"/>
              </w:rPr>
              <w:t>epartment or the school council</w:t>
            </w:r>
            <w:r>
              <w:rPr>
                <w:rFonts w:eastAsia="Times New Roman" w:cstheme="minorHAnsi"/>
                <w:lang w:val="en" w:eastAsia="en-AU"/>
              </w:rPr>
              <w:t xml:space="preserve"> </w:t>
            </w:r>
            <w:r w:rsidRPr="00451E92">
              <w:rPr>
                <w:rFonts w:eastAsia="Times New Roman" w:cstheme="minorHAnsi"/>
                <w:lang w:val="en" w:eastAsia="en-AU"/>
              </w:rPr>
              <w:t>at all times</w:t>
            </w:r>
            <w:proofErr w:type="gramEnd"/>
            <w:r w:rsidRPr="00451E92">
              <w:rPr>
                <w:rFonts w:eastAsia="Times New Roman" w:cstheme="minorHAnsi"/>
                <w:lang w:val="en" w:eastAsia="en-AU"/>
              </w:rPr>
              <w:t>, with at least one other staff member present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F84F80E" w14:textId="04773717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39BE3B22" w14:textId="1CCD2C6B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611C0A" w:rsidRPr="005C57B2" w14:paraId="78C8F97D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right w:val="nil"/>
            </w:tcBorders>
            <w:vAlign w:val="center"/>
          </w:tcPr>
          <w:p w14:paraId="0C359E0B" w14:textId="3FDB8460" w:rsidR="00611C0A" w:rsidRPr="005C57B2" w:rsidRDefault="00611C0A" w:rsidP="00FE745A">
            <w:pPr>
              <w:spacing w:before="60" w:after="60" w:line="276" w:lineRule="auto"/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="0015779F"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14:paraId="7FFCB2E1" w14:textId="6C8917FD" w:rsidR="00611C0A" w:rsidRPr="005C57B2" w:rsidRDefault="00611C0A" w:rsidP="00FE745A">
            <w:pPr>
              <w:spacing w:before="60" w:after="60" w:line="276" w:lineRule="auto"/>
              <w:rPr>
                <w:rFonts w:eastAsia="Times New Roman"/>
                <w:lang w:eastAsia="en-AU"/>
              </w:rPr>
            </w:pPr>
            <w:r>
              <w:rPr>
                <w:rFonts w:eastAsia="Times New Roman" w:cstheme="minorHAnsi"/>
                <w:lang w:val="en" w:eastAsia="en-AU"/>
              </w:rPr>
              <w:t>A</w:t>
            </w:r>
            <w:r w:rsidRPr="00451E92">
              <w:rPr>
                <w:rFonts w:eastAsia="Times New Roman" w:cstheme="minorHAnsi"/>
                <w:lang w:val="en" w:eastAsia="en-AU"/>
              </w:rPr>
              <w:t>dditional supervision requirements</w:t>
            </w:r>
            <w:r w:rsidR="0092100F">
              <w:rPr>
                <w:rFonts w:eastAsia="Times New Roman" w:cstheme="minorHAnsi"/>
                <w:lang w:val="en" w:eastAsia="en-AU"/>
              </w:rPr>
              <w:t xml:space="preserve"> in line </w:t>
            </w:r>
            <w:r>
              <w:rPr>
                <w:rFonts w:eastAsia="Times New Roman" w:cstheme="minorHAnsi"/>
                <w:lang w:val="en" w:eastAsia="en-AU"/>
              </w:rPr>
              <w:t>with</w:t>
            </w:r>
            <w:r w:rsidRPr="00451E92">
              <w:rPr>
                <w:rFonts w:eastAsia="Times New Roman" w:cstheme="minorHAnsi"/>
                <w:lang w:val="en" w:eastAsia="en-AU"/>
              </w:rPr>
              <w:t xml:space="preserve"> the level of risk of the activity and the needs of the participating students (</w:t>
            </w:r>
            <w:r w:rsidR="0092100F">
              <w:rPr>
                <w:rFonts w:eastAsia="Times New Roman" w:cstheme="minorHAnsi"/>
                <w:lang w:val="en" w:eastAsia="en-AU"/>
              </w:rPr>
              <w:t>e.g</w:t>
            </w:r>
            <w:r w:rsidR="003C1108">
              <w:rPr>
                <w:rFonts w:eastAsia="Times New Roman" w:cstheme="minorHAnsi"/>
                <w:lang w:val="en" w:eastAsia="en-AU"/>
              </w:rPr>
              <w:t>.</w:t>
            </w:r>
            <w:r w:rsidRPr="00451E92">
              <w:rPr>
                <w:rFonts w:eastAsia="Times New Roman" w:cstheme="minorHAnsi"/>
                <w:lang w:val="en" w:eastAsia="en-AU"/>
              </w:rPr>
              <w:t>, age, known or foreseeable behaviour concerns, disability)</w:t>
            </w:r>
            <w:r>
              <w:rPr>
                <w:rFonts w:eastAsia="Times New Roman" w:cstheme="minorHAnsi"/>
                <w:lang w:val="en" w:eastAsia="en-AU"/>
              </w:rPr>
              <w:t xml:space="preserve"> have been considered</w:t>
            </w:r>
            <w:r w:rsidR="005662E5">
              <w:rPr>
                <w:rFonts w:eastAsia="Times New Roman" w:cstheme="minorHAnsi"/>
                <w:lang w:val="en" w:eastAsia="en-AU"/>
              </w:rPr>
              <w:t>, as per the Supervision of Students Policy and</w:t>
            </w:r>
            <w:r w:rsidR="0092100F">
              <w:rPr>
                <w:rFonts w:eastAsia="Times New Roman" w:cstheme="minorHAnsi"/>
                <w:lang w:val="en" w:eastAsia="en-AU"/>
              </w:rPr>
              <w:t xml:space="preserve"> aligned to</w:t>
            </w:r>
            <w:r w:rsidR="005662E5">
              <w:rPr>
                <w:rFonts w:eastAsia="Times New Roman" w:cstheme="minorHAnsi"/>
                <w:lang w:val="en" w:eastAsia="en-AU"/>
              </w:rPr>
              <w:t xml:space="preserve"> local risk management strategies and policies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C676C5C" w14:textId="294778BF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1E59DEE7" w14:textId="53BA8DC2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611C0A" w:rsidRPr="005C57B2" w14:paraId="35C867FA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right w:val="nil"/>
            </w:tcBorders>
            <w:vAlign w:val="center"/>
          </w:tcPr>
          <w:p w14:paraId="29A5E5E3" w14:textId="79835EDD" w:rsidR="00611C0A" w:rsidRDefault="00611C0A" w:rsidP="00FE745A">
            <w:pPr>
              <w:spacing w:before="60" w:after="60" w:line="276" w:lineRule="auto"/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="0004371E"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14:paraId="5C71094F" w14:textId="33474191" w:rsidR="00611C0A" w:rsidRDefault="00611C0A" w:rsidP="00FE745A">
            <w:pPr>
              <w:spacing w:before="60" w:after="60" w:line="276" w:lineRule="auto"/>
              <w:rPr>
                <w:rFonts w:eastAsia="Times New Roman" w:cstheme="minorHAnsi"/>
                <w:lang w:val="en" w:eastAsia="en-AU"/>
              </w:rPr>
            </w:pPr>
            <w:r>
              <w:rPr>
                <w:rFonts w:eastAsia="Times New Roman" w:cstheme="minorHAnsi"/>
                <w:lang w:val="en" w:eastAsia="en-AU"/>
              </w:rPr>
              <w:t xml:space="preserve">Where the event is being held on a non-school site, the supervision requirements of the Excursion policy have been complied with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77EFF5A" w14:textId="0D249589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5E170FDD" w14:textId="6C78ADCA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  <w:tr w:rsidR="00611C0A" w:rsidRPr="005C57B2" w14:paraId="2EFC18A3" w14:textId="77777777" w:rsidTr="00F40BC3">
        <w:trPr>
          <w:cantSplit/>
          <w:trHeight w:val="347"/>
          <w:jc w:val="center"/>
        </w:trPr>
        <w:tc>
          <w:tcPr>
            <w:tcW w:w="9907" w:type="dxa"/>
            <w:gridSpan w:val="4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AD7206" w14:textId="390C5117" w:rsidR="00611C0A" w:rsidRPr="005C57B2" w:rsidRDefault="00611C0A" w:rsidP="00FE745A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outlineLvl w:val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Parent consent and notification</w:t>
            </w:r>
            <w:r w:rsidR="00AA668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 </w:t>
            </w:r>
            <w:r w:rsidR="00AA6687" w:rsidRPr="004A756D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(applicable for non-public events only)</w:t>
            </w:r>
          </w:p>
        </w:tc>
      </w:tr>
      <w:tr w:rsidR="00611C0A" w:rsidRPr="005C57B2" w14:paraId="6A620EE6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right w:val="nil"/>
            </w:tcBorders>
            <w:vAlign w:val="center"/>
          </w:tcPr>
          <w:p w14:paraId="1849F17F" w14:textId="13610C7D" w:rsidR="00611C0A" w:rsidRPr="005C57B2" w:rsidRDefault="00611C0A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5.1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14:paraId="67C2452A" w14:textId="67DDD0F4" w:rsidR="00611C0A" w:rsidRPr="004319A0" w:rsidRDefault="007E780B" w:rsidP="00FE745A">
            <w:pPr>
              <w:spacing w:before="60" w:after="60" w:line="276" w:lineRule="auto"/>
              <w:rPr>
                <w:rFonts w:eastAsia="Times New Roman"/>
                <w:lang w:eastAsia="en-AU"/>
              </w:rPr>
            </w:pPr>
            <w:r w:rsidRPr="00CE1158">
              <w:rPr>
                <w:lang w:val="en"/>
              </w:rPr>
              <w:t xml:space="preserve">For </w:t>
            </w:r>
            <w:r w:rsidRPr="00CE1158">
              <w:rPr>
                <w:lang w:eastAsia="en-AU"/>
              </w:rPr>
              <w:t>non-public events where activities are limited to enrolled students,</w:t>
            </w:r>
            <w:r w:rsidRPr="004319A0">
              <w:rPr>
                <w:lang w:val="en"/>
              </w:rPr>
              <w:t xml:space="preserve"> </w:t>
            </w:r>
            <w:r w:rsidR="00611C0A" w:rsidRPr="004319A0">
              <w:rPr>
                <w:lang w:val="en"/>
              </w:rPr>
              <w:t>parents/carers have been notified and written consent obtained and recorded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2E446A8" w14:textId="77777777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  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535F0BEF" w14:textId="77777777" w:rsidR="00FE745A" w:rsidRPr="00900C66" w:rsidRDefault="00611C0A" w:rsidP="00B47391">
            <w:pPr>
              <w:spacing w:before="60" w:after="60" w:line="276" w:lineRule="auto"/>
              <w:ind w:hanging="105"/>
              <w:jc w:val="center"/>
              <w:rPr>
                <w:rFonts w:eastAsia="Calibri"/>
              </w:rPr>
            </w:pPr>
            <w:r w:rsidRPr="00CE1158">
              <w:rPr>
                <w:rFonts w:eastAsia="Calibri"/>
                <w:sz w:val="20"/>
                <w:szCs w:val="20"/>
              </w:rPr>
              <w:sym w:font="Wingdings 2" w:char="F0A3"/>
            </w:r>
            <w:r w:rsidRPr="00CE1158">
              <w:rPr>
                <w:rFonts w:eastAsia="Calibri"/>
                <w:sz w:val="20"/>
                <w:szCs w:val="20"/>
              </w:rPr>
              <w:t xml:space="preserve"> </w:t>
            </w:r>
            <w:r w:rsidRPr="00900C66">
              <w:rPr>
                <w:rFonts w:eastAsia="Calibri"/>
              </w:rPr>
              <w:t>No</w:t>
            </w:r>
            <w:r w:rsidR="00CE1158" w:rsidRPr="00900C66">
              <w:rPr>
                <w:rFonts w:eastAsia="Calibri"/>
              </w:rPr>
              <w:t xml:space="preserve"> </w:t>
            </w:r>
          </w:p>
          <w:p w14:paraId="4363E557" w14:textId="35F000E4" w:rsidR="00611C0A" w:rsidRPr="00CE1158" w:rsidRDefault="00611C0A" w:rsidP="00FE745A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00C66">
              <w:rPr>
                <w:rFonts w:eastAsia="Calibri"/>
              </w:rPr>
              <w:sym w:font="Wingdings 2" w:char="F0A3"/>
            </w:r>
            <w:r w:rsidRPr="00900C66">
              <w:rPr>
                <w:rFonts w:eastAsia="Calibri"/>
              </w:rPr>
              <w:t xml:space="preserve"> N/A</w:t>
            </w:r>
          </w:p>
        </w:tc>
      </w:tr>
      <w:tr w:rsidR="00611C0A" w:rsidRPr="005C57B2" w14:paraId="039C3C9E" w14:textId="77777777" w:rsidTr="00F40BC3">
        <w:trPr>
          <w:cantSplit/>
          <w:trHeight w:val="347"/>
          <w:jc w:val="center"/>
        </w:trPr>
        <w:tc>
          <w:tcPr>
            <w:tcW w:w="9907" w:type="dxa"/>
            <w:gridSpan w:val="4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B5842B" w14:textId="776C5066" w:rsidR="00611C0A" w:rsidRPr="005C57B2" w:rsidRDefault="00611C0A" w:rsidP="00FE745A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outlineLvl w:val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Additional support</w:t>
            </w:r>
          </w:p>
        </w:tc>
      </w:tr>
      <w:tr w:rsidR="00611C0A" w:rsidRPr="005C57B2" w14:paraId="34DE94E7" w14:textId="77777777" w:rsidTr="00687BE3">
        <w:trPr>
          <w:cantSplit/>
          <w:trHeight w:val="347"/>
          <w:jc w:val="center"/>
        </w:trPr>
        <w:tc>
          <w:tcPr>
            <w:tcW w:w="841" w:type="dxa"/>
            <w:tcBorders>
              <w:right w:val="nil"/>
            </w:tcBorders>
            <w:vAlign w:val="center"/>
          </w:tcPr>
          <w:p w14:paraId="1BCE2875" w14:textId="1DC5E623" w:rsidR="00611C0A" w:rsidRPr="005C57B2" w:rsidRDefault="00611C0A" w:rsidP="00FE745A">
            <w:pPr>
              <w:numPr>
                <w:ilvl w:val="1"/>
                <w:numId w:val="0"/>
              </w:numPr>
              <w:spacing w:before="60" w:after="60" w:line="276" w:lineRule="auto"/>
              <w:ind w:left="97"/>
              <w:outlineLvl w:val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6.1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14:paraId="4EF2C6AD" w14:textId="52D9703F" w:rsidR="00611C0A" w:rsidRPr="005C57B2" w:rsidRDefault="00D633DA" w:rsidP="00FE745A">
            <w:pPr>
              <w:spacing w:before="60" w:after="60" w:line="276" w:lineRule="auto"/>
              <w:rPr>
                <w:rFonts w:eastAsia="Times New Roman"/>
                <w:lang w:eastAsia="en-AU"/>
              </w:rPr>
            </w:pPr>
            <w:r>
              <w:rPr>
                <w:rFonts w:cstheme="minorHAnsi"/>
                <w:szCs w:val="24"/>
              </w:rPr>
              <w:t xml:space="preserve">School has worked with the operator to follow the relevant </w:t>
            </w:r>
            <w:r w:rsidR="00611C0A" w:rsidRPr="00107D08">
              <w:rPr>
                <w:rFonts w:cstheme="minorHAnsi"/>
                <w:szCs w:val="24"/>
              </w:rPr>
              <w:t>WorkSafe</w:t>
            </w:r>
            <w:r>
              <w:rPr>
                <w:rFonts w:cstheme="minorHAnsi"/>
                <w:szCs w:val="24"/>
              </w:rPr>
              <w:t xml:space="preserve"> advice, with reference to</w:t>
            </w:r>
            <w:r w:rsidR="001564DB">
              <w:rPr>
                <w:rFonts w:cstheme="minorHAnsi"/>
                <w:szCs w:val="24"/>
              </w:rPr>
              <w:t xml:space="preserve"> these WorkSafe</w:t>
            </w:r>
            <w:r w:rsidR="00611C0A" w:rsidRPr="00107D08">
              <w:rPr>
                <w:rFonts w:cstheme="minorHAnsi"/>
                <w:szCs w:val="24"/>
              </w:rPr>
              <w:t xml:space="preserve"> </w:t>
            </w:r>
            <w:hyperlink r:id="rId14" w:history="1">
              <w:r w:rsidR="00611C0A" w:rsidRPr="00107D08">
                <w:rPr>
                  <w:rStyle w:val="Hyperlink"/>
                  <w:rFonts w:cstheme="minorHAnsi"/>
                  <w:szCs w:val="24"/>
                </w:rPr>
                <w:t>checklists</w:t>
              </w:r>
            </w:hyperlink>
            <w:r w:rsidR="00611C0A" w:rsidRPr="00107D08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2BCC133" w14:textId="61999479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Yes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4CA36ECD" w14:textId="79266613" w:rsidR="00611C0A" w:rsidRPr="005C57B2" w:rsidRDefault="00611C0A" w:rsidP="00FE745A">
            <w:pPr>
              <w:spacing w:before="60" w:after="60" w:line="276" w:lineRule="auto"/>
              <w:jc w:val="center"/>
              <w:rPr>
                <w:rFonts w:eastAsia="Calibri"/>
              </w:rPr>
            </w:pPr>
            <w:r w:rsidRPr="005C57B2">
              <w:rPr>
                <w:rFonts w:eastAsia="Calibri"/>
              </w:rPr>
              <w:sym w:font="Wingdings 2" w:char="F0A3"/>
            </w:r>
            <w:r w:rsidRPr="005C57B2">
              <w:rPr>
                <w:rFonts w:eastAsia="Calibri"/>
              </w:rPr>
              <w:t xml:space="preserve"> No</w:t>
            </w:r>
          </w:p>
        </w:tc>
      </w:tr>
    </w:tbl>
    <w:p w14:paraId="6B4AF7A7" w14:textId="0C9BDC6F" w:rsidR="005A3F93" w:rsidRPr="00856916" w:rsidRDefault="005A3F93" w:rsidP="00856916">
      <w:pPr>
        <w:spacing w:before="120" w:after="160" w:line="276" w:lineRule="auto"/>
        <w:ind w:left="284"/>
        <w:rPr>
          <w:i/>
          <w:iCs/>
          <w:sz w:val="20"/>
          <w:szCs w:val="20"/>
        </w:rPr>
      </w:pPr>
      <w:r w:rsidRPr="00856916">
        <w:rPr>
          <w:i/>
          <w:iCs/>
          <w:sz w:val="32"/>
          <w:szCs w:val="32"/>
          <w:vertAlign w:val="superscript"/>
        </w:rPr>
        <w:lastRenderedPageBreak/>
        <w:t>*</w:t>
      </w:r>
      <w:r w:rsidR="00124EA6" w:rsidRPr="00856916">
        <w:rPr>
          <w:i/>
          <w:iCs/>
          <w:sz w:val="20"/>
          <w:szCs w:val="20"/>
        </w:rPr>
        <w:t>Most amusement devices require registration as an item of plant and design registration. Ask the proposed operator if re</w:t>
      </w:r>
      <w:r w:rsidR="00370362" w:rsidRPr="00856916">
        <w:rPr>
          <w:i/>
          <w:iCs/>
          <w:sz w:val="20"/>
          <w:szCs w:val="20"/>
        </w:rPr>
        <w:t>gistration of design is required for the amusement device they intend to operate</w:t>
      </w:r>
      <w:r w:rsidR="00D73610" w:rsidRPr="00856916">
        <w:rPr>
          <w:i/>
          <w:iCs/>
          <w:sz w:val="20"/>
          <w:szCs w:val="20"/>
        </w:rPr>
        <w:t xml:space="preserve"> on site.</w:t>
      </w:r>
    </w:p>
    <w:p w14:paraId="20429CD6" w14:textId="67CE74F3" w:rsidR="00360EAE" w:rsidRPr="00FE745A" w:rsidRDefault="00CA3EEC" w:rsidP="00361539">
      <w:pPr>
        <w:spacing w:before="120" w:after="120" w:line="276" w:lineRule="auto"/>
      </w:pPr>
      <w:hyperlink r:id="rId15" w:history="1">
        <w:r w:rsidR="00F60DD7" w:rsidRPr="00FE745A">
          <w:rPr>
            <w:rStyle w:val="Hyperlink"/>
          </w:rPr>
          <w:t xml:space="preserve">The OHS Advisory Service and Regional OHS Support Officers </w:t>
        </w:r>
      </w:hyperlink>
      <w:r w:rsidR="00F60DD7" w:rsidRPr="00FE745A">
        <w:t>can provide support and advice to assist</w:t>
      </w:r>
      <w:r w:rsidR="00B6382C" w:rsidRPr="00FE745A">
        <w:t xml:space="preserve"> </w:t>
      </w:r>
      <w:r w:rsidR="00DE77DA" w:rsidRPr="00FE745A">
        <w:t>with</w:t>
      </w:r>
      <w:r w:rsidR="00F60DD7" w:rsidRPr="00FE745A">
        <w:t xml:space="preserve"> completing this checklist</w:t>
      </w:r>
      <w:r w:rsidR="0027627A" w:rsidRPr="00FE745A">
        <w:t xml:space="preserve"> and or risk assessments, </w:t>
      </w:r>
      <w:r w:rsidR="00F66A34">
        <w:t>safe work method statements (SWMS)</w:t>
      </w:r>
      <w:r w:rsidR="0027627A" w:rsidRPr="00FE745A">
        <w:t xml:space="preserve"> and completing contractor inductions and checklists. </w:t>
      </w:r>
    </w:p>
    <w:p w14:paraId="6906C0BD" w14:textId="36877710" w:rsidR="001C6B91" w:rsidRPr="00FE745A" w:rsidRDefault="00504319" w:rsidP="00361539">
      <w:pPr>
        <w:spacing w:before="120" w:after="120" w:line="276" w:lineRule="auto"/>
      </w:pPr>
      <w:r w:rsidRPr="00FE745A">
        <w:t>The completed checklist should be stored in accordance with local OHS record keeping pr</w:t>
      </w:r>
      <w:r w:rsidR="00360EAE" w:rsidRPr="00FE745A">
        <w:t>ocesses and/or in eduSafe Plus.</w:t>
      </w:r>
    </w:p>
    <w:sectPr w:rsidR="001C6B91" w:rsidRPr="00FE745A" w:rsidSect="00F40BC3">
      <w:footerReference w:type="default" r:id="rId16"/>
      <w:headerReference w:type="first" r:id="rId17"/>
      <w:footerReference w:type="first" r:id="rId18"/>
      <w:pgSz w:w="11906" w:h="16838"/>
      <w:pgMar w:top="567" w:right="991" w:bottom="567" w:left="567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240D" w14:textId="77777777" w:rsidR="008F6A2C" w:rsidRDefault="008F6A2C" w:rsidP="000F6A81">
      <w:r>
        <w:separator/>
      </w:r>
    </w:p>
  </w:endnote>
  <w:endnote w:type="continuationSeparator" w:id="0">
    <w:p w14:paraId="584D3E1C" w14:textId="77777777" w:rsidR="008F6A2C" w:rsidRDefault="008F6A2C" w:rsidP="000F6A81">
      <w:r>
        <w:continuationSeparator/>
      </w:r>
    </w:p>
  </w:endnote>
  <w:endnote w:type="continuationNotice" w:id="1">
    <w:p w14:paraId="18F3266A" w14:textId="77777777" w:rsidR="008F6A2C" w:rsidRDefault="008F6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75157054"/>
      <w:docPartObj>
        <w:docPartGallery w:val="Page Numbers (Bottom of Page)"/>
        <w:docPartUnique/>
      </w:docPartObj>
    </w:sdtPr>
    <w:sdtEndPr/>
    <w:sdtContent>
      <w:p w14:paraId="6536CC00" w14:textId="35EDC320" w:rsidR="000F6A81" w:rsidRPr="00FE745A" w:rsidRDefault="00B3182F" w:rsidP="00FB2867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>Amusement Rides, Attractions and Fireworks</w:t>
        </w:r>
        <w:r w:rsidR="00FB2867">
          <w:rPr>
            <w:sz w:val="16"/>
            <w:szCs w:val="16"/>
          </w:rPr>
          <w:t xml:space="preserve"> Checklist </w:t>
        </w:r>
        <w:r w:rsidR="00FB2867">
          <w:rPr>
            <w:sz w:val="16"/>
            <w:szCs w:val="16"/>
          </w:rPr>
          <w:tab/>
        </w:r>
        <w:r w:rsidR="00FB2867">
          <w:rPr>
            <w:sz w:val="16"/>
            <w:szCs w:val="16"/>
          </w:rPr>
          <w:tab/>
        </w:r>
        <w:r w:rsidR="00FB2867">
          <w:rPr>
            <w:sz w:val="16"/>
            <w:szCs w:val="16"/>
          </w:rPr>
          <w:tab/>
        </w:r>
        <w:r w:rsidR="00FB2867" w:rsidRPr="00FB2867">
          <w:rPr>
            <w:sz w:val="16"/>
            <w:szCs w:val="16"/>
          </w:rPr>
          <w:t xml:space="preserve">Page | </w:t>
        </w:r>
        <w:r w:rsidR="00FB2867" w:rsidRPr="00FB2867">
          <w:rPr>
            <w:sz w:val="16"/>
            <w:szCs w:val="16"/>
          </w:rPr>
          <w:fldChar w:fldCharType="begin"/>
        </w:r>
        <w:r w:rsidR="00FB2867" w:rsidRPr="00FB2867">
          <w:rPr>
            <w:sz w:val="16"/>
            <w:szCs w:val="16"/>
          </w:rPr>
          <w:instrText xml:space="preserve"> PAGE   \* MERGEFORMAT </w:instrText>
        </w:r>
        <w:r w:rsidR="00FB2867" w:rsidRPr="00FB2867">
          <w:rPr>
            <w:sz w:val="16"/>
            <w:szCs w:val="16"/>
          </w:rPr>
          <w:fldChar w:fldCharType="separate"/>
        </w:r>
        <w:r w:rsidR="00FB2867">
          <w:rPr>
            <w:noProof/>
            <w:sz w:val="16"/>
            <w:szCs w:val="16"/>
          </w:rPr>
          <w:t>2</w:t>
        </w:r>
        <w:r w:rsidR="00FB2867" w:rsidRPr="00FB2867">
          <w:rPr>
            <w:noProof/>
            <w:sz w:val="16"/>
            <w:szCs w:val="16"/>
          </w:rPr>
          <w:fldChar w:fldCharType="end"/>
        </w:r>
        <w:r w:rsidR="00FB2867" w:rsidRPr="00FB2867">
          <w:rPr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25EF" w14:textId="27A2EDA1" w:rsidR="00C16F48" w:rsidRPr="00FB2867" w:rsidRDefault="00FB2867" w:rsidP="00FB2867">
    <w:pPr>
      <w:pStyle w:val="Footer"/>
      <w:tabs>
        <w:tab w:val="clear" w:pos="9026"/>
        <w:tab w:val="right" w:pos="9923"/>
      </w:tabs>
      <w:rPr>
        <w:i/>
        <w:sz w:val="16"/>
        <w:szCs w:val="16"/>
      </w:rPr>
    </w:pPr>
    <w:r>
      <w:tab/>
    </w:r>
    <w:r>
      <w:tab/>
    </w:r>
    <w:r w:rsidRPr="00FB2867">
      <w:rPr>
        <w:i/>
        <w:sz w:val="16"/>
        <w:szCs w:val="16"/>
      </w:rPr>
      <w:t xml:space="preserve">Last Updated: </w:t>
    </w:r>
    <w:r w:rsidR="00E72E2B">
      <w:rPr>
        <w:i/>
        <w:sz w:val="16"/>
        <w:szCs w:val="16"/>
      </w:rPr>
      <w:t>30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4F4D" w14:textId="77777777" w:rsidR="008F6A2C" w:rsidRDefault="008F6A2C" w:rsidP="000F6A81">
      <w:r>
        <w:separator/>
      </w:r>
    </w:p>
  </w:footnote>
  <w:footnote w:type="continuationSeparator" w:id="0">
    <w:p w14:paraId="27301851" w14:textId="77777777" w:rsidR="008F6A2C" w:rsidRDefault="008F6A2C" w:rsidP="000F6A81">
      <w:r>
        <w:continuationSeparator/>
      </w:r>
    </w:p>
  </w:footnote>
  <w:footnote w:type="continuationNotice" w:id="1">
    <w:p w14:paraId="571CC469" w14:textId="77777777" w:rsidR="008F6A2C" w:rsidRDefault="008F6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F631" w14:textId="1E0207A1" w:rsidR="00D11C51" w:rsidRDefault="00E72E2B" w:rsidP="00097F06">
    <w:pPr>
      <w:pStyle w:val="FormName"/>
      <w:tabs>
        <w:tab w:val="left" w:pos="5805"/>
      </w:tabs>
      <w:jc w:val="left"/>
      <w:rPr>
        <w:sz w:val="32"/>
      </w:rPr>
    </w:pPr>
    <w:r>
      <w:drawing>
        <wp:anchor distT="0" distB="0" distL="114300" distR="114300" simplePos="0" relativeHeight="251658240" behindDoc="1" locked="0" layoutInCell="1" allowOverlap="1" wp14:anchorId="4EEB71FF" wp14:editId="2D751B59">
          <wp:simplePos x="0" y="0"/>
          <wp:positionH relativeFrom="page">
            <wp:align>left</wp:align>
          </wp:positionH>
          <wp:positionV relativeFrom="page">
            <wp:posOffset>-73633</wp:posOffset>
          </wp:positionV>
          <wp:extent cx="10684800" cy="7559400"/>
          <wp:effectExtent l="0" t="0" r="254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F06">
      <w:rPr>
        <w:sz w:val="32"/>
      </w:rPr>
      <w:tab/>
    </w:r>
  </w:p>
  <w:p w14:paraId="78F7BC08" w14:textId="2A5D51B7" w:rsidR="000F6A81" w:rsidRPr="000F6A81" w:rsidRDefault="000F6A81" w:rsidP="009E465F">
    <w:pPr>
      <w:pStyle w:val="FormNam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291"/>
    <w:multiLevelType w:val="hybridMultilevel"/>
    <w:tmpl w:val="F83E1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34A89"/>
    <w:multiLevelType w:val="hybridMultilevel"/>
    <w:tmpl w:val="06764938"/>
    <w:lvl w:ilvl="0" w:tplc="3C505D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4A0D"/>
    <w:multiLevelType w:val="hybridMultilevel"/>
    <w:tmpl w:val="83222A66"/>
    <w:lvl w:ilvl="0" w:tplc="A3CAE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2077"/>
    <w:multiLevelType w:val="hybridMultilevel"/>
    <w:tmpl w:val="1E249E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92ACA"/>
    <w:multiLevelType w:val="multilevel"/>
    <w:tmpl w:val="F506A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0B52E8"/>
    <w:multiLevelType w:val="hybridMultilevel"/>
    <w:tmpl w:val="DEB2F3B4"/>
    <w:lvl w:ilvl="0" w:tplc="BAC250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16E0B"/>
    <w:multiLevelType w:val="hybridMultilevel"/>
    <w:tmpl w:val="1CD2FC7A"/>
    <w:lvl w:ilvl="0" w:tplc="2B6899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96378">
    <w:abstractNumId w:val="5"/>
  </w:num>
  <w:num w:numId="2" w16cid:durableId="521094170">
    <w:abstractNumId w:val="3"/>
  </w:num>
  <w:num w:numId="3" w16cid:durableId="1547259494">
    <w:abstractNumId w:val="1"/>
  </w:num>
  <w:num w:numId="4" w16cid:durableId="1975864424">
    <w:abstractNumId w:val="6"/>
  </w:num>
  <w:num w:numId="5" w16cid:durableId="858081164">
    <w:abstractNumId w:val="8"/>
  </w:num>
  <w:num w:numId="6" w16cid:durableId="145896615">
    <w:abstractNumId w:val="2"/>
  </w:num>
  <w:num w:numId="7" w16cid:durableId="1227379345">
    <w:abstractNumId w:val="7"/>
  </w:num>
  <w:num w:numId="8" w16cid:durableId="2134402798">
    <w:abstractNumId w:val="0"/>
  </w:num>
  <w:num w:numId="9" w16cid:durableId="1470510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81"/>
    <w:rsid w:val="00014DD3"/>
    <w:rsid w:val="000360D5"/>
    <w:rsid w:val="0004371E"/>
    <w:rsid w:val="00074488"/>
    <w:rsid w:val="00081701"/>
    <w:rsid w:val="00097F06"/>
    <w:rsid w:val="000A6B94"/>
    <w:rsid w:val="000D6A2A"/>
    <w:rsid w:val="000F6A81"/>
    <w:rsid w:val="00124EA6"/>
    <w:rsid w:val="001415E9"/>
    <w:rsid w:val="001424A9"/>
    <w:rsid w:val="001439A3"/>
    <w:rsid w:val="001564DB"/>
    <w:rsid w:val="0015779F"/>
    <w:rsid w:val="00175FD7"/>
    <w:rsid w:val="00180418"/>
    <w:rsid w:val="00180FFC"/>
    <w:rsid w:val="0018233A"/>
    <w:rsid w:val="00183037"/>
    <w:rsid w:val="0019316B"/>
    <w:rsid w:val="001C21A8"/>
    <w:rsid w:val="001C6B91"/>
    <w:rsid w:val="001D22B1"/>
    <w:rsid w:val="001D415C"/>
    <w:rsid w:val="001D78B2"/>
    <w:rsid w:val="001F5F4C"/>
    <w:rsid w:val="00206CE8"/>
    <w:rsid w:val="00217A49"/>
    <w:rsid w:val="0022765A"/>
    <w:rsid w:val="00230E16"/>
    <w:rsid w:val="0023206D"/>
    <w:rsid w:val="00235479"/>
    <w:rsid w:val="00241EC0"/>
    <w:rsid w:val="002441B2"/>
    <w:rsid w:val="00260BE1"/>
    <w:rsid w:val="00275E35"/>
    <w:rsid w:val="0027627A"/>
    <w:rsid w:val="002763D2"/>
    <w:rsid w:val="00286BAE"/>
    <w:rsid w:val="002923F3"/>
    <w:rsid w:val="002C56A3"/>
    <w:rsid w:val="002D474C"/>
    <w:rsid w:val="002D58E7"/>
    <w:rsid w:val="002E1E19"/>
    <w:rsid w:val="002E5472"/>
    <w:rsid w:val="003121A8"/>
    <w:rsid w:val="003300BD"/>
    <w:rsid w:val="003305AC"/>
    <w:rsid w:val="00352E9C"/>
    <w:rsid w:val="00360EAE"/>
    <w:rsid w:val="00361539"/>
    <w:rsid w:val="00366DA6"/>
    <w:rsid w:val="00370362"/>
    <w:rsid w:val="003711CA"/>
    <w:rsid w:val="00371822"/>
    <w:rsid w:val="003770A4"/>
    <w:rsid w:val="00385D35"/>
    <w:rsid w:val="003865A9"/>
    <w:rsid w:val="003932F8"/>
    <w:rsid w:val="00397677"/>
    <w:rsid w:val="003A0624"/>
    <w:rsid w:val="003C1108"/>
    <w:rsid w:val="003C4983"/>
    <w:rsid w:val="003C56C8"/>
    <w:rsid w:val="003C5E8A"/>
    <w:rsid w:val="003D0425"/>
    <w:rsid w:val="003D48C1"/>
    <w:rsid w:val="003D598B"/>
    <w:rsid w:val="003E0499"/>
    <w:rsid w:val="003E0C6B"/>
    <w:rsid w:val="003E6024"/>
    <w:rsid w:val="003F06D9"/>
    <w:rsid w:val="0041578F"/>
    <w:rsid w:val="00415F6E"/>
    <w:rsid w:val="00417D7C"/>
    <w:rsid w:val="00427058"/>
    <w:rsid w:val="004319A0"/>
    <w:rsid w:val="00450E49"/>
    <w:rsid w:val="0045335F"/>
    <w:rsid w:val="00472CCD"/>
    <w:rsid w:val="00491B19"/>
    <w:rsid w:val="004A17A8"/>
    <w:rsid w:val="004A756D"/>
    <w:rsid w:val="004B4781"/>
    <w:rsid w:val="004C0B51"/>
    <w:rsid w:val="004D27EA"/>
    <w:rsid w:val="00504319"/>
    <w:rsid w:val="00515D0B"/>
    <w:rsid w:val="00522913"/>
    <w:rsid w:val="00523D35"/>
    <w:rsid w:val="00536A86"/>
    <w:rsid w:val="005378E0"/>
    <w:rsid w:val="00544621"/>
    <w:rsid w:val="00547038"/>
    <w:rsid w:val="005662E5"/>
    <w:rsid w:val="00577697"/>
    <w:rsid w:val="00587D44"/>
    <w:rsid w:val="005A1456"/>
    <w:rsid w:val="005A3F93"/>
    <w:rsid w:val="005C57B2"/>
    <w:rsid w:val="005D1364"/>
    <w:rsid w:val="00611C0A"/>
    <w:rsid w:val="00642EF5"/>
    <w:rsid w:val="0065286E"/>
    <w:rsid w:val="00654761"/>
    <w:rsid w:val="00677A12"/>
    <w:rsid w:val="00687BE3"/>
    <w:rsid w:val="006C3FCA"/>
    <w:rsid w:val="006C4BB5"/>
    <w:rsid w:val="006C55B3"/>
    <w:rsid w:val="006D6711"/>
    <w:rsid w:val="006E0B4A"/>
    <w:rsid w:val="006E3D0A"/>
    <w:rsid w:val="006F54D1"/>
    <w:rsid w:val="00712FD0"/>
    <w:rsid w:val="00725F96"/>
    <w:rsid w:val="00742FAE"/>
    <w:rsid w:val="007523A4"/>
    <w:rsid w:val="00755E38"/>
    <w:rsid w:val="00763604"/>
    <w:rsid w:val="00777C9B"/>
    <w:rsid w:val="00792A7B"/>
    <w:rsid w:val="007A3A03"/>
    <w:rsid w:val="007A6EA1"/>
    <w:rsid w:val="007B29CD"/>
    <w:rsid w:val="007B3784"/>
    <w:rsid w:val="007B3FB8"/>
    <w:rsid w:val="007C2892"/>
    <w:rsid w:val="007C2F56"/>
    <w:rsid w:val="007E253D"/>
    <w:rsid w:val="007E5002"/>
    <w:rsid w:val="007E780B"/>
    <w:rsid w:val="007F2556"/>
    <w:rsid w:val="007F37FA"/>
    <w:rsid w:val="00816F10"/>
    <w:rsid w:val="0083456A"/>
    <w:rsid w:val="008528DB"/>
    <w:rsid w:val="00853635"/>
    <w:rsid w:val="00854FA0"/>
    <w:rsid w:val="00856916"/>
    <w:rsid w:val="008574FD"/>
    <w:rsid w:val="00866D12"/>
    <w:rsid w:val="00893611"/>
    <w:rsid w:val="008A0640"/>
    <w:rsid w:val="008A3687"/>
    <w:rsid w:val="008C0DBB"/>
    <w:rsid w:val="008C1ED1"/>
    <w:rsid w:val="008D7BCD"/>
    <w:rsid w:val="008E6CB1"/>
    <w:rsid w:val="008F6A2C"/>
    <w:rsid w:val="00900C66"/>
    <w:rsid w:val="0092100F"/>
    <w:rsid w:val="00922204"/>
    <w:rsid w:val="0092500A"/>
    <w:rsid w:val="009273E5"/>
    <w:rsid w:val="00931839"/>
    <w:rsid w:val="009357A0"/>
    <w:rsid w:val="00945268"/>
    <w:rsid w:val="00956039"/>
    <w:rsid w:val="00957AFA"/>
    <w:rsid w:val="009650B6"/>
    <w:rsid w:val="009817F9"/>
    <w:rsid w:val="009924CD"/>
    <w:rsid w:val="009950C5"/>
    <w:rsid w:val="009B225D"/>
    <w:rsid w:val="009B5178"/>
    <w:rsid w:val="009B6234"/>
    <w:rsid w:val="009B6944"/>
    <w:rsid w:val="009E465F"/>
    <w:rsid w:val="009E6042"/>
    <w:rsid w:val="009F7EAB"/>
    <w:rsid w:val="00A01C35"/>
    <w:rsid w:val="00A06F86"/>
    <w:rsid w:val="00A30039"/>
    <w:rsid w:val="00A762E2"/>
    <w:rsid w:val="00A85510"/>
    <w:rsid w:val="00A879DF"/>
    <w:rsid w:val="00AA65E2"/>
    <w:rsid w:val="00AA6687"/>
    <w:rsid w:val="00AA720A"/>
    <w:rsid w:val="00AC28BB"/>
    <w:rsid w:val="00AE600E"/>
    <w:rsid w:val="00B04440"/>
    <w:rsid w:val="00B0732F"/>
    <w:rsid w:val="00B24CC5"/>
    <w:rsid w:val="00B3182F"/>
    <w:rsid w:val="00B3314D"/>
    <w:rsid w:val="00B348F7"/>
    <w:rsid w:val="00B35A6E"/>
    <w:rsid w:val="00B437ED"/>
    <w:rsid w:val="00B47391"/>
    <w:rsid w:val="00B573E0"/>
    <w:rsid w:val="00B61B53"/>
    <w:rsid w:val="00B6382C"/>
    <w:rsid w:val="00B93F26"/>
    <w:rsid w:val="00BA355B"/>
    <w:rsid w:val="00BC3AA5"/>
    <w:rsid w:val="00BF1D20"/>
    <w:rsid w:val="00C069AA"/>
    <w:rsid w:val="00C16F48"/>
    <w:rsid w:val="00C50D57"/>
    <w:rsid w:val="00C5614C"/>
    <w:rsid w:val="00C75200"/>
    <w:rsid w:val="00C9413F"/>
    <w:rsid w:val="00CA3EEC"/>
    <w:rsid w:val="00CB28C0"/>
    <w:rsid w:val="00CD44A3"/>
    <w:rsid w:val="00CD5A5B"/>
    <w:rsid w:val="00CD6DB9"/>
    <w:rsid w:val="00CE1158"/>
    <w:rsid w:val="00D11C51"/>
    <w:rsid w:val="00D14333"/>
    <w:rsid w:val="00D504E7"/>
    <w:rsid w:val="00D55238"/>
    <w:rsid w:val="00D633DA"/>
    <w:rsid w:val="00D64AF3"/>
    <w:rsid w:val="00D73610"/>
    <w:rsid w:val="00D829D4"/>
    <w:rsid w:val="00D837A0"/>
    <w:rsid w:val="00D92468"/>
    <w:rsid w:val="00D94C94"/>
    <w:rsid w:val="00D95EC7"/>
    <w:rsid w:val="00DB3144"/>
    <w:rsid w:val="00DB37F2"/>
    <w:rsid w:val="00DC0CBE"/>
    <w:rsid w:val="00DD396D"/>
    <w:rsid w:val="00DE77DA"/>
    <w:rsid w:val="00DF525B"/>
    <w:rsid w:val="00E041B4"/>
    <w:rsid w:val="00E059B3"/>
    <w:rsid w:val="00E15B40"/>
    <w:rsid w:val="00E32684"/>
    <w:rsid w:val="00E3282C"/>
    <w:rsid w:val="00E32FB2"/>
    <w:rsid w:val="00E41296"/>
    <w:rsid w:val="00E45349"/>
    <w:rsid w:val="00E53747"/>
    <w:rsid w:val="00E54EC9"/>
    <w:rsid w:val="00E6485C"/>
    <w:rsid w:val="00E72E2B"/>
    <w:rsid w:val="00E81047"/>
    <w:rsid w:val="00E912BB"/>
    <w:rsid w:val="00E93B20"/>
    <w:rsid w:val="00E9552F"/>
    <w:rsid w:val="00E95838"/>
    <w:rsid w:val="00EA49B9"/>
    <w:rsid w:val="00EB3C4F"/>
    <w:rsid w:val="00EE5AA0"/>
    <w:rsid w:val="00EF7C75"/>
    <w:rsid w:val="00F0465F"/>
    <w:rsid w:val="00F40BC3"/>
    <w:rsid w:val="00F41196"/>
    <w:rsid w:val="00F60DD7"/>
    <w:rsid w:val="00F66A34"/>
    <w:rsid w:val="00F70046"/>
    <w:rsid w:val="00F814D0"/>
    <w:rsid w:val="00FB2867"/>
    <w:rsid w:val="00FC41A0"/>
    <w:rsid w:val="00FE0760"/>
    <w:rsid w:val="00FE745A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F1390"/>
  <w15:docId w15:val="{8EB38BEF-83D2-4902-B333-63E03CA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81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5C5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E6042"/>
    <w:pPr>
      <w:keepNext/>
      <w:spacing w:before="60"/>
      <w:jc w:val="both"/>
      <w:outlineLvl w:val="1"/>
    </w:pPr>
    <w:rPr>
      <w:rFonts w:eastAsia="Times New Roman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E6042"/>
    <w:pPr>
      <w:keepNext/>
      <w:spacing w:before="60"/>
      <w:ind w:right="110"/>
      <w:outlineLvl w:val="2"/>
    </w:pPr>
    <w:rPr>
      <w:rFonts w:eastAsia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Theme="majorEastAsia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basedOn w:val="DefaultParagraphFont"/>
    <w:link w:val="ESCoverPage"/>
    <w:rsid w:val="00B93F26"/>
    <w:rPr>
      <w:rFonts w:ascii="Arial" w:eastAsiaTheme="majorEastAsia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iPriority w:val="99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9E6042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E6042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paragraph" w:customStyle="1" w:styleId="CompanyName">
    <w:name w:val="Company Name"/>
    <w:basedOn w:val="Normal"/>
    <w:next w:val="Signature"/>
    <w:rsid w:val="00922204"/>
    <w:pPr>
      <w:keepNext/>
      <w:keepLines/>
      <w:spacing w:before="60"/>
      <w:jc w:val="both"/>
    </w:pPr>
    <w:rPr>
      <w:rFonts w:ascii="Century Gothic" w:eastAsia="Times New Roman" w:hAnsi="Century Gothic" w:cs="Times New Roman"/>
      <w:b/>
      <w:caps/>
      <w:snapToGrid w:val="0"/>
      <w:kern w:val="20"/>
      <w:sz w:val="20"/>
      <w:szCs w:val="20"/>
    </w:rPr>
  </w:style>
  <w:style w:type="paragraph" w:styleId="Signature">
    <w:name w:val="Signature"/>
    <w:basedOn w:val="Normal"/>
    <w:link w:val="SignatureChar"/>
    <w:rsid w:val="00922204"/>
    <w:pPr>
      <w:spacing w:before="60" w:after="60"/>
      <w:ind w:left="4252"/>
      <w:jc w:val="both"/>
    </w:pPr>
    <w:rPr>
      <w:rFonts w:ascii="Century Gothic" w:eastAsia="Times New Roman" w:hAnsi="Century Gothic" w:cs="Times New Roman"/>
      <w:snapToGrid w:val="0"/>
      <w:kern w:val="2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22204"/>
    <w:rPr>
      <w:rFonts w:ascii="Century Gothic" w:eastAsia="Times New Roman" w:hAnsi="Century Gothic" w:cs="Times New Roman"/>
      <w:snapToGrid w:val="0"/>
      <w:kern w:val="20"/>
      <w:sz w:val="20"/>
      <w:szCs w:val="20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922204"/>
    <w:pPr>
      <w:spacing w:before="60" w:after="60"/>
      <w:ind w:left="720"/>
      <w:contextualSpacing/>
      <w:jc w:val="both"/>
    </w:pPr>
    <w:rPr>
      <w:rFonts w:ascii="Century Gothic" w:eastAsia="Times New Roman" w:hAnsi="Century Gothic" w:cs="Times New Roman"/>
      <w:snapToGrid w:val="0"/>
      <w:kern w:val="2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041B4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BulletsinTable">
    <w:name w:val="ES_Bullets in Table"/>
    <w:basedOn w:val="ListParagraph"/>
    <w:qFormat/>
    <w:rsid w:val="00E041B4"/>
    <w:pPr>
      <w:numPr>
        <w:numId w:val="3"/>
      </w:numPr>
      <w:spacing w:before="0" w:after="80"/>
      <w:contextualSpacing w:val="0"/>
      <w:jc w:val="left"/>
    </w:pPr>
    <w:rPr>
      <w:rFonts w:ascii="Arial" w:eastAsia="Arial" w:hAnsi="Arial"/>
      <w:snapToGrid/>
      <w:color w:val="000000" w:themeColor="text1"/>
      <w:kern w:val="0"/>
      <w:sz w:val="18"/>
      <w:szCs w:val="22"/>
    </w:rPr>
  </w:style>
  <w:style w:type="paragraph" w:customStyle="1" w:styleId="ESBulletsinTableLevel2">
    <w:name w:val="ES_Bullets in Table Level 2"/>
    <w:basedOn w:val="ListParagraph"/>
    <w:qFormat/>
    <w:rsid w:val="00E041B4"/>
    <w:pPr>
      <w:numPr>
        <w:ilvl w:val="1"/>
        <w:numId w:val="2"/>
      </w:numPr>
      <w:spacing w:before="0" w:after="80"/>
      <w:ind w:left="592"/>
      <w:jc w:val="left"/>
    </w:pPr>
    <w:rPr>
      <w:rFonts w:ascii="Arial" w:eastAsia="Arial" w:hAnsi="Arial"/>
      <w:snapToGrid/>
      <w:kern w:val="0"/>
      <w:sz w:val="18"/>
      <w:szCs w:val="22"/>
    </w:rPr>
  </w:style>
  <w:style w:type="table" w:styleId="TableGrid">
    <w:name w:val="Table Grid"/>
    <w:basedOn w:val="TableNormal"/>
    <w:rsid w:val="00E0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55B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57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ectionHeading">
    <w:name w:val="Section Heading"/>
    <w:basedOn w:val="Normal"/>
    <w:link w:val="SectionHeadingChar"/>
    <w:qFormat/>
    <w:rsid w:val="00957AFA"/>
    <w:pPr>
      <w:spacing w:before="60" w:after="60"/>
    </w:pPr>
    <w:rPr>
      <w:rFonts w:ascii="Arial Black" w:eastAsia="Times New Roman" w:hAnsi="Arial Black" w:cs="Times New Roman"/>
      <w:b/>
      <w:sz w:val="28"/>
      <w:szCs w:val="20"/>
      <w:lang w:eastAsia="en-AU"/>
    </w:rPr>
  </w:style>
  <w:style w:type="character" w:customStyle="1" w:styleId="SectionHeadingChar">
    <w:name w:val="Section Heading Char"/>
    <w:basedOn w:val="DefaultParagraphFont"/>
    <w:link w:val="SectionHeading"/>
    <w:rsid w:val="00957AFA"/>
    <w:rPr>
      <w:rFonts w:ascii="Arial Black" w:eastAsia="Times New Roman" w:hAnsi="Arial Black" w:cs="Times New Roman"/>
      <w:b/>
      <w:sz w:val="28"/>
      <w:szCs w:val="20"/>
      <w:lang w:eastAsia="en-AU"/>
    </w:rPr>
  </w:style>
  <w:style w:type="paragraph" w:styleId="NoSpacing">
    <w:name w:val="No Spacing"/>
    <w:uiPriority w:val="1"/>
    <w:qFormat/>
    <w:rsid w:val="00957A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6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B9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B91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locked/>
    <w:rsid w:val="00B04440"/>
    <w:rPr>
      <w:rFonts w:ascii="Century Gothic" w:eastAsia="Times New Roman" w:hAnsi="Century Gothic" w:cs="Times New Roman"/>
      <w:snapToGrid w:val="0"/>
      <w:kern w:val="20"/>
      <w:sz w:val="20"/>
      <w:szCs w:val="20"/>
    </w:rPr>
  </w:style>
  <w:style w:type="paragraph" w:styleId="Revision">
    <w:name w:val="Revision"/>
    <w:hidden/>
    <w:uiPriority w:val="99"/>
    <w:semiHidden/>
    <w:rsid w:val="0041578F"/>
    <w:pPr>
      <w:spacing w:after="0" w:line="240" w:lineRule="auto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F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amusement-rides-attractions-fireworks/poli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hrweb/Documents/OHS/contractorinductchecklist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amusement-rides-attractions-fireworks/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occupational-health-and-safety-management-system-ohsms/guidance/useful-contacts-school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ksafe.vic.gov.au/amusement-ride-hire-checklis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442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E18AFF43-4E72-41C0-9799-623009ABDD44}"/>
</file>

<file path=customXml/itemProps2.xml><?xml version="1.0" encoding="utf-8"?>
<ds:datastoreItem xmlns:ds="http://schemas.openxmlformats.org/officeDocument/2006/customXml" ds:itemID="{60AFAABC-3B22-4BD3-9F4C-A9B19FF8C6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8DAE4-B21F-43CF-A3A5-E4482D448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52ED5-68EE-49B8-B482-26162AAB9FCE}">
  <ds:schemaRefs>
    <ds:schemaRef ds:uri="http://schemas.microsoft.com/office/2006/metadata/properties"/>
    <ds:schemaRef ds:uri="http://schemas.microsoft.com/office/infopath/2007/PartnerControls"/>
    <ds:schemaRef ds:uri="bb5ce4db-eb21-467d-b968-528655912a38"/>
    <ds:schemaRef ds:uri="84571637-c7f9-44a1-95b1-d459eb7afb4e"/>
    <ds:schemaRef ds:uri="http://schemas.microsoft.com/sharepoint/v3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Workplace InspectionChecklist</vt:lpstr>
    </vt:vector>
  </TitlesOfParts>
  <Company>Department of Education and Training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Amusement Rides, Attractions and Fireworks Inspection Checklist</dc:title>
  <dc:subject>Fetes including amusement rides</dc:subject>
  <dc:creator>hrweb@edumail.vic.gov.au</dc:creator>
  <cp:lastModifiedBy>Carly Monaghan</cp:lastModifiedBy>
  <cp:revision>2</cp:revision>
  <cp:lastPrinted>2017-07-05T04:07:00Z</cp:lastPrinted>
  <dcterms:created xsi:type="dcterms:W3CDTF">2023-01-31T22:40:00Z</dcterms:created>
  <dcterms:modified xsi:type="dcterms:W3CDTF">2023-01-31T22:40:00Z</dcterms:modified>
  <cp:category>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>4;#1.2.2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{9bd553d7-75bb-42c2-b3eb-09f776436aea}</vt:lpwstr>
  </property>
  <property fmtid="{D5CDD505-2E9C-101B-9397-08002B2CF9AE}" pid="8" name="RecordPoint_ActiveItemListId">
    <vt:lpwstr>{136f4a27-e171-4881-afb0-7b02314a9a4d}</vt:lpwstr>
  </property>
  <property fmtid="{D5CDD505-2E9C-101B-9397-08002B2CF9AE}" pid="9" name="RecordPoint_ActiveItemUniqueId">
    <vt:lpwstr>{dfb6190a-7448-4ccc-98eb-4969a799f0ac}</vt:lpwstr>
  </property>
  <property fmtid="{D5CDD505-2E9C-101B-9397-08002B2CF9AE}" pid="10" name="RecordPoint_ActiveItemWebId">
    <vt:lpwstr>{05a21c0b-1fd2-4c7d-8a50-71f82a44dd99}</vt:lpwstr>
  </property>
  <property fmtid="{D5CDD505-2E9C-101B-9397-08002B2CF9AE}" pid="11" name="RecordPoint_RecordNumberSubmitted">
    <vt:lpwstr>R20220499705</vt:lpwstr>
  </property>
  <property fmtid="{D5CDD505-2E9C-101B-9397-08002B2CF9AE}" pid="12" name="RecordPoint_SubmissionCompleted">
    <vt:lpwstr>2022-09-16T08:29:28.8999762+10:00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SubjectCategory">
    <vt:lpwstr/>
  </property>
  <property fmtid="{D5CDD505-2E9C-101B-9397-08002B2CF9AE}" pid="17" name="Order">
    <vt:r8>843600</vt:r8>
  </property>
  <property fmtid="{D5CDD505-2E9C-101B-9397-08002B2CF9AE}" pid="18" name="Category 3">
    <vt:lpwstr>Occupational Health and safety policy</vt:lpwstr>
  </property>
  <property fmtid="{D5CDD505-2E9C-101B-9397-08002B2CF9AE}" pid="19" name="DEECD_PageLanguage">
    <vt:lpwstr>1;#en-AU|09a79c66-a57f-4b52-ac52-4c16941cab37</vt:lpwstr>
  </property>
  <property fmtid="{D5CDD505-2E9C-101B-9397-08002B2CF9AE}" pid="20" name="xd_Signature">
    <vt:lpwstr/>
  </property>
  <property fmtid="{D5CDD505-2E9C-101B-9397-08002B2CF9AE}" pid="21" name="xd_ProgID">
    <vt:lpwstr/>
  </property>
  <property fmtid="{D5CDD505-2E9C-101B-9397-08002B2CF9AE}" pid="22" name="Category 6">
    <vt:lpwstr>workplace safety</vt:lpwstr>
  </property>
  <property fmtid="{D5CDD505-2E9C-101B-9397-08002B2CF9AE}" pid="23" name="DEECD_ItemType">
    <vt:lpwstr>99;#Form / Template|128fc848-3335-484e-aa10-c13e61aabf0c</vt:lpwstr>
  </property>
  <property fmtid="{D5CDD505-2E9C-101B-9397-08002B2CF9AE}" pid="24" name="Category 1">
    <vt:lpwstr>OHS</vt:lpwstr>
  </property>
  <property fmtid="{D5CDD505-2E9C-101B-9397-08002B2CF9AE}" pid="25" name="Category 4">
    <vt:lpwstr>health and safety</vt:lpwstr>
  </property>
  <property fmtid="{D5CDD505-2E9C-101B-9397-08002B2CF9AE}" pid="26" name="TemplateUrl">
    <vt:lpwstr/>
  </property>
  <property fmtid="{D5CDD505-2E9C-101B-9397-08002B2CF9AE}" pid="27" name="DEECD_Audience">
    <vt:lpwstr>118;#Principals|a4f56333-bce8-49bd-95df-bc27ddd10ec3</vt:lpwstr>
  </property>
  <property fmtid="{D5CDD505-2E9C-101B-9397-08002B2CF9AE}" pid="28" name="RoutingRuleDescription">
    <vt:lpwstr>A checklist for the purchase of goods that will have OHS implications.</vt:lpwstr>
  </property>
  <property fmtid="{D5CDD505-2E9C-101B-9397-08002B2CF9AE}" pid="29" name="Category 2">
    <vt:lpwstr>OHS procedure</vt:lpwstr>
  </property>
  <property fmtid="{D5CDD505-2E9C-101B-9397-08002B2CF9AE}" pid="30" name="DEECD_Author">
    <vt:lpwstr>120;#HRWeb|4e014723-a4da-42a2-b679-c90ea77e3371</vt:lpwstr>
  </property>
  <property fmtid="{D5CDD505-2E9C-101B-9397-08002B2CF9AE}" pid="31" name="Category 5">
    <vt:lpwstr>safety</vt:lpwstr>
  </property>
  <property fmtid="{D5CDD505-2E9C-101B-9397-08002B2CF9AE}" pid="32" name="TaxCatchAll">
    <vt:lpwstr>4;#1.2.2 Project Documentation|a3ce4c3c-7960-4756-834e-8cbbf9028802</vt:lpwstr>
  </property>
  <property fmtid="{D5CDD505-2E9C-101B-9397-08002B2CF9AE}" pid="33" name="DET_EDRMS_RCSTaxHTField0">
    <vt:lpwstr>1.2.2 Project Documentation|a3ce4c3c-7960-4756-834e-8cbbf9028802</vt:lpwstr>
  </property>
  <property fmtid="{D5CDD505-2E9C-101B-9397-08002B2CF9AE}" pid="34" name="DET_EDRMS_SecClassTaxHTField0">
    <vt:lpwstr/>
  </property>
  <property fmtid="{D5CDD505-2E9C-101B-9397-08002B2CF9AE}" pid="35" name="DET_EDRMS_BusUnitTaxHTField0">
    <vt:lpwstr/>
  </property>
</Properties>
</file>