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37E3" w14:textId="77777777" w:rsidR="0017307E" w:rsidRPr="008F3D35" w:rsidRDefault="0017307E" w:rsidP="0017307E">
      <w:pPr>
        <w:pStyle w:val="Heading1"/>
        <w:spacing w:before="0"/>
      </w:pPr>
      <w:r w:rsidRPr="00150ADD">
        <w:rPr>
          <w:lang w:val="en-AU"/>
        </w:rPr>
        <w:t>Nationally Consistent Collection of Data on School Students with Disability</w:t>
      </w:r>
    </w:p>
    <w:p w14:paraId="63F72B73" w14:textId="087AAB6B" w:rsidR="0017307E" w:rsidRDefault="0017307E" w:rsidP="0017307E">
      <w:pPr>
        <w:pStyle w:val="Heading2"/>
        <w:rPr>
          <w:rFonts w:asciiTheme="minorHAnsi" w:eastAsiaTheme="minorHAnsi" w:hAnsiTheme="minorHAnsi" w:cstheme="minorBidi"/>
          <w:sz w:val="24"/>
          <w:szCs w:val="24"/>
          <w:lang w:val="en-AU"/>
        </w:rPr>
      </w:pPr>
      <w:r w:rsidRPr="00150ADD">
        <w:rPr>
          <w:rFonts w:asciiTheme="minorHAnsi" w:eastAsiaTheme="minorHAnsi" w:hAnsiTheme="minorHAnsi" w:cstheme="minorBidi"/>
          <w:sz w:val="24"/>
          <w:szCs w:val="24"/>
          <w:lang w:val="en-AU"/>
        </w:rPr>
        <w:t>The Nationally Consistent Collection of Data on School Students with Disability (NCCD) gives Australian schools and the</w:t>
      </w:r>
      <w:r>
        <w:rPr>
          <w:rFonts w:asciiTheme="minorHAnsi" w:eastAsiaTheme="minorHAnsi" w:hAnsiTheme="minorHAnsi" w:cstheme="minorBidi"/>
          <w:sz w:val="24"/>
          <w:szCs w:val="24"/>
          <w:lang w:val="en-AU"/>
        </w:rPr>
        <w:t xml:space="preserve"> wider</w:t>
      </w:r>
      <w:r w:rsidRPr="00150ADD">
        <w:rPr>
          <w:rFonts w:asciiTheme="minorHAnsi" w:eastAsiaTheme="minorHAnsi" w:hAnsiTheme="minorHAnsi" w:cstheme="minorBidi"/>
          <w:sz w:val="24"/>
          <w:szCs w:val="24"/>
          <w:lang w:val="en-AU"/>
        </w:rPr>
        <w:t xml:space="preserve"> community information </w:t>
      </w:r>
      <w:r>
        <w:rPr>
          <w:rFonts w:asciiTheme="minorHAnsi" w:eastAsiaTheme="minorHAnsi" w:hAnsiTheme="minorHAnsi" w:cstheme="minorBidi"/>
          <w:sz w:val="24"/>
          <w:szCs w:val="24"/>
          <w:lang w:val="en-AU"/>
        </w:rPr>
        <w:t>regarding</w:t>
      </w:r>
      <w:r w:rsidRPr="00150ADD">
        <w:rPr>
          <w:rFonts w:asciiTheme="minorHAnsi" w:eastAsiaTheme="minorHAnsi" w:hAnsiTheme="minorHAnsi" w:cstheme="minorBidi"/>
          <w:sz w:val="24"/>
          <w:szCs w:val="24"/>
          <w:lang w:val="en-AU"/>
        </w:rPr>
        <w:t xml:space="preserve"> students with disability and the adjustments they receive. </w:t>
      </w:r>
      <w:r>
        <w:rPr>
          <w:rFonts w:asciiTheme="minorHAnsi" w:eastAsiaTheme="minorHAnsi" w:hAnsiTheme="minorHAnsi" w:cstheme="minorBidi"/>
          <w:sz w:val="24"/>
          <w:szCs w:val="24"/>
          <w:lang w:val="en-AU"/>
        </w:rPr>
        <w:t xml:space="preserve">All Australian schools are required to participate </w:t>
      </w:r>
      <w:r w:rsidR="0008476D">
        <w:rPr>
          <w:rFonts w:asciiTheme="minorHAnsi" w:eastAsiaTheme="minorHAnsi" w:hAnsiTheme="minorHAnsi" w:cstheme="minorBidi"/>
          <w:sz w:val="24"/>
          <w:szCs w:val="24"/>
          <w:lang w:val="en-AU"/>
        </w:rPr>
        <w:t>by</w:t>
      </w:r>
      <w:r w:rsidRPr="00150ADD">
        <w:rPr>
          <w:rFonts w:asciiTheme="minorHAnsi" w:eastAsiaTheme="minorHAnsi" w:hAnsiTheme="minorHAnsi" w:cstheme="minorBidi"/>
          <w:sz w:val="24"/>
          <w:szCs w:val="24"/>
          <w:lang w:val="en-AU"/>
        </w:rPr>
        <w:t xml:space="preserve"> collect</w:t>
      </w:r>
      <w:r w:rsidR="0008476D">
        <w:rPr>
          <w:rFonts w:asciiTheme="minorHAnsi" w:eastAsiaTheme="minorHAnsi" w:hAnsiTheme="minorHAnsi" w:cstheme="minorBidi"/>
          <w:sz w:val="24"/>
          <w:szCs w:val="24"/>
          <w:lang w:val="en-AU"/>
        </w:rPr>
        <w:t>ing</w:t>
      </w:r>
      <w:r w:rsidRPr="00150ADD">
        <w:rPr>
          <w:rFonts w:asciiTheme="minorHAnsi" w:eastAsiaTheme="minorHAnsi" w:hAnsiTheme="minorHAnsi" w:cstheme="minorBidi"/>
          <w:sz w:val="24"/>
          <w:szCs w:val="24"/>
          <w:lang w:val="en-AU"/>
        </w:rPr>
        <w:t xml:space="preserve"> </w:t>
      </w:r>
      <w:r>
        <w:rPr>
          <w:rFonts w:asciiTheme="minorHAnsi" w:eastAsiaTheme="minorHAnsi" w:hAnsiTheme="minorHAnsi" w:cstheme="minorBidi"/>
          <w:sz w:val="24"/>
          <w:szCs w:val="24"/>
          <w:lang w:val="en-AU"/>
        </w:rPr>
        <w:t xml:space="preserve">data </w:t>
      </w:r>
      <w:r w:rsidRPr="00150ADD">
        <w:rPr>
          <w:rFonts w:asciiTheme="minorHAnsi" w:eastAsiaTheme="minorHAnsi" w:hAnsiTheme="minorHAnsi" w:cstheme="minorBidi"/>
          <w:sz w:val="24"/>
          <w:szCs w:val="24"/>
          <w:lang w:val="en-AU"/>
        </w:rPr>
        <w:t>for the NCCD on an annual basis.</w:t>
      </w:r>
    </w:p>
    <w:p w14:paraId="6E6868DC" w14:textId="45BD3AE9" w:rsidR="00624A55" w:rsidRPr="00624A55" w:rsidRDefault="0017307E" w:rsidP="00624A55">
      <w:pPr>
        <w:pStyle w:val="Heading2"/>
        <w:rPr>
          <w:lang w:val="en-AU"/>
        </w:rPr>
      </w:pPr>
      <w:r>
        <w:rPr>
          <w:lang w:val="en-AU"/>
        </w:rPr>
        <w:t>Special</w:t>
      </w:r>
      <w:r w:rsidR="009F5E3F">
        <w:rPr>
          <w:lang w:val="en-AU"/>
        </w:rPr>
        <w:t>ist</w:t>
      </w:r>
      <w:r w:rsidR="007D2A3E">
        <w:rPr>
          <w:lang w:val="en-AU"/>
        </w:rPr>
        <w:t xml:space="preserve"> </w:t>
      </w:r>
      <w:r w:rsidR="009F5E3F">
        <w:rPr>
          <w:lang w:val="en-AU"/>
        </w:rPr>
        <w:t>s</w:t>
      </w:r>
      <w:r w:rsidR="007D2A3E">
        <w:rPr>
          <w:lang w:val="en-AU"/>
        </w:rPr>
        <w:t>chool</w:t>
      </w:r>
      <w:r>
        <w:rPr>
          <w:lang w:val="en-AU"/>
        </w:rPr>
        <w:t xml:space="preserve"> </w:t>
      </w:r>
      <w:r w:rsidR="009F5E3F">
        <w:rPr>
          <w:lang w:val="en-AU"/>
        </w:rPr>
        <w:t>s</w:t>
      </w:r>
      <w:r>
        <w:rPr>
          <w:lang w:val="en-AU"/>
        </w:rPr>
        <w:t xml:space="preserve">ettings and </w:t>
      </w:r>
      <w:r w:rsidR="009F5E3F">
        <w:rPr>
          <w:lang w:val="en-AU"/>
        </w:rPr>
        <w:t>l</w:t>
      </w:r>
      <w:r>
        <w:rPr>
          <w:lang w:val="en-AU"/>
        </w:rPr>
        <w:t xml:space="preserve">evels of </w:t>
      </w:r>
      <w:r w:rsidR="009F5E3F">
        <w:rPr>
          <w:lang w:val="en-AU"/>
        </w:rPr>
        <w:t>a</w:t>
      </w:r>
      <w:r>
        <w:rPr>
          <w:lang w:val="en-AU"/>
        </w:rPr>
        <w:t>djustment</w:t>
      </w:r>
    </w:p>
    <w:p w14:paraId="6581B85E" w14:textId="4FAB1110" w:rsidR="0016287D" w:rsidRPr="00CC34BB" w:rsidRDefault="0017307E" w:rsidP="0017307E">
      <w:pPr>
        <w:pStyle w:val="Heading2"/>
        <w:rPr>
          <w:rFonts w:asciiTheme="minorHAnsi" w:eastAsiaTheme="minorHAnsi" w:hAnsiTheme="minorHAnsi" w:cstheme="minorBidi"/>
          <w:bCs/>
          <w:color w:val="auto"/>
          <w:sz w:val="22"/>
          <w:szCs w:val="24"/>
          <w:lang w:val="en-AU"/>
        </w:rPr>
      </w:pPr>
      <w:r w:rsidRPr="0017307E">
        <w:rPr>
          <w:rFonts w:asciiTheme="minorHAnsi" w:eastAsiaTheme="minorHAnsi" w:hAnsiTheme="minorHAnsi" w:cstheme="minorBidi"/>
          <w:b w:val="0"/>
          <w:color w:val="auto"/>
          <w:sz w:val="22"/>
          <w:szCs w:val="24"/>
          <w:lang w:val="en-AU"/>
        </w:rPr>
        <w:t xml:space="preserve">When </w:t>
      </w:r>
      <w:r w:rsidR="009F5E3F">
        <w:rPr>
          <w:rFonts w:asciiTheme="minorHAnsi" w:eastAsiaTheme="minorHAnsi" w:hAnsiTheme="minorHAnsi" w:cstheme="minorBidi"/>
          <w:b w:val="0"/>
          <w:color w:val="auto"/>
          <w:sz w:val="22"/>
          <w:szCs w:val="24"/>
          <w:lang w:val="en-AU"/>
        </w:rPr>
        <w:t>adjustments</w:t>
      </w:r>
      <w:r w:rsidR="009F5E3F" w:rsidRPr="0017307E">
        <w:rPr>
          <w:rFonts w:asciiTheme="minorHAnsi" w:eastAsiaTheme="minorHAnsi" w:hAnsiTheme="minorHAnsi" w:cstheme="minorBidi"/>
          <w:b w:val="0"/>
          <w:color w:val="auto"/>
          <w:sz w:val="22"/>
          <w:szCs w:val="24"/>
          <w:lang w:val="en-AU"/>
        </w:rPr>
        <w:t xml:space="preserve"> </w:t>
      </w:r>
      <w:r w:rsidRPr="0017307E">
        <w:rPr>
          <w:rFonts w:asciiTheme="minorHAnsi" w:eastAsiaTheme="minorHAnsi" w:hAnsiTheme="minorHAnsi" w:cstheme="minorBidi"/>
          <w:b w:val="0"/>
          <w:color w:val="auto"/>
          <w:sz w:val="22"/>
          <w:szCs w:val="24"/>
          <w:lang w:val="en-AU"/>
        </w:rPr>
        <w:t xml:space="preserve">are required to teaching practice to support a student because of a disability then they should be considered for inclusion in the NCCD. </w:t>
      </w:r>
      <w:r w:rsidRPr="00CC34BB">
        <w:rPr>
          <w:rFonts w:asciiTheme="minorHAnsi" w:eastAsiaTheme="minorHAnsi" w:hAnsiTheme="minorHAnsi" w:cstheme="minorBidi"/>
          <w:bCs/>
          <w:color w:val="auto"/>
          <w:sz w:val="22"/>
          <w:szCs w:val="24"/>
          <w:lang w:val="en-AU"/>
        </w:rPr>
        <w:t>This means that all students enrolled in special</w:t>
      </w:r>
      <w:r w:rsidR="009F5E3F">
        <w:rPr>
          <w:rFonts w:asciiTheme="minorHAnsi" w:eastAsiaTheme="minorHAnsi" w:hAnsiTheme="minorHAnsi" w:cstheme="minorBidi"/>
          <w:bCs/>
          <w:color w:val="auto"/>
          <w:sz w:val="22"/>
          <w:szCs w:val="24"/>
          <w:lang w:val="en-AU"/>
        </w:rPr>
        <w:t>ist</w:t>
      </w:r>
      <w:r w:rsidRPr="00CC34BB">
        <w:rPr>
          <w:rFonts w:asciiTheme="minorHAnsi" w:eastAsiaTheme="minorHAnsi" w:hAnsiTheme="minorHAnsi" w:cstheme="minorBidi"/>
          <w:bCs/>
          <w:color w:val="auto"/>
          <w:sz w:val="22"/>
          <w:szCs w:val="24"/>
          <w:lang w:val="en-AU"/>
        </w:rPr>
        <w:t xml:space="preserve"> settings should be </w:t>
      </w:r>
      <w:r w:rsidR="00FF1A5E">
        <w:rPr>
          <w:rFonts w:asciiTheme="minorHAnsi" w:eastAsiaTheme="minorHAnsi" w:hAnsiTheme="minorHAnsi" w:cstheme="minorBidi"/>
          <w:bCs/>
          <w:color w:val="auto"/>
          <w:sz w:val="22"/>
          <w:szCs w:val="24"/>
          <w:lang w:val="en-AU"/>
        </w:rPr>
        <w:t>counted in the NCCD</w:t>
      </w:r>
      <w:r w:rsidRPr="00CC34BB">
        <w:rPr>
          <w:rFonts w:asciiTheme="minorHAnsi" w:eastAsiaTheme="minorHAnsi" w:hAnsiTheme="minorHAnsi" w:cstheme="minorBidi"/>
          <w:bCs/>
          <w:color w:val="auto"/>
          <w:sz w:val="22"/>
          <w:szCs w:val="24"/>
          <w:lang w:val="en-AU"/>
        </w:rPr>
        <w:t>, as special</w:t>
      </w:r>
      <w:r w:rsidR="009F5E3F">
        <w:rPr>
          <w:rFonts w:asciiTheme="minorHAnsi" w:eastAsiaTheme="minorHAnsi" w:hAnsiTheme="minorHAnsi" w:cstheme="minorBidi"/>
          <w:bCs/>
          <w:color w:val="auto"/>
          <w:sz w:val="22"/>
          <w:szCs w:val="24"/>
          <w:lang w:val="en-AU"/>
        </w:rPr>
        <w:t>ist</w:t>
      </w:r>
      <w:r w:rsidRPr="00CC34BB">
        <w:rPr>
          <w:rFonts w:asciiTheme="minorHAnsi" w:eastAsiaTheme="minorHAnsi" w:hAnsiTheme="minorHAnsi" w:cstheme="minorBidi"/>
          <w:bCs/>
          <w:color w:val="auto"/>
          <w:sz w:val="22"/>
          <w:szCs w:val="24"/>
          <w:lang w:val="en-AU"/>
        </w:rPr>
        <w:t xml:space="preserve"> </w:t>
      </w:r>
      <w:r w:rsidR="007D2A3E">
        <w:rPr>
          <w:rFonts w:asciiTheme="minorHAnsi" w:eastAsiaTheme="minorHAnsi" w:hAnsiTheme="minorHAnsi" w:cstheme="minorBidi"/>
          <w:bCs/>
          <w:color w:val="auto"/>
          <w:sz w:val="22"/>
          <w:szCs w:val="24"/>
          <w:lang w:val="en-AU"/>
        </w:rPr>
        <w:t xml:space="preserve">school </w:t>
      </w:r>
      <w:r w:rsidRPr="00CC34BB">
        <w:rPr>
          <w:rFonts w:asciiTheme="minorHAnsi" w:eastAsiaTheme="minorHAnsi" w:hAnsiTheme="minorHAnsi" w:cstheme="minorBidi"/>
          <w:bCs/>
          <w:color w:val="auto"/>
          <w:sz w:val="22"/>
          <w:szCs w:val="24"/>
          <w:lang w:val="en-AU"/>
        </w:rPr>
        <w:t>settings are inherently an adjustment to standard teaching practice.</w:t>
      </w:r>
    </w:p>
    <w:p w14:paraId="38A3D067" w14:textId="527A4F94" w:rsidR="0017307E" w:rsidRDefault="0017307E" w:rsidP="0017307E">
      <w:r>
        <w:t xml:space="preserve">The NCCD collects data on the level of adjustment made to </w:t>
      </w:r>
      <w:r w:rsidR="00AB139E">
        <w:t>‘</w:t>
      </w:r>
      <w:r w:rsidR="009F5E3F">
        <w:t xml:space="preserve">standard’ </w:t>
      </w:r>
      <w:r>
        <w:t>classroom practice to enable students with disability to access education.</w:t>
      </w:r>
      <w:r w:rsidRPr="009F4904">
        <w:t xml:space="preserve"> </w:t>
      </w:r>
      <w:r>
        <w:t xml:space="preserve">There are four levels of adjustment (linked for a more in-depth explanation). </w:t>
      </w:r>
    </w:p>
    <w:p w14:paraId="7F7EC519" w14:textId="77777777" w:rsidR="0017307E" w:rsidRDefault="00BA2AD8" w:rsidP="0017307E">
      <w:pPr>
        <w:pStyle w:val="ListParagraph"/>
        <w:numPr>
          <w:ilvl w:val="0"/>
          <w:numId w:val="18"/>
        </w:numPr>
      </w:pPr>
      <w:hyperlink r:id="rId11" w:history="1">
        <w:r w:rsidR="0017307E" w:rsidRPr="009164FC">
          <w:rPr>
            <w:rStyle w:val="Hyperlink"/>
          </w:rPr>
          <w:t>support provided within quality differentiated teaching practice.</w:t>
        </w:r>
      </w:hyperlink>
    </w:p>
    <w:p w14:paraId="3D5C4D70" w14:textId="77777777" w:rsidR="0017307E" w:rsidRDefault="00BA2AD8" w:rsidP="0017307E">
      <w:pPr>
        <w:pStyle w:val="ListParagraph"/>
        <w:numPr>
          <w:ilvl w:val="0"/>
          <w:numId w:val="18"/>
        </w:numPr>
      </w:pPr>
      <w:hyperlink r:id="rId12" w:history="1">
        <w:r w:rsidR="0017307E" w:rsidRPr="00F76EB8">
          <w:rPr>
            <w:rStyle w:val="Hyperlink"/>
          </w:rPr>
          <w:t>supplementary adjustments.</w:t>
        </w:r>
      </w:hyperlink>
    </w:p>
    <w:p w14:paraId="1913972F" w14:textId="77777777" w:rsidR="0017307E" w:rsidRDefault="00BA2AD8" w:rsidP="0017307E">
      <w:pPr>
        <w:pStyle w:val="ListParagraph"/>
        <w:numPr>
          <w:ilvl w:val="0"/>
          <w:numId w:val="18"/>
        </w:numPr>
      </w:pPr>
      <w:hyperlink r:id="rId13" w:history="1">
        <w:r w:rsidR="0017307E" w:rsidRPr="0090046B">
          <w:rPr>
            <w:rStyle w:val="Hyperlink"/>
          </w:rPr>
          <w:t>substantial adjustments</w:t>
        </w:r>
      </w:hyperlink>
      <w:r w:rsidR="0017307E">
        <w:t>.</w:t>
      </w:r>
    </w:p>
    <w:p w14:paraId="1F9BA338" w14:textId="77777777" w:rsidR="0017307E" w:rsidRPr="00D54F1C" w:rsidRDefault="00BA2AD8" w:rsidP="0017307E">
      <w:pPr>
        <w:pStyle w:val="ListParagraph"/>
        <w:numPr>
          <w:ilvl w:val="0"/>
          <w:numId w:val="18"/>
        </w:numPr>
        <w:rPr>
          <w:rStyle w:val="Hyperlink"/>
          <w:color w:val="auto"/>
          <w:u w:val="none"/>
        </w:rPr>
      </w:pPr>
      <w:hyperlink r:id="rId14" w:history="1">
        <w:r w:rsidR="0017307E" w:rsidRPr="000A3BF0">
          <w:rPr>
            <w:rStyle w:val="Hyperlink"/>
          </w:rPr>
          <w:t>extensive adjustments.</w:t>
        </w:r>
      </w:hyperlink>
    </w:p>
    <w:p w14:paraId="30D15736" w14:textId="60BDB591" w:rsidR="0017307E" w:rsidRDefault="0017307E" w:rsidP="0017307E">
      <w:r>
        <w:t xml:space="preserve">The level of adjustment is determined by teacher judgement supported by </w:t>
      </w:r>
      <w:hyperlink r:id="rId15" w:history="1">
        <w:r w:rsidRPr="00E32BE9">
          <w:rPr>
            <w:rStyle w:val="Hyperlink"/>
          </w:rPr>
          <w:t>evidence</w:t>
        </w:r>
      </w:hyperlink>
      <w:r>
        <w:t xml:space="preserve"> of these adjustments in the classroom</w:t>
      </w:r>
      <w:r w:rsidR="00F04ADE">
        <w:t xml:space="preserve">. </w:t>
      </w:r>
      <w:r w:rsidR="002C04D0">
        <w:t>E</w:t>
      </w:r>
      <w:r w:rsidR="00F04ADE">
        <w:t>vidence</w:t>
      </w:r>
      <w:r>
        <w:t xml:space="preserve"> such as Individual Education Plans (IEP), Student Support Group (SSG) minutes, Work Programs, and similar documents</w:t>
      </w:r>
      <w:r w:rsidR="002C04D0">
        <w:t xml:space="preserve"> can be used to support decisions</w:t>
      </w:r>
      <w:r>
        <w:t>.</w:t>
      </w:r>
      <w:r w:rsidRPr="001774BB">
        <w:t xml:space="preserve"> </w:t>
      </w:r>
    </w:p>
    <w:p w14:paraId="22A31C78" w14:textId="394BD1D5" w:rsidR="00973672" w:rsidRPr="00CC34BB" w:rsidRDefault="0017307E" w:rsidP="0017307E">
      <w:pPr>
        <w:rPr>
          <w:b/>
          <w:bCs/>
          <w:lang w:val="en-AU"/>
        </w:rPr>
      </w:pPr>
      <w:r w:rsidRPr="007A4D7B">
        <w:rPr>
          <w:lang w:val="en-AU"/>
        </w:rPr>
        <w:t>It is expected that all</w:t>
      </w:r>
      <w:r w:rsidR="00DF7EEA" w:rsidRPr="007A4D7B">
        <w:rPr>
          <w:lang w:val="en-AU"/>
        </w:rPr>
        <w:t xml:space="preserve"> while all</w:t>
      </w:r>
      <w:r w:rsidRPr="007A4D7B">
        <w:rPr>
          <w:lang w:val="en-AU"/>
        </w:rPr>
        <w:t xml:space="preserve"> students enrolled in specialist settings would be</w:t>
      </w:r>
      <w:r w:rsidR="00DF7EEA" w:rsidRPr="007A4D7B">
        <w:rPr>
          <w:lang w:val="en-AU"/>
        </w:rPr>
        <w:t xml:space="preserve"> assessed individually</w:t>
      </w:r>
      <w:r w:rsidR="008E3563" w:rsidRPr="007A4D7B">
        <w:rPr>
          <w:lang w:val="en-AU"/>
        </w:rPr>
        <w:t>, they would be</w:t>
      </w:r>
      <w:r w:rsidRPr="007A4D7B">
        <w:rPr>
          <w:lang w:val="en-AU"/>
        </w:rPr>
        <w:t xml:space="preserve"> included </w:t>
      </w:r>
      <w:r w:rsidR="0008476D" w:rsidRPr="007A4D7B">
        <w:rPr>
          <w:lang w:val="en-AU"/>
        </w:rPr>
        <w:t>at the</w:t>
      </w:r>
      <w:r w:rsidR="0008476D">
        <w:rPr>
          <w:b/>
          <w:bCs/>
          <w:lang w:val="en-AU"/>
        </w:rPr>
        <w:t xml:space="preserve"> </w:t>
      </w:r>
      <w:r w:rsidRPr="00CC34BB">
        <w:rPr>
          <w:b/>
          <w:bCs/>
          <w:lang w:val="en-AU"/>
        </w:rPr>
        <w:t xml:space="preserve">substantial or extensive </w:t>
      </w:r>
      <w:r w:rsidR="0008476D">
        <w:rPr>
          <w:b/>
          <w:bCs/>
          <w:lang w:val="en-AU"/>
        </w:rPr>
        <w:t>level</w:t>
      </w:r>
      <w:r w:rsidRPr="00CC34BB">
        <w:rPr>
          <w:b/>
          <w:bCs/>
          <w:lang w:val="en-AU"/>
        </w:rPr>
        <w:t xml:space="preserve">. </w:t>
      </w:r>
      <w:r w:rsidRPr="007A4D7B">
        <w:rPr>
          <w:lang w:val="en-AU"/>
        </w:rPr>
        <w:t>The nature of special</w:t>
      </w:r>
      <w:r w:rsidR="009F5E3F">
        <w:rPr>
          <w:lang w:val="en-AU"/>
        </w:rPr>
        <w:t>ist</w:t>
      </w:r>
      <w:r w:rsidR="007D2A3E" w:rsidRPr="007A4D7B">
        <w:rPr>
          <w:lang w:val="en-AU"/>
        </w:rPr>
        <w:t xml:space="preserve"> school</w:t>
      </w:r>
      <w:r w:rsidRPr="007A4D7B">
        <w:rPr>
          <w:lang w:val="en-AU"/>
        </w:rPr>
        <w:t xml:space="preserve"> settings implies that the </w:t>
      </w:r>
      <w:r w:rsidR="0088040B" w:rsidRPr="007A4D7B">
        <w:rPr>
          <w:lang w:val="en-AU"/>
        </w:rPr>
        <w:t>adjustments</w:t>
      </w:r>
      <w:r w:rsidR="00E44702" w:rsidRPr="007A4D7B">
        <w:rPr>
          <w:lang w:val="en-AU"/>
        </w:rPr>
        <w:t xml:space="preserve"> to support the student</w:t>
      </w:r>
      <w:r w:rsidR="0088040B" w:rsidRPr="007A4D7B">
        <w:rPr>
          <w:lang w:val="en-AU"/>
        </w:rPr>
        <w:t xml:space="preserve"> </w:t>
      </w:r>
      <w:r w:rsidRPr="007A4D7B">
        <w:rPr>
          <w:lang w:val="en-AU"/>
        </w:rPr>
        <w:t xml:space="preserve">are in place </w:t>
      </w:r>
      <w:r w:rsidR="00380B58" w:rsidRPr="007A4D7B">
        <w:rPr>
          <w:lang w:val="en-AU"/>
        </w:rPr>
        <w:t>all or most of the time, and that they are significant in scope and scale.</w:t>
      </w:r>
    </w:p>
    <w:p w14:paraId="6B9F65E9" w14:textId="1FFDB5D0" w:rsidR="00CC34BB" w:rsidRDefault="00CC34BB" w:rsidP="0017307E">
      <w:r>
        <w:t xml:space="preserve">The </w:t>
      </w:r>
      <w:hyperlink r:id="rId16" w:history="1">
        <w:r w:rsidRPr="00E44635">
          <w:rPr>
            <w:rStyle w:val="Hyperlink"/>
          </w:rPr>
          <w:t>Levels of adjustment viewer</w:t>
        </w:r>
      </w:hyperlink>
      <w:r>
        <w:t xml:space="preserve"> can be used to compare these two levels of adjustment concurrently, and support your decision making.</w:t>
      </w:r>
    </w:p>
    <w:p w14:paraId="6334BC0F" w14:textId="09EA645F" w:rsidR="005D445B" w:rsidRPr="00CC34BB" w:rsidRDefault="005D445B" w:rsidP="0017307E">
      <w:r>
        <w:t xml:space="preserve">The NCCD also collects data on the broad </w:t>
      </w:r>
      <w:hyperlink r:id="rId17" w:history="1">
        <w:r w:rsidRPr="005D445B">
          <w:rPr>
            <w:rStyle w:val="Hyperlink"/>
          </w:rPr>
          <w:t>categor</w:t>
        </w:r>
        <w:r>
          <w:rPr>
            <w:rStyle w:val="Hyperlink"/>
          </w:rPr>
          <w:t>y</w:t>
        </w:r>
        <w:r w:rsidRPr="005D445B">
          <w:rPr>
            <w:rStyle w:val="Hyperlink"/>
          </w:rPr>
          <w:t xml:space="preserve"> of disability</w:t>
        </w:r>
      </w:hyperlink>
      <w:r>
        <w:t xml:space="preserve"> (physical, cognitive, sensory or social/emotional)</w:t>
      </w:r>
      <w:r w:rsidR="005048E7">
        <w:t>. Many students will be supported in a number of these areas – schools are asked to enter the category</w:t>
      </w:r>
      <w:r>
        <w:t xml:space="preserve"> that is the </w:t>
      </w:r>
      <w:r w:rsidRPr="002276FB">
        <w:rPr>
          <w:b/>
          <w:bCs/>
        </w:rPr>
        <w:t>main driver</w:t>
      </w:r>
      <w:r w:rsidRPr="005D445B">
        <w:t xml:space="preserve"> </w:t>
      </w:r>
      <w:r w:rsidRPr="002276FB">
        <w:rPr>
          <w:b/>
          <w:bCs/>
        </w:rPr>
        <w:t xml:space="preserve">of adjustments </w:t>
      </w:r>
      <w:r w:rsidR="003C3F79">
        <w:t xml:space="preserve">over the previous 12 months. </w:t>
      </w:r>
    </w:p>
    <w:p w14:paraId="1243CC4B" w14:textId="2CBDB5E4" w:rsidR="00973672" w:rsidRDefault="0021073A" w:rsidP="00973672">
      <w:pPr>
        <w:pStyle w:val="Heading2"/>
        <w:rPr>
          <w:lang w:val="en-AU"/>
        </w:rPr>
      </w:pPr>
      <w:r>
        <w:rPr>
          <w:lang w:val="en-AU"/>
        </w:rPr>
        <w:t xml:space="preserve">NCCD </w:t>
      </w:r>
      <w:r w:rsidR="009F5E3F">
        <w:rPr>
          <w:lang w:val="en-AU"/>
        </w:rPr>
        <w:t>c</w:t>
      </w:r>
      <w:r w:rsidR="00973672">
        <w:rPr>
          <w:lang w:val="en-AU"/>
        </w:rPr>
        <w:t>ase studies</w:t>
      </w:r>
    </w:p>
    <w:p w14:paraId="0FEB590B" w14:textId="123F8B9F" w:rsidR="00973672" w:rsidRDefault="00973672" w:rsidP="00973672">
      <w:pPr>
        <w:rPr>
          <w:lang w:val="en-AU"/>
        </w:rPr>
      </w:pPr>
      <w:r>
        <w:rPr>
          <w:lang w:val="en-AU"/>
        </w:rPr>
        <w:t xml:space="preserve">The </w:t>
      </w:r>
      <w:r w:rsidR="00810EC0">
        <w:rPr>
          <w:lang w:val="en-AU"/>
        </w:rPr>
        <w:t xml:space="preserve">national </w:t>
      </w:r>
      <w:r>
        <w:rPr>
          <w:lang w:val="en-AU"/>
        </w:rPr>
        <w:t xml:space="preserve">NCCD portal has a range of </w:t>
      </w:r>
      <w:hyperlink r:id="rId18" w:history="1">
        <w:r w:rsidRPr="00973672">
          <w:rPr>
            <w:rStyle w:val="Hyperlink"/>
            <w:lang w:val="en-AU"/>
          </w:rPr>
          <w:t>case studies</w:t>
        </w:r>
      </w:hyperlink>
      <w:r>
        <w:rPr>
          <w:lang w:val="en-AU"/>
        </w:rPr>
        <w:t xml:space="preserve"> </w:t>
      </w:r>
      <w:r w:rsidR="00B50A5C">
        <w:rPr>
          <w:lang w:val="en-AU"/>
        </w:rPr>
        <w:t xml:space="preserve">covering </w:t>
      </w:r>
      <w:r>
        <w:rPr>
          <w:lang w:val="en-AU"/>
        </w:rPr>
        <w:t xml:space="preserve">students in </w:t>
      </w:r>
      <w:r w:rsidR="007D2A3E">
        <w:rPr>
          <w:lang w:val="en-AU"/>
        </w:rPr>
        <w:t>s</w:t>
      </w:r>
      <w:r>
        <w:rPr>
          <w:lang w:val="en-AU"/>
        </w:rPr>
        <w:t>pecial</w:t>
      </w:r>
      <w:r w:rsidR="009F5E3F">
        <w:rPr>
          <w:lang w:val="en-AU"/>
        </w:rPr>
        <w:t>ist</w:t>
      </w:r>
      <w:r w:rsidR="007D2A3E">
        <w:rPr>
          <w:lang w:val="en-AU"/>
        </w:rPr>
        <w:t xml:space="preserve"> school</w:t>
      </w:r>
      <w:r>
        <w:rPr>
          <w:lang w:val="en-AU"/>
        </w:rPr>
        <w:t xml:space="preserve"> </w:t>
      </w:r>
      <w:r w:rsidR="007D2A3E">
        <w:rPr>
          <w:lang w:val="en-AU"/>
        </w:rPr>
        <w:t>s</w:t>
      </w:r>
      <w:r>
        <w:rPr>
          <w:lang w:val="en-AU"/>
        </w:rPr>
        <w:t>ettings that you may wish to use in your decision-making processes. These case</w:t>
      </w:r>
      <w:r w:rsidR="009F5E3F">
        <w:rPr>
          <w:lang w:val="en-AU"/>
        </w:rPr>
        <w:t xml:space="preserve"> </w:t>
      </w:r>
      <w:r>
        <w:rPr>
          <w:lang w:val="en-AU"/>
        </w:rPr>
        <w:t xml:space="preserve">studies take in a wide range of students in different categories of disability and levels of </w:t>
      </w:r>
      <w:r w:rsidR="005C7B63">
        <w:rPr>
          <w:lang w:val="en-AU"/>
        </w:rPr>
        <w:t>adjustment and</w:t>
      </w:r>
      <w:r>
        <w:rPr>
          <w:lang w:val="en-AU"/>
        </w:rPr>
        <w:t xml:space="preserve"> will aid in moderation of your school </w:t>
      </w:r>
      <w:r w:rsidR="00B50A5C">
        <w:rPr>
          <w:lang w:val="en-AU"/>
        </w:rPr>
        <w:t xml:space="preserve">NCCD </w:t>
      </w:r>
      <w:r>
        <w:rPr>
          <w:lang w:val="en-AU"/>
        </w:rPr>
        <w:t>data.</w:t>
      </w:r>
    </w:p>
    <w:p w14:paraId="5EFEACAA" w14:textId="4563D532" w:rsidR="00B247C5" w:rsidRDefault="0094556D" w:rsidP="00B247C5">
      <w:pPr>
        <w:pStyle w:val="Heading2"/>
      </w:pPr>
      <w:r>
        <w:t xml:space="preserve">CASES21 </w:t>
      </w:r>
      <w:r w:rsidR="00B247C5">
        <w:t>Data Entry</w:t>
      </w:r>
    </w:p>
    <w:p w14:paraId="6B32ED1E" w14:textId="2EDB5099" w:rsidR="00B247C5" w:rsidRPr="009F33A5" w:rsidRDefault="00B247C5" w:rsidP="00B247C5">
      <w:r>
        <w:t xml:space="preserve">Victorian Government Schools will enter their NCCD data through CASES21 (Refer to </w:t>
      </w:r>
      <w:hyperlink r:id="rId19" w:history="1">
        <w:r>
          <w:rPr>
            <w:rStyle w:val="Hyperlink"/>
          </w:rPr>
          <w:t>CASES21 Administration user guide</w:t>
        </w:r>
      </w:hyperlink>
      <w:r>
        <w:t xml:space="preserve">, school log in required). More information about </w:t>
      </w:r>
      <w:hyperlink r:id="rId20" w:history="1">
        <w:r w:rsidR="004922B6">
          <w:rPr>
            <w:rStyle w:val="Hyperlink"/>
          </w:rPr>
          <w:t>CASES21 data entry can be found on the NCCD Policy and Advisory Library page.</w:t>
        </w:r>
      </w:hyperlink>
    </w:p>
    <w:p w14:paraId="07725E69" w14:textId="77777777" w:rsidR="004922B6" w:rsidRDefault="004922B6" w:rsidP="00B247C5"/>
    <w:p w14:paraId="1BBF7F4D" w14:textId="49922A6C" w:rsidR="00B247C5" w:rsidRDefault="00B247C5" w:rsidP="00B247C5">
      <w:r>
        <w:lastRenderedPageBreak/>
        <w:t xml:space="preserve">The following instructions describe the </w:t>
      </w:r>
      <w:r w:rsidR="0094556D">
        <w:t xml:space="preserve">NCCD </w:t>
      </w:r>
      <w:r>
        <w:t xml:space="preserve">data entry </w:t>
      </w:r>
      <w:r w:rsidR="0094556D">
        <w:t xml:space="preserve">processes </w:t>
      </w:r>
      <w:r>
        <w:t xml:space="preserve">within CASES21. </w:t>
      </w:r>
    </w:p>
    <w:p w14:paraId="1C8379ED" w14:textId="7BCF8CC9" w:rsidR="00B247C5" w:rsidRDefault="00B247C5" w:rsidP="002276FB">
      <w:pPr>
        <w:pStyle w:val="ListParagraph"/>
        <w:numPr>
          <w:ilvl w:val="0"/>
          <w:numId w:val="21"/>
        </w:numPr>
        <w:ind w:left="360"/>
      </w:pPr>
      <w:r>
        <w:t>Open the Students | Records | National Data Collection | Students with Disability [ST11048].</w:t>
      </w:r>
      <w:r w:rsidRPr="001F043C">
        <w:t xml:space="preserve"> </w:t>
      </w:r>
    </w:p>
    <w:p w14:paraId="6181D0FE" w14:textId="77777777" w:rsidR="00B247C5" w:rsidRDefault="00B247C5" w:rsidP="002276FB">
      <w:pPr>
        <w:pStyle w:val="ListParagraph"/>
        <w:numPr>
          <w:ilvl w:val="0"/>
          <w:numId w:val="21"/>
        </w:numPr>
        <w:ind w:left="360"/>
      </w:pPr>
      <w:r>
        <w:t xml:space="preserve">Select the student requiring data entry. </w:t>
      </w:r>
    </w:p>
    <w:p w14:paraId="1E9B5D38" w14:textId="14730C79" w:rsidR="00B247C5" w:rsidRDefault="00B247C5" w:rsidP="002276FB">
      <w:pPr>
        <w:pStyle w:val="ListParagraph"/>
        <w:numPr>
          <w:ilvl w:val="0"/>
          <w:numId w:val="21"/>
        </w:numPr>
        <w:ind w:left="360"/>
      </w:pPr>
      <w:r>
        <w:t xml:space="preserve">Step 1 </w:t>
      </w:r>
      <w:r w:rsidR="0094556D">
        <w:t xml:space="preserve">- </w:t>
      </w:r>
      <w:r>
        <w:t xml:space="preserve">Has the school principal verified that a reasonable adjustment has been made for the student? If </w:t>
      </w:r>
      <w:proofErr w:type="gramStart"/>
      <w:r>
        <w:t>Yes</w:t>
      </w:r>
      <w:proofErr w:type="gramEnd"/>
      <w:r>
        <w:t xml:space="preserve">, select Y from the drop down list. When ‘Y’ is selected the ‘Add Notes and Attachments’ </w:t>
      </w:r>
      <w:r w:rsidR="0094556D">
        <w:t xml:space="preserve">boxes </w:t>
      </w:r>
      <w:r>
        <w:t>become visible. Adding notes and attachments is optional.</w:t>
      </w:r>
    </w:p>
    <w:p w14:paraId="4C3B7ADC" w14:textId="5788DCFD" w:rsidR="00B247C5" w:rsidRPr="002276FB" w:rsidRDefault="00B247C5" w:rsidP="002276FB">
      <w:pPr>
        <w:pStyle w:val="ListParagraph"/>
        <w:numPr>
          <w:ilvl w:val="1"/>
          <w:numId w:val="21"/>
        </w:numPr>
        <w:ind w:left="1080"/>
        <w:rPr>
          <w:b/>
          <w:bCs/>
        </w:rPr>
      </w:pPr>
      <w:r w:rsidRPr="002276FB">
        <w:rPr>
          <w:b/>
          <w:bCs/>
        </w:rPr>
        <w:t xml:space="preserve">As noted above, all students enrolled in a specialist setting should be included. </w:t>
      </w:r>
    </w:p>
    <w:p w14:paraId="1511F98E" w14:textId="77777777" w:rsidR="00B247C5" w:rsidRDefault="00B247C5" w:rsidP="002276FB">
      <w:pPr>
        <w:pStyle w:val="ListParagraph"/>
        <w:numPr>
          <w:ilvl w:val="0"/>
          <w:numId w:val="21"/>
        </w:numPr>
        <w:ind w:left="360"/>
      </w:pPr>
      <w:r>
        <w:t xml:space="preserve">Step 2 – What level of adjustment is provided? Choose one of the following values from the </w:t>
      </w:r>
      <w:proofErr w:type="gramStart"/>
      <w:r>
        <w:t>drop down</w:t>
      </w:r>
      <w:proofErr w:type="gramEnd"/>
      <w:r>
        <w:t xml:space="preserve"> list: </w:t>
      </w:r>
    </w:p>
    <w:p w14:paraId="176D1511" w14:textId="77777777" w:rsidR="00B247C5" w:rsidRDefault="00B247C5" w:rsidP="002276FB">
      <w:pPr>
        <w:pStyle w:val="ListParagraph"/>
        <w:numPr>
          <w:ilvl w:val="0"/>
          <w:numId w:val="22"/>
        </w:numPr>
        <w:ind w:left="1800"/>
      </w:pPr>
      <w:r>
        <w:t xml:space="preserve">‘1’ – Quality differentiated teaching practice </w:t>
      </w:r>
    </w:p>
    <w:p w14:paraId="4ECDEAFE" w14:textId="77777777" w:rsidR="00B247C5" w:rsidRDefault="00B247C5" w:rsidP="002276FB">
      <w:pPr>
        <w:pStyle w:val="ListParagraph"/>
        <w:numPr>
          <w:ilvl w:val="0"/>
          <w:numId w:val="22"/>
        </w:numPr>
        <w:ind w:left="1800"/>
      </w:pPr>
      <w:r>
        <w:t>‘2’ – Supplementary</w:t>
      </w:r>
    </w:p>
    <w:p w14:paraId="4CBCE67E" w14:textId="77777777" w:rsidR="00B247C5" w:rsidRPr="002276FB" w:rsidRDefault="00B247C5" w:rsidP="002276FB">
      <w:pPr>
        <w:pStyle w:val="ListParagraph"/>
        <w:numPr>
          <w:ilvl w:val="0"/>
          <w:numId w:val="22"/>
        </w:numPr>
        <w:ind w:left="1800"/>
        <w:rPr>
          <w:b/>
          <w:bCs/>
        </w:rPr>
      </w:pPr>
      <w:r w:rsidRPr="002276FB">
        <w:rPr>
          <w:b/>
          <w:bCs/>
        </w:rPr>
        <w:t>‘3’ – Substantial</w:t>
      </w:r>
    </w:p>
    <w:p w14:paraId="05E34FE9" w14:textId="77777777" w:rsidR="00B247C5" w:rsidRPr="002276FB" w:rsidRDefault="00B247C5" w:rsidP="002276FB">
      <w:pPr>
        <w:pStyle w:val="ListParagraph"/>
        <w:numPr>
          <w:ilvl w:val="0"/>
          <w:numId w:val="22"/>
        </w:numPr>
        <w:ind w:left="1800"/>
        <w:rPr>
          <w:b/>
          <w:bCs/>
        </w:rPr>
      </w:pPr>
      <w:r w:rsidRPr="002276FB">
        <w:rPr>
          <w:b/>
          <w:bCs/>
        </w:rPr>
        <w:t xml:space="preserve">‘4’ – Extensive </w:t>
      </w:r>
    </w:p>
    <w:p w14:paraId="7C7D52D7" w14:textId="77777777" w:rsidR="00B247C5" w:rsidRDefault="00B247C5" w:rsidP="002276FB">
      <w:pPr>
        <w:pStyle w:val="ListParagraph"/>
        <w:numPr>
          <w:ilvl w:val="0"/>
          <w:numId w:val="21"/>
        </w:numPr>
        <w:ind w:left="360"/>
      </w:pPr>
      <w:r>
        <w:t xml:space="preserve">Step 3 – What is the broad category of disability (physical, cognitive, sensory or social/emotional)? </w:t>
      </w:r>
    </w:p>
    <w:p w14:paraId="6EE000F5" w14:textId="77777777" w:rsidR="00B247C5" w:rsidRDefault="00B247C5" w:rsidP="002276FB">
      <w:pPr>
        <w:pStyle w:val="ListParagraph"/>
        <w:ind w:left="1080"/>
      </w:pPr>
      <w:r>
        <w:t xml:space="preserve">Choose one of the following values from the </w:t>
      </w:r>
      <w:proofErr w:type="gramStart"/>
      <w:r>
        <w:t>drop down</w:t>
      </w:r>
      <w:proofErr w:type="gramEnd"/>
      <w:r>
        <w:t xml:space="preserve"> list: </w:t>
      </w:r>
    </w:p>
    <w:p w14:paraId="2291A4C7" w14:textId="77777777" w:rsidR="00B247C5" w:rsidRDefault="00B247C5" w:rsidP="002276FB">
      <w:pPr>
        <w:pStyle w:val="ListParagraph"/>
        <w:numPr>
          <w:ilvl w:val="0"/>
          <w:numId w:val="23"/>
        </w:numPr>
        <w:ind w:left="1800"/>
      </w:pPr>
      <w:r>
        <w:t>‘C’ – Cognitive</w:t>
      </w:r>
    </w:p>
    <w:p w14:paraId="486B1DD1" w14:textId="77777777" w:rsidR="00B247C5" w:rsidRDefault="00B247C5" w:rsidP="002276FB">
      <w:pPr>
        <w:pStyle w:val="ListParagraph"/>
        <w:numPr>
          <w:ilvl w:val="0"/>
          <w:numId w:val="23"/>
        </w:numPr>
        <w:ind w:left="1800"/>
      </w:pPr>
      <w:r>
        <w:t>‘P’ – Physical</w:t>
      </w:r>
    </w:p>
    <w:p w14:paraId="5063A541" w14:textId="77777777" w:rsidR="00B247C5" w:rsidRDefault="00B247C5" w:rsidP="002276FB">
      <w:pPr>
        <w:pStyle w:val="ListParagraph"/>
        <w:numPr>
          <w:ilvl w:val="0"/>
          <w:numId w:val="23"/>
        </w:numPr>
        <w:ind w:left="1800"/>
      </w:pPr>
      <w:r>
        <w:t>‘S’ – Sensory</w:t>
      </w:r>
    </w:p>
    <w:p w14:paraId="19C78FA6" w14:textId="77777777" w:rsidR="00B247C5" w:rsidRDefault="00B247C5" w:rsidP="002276FB">
      <w:pPr>
        <w:pStyle w:val="ListParagraph"/>
        <w:numPr>
          <w:ilvl w:val="0"/>
          <w:numId w:val="23"/>
        </w:numPr>
        <w:ind w:left="1800"/>
      </w:pPr>
      <w:r>
        <w:t>‘SE’ – Social/Emotional</w:t>
      </w:r>
    </w:p>
    <w:p w14:paraId="17DE8F66" w14:textId="77777777" w:rsidR="00B247C5" w:rsidRDefault="00B247C5" w:rsidP="002276FB">
      <w:pPr>
        <w:pStyle w:val="ListParagraph"/>
        <w:numPr>
          <w:ilvl w:val="0"/>
          <w:numId w:val="21"/>
        </w:numPr>
        <w:ind w:left="360"/>
      </w:pPr>
      <w:r>
        <w:t xml:space="preserve">Select Save, after the data for each student has been entered, from the top of the screen to store record in database. </w:t>
      </w:r>
    </w:p>
    <w:p w14:paraId="3793592F" w14:textId="5CD85CBE" w:rsidR="00BF7CD3" w:rsidRDefault="00B247C5" w:rsidP="002276FB">
      <w:pPr>
        <w:pStyle w:val="ListParagraph"/>
        <w:numPr>
          <w:ilvl w:val="0"/>
          <w:numId w:val="21"/>
        </w:numPr>
        <w:ind w:left="360"/>
      </w:pPr>
      <w:r>
        <w:t>Repeat the steps above until all data collected for each student (included in the collection) has been entered. No submission of data is required as the data entered is extracted by central office. Only de-identified data will be collected, no personal identifying details of students will be collected.</w:t>
      </w:r>
    </w:p>
    <w:p w14:paraId="0E6E3D9E" w14:textId="736AC00F" w:rsidR="00BF7CD3" w:rsidRDefault="00BF7CD3" w:rsidP="002276FB">
      <w:pPr>
        <w:pStyle w:val="ListParagraph"/>
        <w:numPr>
          <w:ilvl w:val="0"/>
          <w:numId w:val="21"/>
        </w:numPr>
        <w:ind w:left="360"/>
      </w:pPr>
      <w:r>
        <w:t xml:space="preserve">When all data has been entered in CASES21, Schools are encouraged to run the following reports for their reference. At the end of each year, NCCD data in CASES21 will reset as part of the annual process. This means that schools should save a copy of the reports for their </w:t>
      </w:r>
      <w:r w:rsidR="0094556D">
        <w:t xml:space="preserve">own </w:t>
      </w:r>
      <w:r>
        <w:t>records.</w:t>
      </w:r>
    </w:p>
    <w:p w14:paraId="363E9603" w14:textId="77777777" w:rsidR="00BF7CD3" w:rsidRPr="002276FB" w:rsidRDefault="00BF7CD3" w:rsidP="002276FB">
      <w:pPr>
        <w:ind w:firstLine="360"/>
        <w:rPr>
          <w:b/>
          <w:bCs/>
        </w:rPr>
      </w:pPr>
      <w:r w:rsidRPr="002276FB">
        <w:rPr>
          <w:b/>
          <w:bCs/>
        </w:rPr>
        <w:t>Students with disability – disability summary [ST21428]</w:t>
      </w:r>
    </w:p>
    <w:p w14:paraId="2ADC1EAA" w14:textId="6156F3E3" w:rsidR="00B247C5" w:rsidRDefault="00BF7CD3" w:rsidP="002276FB">
      <w:pPr>
        <w:ind w:firstLine="360"/>
        <w:rPr>
          <w:lang w:val="en-AU"/>
        </w:rPr>
      </w:pPr>
      <w:r w:rsidRPr="002276FB">
        <w:rPr>
          <w:b/>
          <w:bCs/>
        </w:rPr>
        <w:t>Students with disability – student summary [ST21429]</w:t>
      </w:r>
    </w:p>
    <w:p w14:paraId="7D1B4C2B" w14:textId="2E9B177D" w:rsidR="00C76E7A" w:rsidRDefault="00C76E7A" w:rsidP="00C76E7A">
      <w:pPr>
        <w:pStyle w:val="Heading2"/>
        <w:rPr>
          <w:lang w:val="en-AU"/>
        </w:rPr>
      </w:pPr>
      <w:r>
        <w:rPr>
          <w:lang w:val="en-AU"/>
        </w:rPr>
        <w:t xml:space="preserve">Further </w:t>
      </w:r>
      <w:r w:rsidR="009F5E3F">
        <w:rPr>
          <w:lang w:val="en-AU"/>
        </w:rPr>
        <w:t>i</w:t>
      </w:r>
      <w:r>
        <w:rPr>
          <w:lang w:val="en-AU"/>
        </w:rPr>
        <w:t>nformation</w:t>
      </w:r>
    </w:p>
    <w:p w14:paraId="1B4604D6" w14:textId="3BBDC77B" w:rsidR="00C76E7A" w:rsidRDefault="00F25607" w:rsidP="00C76E7A">
      <w:pPr>
        <w:rPr>
          <w:lang w:val="en-AU"/>
        </w:rPr>
      </w:pPr>
      <w:r>
        <w:rPr>
          <w:lang w:val="en-AU"/>
        </w:rPr>
        <w:t xml:space="preserve">The national </w:t>
      </w:r>
      <w:hyperlink r:id="rId21" w:history="1">
        <w:r w:rsidRPr="004F0A9D">
          <w:rPr>
            <w:rStyle w:val="Hyperlink"/>
            <w:lang w:val="en-AU"/>
          </w:rPr>
          <w:t>NCCD portal</w:t>
        </w:r>
      </w:hyperlink>
      <w:r w:rsidR="004F0A9D">
        <w:rPr>
          <w:lang w:val="en-AU"/>
        </w:rPr>
        <w:t xml:space="preserve"> has a range of resources including the </w:t>
      </w:r>
      <w:r w:rsidR="00C76E7A">
        <w:rPr>
          <w:lang w:val="en-AU"/>
        </w:rPr>
        <w:t>NCCD Guidelines (</w:t>
      </w:r>
      <w:hyperlink r:id="rId22" w:history="1">
        <w:r w:rsidR="00C76E7A" w:rsidRPr="007B6048">
          <w:rPr>
            <w:rStyle w:val="Hyperlink"/>
            <w:lang w:val="en-AU"/>
          </w:rPr>
          <w:t>Full</w:t>
        </w:r>
        <w:r w:rsidR="00C76E7A" w:rsidRPr="00542C2A">
          <w:rPr>
            <w:rStyle w:val="Hyperlink"/>
            <w:lang w:val="en-AU"/>
          </w:rPr>
          <w:t xml:space="preserve"> guidelines</w:t>
        </w:r>
      </w:hyperlink>
      <w:r w:rsidR="00C76E7A">
        <w:rPr>
          <w:lang w:val="en-AU"/>
        </w:rPr>
        <w:t xml:space="preserve">/ </w:t>
      </w:r>
      <w:hyperlink r:id="rId23" w:history="1">
        <w:r w:rsidR="00C76E7A" w:rsidRPr="00CD7594">
          <w:rPr>
            <w:rStyle w:val="Hyperlink"/>
            <w:lang w:val="en-AU"/>
          </w:rPr>
          <w:t>Quick</w:t>
        </w:r>
      </w:hyperlink>
      <w:r w:rsidR="00C76E7A">
        <w:rPr>
          <w:rStyle w:val="Hyperlink"/>
          <w:lang w:val="en-AU"/>
        </w:rPr>
        <w:t xml:space="preserve"> guide</w:t>
      </w:r>
      <w:r w:rsidR="00C76E7A">
        <w:rPr>
          <w:lang w:val="en-AU"/>
        </w:rPr>
        <w:t>)</w:t>
      </w:r>
      <w:r w:rsidR="004F0A9D">
        <w:rPr>
          <w:lang w:val="en-AU"/>
        </w:rPr>
        <w:t>.</w:t>
      </w:r>
    </w:p>
    <w:p w14:paraId="683438EB" w14:textId="270C939E" w:rsidR="00C76E7A" w:rsidRPr="005823BB" w:rsidRDefault="00C76E7A" w:rsidP="00C76E7A">
      <w:pPr>
        <w:rPr>
          <w:lang w:val="en-AU"/>
        </w:rPr>
      </w:pPr>
      <w:r w:rsidRPr="005823BB">
        <w:rPr>
          <w:lang w:val="en-AU"/>
        </w:rPr>
        <w:t>A</w:t>
      </w:r>
      <w:r w:rsidR="00392681">
        <w:rPr>
          <w:lang w:val="en-AU"/>
        </w:rPr>
        <w:t xml:space="preserve"> Victorian </w:t>
      </w:r>
      <w:r w:rsidRPr="005823BB">
        <w:rPr>
          <w:lang w:val="en-AU"/>
        </w:rPr>
        <w:t xml:space="preserve">helpdesk for the </w:t>
      </w:r>
      <w:r>
        <w:rPr>
          <w:lang w:val="en-AU"/>
        </w:rPr>
        <w:t xml:space="preserve">NCCD </w:t>
      </w:r>
      <w:r w:rsidRPr="005823BB">
        <w:rPr>
          <w:lang w:val="en-AU"/>
        </w:rPr>
        <w:t xml:space="preserve">data collection is available to </w:t>
      </w:r>
      <w:r>
        <w:rPr>
          <w:lang w:val="en-AU"/>
        </w:rPr>
        <w:t xml:space="preserve">Victorian Government </w:t>
      </w:r>
      <w:r w:rsidRPr="005823BB">
        <w:rPr>
          <w:lang w:val="en-AU"/>
        </w:rPr>
        <w:t>schools. For support, contact:</w:t>
      </w:r>
    </w:p>
    <w:p w14:paraId="36786B89" w14:textId="77777777" w:rsidR="00C76E7A" w:rsidRPr="005823BB" w:rsidRDefault="00C76E7A" w:rsidP="00C76E7A">
      <w:pPr>
        <w:pStyle w:val="Bullet2"/>
      </w:pPr>
      <w:r w:rsidRPr="005823BB">
        <w:t>Phone: 7022 2069</w:t>
      </w:r>
    </w:p>
    <w:p w14:paraId="596E7214" w14:textId="2887E6AC" w:rsidR="00C76E7A" w:rsidRPr="00B338CC" w:rsidRDefault="00C76E7A" w:rsidP="00B338CC">
      <w:pPr>
        <w:pStyle w:val="Bullet2"/>
        <w:spacing w:after="40"/>
      </w:pPr>
      <w:r w:rsidRPr="005823BB">
        <w:t xml:space="preserve">Email: </w:t>
      </w:r>
      <w:hyperlink r:id="rId24" w:history="1">
        <w:r w:rsidRPr="00D43FBC">
          <w:rPr>
            <w:rStyle w:val="Hyperlink"/>
          </w:rPr>
          <w:t>disability.data.collection@</w:t>
        </w:r>
        <w:r w:rsidRPr="00464396">
          <w:rPr>
            <w:rStyle w:val="Hyperlink"/>
          </w:rPr>
          <w:t>education.vic.gov.au</w:t>
        </w:r>
      </w:hyperlink>
    </w:p>
    <w:sectPr w:rsidR="00C76E7A" w:rsidRPr="00B338CC" w:rsidSect="006E2B9A">
      <w:headerReference w:type="default" r:id="rId25"/>
      <w:footerReference w:type="even" r:id="rId26"/>
      <w:footerReference w:type="default" r:id="rId2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919B" w14:textId="77777777" w:rsidR="00207748" w:rsidRDefault="00207748" w:rsidP="003967DD">
      <w:pPr>
        <w:spacing w:after="0"/>
      </w:pPr>
      <w:r>
        <w:separator/>
      </w:r>
    </w:p>
  </w:endnote>
  <w:endnote w:type="continuationSeparator" w:id="0">
    <w:p w14:paraId="391FF5BF" w14:textId="77777777" w:rsidR="00207748" w:rsidRDefault="0020774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21656EA0" w14:textId="77777777" w:rsidR="0017307E" w:rsidRPr="00E34721" w:rsidRDefault="0017307E" w:rsidP="0017307E">
    <w:pPr>
      <w:pStyle w:val="Copyrighttext"/>
      <w:ind w:left="720"/>
      <w:rPr>
        <w:rFonts w:cstheme="minorHAnsi"/>
      </w:rPr>
    </w:pPr>
    <w:r w:rsidRPr="001105FA">
      <w:t xml:space="preserve">© State of Victoria (Department of Education and </w:t>
    </w:r>
    <w:r w:rsidRPr="0017307E">
      <w:t xml:space="preserve">Training) 2021. </w:t>
    </w:r>
    <w:r w:rsidRPr="0017307E">
      <w:rPr>
        <w:rFonts w:cstheme="minorHAnsi"/>
        <w:color w:val="000000"/>
      </w:rPr>
      <w:t>Except</w:t>
    </w:r>
    <w:r w:rsidRPr="00E34721">
      <w:rPr>
        <w:rFonts w:cstheme="minorHAnsi"/>
        <w:color w:val="000000"/>
      </w:rPr>
      <w:t xml:space="preserve"> where otherwise </w:t>
    </w:r>
    <w:hyperlink r:id="rId1" w:history="1">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t xml:space="preserve"> </w:t>
    </w:r>
    <w:hyperlink r:id="rId2" w:history="1">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r:id="rId3" w:history="1">
      <w:r w:rsidRPr="00E34721">
        <w:rPr>
          <w:rStyle w:val="Hyperlink"/>
          <w:rFonts w:cstheme="minorHAnsi"/>
        </w:rPr>
        <w:t>copyright notice </w:t>
      </w:r>
    </w:hyperlink>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08AC" w14:textId="77777777" w:rsidR="00207748" w:rsidRDefault="00207748" w:rsidP="003967DD">
      <w:pPr>
        <w:spacing w:after="0"/>
      </w:pPr>
      <w:r>
        <w:separator/>
      </w:r>
    </w:p>
  </w:footnote>
  <w:footnote w:type="continuationSeparator" w:id="0">
    <w:p w14:paraId="75794875" w14:textId="77777777" w:rsidR="00207748" w:rsidRDefault="0020774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F2DE" w14:textId="77777777" w:rsidR="007D2A3E" w:rsidRDefault="0017307E" w:rsidP="0017307E">
    <w:pPr>
      <w:pStyle w:val="Header"/>
      <w:ind w:left="-709"/>
      <w:rPr>
        <w:b/>
        <w:bCs/>
        <w:color w:val="FFFFFF" w:themeColor="background1"/>
        <w:sz w:val="28"/>
        <w:szCs w:val="32"/>
      </w:rPr>
    </w:pPr>
    <w:r w:rsidRPr="0017307E">
      <w:rPr>
        <w:b/>
        <w:bCs/>
        <w:noProof/>
        <w:color w:val="FFFFFF" w:themeColor="background1"/>
        <w:sz w:val="28"/>
        <w:szCs w:val="32"/>
      </w:rPr>
      <w:drawing>
        <wp:anchor distT="0" distB="0" distL="114300" distR="114300" simplePos="0" relativeHeight="251660288" behindDoc="1" locked="0" layoutInCell="1" allowOverlap="1" wp14:anchorId="7D696E14" wp14:editId="571D35CF">
          <wp:simplePos x="0" y="0"/>
          <wp:positionH relativeFrom="page">
            <wp:align>left</wp:align>
          </wp:positionH>
          <wp:positionV relativeFrom="page">
            <wp:align>top</wp:align>
          </wp:positionV>
          <wp:extent cx="7550421" cy="10684798"/>
          <wp:effectExtent l="0" t="0" r="635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r w:rsidRPr="0017307E">
      <w:rPr>
        <w:b/>
        <w:bCs/>
        <w:color w:val="FFFFFF" w:themeColor="background1"/>
        <w:sz w:val="28"/>
        <w:szCs w:val="32"/>
      </w:rPr>
      <w:t>FACT SHEET</w:t>
    </w:r>
  </w:p>
  <w:p w14:paraId="4A4CBFDD" w14:textId="4BBC6E4C" w:rsidR="0017307E" w:rsidRPr="00874718" w:rsidRDefault="0017307E" w:rsidP="0017307E">
    <w:pPr>
      <w:pStyle w:val="Header"/>
      <w:ind w:left="-709"/>
      <w:rPr>
        <w:b/>
        <w:bCs/>
        <w:color w:val="FFFFFF" w:themeColor="background1"/>
        <w:sz w:val="32"/>
        <w:szCs w:val="36"/>
      </w:rPr>
    </w:pPr>
    <w:r w:rsidRPr="0017307E">
      <w:rPr>
        <w:b/>
        <w:bCs/>
        <w:color w:val="FFFFFF" w:themeColor="background1"/>
        <w:sz w:val="28"/>
        <w:szCs w:val="32"/>
      </w:rPr>
      <w:t>SPECIAL</w:t>
    </w:r>
    <w:r w:rsidR="009F5E3F">
      <w:rPr>
        <w:b/>
        <w:bCs/>
        <w:color w:val="FFFFFF" w:themeColor="background1"/>
        <w:sz w:val="28"/>
        <w:szCs w:val="32"/>
      </w:rPr>
      <w:t>IST</w:t>
    </w:r>
    <w:r w:rsidR="007D2A3E">
      <w:rPr>
        <w:b/>
        <w:bCs/>
        <w:color w:val="FFFFFF" w:themeColor="background1"/>
        <w:sz w:val="28"/>
        <w:szCs w:val="32"/>
      </w:rPr>
      <w:t xml:space="preserve"> SCHOOL</w:t>
    </w:r>
    <w:r w:rsidRPr="0017307E">
      <w:rPr>
        <w:b/>
        <w:bCs/>
        <w:color w:val="FFFFFF" w:themeColor="background1"/>
        <w:sz w:val="28"/>
        <w:szCs w:val="32"/>
      </w:rPr>
      <w:t xml:space="preserve"> SETTINGS</w:t>
    </w:r>
  </w:p>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5432C"/>
    <w:multiLevelType w:val="hybridMultilevel"/>
    <w:tmpl w:val="7EE0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833E2"/>
    <w:multiLevelType w:val="hybridMultilevel"/>
    <w:tmpl w:val="62D29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C6626"/>
    <w:multiLevelType w:val="hybridMultilevel"/>
    <w:tmpl w:val="49CA19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801777"/>
    <w:multiLevelType w:val="hybridMultilevel"/>
    <w:tmpl w:val="E286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A85B10"/>
    <w:multiLevelType w:val="hybridMultilevel"/>
    <w:tmpl w:val="60EA4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537654"/>
    <w:multiLevelType w:val="hybridMultilevel"/>
    <w:tmpl w:val="A30A2D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1"/>
  </w:num>
  <w:num w:numId="14">
    <w:abstractNumId w:val="22"/>
  </w:num>
  <w:num w:numId="15">
    <w:abstractNumId w:val="13"/>
  </w:num>
  <w:num w:numId="16">
    <w:abstractNumId w:val="18"/>
  </w:num>
  <w:num w:numId="17">
    <w:abstractNumId w:val="15"/>
  </w:num>
  <w:num w:numId="18">
    <w:abstractNumId w:val="19"/>
  </w:num>
  <w:num w:numId="19">
    <w:abstractNumId w:val="17"/>
  </w:num>
  <w:num w:numId="20">
    <w:abstractNumId w:val="11"/>
  </w:num>
  <w:num w:numId="21">
    <w:abstractNumId w:val="14"/>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71554"/>
    <w:rsid w:val="00080DA9"/>
    <w:rsid w:val="0008476D"/>
    <w:rsid w:val="000861DD"/>
    <w:rsid w:val="000A47D4"/>
    <w:rsid w:val="000C600E"/>
    <w:rsid w:val="00122369"/>
    <w:rsid w:val="00150E0F"/>
    <w:rsid w:val="00157212"/>
    <w:rsid w:val="0016287D"/>
    <w:rsid w:val="0017307E"/>
    <w:rsid w:val="001A23D8"/>
    <w:rsid w:val="001D0D94"/>
    <w:rsid w:val="001D13F9"/>
    <w:rsid w:val="001E5757"/>
    <w:rsid w:val="001F39DD"/>
    <w:rsid w:val="00207748"/>
    <w:rsid w:val="0021073A"/>
    <w:rsid w:val="002276FB"/>
    <w:rsid w:val="002512BE"/>
    <w:rsid w:val="0026032F"/>
    <w:rsid w:val="00275FB8"/>
    <w:rsid w:val="002A4A96"/>
    <w:rsid w:val="002C04D0"/>
    <w:rsid w:val="002E3BED"/>
    <w:rsid w:val="002F41D7"/>
    <w:rsid w:val="002F6115"/>
    <w:rsid w:val="00312720"/>
    <w:rsid w:val="00343AFC"/>
    <w:rsid w:val="0034745C"/>
    <w:rsid w:val="00380B58"/>
    <w:rsid w:val="00392681"/>
    <w:rsid w:val="003967DD"/>
    <w:rsid w:val="003A4C39"/>
    <w:rsid w:val="003C3F79"/>
    <w:rsid w:val="0042333B"/>
    <w:rsid w:val="00443E58"/>
    <w:rsid w:val="004922B6"/>
    <w:rsid w:val="004A2E74"/>
    <w:rsid w:val="004B2ED6"/>
    <w:rsid w:val="004F0A9D"/>
    <w:rsid w:val="00500ADA"/>
    <w:rsid w:val="005048E7"/>
    <w:rsid w:val="00512BBA"/>
    <w:rsid w:val="00555277"/>
    <w:rsid w:val="00567CF0"/>
    <w:rsid w:val="00584366"/>
    <w:rsid w:val="005A4F12"/>
    <w:rsid w:val="005C7B63"/>
    <w:rsid w:val="005D445B"/>
    <w:rsid w:val="005E0713"/>
    <w:rsid w:val="00624A55"/>
    <w:rsid w:val="006523D7"/>
    <w:rsid w:val="006671CE"/>
    <w:rsid w:val="006A1F8A"/>
    <w:rsid w:val="006A25AC"/>
    <w:rsid w:val="006A774E"/>
    <w:rsid w:val="006C45C0"/>
    <w:rsid w:val="006E2B9A"/>
    <w:rsid w:val="00710CED"/>
    <w:rsid w:val="007230B3"/>
    <w:rsid w:val="00735566"/>
    <w:rsid w:val="00767573"/>
    <w:rsid w:val="007A4D7B"/>
    <w:rsid w:val="007B556E"/>
    <w:rsid w:val="007C0A6B"/>
    <w:rsid w:val="007D2A3E"/>
    <w:rsid w:val="007D3E38"/>
    <w:rsid w:val="007D40FC"/>
    <w:rsid w:val="007D444F"/>
    <w:rsid w:val="008065DA"/>
    <w:rsid w:val="00810EC0"/>
    <w:rsid w:val="0088040B"/>
    <w:rsid w:val="00890680"/>
    <w:rsid w:val="00892E24"/>
    <w:rsid w:val="008B1737"/>
    <w:rsid w:val="008E3563"/>
    <w:rsid w:val="008F3D35"/>
    <w:rsid w:val="008F45E1"/>
    <w:rsid w:val="0094556D"/>
    <w:rsid w:val="00952690"/>
    <w:rsid w:val="00954B9A"/>
    <w:rsid w:val="00973672"/>
    <w:rsid w:val="0099358C"/>
    <w:rsid w:val="009F5E3F"/>
    <w:rsid w:val="009F6A77"/>
    <w:rsid w:val="00A31926"/>
    <w:rsid w:val="00A710DF"/>
    <w:rsid w:val="00AB139E"/>
    <w:rsid w:val="00AD0BD0"/>
    <w:rsid w:val="00B21562"/>
    <w:rsid w:val="00B247C5"/>
    <w:rsid w:val="00B338CC"/>
    <w:rsid w:val="00B50A5C"/>
    <w:rsid w:val="00B775D4"/>
    <w:rsid w:val="00BC5291"/>
    <w:rsid w:val="00BF7CD3"/>
    <w:rsid w:val="00C539BB"/>
    <w:rsid w:val="00C65492"/>
    <w:rsid w:val="00C76E7A"/>
    <w:rsid w:val="00CC34BB"/>
    <w:rsid w:val="00CC56C7"/>
    <w:rsid w:val="00CC5AA8"/>
    <w:rsid w:val="00CD5993"/>
    <w:rsid w:val="00CE7916"/>
    <w:rsid w:val="00D17E55"/>
    <w:rsid w:val="00D21671"/>
    <w:rsid w:val="00D9777A"/>
    <w:rsid w:val="00DC4D0D"/>
    <w:rsid w:val="00DF7EEA"/>
    <w:rsid w:val="00E34263"/>
    <w:rsid w:val="00E34721"/>
    <w:rsid w:val="00E4317E"/>
    <w:rsid w:val="00E44702"/>
    <w:rsid w:val="00E47519"/>
    <w:rsid w:val="00E5030B"/>
    <w:rsid w:val="00E64758"/>
    <w:rsid w:val="00E77EB9"/>
    <w:rsid w:val="00F04ADE"/>
    <w:rsid w:val="00F2229D"/>
    <w:rsid w:val="00F25607"/>
    <w:rsid w:val="00F5271F"/>
    <w:rsid w:val="00F94715"/>
    <w:rsid w:val="00FA20DC"/>
    <w:rsid w:val="00FF1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17307E"/>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1A23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D8"/>
    <w:rPr>
      <w:rFonts w:ascii="Segoe UI" w:hAnsi="Segoe UI" w:cs="Segoe UI"/>
      <w:sz w:val="18"/>
      <w:szCs w:val="18"/>
    </w:rPr>
  </w:style>
  <w:style w:type="character" w:styleId="CommentReference">
    <w:name w:val="annotation reference"/>
    <w:basedOn w:val="DefaultParagraphFont"/>
    <w:uiPriority w:val="99"/>
    <w:semiHidden/>
    <w:unhideWhenUsed/>
    <w:rsid w:val="00D21671"/>
    <w:rPr>
      <w:sz w:val="16"/>
      <w:szCs w:val="16"/>
    </w:rPr>
  </w:style>
  <w:style w:type="paragraph" w:styleId="CommentText">
    <w:name w:val="annotation text"/>
    <w:basedOn w:val="Normal"/>
    <w:link w:val="CommentTextChar"/>
    <w:uiPriority w:val="99"/>
    <w:semiHidden/>
    <w:unhideWhenUsed/>
    <w:rsid w:val="00D21671"/>
    <w:rPr>
      <w:sz w:val="20"/>
      <w:szCs w:val="20"/>
    </w:rPr>
  </w:style>
  <w:style w:type="character" w:customStyle="1" w:styleId="CommentTextChar">
    <w:name w:val="Comment Text Char"/>
    <w:basedOn w:val="DefaultParagraphFont"/>
    <w:link w:val="CommentText"/>
    <w:uiPriority w:val="99"/>
    <w:semiHidden/>
    <w:rsid w:val="00D21671"/>
    <w:rPr>
      <w:sz w:val="20"/>
      <w:szCs w:val="20"/>
    </w:rPr>
  </w:style>
  <w:style w:type="paragraph" w:styleId="CommentSubject">
    <w:name w:val="annotation subject"/>
    <w:basedOn w:val="CommentText"/>
    <w:next w:val="CommentText"/>
    <w:link w:val="CommentSubjectChar"/>
    <w:uiPriority w:val="99"/>
    <w:semiHidden/>
    <w:unhideWhenUsed/>
    <w:rsid w:val="00D21671"/>
    <w:rPr>
      <w:b/>
      <w:bCs/>
    </w:rPr>
  </w:style>
  <w:style w:type="character" w:customStyle="1" w:styleId="CommentSubjectChar">
    <w:name w:val="Comment Subject Char"/>
    <w:basedOn w:val="CommentTextChar"/>
    <w:link w:val="CommentSubject"/>
    <w:uiPriority w:val="99"/>
    <w:semiHidden/>
    <w:rsid w:val="00D216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92710177">
      <w:bodyDiv w:val="1"/>
      <w:marLeft w:val="0"/>
      <w:marRight w:val="0"/>
      <w:marTop w:val="0"/>
      <w:marBottom w:val="0"/>
      <w:divBdr>
        <w:top w:val="none" w:sz="0" w:space="0" w:color="auto"/>
        <w:left w:val="none" w:sz="0" w:space="0" w:color="auto"/>
        <w:bottom w:val="none" w:sz="0" w:space="0" w:color="auto"/>
        <w:right w:val="none" w:sz="0" w:space="0" w:color="auto"/>
      </w:divBdr>
    </w:div>
    <w:div w:id="641271079">
      <w:bodyDiv w:val="1"/>
      <w:marLeft w:val="0"/>
      <w:marRight w:val="0"/>
      <w:marTop w:val="0"/>
      <w:marBottom w:val="0"/>
      <w:divBdr>
        <w:top w:val="none" w:sz="0" w:space="0" w:color="auto"/>
        <w:left w:val="none" w:sz="0" w:space="0" w:color="auto"/>
        <w:bottom w:val="none" w:sz="0" w:space="0" w:color="auto"/>
        <w:right w:val="none" w:sz="0" w:space="0" w:color="auto"/>
      </w:divBdr>
    </w:div>
    <w:div w:id="736822376">
      <w:bodyDiv w:val="1"/>
      <w:marLeft w:val="0"/>
      <w:marRight w:val="0"/>
      <w:marTop w:val="0"/>
      <w:marBottom w:val="0"/>
      <w:divBdr>
        <w:top w:val="none" w:sz="0" w:space="0" w:color="auto"/>
        <w:left w:val="none" w:sz="0" w:space="0" w:color="auto"/>
        <w:bottom w:val="none" w:sz="0" w:space="0" w:color="auto"/>
        <w:right w:val="none" w:sz="0" w:space="0" w:color="auto"/>
      </w:divBdr>
    </w:div>
    <w:div w:id="778837667">
      <w:bodyDiv w:val="1"/>
      <w:marLeft w:val="0"/>
      <w:marRight w:val="0"/>
      <w:marTop w:val="0"/>
      <w:marBottom w:val="0"/>
      <w:divBdr>
        <w:top w:val="none" w:sz="0" w:space="0" w:color="auto"/>
        <w:left w:val="none" w:sz="0" w:space="0" w:color="auto"/>
        <w:bottom w:val="none" w:sz="0" w:space="0" w:color="auto"/>
        <w:right w:val="none" w:sz="0" w:space="0" w:color="auto"/>
      </w:divBdr>
    </w:div>
    <w:div w:id="123458597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cd.edu.au/wider-support-materials/substantial-adjustments" TargetMode="External"/><Relationship Id="rId18" Type="http://schemas.openxmlformats.org/officeDocument/2006/relationships/hyperlink" Target="https://www.nccd.edu.au/resources-and-tools/case-studies/education_setting/special-school-4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ccd.edu.au/" TargetMode="External"/><Relationship Id="rId7" Type="http://schemas.openxmlformats.org/officeDocument/2006/relationships/settings" Target="settings.xml"/><Relationship Id="rId12" Type="http://schemas.openxmlformats.org/officeDocument/2006/relationships/hyperlink" Target="https://www.nccd.edu.au/wider-support-materials/supplementary-adjustments" TargetMode="External"/><Relationship Id="rId17" Type="http://schemas.openxmlformats.org/officeDocument/2006/relationships/hyperlink" Target="https://www.nccd.edu.au/wider-support-materials/step-3-what-category-disability?parent=/understanding-nccd&amp;activity=/wider-support-materials/what-nccd-model-1&amp;step=3"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cd.edu.au/tools/levels-adjustment-viewer" TargetMode="External"/><Relationship Id="rId20" Type="http://schemas.openxmlformats.org/officeDocument/2006/relationships/hyperlink" Target="https://www2.education.vic.gov.au/pal/nccd-students-with-disability/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cd.edu.au/wider-support-materials/support-provided-within-quality-differentiated-teaching-practice" TargetMode="External"/><Relationship Id="rId24" Type="http://schemas.openxmlformats.org/officeDocument/2006/relationships/hyperlink" Target="mailto:disability.data.collection@education.vic.gov.au" TargetMode="External"/><Relationship Id="rId5" Type="http://schemas.openxmlformats.org/officeDocument/2006/relationships/numbering" Target="numbering.xml"/><Relationship Id="rId15" Type="http://schemas.openxmlformats.org/officeDocument/2006/relationships/hyperlink" Target="https://www.nccd.edu.au/wider-support-materials/what-evidence-nccd-based-upon" TargetMode="External"/><Relationship Id="rId23" Type="http://schemas.openxmlformats.org/officeDocument/2006/relationships/hyperlink" Target="https://www.nccd.edu.au/tools/nccd-quick-guide-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gate.eduweb.vic.gov.au/Services/bussys/cases21/User%20Guides/C21%20ADMINISTRATION%20User%20Guides/Chapter%2007%20Student%20Data%20Repor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cd.edu.au/wider-support-materials/extensive-adjustments" TargetMode="External"/><Relationship Id="rId22" Type="http://schemas.openxmlformats.org/officeDocument/2006/relationships/hyperlink" Target="https://www.nccd.edu.au/tools/nccd-guidelines-0"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education.vic.gov.au/Pages/copyright.aspx" TargetMode="External"/><Relationship Id="rId2" Type="http://schemas.openxmlformats.org/officeDocument/2006/relationships/hyperlink" Target="https://creativecommons.org/licenses/by/4.0/" TargetMode="External"/><Relationship Id="rId1"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439</Topic>
    <Expired xmlns="bb5ce4db-eb21-467d-b968-528655912a38">false</Expi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d900d883-7851-47f8-a17c-4a00d21ab75f"/>
    <ds:schemaRef ds:uri="http://schemas.microsoft.com/sharepoint/v4"/>
    <ds:schemaRef ds:uri="9eca7e2c-3a9d-4c89-8e45-0810a10f50a4"/>
    <ds:schemaRef ds:uri="http://schemas.microsoft.com/sharepoint/v3"/>
    <ds:schemaRef ds:uri="cb9114c1-daad-44dd-acad-30f4246641f2"/>
    <ds:schemaRef ds:uri="76b566cd-adb9-46c2-964b-22eba181fd0b"/>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D719B3BB-7013-4A34-84CC-1B2F72F9D1E9}"/>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Christopher Guinane</cp:lastModifiedBy>
  <cp:revision>2</cp:revision>
  <dcterms:created xsi:type="dcterms:W3CDTF">2022-04-11T01:21:00Z</dcterms:created>
  <dcterms:modified xsi:type="dcterms:W3CDTF">2022-04-11T01:21:00Z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RecordPoint_WorkflowType">
    <vt:lpwstr>ActiveSubmitStub</vt:lpwstr>
  </property>
  <property fmtid="{D5CDD505-2E9C-101B-9397-08002B2CF9AE}" pid="4" name="RecordPoint_ActiveItemSiteId">
    <vt:lpwstr>{dffa6fb6-23dc-456f-b4cb-39af6fbcb9f1}</vt:lpwstr>
  </property>
  <property fmtid="{D5CDD505-2E9C-101B-9397-08002B2CF9AE}" pid="5" name="RecordPoint_ActiveItemListId">
    <vt:lpwstr>{9eca7e2c-3a9d-4c89-8e45-0810a10f50a4}</vt:lpwstr>
  </property>
  <property fmtid="{D5CDD505-2E9C-101B-9397-08002B2CF9AE}" pid="6" name="RecordPoint_ActiveItemUniqueId">
    <vt:lpwstr>{40077500-190c-47ef-9f3b-b5f61d881b07}</vt:lpwstr>
  </property>
  <property fmtid="{D5CDD505-2E9C-101B-9397-08002B2CF9AE}" pid="7" name="RecordPoint_ActiveItemWebId">
    <vt:lpwstr>{d900d883-7851-47f8-a17c-4a00d21ab75f}</vt:lpwstr>
  </property>
  <property fmtid="{D5CDD505-2E9C-101B-9397-08002B2CF9AE}" pid="8" name="DET_EDRMS_RCS">
    <vt:lpwstr>2;#13.1.1 Outward Facing Policy|c167ca3e-8c60-41a9-853e-4dd20761c000</vt:lpwstr>
  </property>
  <property fmtid="{D5CDD505-2E9C-101B-9397-08002B2CF9AE}" pid="9" name="RecordPoint_SubmissionDate">
    <vt:lpwstr/>
  </property>
  <property fmtid="{D5CDD505-2E9C-101B-9397-08002B2CF9AE}" pid="10" name="RecordPoint_RecordNumberSubmitted">
    <vt:lpwstr/>
  </property>
  <property fmtid="{D5CDD505-2E9C-101B-9397-08002B2CF9AE}" pid="11" name="RecordPoint_ActiveItemMoved">
    <vt:lpwstr/>
  </property>
  <property fmtid="{D5CDD505-2E9C-101B-9397-08002B2CF9AE}" pid="12" name="RecordPoint_RecordFormat">
    <vt:lpwstr/>
  </property>
  <property fmtid="{D5CDD505-2E9C-101B-9397-08002B2CF9AE}" pid="13" name="RecordPoint_SubmissionCompleted">
    <vt:lpwstr/>
  </property>
  <property fmtid="{D5CDD505-2E9C-101B-9397-08002B2CF9AE}" pid="14" name="DET_EDRMS_BusUnit">
    <vt:lpwstr/>
  </property>
  <property fmtid="{D5CDD505-2E9C-101B-9397-08002B2CF9AE}" pid="15" name="DET_EDRMS_SecClass">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