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A1C1E" w14:textId="73548950" w:rsidR="00DC5B1F" w:rsidRDefault="00DC5B1F" w:rsidP="00DC5B1F">
      <w:pPr>
        <w:pStyle w:val="Title"/>
        <w:jc w:val="center"/>
        <w:rPr>
          <w:rFonts w:eastAsia="Times New Roman"/>
          <w:lang w:val="en" w:eastAsia="en-AU"/>
        </w:rPr>
      </w:pPr>
      <w:bookmarkStart w:id="0" w:name="_top"/>
      <w:bookmarkEnd w:id="0"/>
    </w:p>
    <w:p w14:paraId="02B8CC95" w14:textId="77777777" w:rsidR="00DC5B1F" w:rsidRDefault="00DC5B1F" w:rsidP="00DC5B1F">
      <w:pPr>
        <w:pStyle w:val="Title"/>
        <w:jc w:val="center"/>
        <w:rPr>
          <w:rFonts w:eastAsia="Times New Roman"/>
          <w:lang w:val="en" w:eastAsia="en-AU"/>
        </w:rPr>
      </w:pPr>
    </w:p>
    <w:p w14:paraId="71DAA91D" w14:textId="77777777" w:rsidR="00DC5B1F" w:rsidRDefault="00DC5B1F" w:rsidP="00DC5B1F">
      <w:pPr>
        <w:pStyle w:val="Title"/>
        <w:jc w:val="center"/>
        <w:rPr>
          <w:rFonts w:eastAsia="Times New Roman"/>
          <w:lang w:val="en" w:eastAsia="en-AU"/>
        </w:rPr>
      </w:pPr>
    </w:p>
    <w:p w14:paraId="6E91CA9D" w14:textId="77777777" w:rsidR="00DC5B1F" w:rsidRDefault="00DC5B1F" w:rsidP="00DC5B1F">
      <w:pPr>
        <w:pStyle w:val="Title"/>
        <w:jc w:val="center"/>
        <w:rPr>
          <w:rFonts w:eastAsia="Times New Roman"/>
          <w:lang w:val="en" w:eastAsia="en-AU"/>
        </w:rPr>
      </w:pPr>
    </w:p>
    <w:p w14:paraId="09B9F509" w14:textId="77777777" w:rsidR="00DC5B1F" w:rsidRDefault="00DC5B1F" w:rsidP="00DC5B1F">
      <w:pPr>
        <w:pStyle w:val="Title"/>
        <w:jc w:val="center"/>
        <w:rPr>
          <w:rFonts w:eastAsia="Times New Roman"/>
          <w:lang w:val="en" w:eastAsia="en-AU"/>
        </w:rPr>
      </w:pPr>
    </w:p>
    <w:p w14:paraId="3C2D92B9" w14:textId="77777777" w:rsidR="00DC5B1F" w:rsidRDefault="00DC5B1F" w:rsidP="00DC5B1F">
      <w:pPr>
        <w:pStyle w:val="Title"/>
        <w:jc w:val="center"/>
        <w:rPr>
          <w:rFonts w:eastAsia="Times New Roman"/>
          <w:lang w:val="en" w:eastAsia="en-AU"/>
        </w:rPr>
      </w:pPr>
    </w:p>
    <w:p w14:paraId="5240BABF" w14:textId="77777777" w:rsidR="00DC5B1F" w:rsidRDefault="00DC5B1F" w:rsidP="00DC5B1F">
      <w:pPr>
        <w:pStyle w:val="Title"/>
        <w:jc w:val="center"/>
        <w:rPr>
          <w:rFonts w:eastAsia="Times New Roman"/>
          <w:lang w:val="en" w:eastAsia="en-AU"/>
        </w:rPr>
      </w:pPr>
    </w:p>
    <w:p w14:paraId="44017019" w14:textId="36978441" w:rsidR="00DC5B1F" w:rsidRDefault="00DC5B1F" w:rsidP="00C13317">
      <w:pPr>
        <w:pStyle w:val="Title"/>
        <w:tabs>
          <w:tab w:val="left" w:pos="5715"/>
        </w:tabs>
        <w:jc w:val="center"/>
        <w:rPr>
          <w:rFonts w:eastAsia="Times New Roman"/>
          <w:lang w:val="en" w:eastAsia="en-AU"/>
        </w:rPr>
      </w:pPr>
    </w:p>
    <w:p w14:paraId="3FD14CF6" w14:textId="2BB537A9" w:rsidR="004E59C0" w:rsidRPr="004D307F" w:rsidRDefault="002A5C97" w:rsidP="00AA54CC">
      <w:pPr>
        <w:pStyle w:val="Title"/>
        <w:jc w:val="center"/>
        <w:rPr>
          <w:rFonts w:eastAsia="Times New Roman"/>
          <w:b/>
          <w:bCs/>
          <w:color w:val="323E4F" w:themeColor="text2" w:themeShade="BF"/>
          <w:sz w:val="72"/>
          <w:szCs w:val="72"/>
          <w:lang w:val="en" w:eastAsia="en-AU"/>
        </w:rPr>
      </w:pPr>
      <w:r w:rsidRPr="004D307F">
        <w:rPr>
          <w:rFonts w:eastAsia="Times New Roman"/>
          <w:b/>
          <w:bCs/>
          <w:color w:val="323E4F" w:themeColor="text2" w:themeShade="BF"/>
          <w:sz w:val="72"/>
          <w:szCs w:val="72"/>
          <w:lang w:val="en" w:eastAsia="en-AU"/>
        </w:rPr>
        <w:t>202</w:t>
      </w:r>
      <w:r w:rsidR="00845A32" w:rsidRPr="004D307F">
        <w:rPr>
          <w:rFonts w:eastAsia="Times New Roman"/>
          <w:b/>
          <w:bCs/>
          <w:color w:val="323E4F" w:themeColor="text2" w:themeShade="BF"/>
          <w:sz w:val="72"/>
          <w:szCs w:val="72"/>
          <w:lang w:val="en" w:eastAsia="en-AU"/>
        </w:rPr>
        <w:t>2</w:t>
      </w:r>
      <w:r w:rsidRPr="004D307F">
        <w:rPr>
          <w:rFonts w:eastAsia="Times New Roman"/>
          <w:b/>
          <w:bCs/>
          <w:color w:val="323E4F" w:themeColor="text2" w:themeShade="BF"/>
          <w:sz w:val="72"/>
          <w:szCs w:val="72"/>
          <w:lang w:val="en" w:eastAsia="en-AU"/>
        </w:rPr>
        <w:t xml:space="preserve"> </w:t>
      </w:r>
      <w:r w:rsidR="005F6D7A">
        <w:rPr>
          <w:rFonts w:eastAsia="Times New Roman"/>
          <w:b/>
          <w:bCs/>
          <w:color w:val="323E4F" w:themeColor="text2" w:themeShade="BF"/>
          <w:sz w:val="72"/>
          <w:szCs w:val="72"/>
          <w:lang w:val="en" w:eastAsia="en-AU"/>
        </w:rPr>
        <w:t>REVISED</w:t>
      </w:r>
      <w:r w:rsidR="005F6D7A" w:rsidRPr="004D307F">
        <w:rPr>
          <w:rFonts w:eastAsia="Times New Roman"/>
          <w:b/>
          <w:bCs/>
          <w:color w:val="323E4F" w:themeColor="text2" w:themeShade="BF"/>
          <w:sz w:val="72"/>
          <w:szCs w:val="72"/>
          <w:lang w:val="en" w:eastAsia="en-AU"/>
        </w:rPr>
        <w:t xml:space="preserve"> </w:t>
      </w:r>
    </w:p>
    <w:p w14:paraId="02E21818" w14:textId="77777777" w:rsidR="00C13317" w:rsidRDefault="001E6AD4" w:rsidP="00C13317">
      <w:pPr>
        <w:pStyle w:val="Title"/>
        <w:jc w:val="center"/>
        <w:rPr>
          <w:lang w:val="en" w:eastAsia="en-AU"/>
        </w:rPr>
      </w:pPr>
      <w:r w:rsidRPr="004D307F">
        <w:rPr>
          <w:rFonts w:eastAsia="Times New Roman"/>
          <w:b/>
          <w:bCs/>
          <w:color w:val="323E4F" w:themeColor="text2" w:themeShade="BF"/>
          <w:sz w:val="72"/>
          <w:szCs w:val="72"/>
          <w:lang w:val="en" w:eastAsia="en-AU"/>
        </w:rPr>
        <w:t>STUDENT RESOURCE PACKAGE</w:t>
      </w:r>
      <w:r w:rsidR="00194BEE" w:rsidRPr="004D307F">
        <w:rPr>
          <w:rFonts w:eastAsia="Times New Roman"/>
          <w:b/>
          <w:bCs/>
          <w:color w:val="323E4F" w:themeColor="text2" w:themeShade="BF"/>
          <w:sz w:val="72"/>
          <w:szCs w:val="72"/>
          <w:lang w:val="en" w:eastAsia="en-AU"/>
        </w:rPr>
        <w:t xml:space="preserve"> GUIDE </w:t>
      </w:r>
      <w:r w:rsidRPr="004D307F">
        <w:rPr>
          <w:rFonts w:eastAsia="Times New Roman"/>
          <w:b/>
          <w:bCs/>
          <w:sz w:val="72"/>
          <w:szCs w:val="72"/>
          <w:lang w:val="en" w:eastAsia="en-AU"/>
        </w:rPr>
        <w:br/>
      </w:r>
    </w:p>
    <w:p w14:paraId="67918995" w14:textId="5B41B5A3" w:rsidR="00C13317" w:rsidRDefault="00C13317" w:rsidP="00C13317">
      <w:pPr>
        <w:pStyle w:val="Title"/>
        <w:jc w:val="center"/>
        <w:rPr>
          <w:lang w:val="en" w:eastAsia="en-AU"/>
        </w:rPr>
      </w:pPr>
      <w:r>
        <w:rPr>
          <w:lang w:val="en" w:eastAsia="en-AU"/>
        </w:rPr>
        <w:br w:type="page"/>
      </w:r>
    </w:p>
    <w:p w14:paraId="56ED9C61" w14:textId="0A77E11E" w:rsidR="00DC5B1F" w:rsidRPr="004D307F" w:rsidRDefault="00DC5B1F" w:rsidP="001E6AD4">
      <w:pPr>
        <w:rPr>
          <w:lang w:val="en" w:eastAsia="en-AU"/>
        </w:rPr>
      </w:pPr>
    </w:p>
    <w:sdt>
      <w:sdtPr>
        <w:rPr>
          <w:rFonts w:asciiTheme="minorHAnsi" w:eastAsiaTheme="minorHAnsi" w:hAnsiTheme="minorHAnsi" w:cstheme="minorBidi"/>
          <w:color w:val="000000"/>
          <w:sz w:val="22"/>
          <w:szCs w:val="22"/>
          <w:lang w:val="en-AU"/>
          <w14:textFill>
            <w14:solidFill>
              <w14:srgbClr w14:val="000000">
                <w14:lumMod w14:val="75000"/>
              </w14:srgbClr>
            </w14:solidFill>
          </w14:textFill>
        </w:rPr>
        <w:id w:val="84042412"/>
        <w:docPartObj>
          <w:docPartGallery w:val="Table of Contents"/>
          <w:docPartUnique/>
        </w:docPartObj>
      </w:sdtPr>
      <w:sdtEndPr>
        <w:rPr>
          <w:b/>
          <w:bCs/>
          <w:noProof/>
        </w:rPr>
      </w:sdtEndPr>
      <w:sdtContent>
        <w:p w14:paraId="1DBFF339" w14:textId="7A64A7AB" w:rsidR="00787CC6" w:rsidRPr="004D307F" w:rsidRDefault="00787CC6" w:rsidP="000F3581">
          <w:pPr>
            <w:pStyle w:val="TOCHeading"/>
          </w:pPr>
          <w:r w:rsidRPr="004D307F">
            <w:t>Contents</w:t>
          </w:r>
        </w:p>
        <w:p w14:paraId="3BA8A703" w14:textId="3C9952AE" w:rsidR="00B43F3D" w:rsidRDefault="007016CD">
          <w:pPr>
            <w:pStyle w:val="TOC1"/>
            <w:rPr>
              <w:rFonts w:eastAsiaTheme="minorEastAsia"/>
              <w:noProof/>
              <w:lang w:eastAsia="en-AU"/>
            </w:rPr>
          </w:pPr>
          <w:r w:rsidRPr="004D307F">
            <w:rPr>
              <w:color w:val="222A35" w:themeColor="text2" w:themeShade="80"/>
            </w:rPr>
            <w:fldChar w:fldCharType="begin"/>
          </w:r>
          <w:r w:rsidRPr="004D307F">
            <w:rPr>
              <w:color w:val="222A35" w:themeColor="text2" w:themeShade="80"/>
            </w:rPr>
            <w:instrText xml:space="preserve"> TOC \o "1-2" \h \z </w:instrText>
          </w:r>
          <w:r w:rsidRPr="004D307F">
            <w:rPr>
              <w:color w:val="222A35" w:themeColor="text2" w:themeShade="80"/>
            </w:rPr>
            <w:fldChar w:fldCharType="separate"/>
          </w:r>
          <w:hyperlink w:anchor="_Toc106793738" w:history="1">
            <w:r w:rsidR="00B43F3D" w:rsidRPr="007C30AD">
              <w:rPr>
                <w:rStyle w:val="Hyperlink"/>
                <w:noProof/>
                <w:lang w:val="en"/>
              </w:rPr>
              <w:t>Core Student Learning Allocation funding (Student Based Funding)</w:t>
            </w:r>
            <w:r w:rsidR="00B43F3D">
              <w:rPr>
                <w:noProof/>
                <w:webHidden/>
              </w:rPr>
              <w:tab/>
            </w:r>
            <w:r w:rsidR="00B43F3D">
              <w:rPr>
                <w:noProof/>
                <w:webHidden/>
              </w:rPr>
              <w:fldChar w:fldCharType="begin"/>
            </w:r>
            <w:r w:rsidR="00B43F3D">
              <w:rPr>
                <w:noProof/>
                <w:webHidden/>
              </w:rPr>
              <w:instrText xml:space="preserve"> PAGEREF _Toc106793738 \h </w:instrText>
            </w:r>
            <w:r w:rsidR="00B43F3D">
              <w:rPr>
                <w:noProof/>
                <w:webHidden/>
              </w:rPr>
            </w:r>
            <w:r w:rsidR="00B43F3D">
              <w:rPr>
                <w:noProof/>
                <w:webHidden/>
              </w:rPr>
              <w:fldChar w:fldCharType="separate"/>
            </w:r>
            <w:r w:rsidR="00B43F3D">
              <w:rPr>
                <w:noProof/>
                <w:webHidden/>
              </w:rPr>
              <w:t>5</w:t>
            </w:r>
            <w:r w:rsidR="00B43F3D">
              <w:rPr>
                <w:noProof/>
                <w:webHidden/>
              </w:rPr>
              <w:fldChar w:fldCharType="end"/>
            </w:r>
          </w:hyperlink>
        </w:p>
        <w:p w14:paraId="501BFEF9" w14:textId="0C6BDE28" w:rsidR="00B43F3D" w:rsidRDefault="00B43F3D">
          <w:pPr>
            <w:pStyle w:val="TOC2"/>
            <w:rPr>
              <w:rFonts w:eastAsiaTheme="minorEastAsia"/>
              <w:noProof/>
              <w:lang w:eastAsia="en-AU"/>
            </w:rPr>
          </w:pPr>
          <w:hyperlink w:anchor="_Toc106793739" w:history="1">
            <w:r w:rsidRPr="007C30AD">
              <w:rPr>
                <w:rStyle w:val="Hyperlink"/>
                <w:noProof/>
              </w:rPr>
              <w:t>Student per capita Funding Years Prep-12 Students (Reference 1)</w:t>
            </w:r>
            <w:r>
              <w:rPr>
                <w:noProof/>
                <w:webHidden/>
              </w:rPr>
              <w:tab/>
            </w:r>
            <w:r>
              <w:rPr>
                <w:noProof/>
                <w:webHidden/>
              </w:rPr>
              <w:fldChar w:fldCharType="begin"/>
            </w:r>
            <w:r>
              <w:rPr>
                <w:noProof/>
                <w:webHidden/>
              </w:rPr>
              <w:instrText xml:space="preserve"> PAGEREF _Toc106793739 \h </w:instrText>
            </w:r>
            <w:r>
              <w:rPr>
                <w:noProof/>
                <w:webHidden/>
              </w:rPr>
            </w:r>
            <w:r>
              <w:rPr>
                <w:noProof/>
                <w:webHidden/>
              </w:rPr>
              <w:fldChar w:fldCharType="separate"/>
            </w:r>
            <w:r>
              <w:rPr>
                <w:noProof/>
                <w:webHidden/>
              </w:rPr>
              <w:t>7</w:t>
            </w:r>
            <w:r>
              <w:rPr>
                <w:noProof/>
                <w:webHidden/>
              </w:rPr>
              <w:fldChar w:fldCharType="end"/>
            </w:r>
          </w:hyperlink>
        </w:p>
        <w:p w14:paraId="5D116AFA" w14:textId="00A40F81" w:rsidR="00B43F3D" w:rsidRDefault="00B43F3D">
          <w:pPr>
            <w:pStyle w:val="TOC2"/>
            <w:rPr>
              <w:rFonts w:eastAsiaTheme="minorEastAsia"/>
              <w:noProof/>
              <w:lang w:eastAsia="en-AU"/>
            </w:rPr>
          </w:pPr>
          <w:hyperlink w:anchor="_Toc106793740" w:history="1">
            <w:r w:rsidRPr="007C30AD">
              <w:rPr>
                <w:rStyle w:val="Hyperlink"/>
                <w:noProof/>
              </w:rPr>
              <w:t>Enrolment Linked Base (Reference 2)</w:t>
            </w:r>
            <w:r>
              <w:rPr>
                <w:noProof/>
                <w:webHidden/>
              </w:rPr>
              <w:tab/>
            </w:r>
            <w:r>
              <w:rPr>
                <w:noProof/>
                <w:webHidden/>
              </w:rPr>
              <w:fldChar w:fldCharType="begin"/>
            </w:r>
            <w:r>
              <w:rPr>
                <w:noProof/>
                <w:webHidden/>
              </w:rPr>
              <w:instrText xml:space="preserve"> PAGEREF _Toc106793740 \h </w:instrText>
            </w:r>
            <w:r>
              <w:rPr>
                <w:noProof/>
                <w:webHidden/>
              </w:rPr>
            </w:r>
            <w:r>
              <w:rPr>
                <w:noProof/>
                <w:webHidden/>
              </w:rPr>
              <w:fldChar w:fldCharType="separate"/>
            </w:r>
            <w:r>
              <w:rPr>
                <w:noProof/>
                <w:webHidden/>
              </w:rPr>
              <w:t>8</w:t>
            </w:r>
            <w:r>
              <w:rPr>
                <w:noProof/>
                <w:webHidden/>
              </w:rPr>
              <w:fldChar w:fldCharType="end"/>
            </w:r>
          </w:hyperlink>
        </w:p>
        <w:p w14:paraId="0041CE78" w14:textId="2C4A876E" w:rsidR="00B43F3D" w:rsidRDefault="00B43F3D">
          <w:pPr>
            <w:pStyle w:val="TOC2"/>
            <w:rPr>
              <w:rFonts w:eastAsiaTheme="minorEastAsia"/>
              <w:noProof/>
              <w:lang w:eastAsia="en-AU"/>
            </w:rPr>
          </w:pPr>
          <w:hyperlink w:anchor="_Toc106793741" w:history="1">
            <w:r w:rsidRPr="007C30AD">
              <w:rPr>
                <w:rStyle w:val="Hyperlink"/>
                <w:noProof/>
              </w:rPr>
              <w:t>Small School Base (Reference 3)</w:t>
            </w:r>
            <w:r>
              <w:rPr>
                <w:noProof/>
                <w:webHidden/>
              </w:rPr>
              <w:tab/>
            </w:r>
            <w:r>
              <w:rPr>
                <w:noProof/>
                <w:webHidden/>
              </w:rPr>
              <w:fldChar w:fldCharType="begin"/>
            </w:r>
            <w:r>
              <w:rPr>
                <w:noProof/>
                <w:webHidden/>
              </w:rPr>
              <w:instrText xml:space="preserve"> PAGEREF _Toc106793741 \h </w:instrText>
            </w:r>
            <w:r>
              <w:rPr>
                <w:noProof/>
                <w:webHidden/>
              </w:rPr>
            </w:r>
            <w:r>
              <w:rPr>
                <w:noProof/>
                <w:webHidden/>
              </w:rPr>
              <w:fldChar w:fldCharType="separate"/>
            </w:r>
            <w:r>
              <w:rPr>
                <w:noProof/>
                <w:webHidden/>
              </w:rPr>
              <w:t>10</w:t>
            </w:r>
            <w:r>
              <w:rPr>
                <w:noProof/>
                <w:webHidden/>
              </w:rPr>
              <w:fldChar w:fldCharType="end"/>
            </w:r>
          </w:hyperlink>
        </w:p>
        <w:p w14:paraId="779A764E" w14:textId="53749CE8" w:rsidR="00B43F3D" w:rsidRDefault="00B43F3D">
          <w:pPr>
            <w:pStyle w:val="TOC2"/>
            <w:rPr>
              <w:rFonts w:eastAsiaTheme="minorEastAsia"/>
              <w:noProof/>
              <w:lang w:eastAsia="en-AU"/>
            </w:rPr>
          </w:pPr>
          <w:hyperlink w:anchor="_Toc106793742" w:history="1">
            <w:r w:rsidRPr="007C30AD">
              <w:rPr>
                <w:rStyle w:val="Hyperlink"/>
                <w:noProof/>
              </w:rPr>
              <w:t>Rural School Size Adjustment Factor (Reference 4)</w:t>
            </w:r>
            <w:r>
              <w:rPr>
                <w:noProof/>
                <w:webHidden/>
              </w:rPr>
              <w:tab/>
            </w:r>
            <w:r>
              <w:rPr>
                <w:noProof/>
                <w:webHidden/>
              </w:rPr>
              <w:fldChar w:fldCharType="begin"/>
            </w:r>
            <w:r>
              <w:rPr>
                <w:noProof/>
                <w:webHidden/>
              </w:rPr>
              <w:instrText xml:space="preserve"> PAGEREF _Toc106793742 \h </w:instrText>
            </w:r>
            <w:r>
              <w:rPr>
                <w:noProof/>
                <w:webHidden/>
              </w:rPr>
            </w:r>
            <w:r>
              <w:rPr>
                <w:noProof/>
                <w:webHidden/>
              </w:rPr>
              <w:fldChar w:fldCharType="separate"/>
            </w:r>
            <w:r>
              <w:rPr>
                <w:noProof/>
                <w:webHidden/>
              </w:rPr>
              <w:t>12</w:t>
            </w:r>
            <w:r>
              <w:rPr>
                <w:noProof/>
                <w:webHidden/>
              </w:rPr>
              <w:fldChar w:fldCharType="end"/>
            </w:r>
          </w:hyperlink>
        </w:p>
        <w:p w14:paraId="7BB98EB0" w14:textId="55CC6B2A" w:rsidR="00B43F3D" w:rsidRDefault="00B43F3D">
          <w:pPr>
            <w:pStyle w:val="TOC2"/>
            <w:rPr>
              <w:rFonts w:eastAsiaTheme="minorEastAsia"/>
              <w:noProof/>
              <w:lang w:eastAsia="en-AU"/>
            </w:rPr>
          </w:pPr>
          <w:hyperlink w:anchor="_Toc106793743" w:history="1">
            <w:r w:rsidRPr="007C30AD">
              <w:rPr>
                <w:rStyle w:val="Hyperlink"/>
                <w:noProof/>
              </w:rPr>
              <w:t>Core Index Stages 1-3 (Reference 5)</w:t>
            </w:r>
            <w:r>
              <w:rPr>
                <w:noProof/>
                <w:webHidden/>
              </w:rPr>
              <w:tab/>
            </w:r>
            <w:r>
              <w:rPr>
                <w:noProof/>
                <w:webHidden/>
              </w:rPr>
              <w:fldChar w:fldCharType="begin"/>
            </w:r>
            <w:r>
              <w:rPr>
                <w:noProof/>
                <w:webHidden/>
              </w:rPr>
              <w:instrText xml:space="preserve"> PAGEREF _Toc106793743 \h </w:instrText>
            </w:r>
            <w:r>
              <w:rPr>
                <w:noProof/>
                <w:webHidden/>
              </w:rPr>
            </w:r>
            <w:r>
              <w:rPr>
                <w:noProof/>
                <w:webHidden/>
              </w:rPr>
              <w:fldChar w:fldCharType="separate"/>
            </w:r>
            <w:r>
              <w:rPr>
                <w:noProof/>
                <w:webHidden/>
              </w:rPr>
              <w:t>15</w:t>
            </w:r>
            <w:r>
              <w:rPr>
                <w:noProof/>
                <w:webHidden/>
              </w:rPr>
              <w:fldChar w:fldCharType="end"/>
            </w:r>
          </w:hyperlink>
        </w:p>
        <w:p w14:paraId="18A3E403" w14:textId="1753D781" w:rsidR="00B43F3D" w:rsidRDefault="00B43F3D">
          <w:pPr>
            <w:pStyle w:val="TOC2"/>
            <w:rPr>
              <w:rFonts w:eastAsiaTheme="minorEastAsia"/>
              <w:noProof/>
              <w:lang w:eastAsia="en-AU"/>
            </w:rPr>
          </w:pPr>
          <w:hyperlink w:anchor="_Toc106793744" w:history="1">
            <w:r w:rsidRPr="007C30AD">
              <w:rPr>
                <w:rStyle w:val="Hyperlink"/>
                <w:noProof/>
              </w:rPr>
              <w:t>Size Adjustment Supplementation (Reference 6)</w:t>
            </w:r>
            <w:r>
              <w:rPr>
                <w:noProof/>
                <w:webHidden/>
              </w:rPr>
              <w:tab/>
            </w:r>
            <w:r>
              <w:rPr>
                <w:noProof/>
                <w:webHidden/>
              </w:rPr>
              <w:fldChar w:fldCharType="begin"/>
            </w:r>
            <w:r>
              <w:rPr>
                <w:noProof/>
                <w:webHidden/>
              </w:rPr>
              <w:instrText xml:space="preserve"> PAGEREF _Toc106793744 \h </w:instrText>
            </w:r>
            <w:r>
              <w:rPr>
                <w:noProof/>
                <w:webHidden/>
              </w:rPr>
            </w:r>
            <w:r>
              <w:rPr>
                <w:noProof/>
                <w:webHidden/>
              </w:rPr>
              <w:fldChar w:fldCharType="separate"/>
            </w:r>
            <w:r>
              <w:rPr>
                <w:noProof/>
                <w:webHidden/>
              </w:rPr>
              <w:t>17</w:t>
            </w:r>
            <w:r>
              <w:rPr>
                <w:noProof/>
                <w:webHidden/>
              </w:rPr>
              <w:fldChar w:fldCharType="end"/>
            </w:r>
          </w:hyperlink>
        </w:p>
        <w:p w14:paraId="626EF41F" w14:textId="2AC4B067" w:rsidR="00B43F3D" w:rsidRDefault="00B43F3D">
          <w:pPr>
            <w:pStyle w:val="TOC2"/>
            <w:rPr>
              <w:rFonts w:eastAsiaTheme="minorEastAsia"/>
              <w:noProof/>
              <w:lang w:eastAsia="en-AU"/>
            </w:rPr>
          </w:pPr>
          <w:hyperlink w:anchor="_Toc106793745" w:history="1">
            <w:r w:rsidRPr="007C30AD">
              <w:rPr>
                <w:rStyle w:val="Hyperlink"/>
                <w:noProof/>
              </w:rPr>
              <w:t>Approved Early Education Program (Reference 7)</w:t>
            </w:r>
            <w:r>
              <w:rPr>
                <w:noProof/>
                <w:webHidden/>
              </w:rPr>
              <w:tab/>
            </w:r>
            <w:r>
              <w:rPr>
                <w:noProof/>
                <w:webHidden/>
              </w:rPr>
              <w:fldChar w:fldCharType="begin"/>
            </w:r>
            <w:r>
              <w:rPr>
                <w:noProof/>
                <w:webHidden/>
              </w:rPr>
              <w:instrText xml:space="preserve"> PAGEREF _Toc106793745 \h </w:instrText>
            </w:r>
            <w:r>
              <w:rPr>
                <w:noProof/>
                <w:webHidden/>
              </w:rPr>
            </w:r>
            <w:r>
              <w:rPr>
                <w:noProof/>
                <w:webHidden/>
              </w:rPr>
              <w:fldChar w:fldCharType="separate"/>
            </w:r>
            <w:r>
              <w:rPr>
                <w:noProof/>
                <w:webHidden/>
              </w:rPr>
              <w:t>18</w:t>
            </w:r>
            <w:r>
              <w:rPr>
                <w:noProof/>
                <w:webHidden/>
              </w:rPr>
              <w:fldChar w:fldCharType="end"/>
            </w:r>
          </w:hyperlink>
        </w:p>
        <w:p w14:paraId="55982978" w14:textId="16538A65" w:rsidR="00B43F3D" w:rsidRDefault="00B43F3D">
          <w:pPr>
            <w:pStyle w:val="TOC2"/>
            <w:rPr>
              <w:rFonts w:eastAsiaTheme="minorEastAsia"/>
              <w:noProof/>
              <w:lang w:eastAsia="en-AU"/>
            </w:rPr>
          </w:pPr>
          <w:hyperlink w:anchor="_Toc106793746" w:history="1">
            <w:r w:rsidRPr="007C30AD">
              <w:rPr>
                <w:rStyle w:val="Hyperlink"/>
                <w:noProof/>
              </w:rPr>
              <w:t>Principal Salary Adjustment (Reference 8)</w:t>
            </w:r>
            <w:r>
              <w:rPr>
                <w:noProof/>
                <w:webHidden/>
              </w:rPr>
              <w:tab/>
            </w:r>
            <w:r>
              <w:rPr>
                <w:noProof/>
                <w:webHidden/>
              </w:rPr>
              <w:fldChar w:fldCharType="begin"/>
            </w:r>
            <w:r>
              <w:rPr>
                <w:noProof/>
                <w:webHidden/>
              </w:rPr>
              <w:instrText xml:space="preserve"> PAGEREF _Toc106793746 \h </w:instrText>
            </w:r>
            <w:r>
              <w:rPr>
                <w:noProof/>
                <w:webHidden/>
              </w:rPr>
            </w:r>
            <w:r>
              <w:rPr>
                <w:noProof/>
                <w:webHidden/>
              </w:rPr>
              <w:fldChar w:fldCharType="separate"/>
            </w:r>
            <w:r>
              <w:rPr>
                <w:noProof/>
                <w:webHidden/>
              </w:rPr>
              <w:t>19</w:t>
            </w:r>
            <w:r>
              <w:rPr>
                <w:noProof/>
                <w:webHidden/>
              </w:rPr>
              <w:fldChar w:fldCharType="end"/>
            </w:r>
          </w:hyperlink>
        </w:p>
        <w:p w14:paraId="497BC320" w14:textId="434B9448" w:rsidR="00B43F3D" w:rsidRDefault="00B43F3D">
          <w:pPr>
            <w:pStyle w:val="TOC2"/>
            <w:rPr>
              <w:rFonts w:eastAsiaTheme="minorEastAsia"/>
              <w:noProof/>
              <w:lang w:eastAsia="en-AU"/>
            </w:rPr>
          </w:pPr>
          <w:hyperlink w:anchor="_Toc106793747" w:history="1">
            <w:r w:rsidRPr="007C30AD">
              <w:rPr>
                <w:rStyle w:val="Hyperlink"/>
                <w:noProof/>
              </w:rPr>
              <w:t>Language and Learning Disabilities Support Program (Reference 10)</w:t>
            </w:r>
            <w:r>
              <w:rPr>
                <w:noProof/>
                <w:webHidden/>
              </w:rPr>
              <w:tab/>
            </w:r>
            <w:r>
              <w:rPr>
                <w:noProof/>
                <w:webHidden/>
              </w:rPr>
              <w:fldChar w:fldCharType="begin"/>
            </w:r>
            <w:r>
              <w:rPr>
                <w:noProof/>
                <w:webHidden/>
              </w:rPr>
              <w:instrText xml:space="preserve"> PAGEREF _Toc106793747 \h </w:instrText>
            </w:r>
            <w:r>
              <w:rPr>
                <w:noProof/>
                <w:webHidden/>
              </w:rPr>
            </w:r>
            <w:r>
              <w:rPr>
                <w:noProof/>
                <w:webHidden/>
              </w:rPr>
              <w:fldChar w:fldCharType="separate"/>
            </w:r>
            <w:r>
              <w:rPr>
                <w:noProof/>
                <w:webHidden/>
              </w:rPr>
              <w:t>20</w:t>
            </w:r>
            <w:r>
              <w:rPr>
                <w:noProof/>
                <w:webHidden/>
              </w:rPr>
              <w:fldChar w:fldCharType="end"/>
            </w:r>
          </w:hyperlink>
        </w:p>
        <w:p w14:paraId="2BF976FF" w14:textId="4CA9470A" w:rsidR="00B43F3D" w:rsidRDefault="00B43F3D">
          <w:pPr>
            <w:pStyle w:val="TOC2"/>
            <w:rPr>
              <w:rFonts w:eastAsiaTheme="minorEastAsia"/>
              <w:noProof/>
              <w:lang w:eastAsia="en-AU"/>
            </w:rPr>
          </w:pPr>
          <w:hyperlink w:anchor="_Toc106793748" w:history="1">
            <w:r w:rsidRPr="007C30AD">
              <w:rPr>
                <w:rStyle w:val="Hyperlink"/>
                <w:noProof/>
              </w:rPr>
              <w:t>Mental Health Practitioners (Reference 119)</w:t>
            </w:r>
            <w:r>
              <w:rPr>
                <w:noProof/>
                <w:webHidden/>
              </w:rPr>
              <w:tab/>
            </w:r>
            <w:r>
              <w:rPr>
                <w:noProof/>
                <w:webHidden/>
              </w:rPr>
              <w:fldChar w:fldCharType="begin"/>
            </w:r>
            <w:r>
              <w:rPr>
                <w:noProof/>
                <w:webHidden/>
              </w:rPr>
              <w:instrText xml:space="preserve"> PAGEREF _Toc106793748 \h </w:instrText>
            </w:r>
            <w:r>
              <w:rPr>
                <w:noProof/>
                <w:webHidden/>
              </w:rPr>
            </w:r>
            <w:r>
              <w:rPr>
                <w:noProof/>
                <w:webHidden/>
              </w:rPr>
              <w:fldChar w:fldCharType="separate"/>
            </w:r>
            <w:r>
              <w:rPr>
                <w:noProof/>
                <w:webHidden/>
              </w:rPr>
              <w:t>23</w:t>
            </w:r>
            <w:r>
              <w:rPr>
                <w:noProof/>
                <w:webHidden/>
              </w:rPr>
              <w:fldChar w:fldCharType="end"/>
            </w:r>
          </w:hyperlink>
        </w:p>
        <w:p w14:paraId="1C56DC58" w14:textId="3860E029" w:rsidR="00B43F3D" w:rsidRDefault="00B43F3D">
          <w:pPr>
            <w:pStyle w:val="TOC1"/>
            <w:rPr>
              <w:rFonts w:eastAsiaTheme="minorEastAsia"/>
              <w:noProof/>
              <w:lang w:eastAsia="en-AU"/>
            </w:rPr>
          </w:pPr>
          <w:hyperlink w:anchor="_Toc106793749" w:history="1">
            <w:r w:rsidRPr="007C30AD">
              <w:rPr>
                <w:rStyle w:val="Hyperlink"/>
                <w:noProof/>
              </w:rPr>
              <w:t>Equity Funding (Student Based Funding)</w:t>
            </w:r>
            <w:r>
              <w:rPr>
                <w:noProof/>
                <w:webHidden/>
              </w:rPr>
              <w:tab/>
            </w:r>
            <w:r>
              <w:rPr>
                <w:noProof/>
                <w:webHidden/>
              </w:rPr>
              <w:fldChar w:fldCharType="begin"/>
            </w:r>
            <w:r>
              <w:rPr>
                <w:noProof/>
                <w:webHidden/>
              </w:rPr>
              <w:instrText xml:space="preserve"> PAGEREF _Toc106793749 \h </w:instrText>
            </w:r>
            <w:r>
              <w:rPr>
                <w:noProof/>
                <w:webHidden/>
              </w:rPr>
            </w:r>
            <w:r>
              <w:rPr>
                <w:noProof/>
                <w:webHidden/>
              </w:rPr>
              <w:fldChar w:fldCharType="separate"/>
            </w:r>
            <w:r>
              <w:rPr>
                <w:noProof/>
                <w:webHidden/>
              </w:rPr>
              <w:t>25</w:t>
            </w:r>
            <w:r>
              <w:rPr>
                <w:noProof/>
                <w:webHidden/>
              </w:rPr>
              <w:fldChar w:fldCharType="end"/>
            </w:r>
          </w:hyperlink>
        </w:p>
        <w:p w14:paraId="4B4FEF4A" w14:textId="0F03D879" w:rsidR="00B43F3D" w:rsidRDefault="00B43F3D">
          <w:pPr>
            <w:pStyle w:val="TOC2"/>
            <w:rPr>
              <w:rFonts w:eastAsiaTheme="minorEastAsia"/>
              <w:noProof/>
              <w:lang w:eastAsia="en-AU"/>
            </w:rPr>
          </w:pPr>
          <w:hyperlink w:anchor="_Toc106793750" w:history="1">
            <w:r w:rsidRPr="007C30AD">
              <w:rPr>
                <w:rStyle w:val="Hyperlink"/>
                <w:noProof/>
              </w:rPr>
              <w:t>Equity (Social Disadvantage) (Reference 11)</w:t>
            </w:r>
            <w:r>
              <w:rPr>
                <w:noProof/>
                <w:webHidden/>
              </w:rPr>
              <w:tab/>
            </w:r>
            <w:r>
              <w:rPr>
                <w:noProof/>
                <w:webHidden/>
              </w:rPr>
              <w:fldChar w:fldCharType="begin"/>
            </w:r>
            <w:r>
              <w:rPr>
                <w:noProof/>
                <w:webHidden/>
              </w:rPr>
              <w:instrText xml:space="preserve"> PAGEREF _Toc106793750 \h </w:instrText>
            </w:r>
            <w:r>
              <w:rPr>
                <w:noProof/>
                <w:webHidden/>
              </w:rPr>
            </w:r>
            <w:r>
              <w:rPr>
                <w:noProof/>
                <w:webHidden/>
              </w:rPr>
              <w:fldChar w:fldCharType="separate"/>
            </w:r>
            <w:r>
              <w:rPr>
                <w:noProof/>
                <w:webHidden/>
              </w:rPr>
              <w:t>28</w:t>
            </w:r>
            <w:r>
              <w:rPr>
                <w:noProof/>
                <w:webHidden/>
              </w:rPr>
              <w:fldChar w:fldCharType="end"/>
            </w:r>
          </w:hyperlink>
        </w:p>
        <w:p w14:paraId="549BC31F" w14:textId="1A80F201" w:rsidR="00B43F3D" w:rsidRDefault="00B43F3D">
          <w:pPr>
            <w:pStyle w:val="TOC2"/>
            <w:rPr>
              <w:rFonts w:eastAsiaTheme="minorEastAsia"/>
              <w:noProof/>
              <w:lang w:eastAsia="en-AU"/>
            </w:rPr>
          </w:pPr>
          <w:hyperlink w:anchor="_Toc106793751" w:history="1">
            <w:r w:rsidRPr="007C30AD">
              <w:rPr>
                <w:rStyle w:val="Hyperlink"/>
                <w:noProof/>
              </w:rPr>
              <w:t>Equity (Catch Up) (Reference 12)</w:t>
            </w:r>
            <w:r>
              <w:rPr>
                <w:noProof/>
                <w:webHidden/>
              </w:rPr>
              <w:tab/>
            </w:r>
            <w:r>
              <w:rPr>
                <w:noProof/>
                <w:webHidden/>
              </w:rPr>
              <w:fldChar w:fldCharType="begin"/>
            </w:r>
            <w:r>
              <w:rPr>
                <w:noProof/>
                <w:webHidden/>
              </w:rPr>
              <w:instrText xml:space="preserve"> PAGEREF _Toc106793751 \h </w:instrText>
            </w:r>
            <w:r>
              <w:rPr>
                <w:noProof/>
                <w:webHidden/>
              </w:rPr>
            </w:r>
            <w:r>
              <w:rPr>
                <w:noProof/>
                <w:webHidden/>
              </w:rPr>
              <w:fldChar w:fldCharType="separate"/>
            </w:r>
            <w:r>
              <w:rPr>
                <w:noProof/>
                <w:webHidden/>
              </w:rPr>
              <w:t>34</w:t>
            </w:r>
            <w:r>
              <w:rPr>
                <w:noProof/>
                <w:webHidden/>
              </w:rPr>
              <w:fldChar w:fldCharType="end"/>
            </w:r>
          </w:hyperlink>
        </w:p>
        <w:p w14:paraId="769962E9" w14:textId="38ADC3AA" w:rsidR="00B43F3D" w:rsidRDefault="00B43F3D">
          <w:pPr>
            <w:pStyle w:val="TOC2"/>
            <w:rPr>
              <w:rFonts w:eastAsiaTheme="minorEastAsia"/>
              <w:noProof/>
              <w:lang w:eastAsia="en-AU"/>
            </w:rPr>
          </w:pPr>
          <w:hyperlink w:anchor="_Toc106793752" w:history="1">
            <w:r w:rsidRPr="007C30AD">
              <w:rPr>
                <w:rStyle w:val="Hyperlink"/>
                <w:noProof/>
              </w:rPr>
              <w:t>Mobility (Reference 14)</w:t>
            </w:r>
            <w:r>
              <w:rPr>
                <w:noProof/>
                <w:webHidden/>
              </w:rPr>
              <w:tab/>
            </w:r>
            <w:r>
              <w:rPr>
                <w:noProof/>
                <w:webHidden/>
              </w:rPr>
              <w:fldChar w:fldCharType="begin"/>
            </w:r>
            <w:r>
              <w:rPr>
                <w:noProof/>
                <w:webHidden/>
              </w:rPr>
              <w:instrText xml:space="preserve"> PAGEREF _Toc106793752 \h </w:instrText>
            </w:r>
            <w:r>
              <w:rPr>
                <w:noProof/>
                <w:webHidden/>
              </w:rPr>
            </w:r>
            <w:r>
              <w:rPr>
                <w:noProof/>
                <w:webHidden/>
              </w:rPr>
              <w:fldChar w:fldCharType="separate"/>
            </w:r>
            <w:r>
              <w:rPr>
                <w:noProof/>
                <w:webHidden/>
              </w:rPr>
              <w:t>38</w:t>
            </w:r>
            <w:r>
              <w:rPr>
                <w:noProof/>
                <w:webHidden/>
              </w:rPr>
              <w:fldChar w:fldCharType="end"/>
            </w:r>
          </w:hyperlink>
        </w:p>
        <w:p w14:paraId="75747F00" w14:textId="51671DFE" w:rsidR="00B43F3D" w:rsidRDefault="00B43F3D">
          <w:pPr>
            <w:pStyle w:val="TOC2"/>
            <w:rPr>
              <w:rFonts w:eastAsiaTheme="minorEastAsia"/>
              <w:noProof/>
              <w:lang w:eastAsia="en-AU"/>
            </w:rPr>
          </w:pPr>
          <w:hyperlink w:anchor="_Toc106793753" w:history="1">
            <w:r w:rsidRPr="007C30AD">
              <w:rPr>
                <w:rStyle w:val="Hyperlink"/>
                <w:noProof/>
              </w:rPr>
              <w:t>Program for Students with Disabilities Levels 1-6 (Reference 15)</w:t>
            </w:r>
            <w:r>
              <w:rPr>
                <w:noProof/>
                <w:webHidden/>
              </w:rPr>
              <w:tab/>
            </w:r>
            <w:r>
              <w:rPr>
                <w:noProof/>
                <w:webHidden/>
              </w:rPr>
              <w:fldChar w:fldCharType="begin"/>
            </w:r>
            <w:r>
              <w:rPr>
                <w:noProof/>
                <w:webHidden/>
              </w:rPr>
              <w:instrText xml:space="preserve"> PAGEREF _Toc106793753 \h </w:instrText>
            </w:r>
            <w:r>
              <w:rPr>
                <w:noProof/>
                <w:webHidden/>
              </w:rPr>
            </w:r>
            <w:r>
              <w:rPr>
                <w:noProof/>
                <w:webHidden/>
              </w:rPr>
              <w:fldChar w:fldCharType="separate"/>
            </w:r>
            <w:r>
              <w:rPr>
                <w:noProof/>
                <w:webHidden/>
              </w:rPr>
              <w:t>40</w:t>
            </w:r>
            <w:r>
              <w:rPr>
                <w:noProof/>
                <w:webHidden/>
              </w:rPr>
              <w:fldChar w:fldCharType="end"/>
            </w:r>
          </w:hyperlink>
        </w:p>
        <w:p w14:paraId="113914AB" w14:textId="0773F81F" w:rsidR="00B43F3D" w:rsidRDefault="00B43F3D">
          <w:pPr>
            <w:pStyle w:val="TOC2"/>
            <w:rPr>
              <w:rFonts w:eastAsiaTheme="minorEastAsia"/>
              <w:noProof/>
              <w:lang w:eastAsia="en-AU"/>
            </w:rPr>
          </w:pPr>
          <w:hyperlink w:anchor="_Toc106793754" w:history="1">
            <w:r w:rsidRPr="007C30AD">
              <w:rPr>
                <w:rStyle w:val="Hyperlink"/>
                <w:noProof/>
              </w:rPr>
              <w:t>Program for Students with Disabilities — Transition Support Funding (Reference 66)</w:t>
            </w:r>
            <w:r>
              <w:rPr>
                <w:noProof/>
                <w:webHidden/>
              </w:rPr>
              <w:tab/>
            </w:r>
            <w:r>
              <w:rPr>
                <w:noProof/>
                <w:webHidden/>
              </w:rPr>
              <w:fldChar w:fldCharType="begin"/>
            </w:r>
            <w:r>
              <w:rPr>
                <w:noProof/>
                <w:webHidden/>
              </w:rPr>
              <w:instrText xml:space="preserve"> PAGEREF _Toc106793754 \h </w:instrText>
            </w:r>
            <w:r>
              <w:rPr>
                <w:noProof/>
                <w:webHidden/>
              </w:rPr>
            </w:r>
            <w:r>
              <w:rPr>
                <w:noProof/>
                <w:webHidden/>
              </w:rPr>
              <w:fldChar w:fldCharType="separate"/>
            </w:r>
            <w:r>
              <w:rPr>
                <w:noProof/>
                <w:webHidden/>
              </w:rPr>
              <w:t>43</w:t>
            </w:r>
            <w:r>
              <w:rPr>
                <w:noProof/>
                <w:webHidden/>
              </w:rPr>
              <w:fldChar w:fldCharType="end"/>
            </w:r>
          </w:hyperlink>
        </w:p>
        <w:p w14:paraId="55DAACBA" w14:textId="51063139" w:rsidR="00B43F3D" w:rsidRDefault="00B43F3D">
          <w:pPr>
            <w:pStyle w:val="TOC2"/>
            <w:rPr>
              <w:rFonts w:eastAsiaTheme="minorEastAsia"/>
              <w:noProof/>
              <w:lang w:eastAsia="en-AU"/>
            </w:rPr>
          </w:pPr>
          <w:hyperlink w:anchor="_Toc106793755" w:history="1">
            <w:r w:rsidRPr="007C30AD">
              <w:rPr>
                <w:rStyle w:val="Hyperlink"/>
                <w:noProof/>
              </w:rPr>
              <w:t>Special School Complexity Allowance (Reference 18)</w:t>
            </w:r>
            <w:r>
              <w:rPr>
                <w:noProof/>
                <w:webHidden/>
              </w:rPr>
              <w:tab/>
            </w:r>
            <w:r>
              <w:rPr>
                <w:noProof/>
                <w:webHidden/>
              </w:rPr>
              <w:fldChar w:fldCharType="begin"/>
            </w:r>
            <w:r>
              <w:rPr>
                <w:noProof/>
                <w:webHidden/>
              </w:rPr>
              <w:instrText xml:space="preserve"> PAGEREF _Toc106793755 \h </w:instrText>
            </w:r>
            <w:r>
              <w:rPr>
                <w:noProof/>
                <w:webHidden/>
              </w:rPr>
            </w:r>
            <w:r>
              <w:rPr>
                <w:noProof/>
                <w:webHidden/>
              </w:rPr>
              <w:fldChar w:fldCharType="separate"/>
            </w:r>
            <w:r>
              <w:rPr>
                <w:noProof/>
                <w:webHidden/>
              </w:rPr>
              <w:t>46</w:t>
            </w:r>
            <w:r>
              <w:rPr>
                <w:noProof/>
                <w:webHidden/>
              </w:rPr>
              <w:fldChar w:fldCharType="end"/>
            </w:r>
          </w:hyperlink>
        </w:p>
        <w:p w14:paraId="412135C9" w14:textId="06364402" w:rsidR="00B43F3D" w:rsidRDefault="00B43F3D">
          <w:pPr>
            <w:pStyle w:val="TOC2"/>
            <w:rPr>
              <w:rFonts w:eastAsiaTheme="minorEastAsia"/>
              <w:noProof/>
              <w:lang w:eastAsia="en-AU"/>
            </w:rPr>
          </w:pPr>
          <w:hyperlink w:anchor="_Toc106793756" w:history="1">
            <w:r w:rsidRPr="007C30AD">
              <w:rPr>
                <w:rStyle w:val="Hyperlink"/>
                <w:noProof/>
              </w:rPr>
              <w:t>Paramedical and Interpreter Staff Salaries (Reference 19)</w:t>
            </w:r>
            <w:r>
              <w:rPr>
                <w:noProof/>
                <w:webHidden/>
              </w:rPr>
              <w:tab/>
            </w:r>
            <w:r>
              <w:rPr>
                <w:noProof/>
                <w:webHidden/>
              </w:rPr>
              <w:fldChar w:fldCharType="begin"/>
            </w:r>
            <w:r>
              <w:rPr>
                <w:noProof/>
                <w:webHidden/>
              </w:rPr>
              <w:instrText xml:space="preserve"> PAGEREF _Toc106793756 \h </w:instrText>
            </w:r>
            <w:r>
              <w:rPr>
                <w:noProof/>
                <w:webHidden/>
              </w:rPr>
            </w:r>
            <w:r>
              <w:rPr>
                <w:noProof/>
                <w:webHidden/>
              </w:rPr>
              <w:fldChar w:fldCharType="separate"/>
            </w:r>
            <w:r>
              <w:rPr>
                <w:noProof/>
                <w:webHidden/>
              </w:rPr>
              <w:t>48</w:t>
            </w:r>
            <w:r>
              <w:rPr>
                <w:noProof/>
                <w:webHidden/>
              </w:rPr>
              <w:fldChar w:fldCharType="end"/>
            </w:r>
          </w:hyperlink>
        </w:p>
        <w:p w14:paraId="32192E2C" w14:textId="55C664F7" w:rsidR="00B43F3D" w:rsidRDefault="00B43F3D">
          <w:pPr>
            <w:pStyle w:val="TOC2"/>
            <w:rPr>
              <w:rFonts w:eastAsiaTheme="minorEastAsia"/>
              <w:noProof/>
              <w:lang w:eastAsia="en-AU"/>
            </w:rPr>
          </w:pPr>
          <w:hyperlink w:anchor="_Toc106793757" w:history="1">
            <w:r w:rsidRPr="007C30AD">
              <w:rPr>
                <w:rStyle w:val="Hyperlink"/>
                <w:noProof/>
              </w:rPr>
              <w:t>Medical Intervention Support (Reference 20)</w:t>
            </w:r>
            <w:r>
              <w:rPr>
                <w:noProof/>
                <w:webHidden/>
              </w:rPr>
              <w:tab/>
            </w:r>
            <w:r>
              <w:rPr>
                <w:noProof/>
                <w:webHidden/>
              </w:rPr>
              <w:fldChar w:fldCharType="begin"/>
            </w:r>
            <w:r>
              <w:rPr>
                <w:noProof/>
                <w:webHidden/>
              </w:rPr>
              <w:instrText xml:space="preserve"> PAGEREF _Toc106793757 \h </w:instrText>
            </w:r>
            <w:r>
              <w:rPr>
                <w:noProof/>
                <w:webHidden/>
              </w:rPr>
            </w:r>
            <w:r>
              <w:rPr>
                <w:noProof/>
                <w:webHidden/>
              </w:rPr>
              <w:fldChar w:fldCharType="separate"/>
            </w:r>
            <w:r>
              <w:rPr>
                <w:noProof/>
                <w:webHidden/>
              </w:rPr>
              <w:t>49</w:t>
            </w:r>
            <w:r>
              <w:rPr>
                <w:noProof/>
                <w:webHidden/>
              </w:rPr>
              <w:fldChar w:fldCharType="end"/>
            </w:r>
          </w:hyperlink>
        </w:p>
        <w:p w14:paraId="0B0D12C6" w14:textId="09172B69" w:rsidR="00B43F3D" w:rsidRDefault="00B43F3D">
          <w:pPr>
            <w:pStyle w:val="TOC2"/>
            <w:rPr>
              <w:rFonts w:eastAsiaTheme="minorEastAsia"/>
              <w:noProof/>
              <w:lang w:eastAsia="en-AU"/>
            </w:rPr>
          </w:pPr>
          <w:hyperlink w:anchor="_Toc106793758" w:history="1">
            <w:r w:rsidRPr="007C30AD">
              <w:rPr>
                <w:rStyle w:val="Hyperlink"/>
                <w:noProof/>
              </w:rPr>
              <w:t>Special School Transport Administration (Reference 25)</w:t>
            </w:r>
            <w:r>
              <w:rPr>
                <w:noProof/>
                <w:webHidden/>
              </w:rPr>
              <w:tab/>
            </w:r>
            <w:r>
              <w:rPr>
                <w:noProof/>
                <w:webHidden/>
              </w:rPr>
              <w:fldChar w:fldCharType="begin"/>
            </w:r>
            <w:r>
              <w:rPr>
                <w:noProof/>
                <w:webHidden/>
              </w:rPr>
              <w:instrText xml:space="preserve"> PAGEREF _Toc106793758 \h </w:instrText>
            </w:r>
            <w:r>
              <w:rPr>
                <w:noProof/>
                <w:webHidden/>
              </w:rPr>
            </w:r>
            <w:r>
              <w:rPr>
                <w:noProof/>
                <w:webHidden/>
              </w:rPr>
              <w:fldChar w:fldCharType="separate"/>
            </w:r>
            <w:r>
              <w:rPr>
                <w:noProof/>
                <w:webHidden/>
              </w:rPr>
              <w:t>50</w:t>
            </w:r>
            <w:r>
              <w:rPr>
                <w:noProof/>
                <w:webHidden/>
              </w:rPr>
              <w:fldChar w:fldCharType="end"/>
            </w:r>
          </w:hyperlink>
        </w:p>
        <w:p w14:paraId="0F95DFAB" w14:textId="6C5AB9F9" w:rsidR="00B43F3D" w:rsidRDefault="00B43F3D">
          <w:pPr>
            <w:pStyle w:val="TOC2"/>
            <w:rPr>
              <w:rFonts w:eastAsiaTheme="minorEastAsia"/>
              <w:noProof/>
              <w:lang w:eastAsia="en-AU"/>
            </w:rPr>
          </w:pPr>
          <w:hyperlink w:anchor="_Toc106793759" w:history="1">
            <w:r w:rsidRPr="007C30AD">
              <w:rPr>
                <w:rStyle w:val="Hyperlink"/>
                <w:noProof/>
              </w:rPr>
              <w:t>EAL Program Funding (Reference 26)</w:t>
            </w:r>
            <w:r>
              <w:rPr>
                <w:noProof/>
                <w:webHidden/>
              </w:rPr>
              <w:tab/>
            </w:r>
            <w:r>
              <w:rPr>
                <w:noProof/>
                <w:webHidden/>
              </w:rPr>
              <w:fldChar w:fldCharType="begin"/>
            </w:r>
            <w:r>
              <w:rPr>
                <w:noProof/>
                <w:webHidden/>
              </w:rPr>
              <w:instrText xml:space="preserve"> PAGEREF _Toc106793759 \h </w:instrText>
            </w:r>
            <w:r>
              <w:rPr>
                <w:noProof/>
                <w:webHidden/>
              </w:rPr>
            </w:r>
            <w:r>
              <w:rPr>
                <w:noProof/>
                <w:webHidden/>
              </w:rPr>
              <w:fldChar w:fldCharType="separate"/>
            </w:r>
            <w:r>
              <w:rPr>
                <w:noProof/>
                <w:webHidden/>
              </w:rPr>
              <w:t>51</w:t>
            </w:r>
            <w:r>
              <w:rPr>
                <w:noProof/>
                <w:webHidden/>
              </w:rPr>
              <w:fldChar w:fldCharType="end"/>
            </w:r>
          </w:hyperlink>
        </w:p>
        <w:p w14:paraId="03B25D45" w14:textId="1A001B5D" w:rsidR="00B43F3D" w:rsidRDefault="00B43F3D">
          <w:pPr>
            <w:pStyle w:val="TOC2"/>
            <w:rPr>
              <w:rFonts w:eastAsiaTheme="minorEastAsia"/>
              <w:noProof/>
              <w:lang w:eastAsia="en-AU"/>
            </w:rPr>
          </w:pPr>
          <w:hyperlink w:anchor="_Toc106793760" w:history="1">
            <w:r w:rsidRPr="007C30AD">
              <w:rPr>
                <w:rStyle w:val="Hyperlink"/>
                <w:noProof/>
              </w:rPr>
              <w:t>EAL Contingency (Reference 27)</w:t>
            </w:r>
            <w:r>
              <w:rPr>
                <w:noProof/>
                <w:webHidden/>
              </w:rPr>
              <w:tab/>
            </w:r>
            <w:r>
              <w:rPr>
                <w:noProof/>
                <w:webHidden/>
              </w:rPr>
              <w:fldChar w:fldCharType="begin"/>
            </w:r>
            <w:r>
              <w:rPr>
                <w:noProof/>
                <w:webHidden/>
              </w:rPr>
              <w:instrText xml:space="preserve"> PAGEREF _Toc106793760 \h </w:instrText>
            </w:r>
            <w:r>
              <w:rPr>
                <w:noProof/>
                <w:webHidden/>
              </w:rPr>
            </w:r>
            <w:r>
              <w:rPr>
                <w:noProof/>
                <w:webHidden/>
              </w:rPr>
              <w:fldChar w:fldCharType="separate"/>
            </w:r>
            <w:r>
              <w:rPr>
                <w:noProof/>
                <w:webHidden/>
              </w:rPr>
              <w:t>57</w:t>
            </w:r>
            <w:r>
              <w:rPr>
                <w:noProof/>
                <w:webHidden/>
              </w:rPr>
              <w:fldChar w:fldCharType="end"/>
            </w:r>
          </w:hyperlink>
        </w:p>
        <w:p w14:paraId="6CB0D1BE" w14:textId="2C81E771" w:rsidR="00B43F3D" w:rsidRDefault="00B43F3D">
          <w:pPr>
            <w:pStyle w:val="TOC2"/>
            <w:rPr>
              <w:rFonts w:eastAsiaTheme="minorEastAsia"/>
              <w:noProof/>
              <w:lang w:eastAsia="en-AU"/>
            </w:rPr>
          </w:pPr>
          <w:hyperlink w:anchor="_Toc106793761" w:history="1">
            <w:r w:rsidRPr="007C30AD">
              <w:rPr>
                <w:rStyle w:val="Hyperlink"/>
                <w:noProof/>
              </w:rPr>
              <w:t>Disability Inclusion Tier 2 School Level Funding (Reference 137)</w:t>
            </w:r>
            <w:r>
              <w:rPr>
                <w:noProof/>
                <w:webHidden/>
              </w:rPr>
              <w:tab/>
            </w:r>
            <w:r>
              <w:rPr>
                <w:noProof/>
                <w:webHidden/>
              </w:rPr>
              <w:fldChar w:fldCharType="begin"/>
            </w:r>
            <w:r>
              <w:rPr>
                <w:noProof/>
                <w:webHidden/>
              </w:rPr>
              <w:instrText xml:space="preserve"> PAGEREF _Toc106793761 \h </w:instrText>
            </w:r>
            <w:r>
              <w:rPr>
                <w:noProof/>
                <w:webHidden/>
              </w:rPr>
            </w:r>
            <w:r>
              <w:rPr>
                <w:noProof/>
                <w:webHidden/>
              </w:rPr>
              <w:fldChar w:fldCharType="separate"/>
            </w:r>
            <w:r>
              <w:rPr>
                <w:noProof/>
                <w:webHidden/>
              </w:rPr>
              <w:t>60</w:t>
            </w:r>
            <w:r>
              <w:rPr>
                <w:noProof/>
                <w:webHidden/>
              </w:rPr>
              <w:fldChar w:fldCharType="end"/>
            </w:r>
          </w:hyperlink>
        </w:p>
        <w:p w14:paraId="566B5045" w14:textId="5B8E74EF" w:rsidR="00B43F3D" w:rsidRDefault="00B43F3D">
          <w:pPr>
            <w:pStyle w:val="TOC2"/>
            <w:rPr>
              <w:rFonts w:eastAsiaTheme="minorEastAsia"/>
              <w:noProof/>
              <w:lang w:eastAsia="en-AU"/>
            </w:rPr>
          </w:pPr>
          <w:hyperlink w:anchor="_Toc106793762" w:history="1">
            <w:r w:rsidRPr="007C30AD">
              <w:rPr>
                <w:rStyle w:val="Hyperlink"/>
                <w:noProof/>
              </w:rPr>
              <w:t>Disability Inclusion Tier 3 student-level funding (Reference 138)</w:t>
            </w:r>
            <w:r>
              <w:rPr>
                <w:noProof/>
                <w:webHidden/>
              </w:rPr>
              <w:tab/>
            </w:r>
            <w:r>
              <w:rPr>
                <w:noProof/>
                <w:webHidden/>
              </w:rPr>
              <w:fldChar w:fldCharType="begin"/>
            </w:r>
            <w:r>
              <w:rPr>
                <w:noProof/>
                <w:webHidden/>
              </w:rPr>
              <w:instrText xml:space="preserve"> PAGEREF _Toc106793762 \h </w:instrText>
            </w:r>
            <w:r>
              <w:rPr>
                <w:noProof/>
                <w:webHidden/>
              </w:rPr>
            </w:r>
            <w:r>
              <w:rPr>
                <w:noProof/>
                <w:webHidden/>
              </w:rPr>
              <w:fldChar w:fldCharType="separate"/>
            </w:r>
            <w:r>
              <w:rPr>
                <w:noProof/>
                <w:webHidden/>
              </w:rPr>
              <w:t>64</w:t>
            </w:r>
            <w:r>
              <w:rPr>
                <w:noProof/>
                <w:webHidden/>
              </w:rPr>
              <w:fldChar w:fldCharType="end"/>
            </w:r>
          </w:hyperlink>
        </w:p>
        <w:p w14:paraId="6DF356C8" w14:textId="3351C6EF" w:rsidR="00B43F3D" w:rsidRDefault="00B43F3D">
          <w:pPr>
            <w:pStyle w:val="TOC1"/>
            <w:rPr>
              <w:rFonts w:eastAsiaTheme="minorEastAsia"/>
              <w:noProof/>
              <w:lang w:eastAsia="en-AU"/>
            </w:rPr>
          </w:pPr>
          <w:hyperlink w:anchor="_Toc106793763" w:history="1">
            <w:r w:rsidRPr="007C30AD">
              <w:rPr>
                <w:rStyle w:val="Hyperlink"/>
                <w:noProof/>
              </w:rPr>
              <w:t>School Infrastructure</w:t>
            </w:r>
            <w:r>
              <w:rPr>
                <w:noProof/>
                <w:webHidden/>
              </w:rPr>
              <w:tab/>
            </w:r>
            <w:r>
              <w:rPr>
                <w:noProof/>
                <w:webHidden/>
              </w:rPr>
              <w:fldChar w:fldCharType="begin"/>
            </w:r>
            <w:r>
              <w:rPr>
                <w:noProof/>
                <w:webHidden/>
              </w:rPr>
              <w:instrText xml:space="preserve"> PAGEREF _Toc106793763 \h </w:instrText>
            </w:r>
            <w:r>
              <w:rPr>
                <w:noProof/>
                <w:webHidden/>
              </w:rPr>
            </w:r>
            <w:r>
              <w:rPr>
                <w:noProof/>
                <w:webHidden/>
              </w:rPr>
              <w:fldChar w:fldCharType="separate"/>
            </w:r>
            <w:r>
              <w:rPr>
                <w:noProof/>
                <w:webHidden/>
              </w:rPr>
              <w:t>68</w:t>
            </w:r>
            <w:r>
              <w:rPr>
                <w:noProof/>
                <w:webHidden/>
              </w:rPr>
              <w:fldChar w:fldCharType="end"/>
            </w:r>
          </w:hyperlink>
        </w:p>
        <w:p w14:paraId="2B553031" w14:textId="27B59013" w:rsidR="00B43F3D" w:rsidRDefault="00B43F3D">
          <w:pPr>
            <w:pStyle w:val="TOC2"/>
            <w:rPr>
              <w:rFonts w:eastAsiaTheme="minorEastAsia"/>
              <w:noProof/>
              <w:lang w:eastAsia="en-AU"/>
            </w:rPr>
          </w:pPr>
          <w:hyperlink w:anchor="_Toc106793764" w:history="1">
            <w:r w:rsidRPr="007C30AD">
              <w:rPr>
                <w:rStyle w:val="Hyperlink"/>
                <w:noProof/>
              </w:rPr>
              <w:t>Contract cleaning (Reference 28)</w:t>
            </w:r>
            <w:r>
              <w:rPr>
                <w:noProof/>
                <w:webHidden/>
              </w:rPr>
              <w:tab/>
            </w:r>
            <w:r>
              <w:rPr>
                <w:noProof/>
                <w:webHidden/>
              </w:rPr>
              <w:fldChar w:fldCharType="begin"/>
            </w:r>
            <w:r>
              <w:rPr>
                <w:noProof/>
                <w:webHidden/>
              </w:rPr>
              <w:instrText xml:space="preserve"> PAGEREF _Toc106793764 \h </w:instrText>
            </w:r>
            <w:r>
              <w:rPr>
                <w:noProof/>
                <w:webHidden/>
              </w:rPr>
            </w:r>
            <w:r>
              <w:rPr>
                <w:noProof/>
                <w:webHidden/>
              </w:rPr>
              <w:fldChar w:fldCharType="separate"/>
            </w:r>
            <w:r>
              <w:rPr>
                <w:noProof/>
                <w:webHidden/>
              </w:rPr>
              <w:t>69</w:t>
            </w:r>
            <w:r>
              <w:rPr>
                <w:noProof/>
                <w:webHidden/>
              </w:rPr>
              <w:fldChar w:fldCharType="end"/>
            </w:r>
          </w:hyperlink>
        </w:p>
        <w:p w14:paraId="7E269340" w14:textId="7B672EF2" w:rsidR="00B43F3D" w:rsidRDefault="00B43F3D">
          <w:pPr>
            <w:pStyle w:val="TOC2"/>
            <w:rPr>
              <w:rFonts w:eastAsiaTheme="minorEastAsia"/>
              <w:noProof/>
              <w:lang w:eastAsia="en-AU"/>
            </w:rPr>
          </w:pPr>
          <w:hyperlink w:anchor="_Toc106793765" w:history="1">
            <w:r w:rsidRPr="007C30AD">
              <w:rPr>
                <w:rStyle w:val="Hyperlink"/>
                <w:noProof/>
              </w:rPr>
              <w:t>Cross Infection Prevention Allowance (Reference 29)</w:t>
            </w:r>
            <w:r>
              <w:rPr>
                <w:noProof/>
                <w:webHidden/>
              </w:rPr>
              <w:tab/>
            </w:r>
            <w:r>
              <w:rPr>
                <w:noProof/>
                <w:webHidden/>
              </w:rPr>
              <w:fldChar w:fldCharType="begin"/>
            </w:r>
            <w:r>
              <w:rPr>
                <w:noProof/>
                <w:webHidden/>
              </w:rPr>
              <w:instrText xml:space="preserve"> PAGEREF _Toc106793765 \h </w:instrText>
            </w:r>
            <w:r>
              <w:rPr>
                <w:noProof/>
                <w:webHidden/>
              </w:rPr>
            </w:r>
            <w:r>
              <w:rPr>
                <w:noProof/>
                <w:webHidden/>
              </w:rPr>
              <w:fldChar w:fldCharType="separate"/>
            </w:r>
            <w:r>
              <w:rPr>
                <w:noProof/>
                <w:webHidden/>
              </w:rPr>
              <w:t>72</w:t>
            </w:r>
            <w:r>
              <w:rPr>
                <w:noProof/>
                <w:webHidden/>
              </w:rPr>
              <w:fldChar w:fldCharType="end"/>
            </w:r>
          </w:hyperlink>
        </w:p>
        <w:p w14:paraId="28EBFB15" w14:textId="1964F2DC" w:rsidR="00B43F3D" w:rsidRDefault="00B43F3D">
          <w:pPr>
            <w:pStyle w:val="TOC2"/>
            <w:rPr>
              <w:rFonts w:eastAsiaTheme="minorEastAsia"/>
              <w:noProof/>
              <w:lang w:eastAsia="en-AU"/>
            </w:rPr>
          </w:pPr>
          <w:hyperlink w:anchor="_Toc106793766" w:history="1">
            <w:r w:rsidRPr="007C30AD">
              <w:rPr>
                <w:rStyle w:val="Hyperlink"/>
                <w:noProof/>
              </w:rPr>
              <w:t>Cleaning Minimum Allowance (Reference 30)</w:t>
            </w:r>
            <w:r>
              <w:rPr>
                <w:noProof/>
                <w:webHidden/>
              </w:rPr>
              <w:tab/>
            </w:r>
            <w:r>
              <w:rPr>
                <w:noProof/>
                <w:webHidden/>
              </w:rPr>
              <w:fldChar w:fldCharType="begin"/>
            </w:r>
            <w:r>
              <w:rPr>
                <w:noProof/>
                <w:webHidden/>
              </w:rPr>
              <w:instrText xml:space="preserve"> PAGEREF _Toc106793766 \h </w:instrText>
            </w:r>
            <w:r>
              <w:rPr>
                <w:noProof/>
                <w:webHidden/>
              </w:rPr>
            </w:r>
            <w:r>
              <w:rPr>
                <w:noProof/>
                <w:webHidden/>
              </w:rPr>
              <w:fldChar w:fldCharType="separate"/>
            </w:r>
            <w:r>
              <w:rPr>
                <w:noProof/>
                <w:webHidden/>
              </w:rPr>
              <w:t>73</w:t>
            </w:r>
            <w:r>
              <w:rPr>
                <w:noProof/>
                <w:webHidden/>
              </w:rPr>
              <w:fldChar w:fldCharType="end"/>
            </w:r>
          </w:hyperlink>
        </w:p>
        <w:p w14:paraId="000C1FC9" w14:textId="1251D318" w:rsidR="00B43F3D" w:rsidRDefault="00B43F3D">
          <w:pPr>
            <w:pStyle w:val="TOC2"/>
            <w:rPr>
              <w:rFonts w:eastAsiaTheme="minorEastAsia"/>
              <w:noProof/>
              <w:lang w:eastAsia="en-AU"/>
            </w:rPr>
          </w:pPr>
          <w:hyperlink w:anchor="_Toc106793767" w:history="1">
            <w:r w:rsidRPr="007C30AD">
              <w:rPr>
                <w:rStyle w:val="Hyperlink"/>
                <w:noProof/>
              </w:rPr>
              <w:t>Grounds Allowance (Reference 31)</w:t>
            </w:r>
            <w:r>
              <w:rPr>
                <w:noProof/>
                <w:webHidden/>
              </w:rPr>
              <w:tab/>
            </w:r>
            <w:r>
              <w:rPr>
                <w:noProof/>
                <w:webHidden/>
              </w:rPr>
              <w:fldChar w:fldCharType="begin"/>
            </w:r>
            <w:r>
              <w:rPr>
                <w:noProof/>
                <w:webHidden/>
              </w:rPr>
              <w:instrText xml:space="preserve"> PAGEREF _Toc106793767 \h </w:instrText>
            </w:r>
            <w:r>
              <w:rPr>
                <w:noProof/>
                <w:webHidden/>
              </w:rPr>
            </w:r>
            <w:r>
              <w:rPr>
                <w:noProof/>
                <w:webHidden/>
              </w:rPr>
              <w:fldChar w:fldCharType="separate"/>
            </w:r>
            <w:r>
              <w:rPr>
                <w:noProof/>
                <w:webHidden/>
              </w:rPr>
              <w:t>74</w:t>
            </w:r>
            <w:r>
              <w:rPr>
                <w:noProof/>
                <w:webHidden/>
              </w:rPr>
              <w:fldChar w:fldCharType="end"/>
            </w:r>
          </w:hyperlink>
        </w:p>
        <w:p w14:paraId="6C2C1C9C" w14:textId="38B3414F" w:rsidR="00B43F3D" w:rsidRDefault="00B43F3D">
          <w:pPr>
            <w:pStyle w:val="TOC2"/>
            <w:rPr>
              <w:rFonts w:eastAsiaTheme="minorEastAsia"/>
              <w:noProof/>
              <w:lang w:eastAsia="en-AU"/>
            </w:rPr>
          </w:pPr>
          <w:hyperlink w:anchor="_Toc106793768" w:history="1">
            <w:r w:rsidRPr="007C30AD">
              <w:rPr>
                <w:rStyle w:val="Hyperlink"/>
                <w:noProof/>
              </w:rPr>
              <w:t>Building Area Allowance (Reference 32)</w:t>
            </w:r>
            <w:r>
              <w:rPr>
                <w:noProof/>
                <w:webHidden/>
              </w:rPr>
              <w:tab/>
            </w:r>
            <w:r>
              <w:rPr>
                <w:noProof/>
                <w:webHidden/>
              </w:rPr>
              <w:fldChar w:fldCharType="begin"/>
            </w:r>
            <w:r>
              <w:rPr>
                <w:noProof/>
                <w:webHidden/>
              </w:rPr>
              <w:instrText xml:space="preserve"> PAGEREF _Toc106793768 \h </w:instrText>
            </w:r>
            <w:r>
              <w:rPr>
                <w:noProof/>
                <w:webHidden/>
              </w:rPr>
            </w:r>
            <w:r>
              <w:rPr>
                <w:noProof/>
                <w:webHidden/>
              </w:rPr>
              <w:fldChar w:fldCharType="separate"/>
            </w:r>
            <w:r>
              <w:rPr>
                <w:noProof/>
                <w:webHidden/>
              </w:rPr>
              <w:t>75</w:t>
            </w:r>
            <w:r>
              <w:rPr>
                <w:noProof/>
                <w:webHidden/>
              </w:rPr>
              <w:fldChar w:fldCharType="end"/>
            </w:r>
          </w:hyperlink>
        </w:p>
        <w:p w14:paraId="73528E85" w14:textId="7B8FA10A" w:rsidR="00B43F3D" w:rsidRDefault="00B43F3D">
          <w:pPr>
            <w:pStyle w:val="TOC2"/>
            <w:rPr>
              <w:rFonts w:eastAsiaTheme="minorEastAsia"/>
              <w:noProof/>
              <w:lang w:eastAsia="en-AU"/>
            </w:rPr>
          </w:pPr>
          <w:hyperlink w:anchor="_Toc106793769" w:history="1">
            <w:r w:rsidRPr="007C30AD">
              <w:rPr>
                <w:rStyle w:val="Hyperlink"/>
                <w:noProof/>
              </w:rPr>
              <w:t>Split-Site/Multi-Site Allowance (Reference 33)</w:t>
            </w:r>
            <w:r>
              <w:rPr>
                <w:noProof/>
                <w:webHidden/>
              </w:rPr>
              <w:tab/>
            </w:r>
            <w:r>
              <w:rPr>
                <w:noProof/>
                <w:webHidden/>
              </w:rPr>
              <w:fldChar w:fldCharType="begin"/>
            </w:r>
            <w:r>
              <w:rPr>
                <w:noProof/>
                <w:webHidden/>
              </w:rPr>
              <w:instrText xml:space="preserve"> PAGEREF _Toc106793769 \h </w:instrText>
            </w:r>
            <w:r>
              <w:rPr>
                <w:noProof/>
                <w:webHidden/>
              </w:rPr>
            </w:r>
            <w:r>
              <w:rPr>
                <w:noProof/>
                <w:webHidden/>
              </w:rPr>
              <w:fldChar w:fldCharType="separate"/>
            </w:r>
            <w:r>
              <w:rPr>
                <w:noProof/>
                <w:webHidden/>
              </w:rPr>
              <w:t>76</w:t>
            </w:r>
            <w:r>
              <w:rPr>
                <w:noProof/>
                <w:webHidden/>
              </w:rPr>
              <w:fldChar w:fldCharType="end"/>
            </w:r>
          </w:hyperlink>
        </w:p>
        <w:p w14:paraId="413289EA" w14:textId="38A92857" w:rsidR="00B43F3D" w:rsidRDefault="00B43F3D">
          <w:pPr>
            <w:pStyle w:val="TOC2"/>
            <w:rPr>
              <w:rFonts w:eastAsiaTheme="minorEastAsia"/>
              <w:noProof/>
              <w:lang w:eastAsia="en-AU"/>
            </w:rPr>
          </w:pPr>
          <w:hyperlink w:anchor="_Toc106793770" w:history="1">
            <w:r w:rsidRPr="007C30AD">
              <w:rPr>
                <w:rStyle w:val="Hyperlink"/>
                <w:noProof/>
              </w:rPr>
              <w:t>Utilities (Reference 34)</w:t>
            </w:r>
            <w:r>
              <w:rPr>
                <w:noProof/>
                <w:webHidden/>
              </w:rPr>
              <w:tab/>
            </w:r>
            <w:r>
              <w:rPr>
                <w:noProof/>
                <w:webHidden/>
              </w:rPr>
              <w:fldChar w:fldCharType="begin"/>
            </w:r>
            <w:r>
              <w:rPr>
                <w:noProof/>
                <w:webHidden/>
              </w:rPr>
              <w:instrText xml:space="preserve"> PAGEREF _Toc106793770 \h </w:instrText>
            </w:r>
            <w:r>
              <w:rPr>
                <w:noProof/>
                <w:webHidden/>
              </w:rPr>
            </w:r>
            <w:r>
              <w:rPr>
                <w:noProof/>
                <w:webHidden/>
              </w:rPr>
              <w:fldChar w:fldCharType="separate"/>
            </w:r>
            <w:r>
              <w:rPr>
                <w:noProof/>
                <w:webHidden/>
              </w:rPr>
              <w:t>78</w:t>
            </w:r>
            <w:r>
              <w:rPr>
                <w:noProof/>
                <w:webHidden/>
              </w:rPr>
              <w:fldChar w:fldCharType="end"/>
            </w:r>
          </w:hyperlink>
        </w:p>
        <w:p w14:paraId="4AE1AAC0" w14:textId="161C3687" w:rsidR="00B43F3D" w:rsidRDefault="00B43F3D">
          <w:pPr>
            <w:pStyle w:val="TOC2"/>
            <w:rPr>
              <w:rFonts w:eastAsiaTheme="minorEastAsia"/>
              <w:noProof/>
              <w:lang w:eastAsia="en-AU"/>
            </w:rPr>
          </w:pPr>
          <w:hyperlink w:anchor="_Toc106793771" w:history="1">
            <w:r w:rsidRPr="007C30AD">
              <w:rPr>
                <w:rStyle w:val="Hyperlink"/>
                <w:noProof/>
              </w:rPr>
              <w:t>Maintenance (Reference 35)</w:t>
            </w:r>
            <w:r>
              <w:rPr>
                <w:noProof/>
                <w:webHidden/>
              </w:rPr>
              <w:tab/>
            </w:r>
            <w:r>
              <w:rPr>
                <w:noProof/>
                <w:webHidden/>
              </w:rPr>
              <w:fldChar w:fldCharType="begin"/>
            </w:r>
            <w:r>
              <w:rPr>
                <w:noProof/>
                <w:webHidden/>
              </w:rPr>
              <w:instrText xml:space="preserve"> PAGEREF _Toc106793771 \h </w:instrText>
            </w:r>
            <w:r>
              <w:rPr>
                <w:noProof/>
                <w:webHidden/>
              </w:rPr>
            </w:r>
            <w:r>
              <w:rPr>
                <w:noProof/>
                <w:webHidden/>
              </w:rPr>
              <w:fldChar w:fldCharType="separate"/>
            </w:r>
            <w:r>
              <w:rPr>
                <w:noProof/>
                <w:webHidden/>
              </w:rPr>
              <w:t>81</w:t>
            </w:r>
            <w:r>
              <w:rPr>
                <w:noProof/>
                <w:webHidden/>
              </w:rPr>
              <w:fldChar w:fldCharType="end"/>
            </w:r>
          </w:hyperlink>
        </w:p>
        <w:p w14:paraId="4E60724C" w14:textId="7304864A" w:rsidR="00B43F3D" w:rsidRDefault="00B43F3D">
          <w:pPr>
            <w:pStyle w:val="TOC2"/>
            <w:rPr>
              <w:rFonts w:eastAsiaTheme="minorEastAsia"/>
              <w:noProof/>
              <w:lang w:eastAsia="en-AU"/>
            </w:rPr>
          </w:pPr>
          <w:hyperlink w:anchor="_Toc106793772" w:history="1">
            <w:r w:rsidRPr="007C30AD">
              <w:rPr>
                <w:rStyle w:val="Hyperlink"/>
                <w:noProof/>
              </w:rPr>
              <w:t>Annual Contracts and Essential Safety Measures (ACES) (Reference 36)</w:t>
            </w:r>
            <w:r>
              <w:rPr>
                <w:noProof/>
                <w:webHidden/>
              </w:rPr>
              <w:tab/>
            </w:r>
            <w:r>
              <w:rPr>
                <w:noProof/>
                <w:webHidden/>
              </w:rPr>
              <w:fldChar w:fldCharType="begin"/>
            </w:r>
            <w:r>
              <w:rPr>
                <w:noProof/>
                <w:webHidden/>
              </w:rPr>
              <w:instrText xml:space="preserve"> PAGEREF _Toc106793772 \h </w:instrText>
            </w:r>
            <w:r>
              <w:rPr>
                <w:noProof/>
                <w:webHidden/>
              </w:rPr>
            </w:r>
            <w:r>
              <w:rPr>
                <w:noProof/>
                <w:webHidden/>
              </w:rPr>
              <w:fldChar w:fldCharType="separate"/>
            </w:r>
            <w:r>
              <w:rPr>
                <w:noProof/>
                <w:webHidden/>
              </w:rPr>
              <w:t>83</w:t>
            </w:r>
            <w:r>
              <w:rPr>
                <w:noProof/>
                <w:webHidden/>
              </w:rPr>
              <w:fldChar w:fldCharType="end"/>
            </w:r>
          </w:hyperlink>
        </w:p>
        <w:p w14:paraId="650DB2B0" w14:textId="50B966DA" w:rsidR="00B43F3D" w:rsidRDefault="00B43F3D">
          <w:pPr>
            <w:pStyle w:val="TOC2"/>
            <w:rPr>
              <w:rFonts w:eastAsiaTheme="minorEastAsia"/>
              <w:noProof/>
              <w:lang w:eastAsia="en-AU"/>
            </w:rPr>
          </w:pPr>
          <w:hyperlink w:anchor="_Toc106793773" w:history="1">
            <w:r w:rsidRPr="007C30AD">
              <w:rPr>
                <w:rStyle w:val="Hyperlink"/>
                <w:noProof/>
              </w:rPr>
              <w:t>Workers’ Compensation (Reference 37)</w:t>
            </w:r>
            <w:r>
              <w:rPr>
                <w:noProof/>
                <w:webHidden/>
              </w:rPr>
              <w:tab/>
            </w:r>
            <w:r>
              <w:rPr>
                <w:noProof/>
                <w:webHidden/>
              </w:rPr>
              <w:fldChar w:fldCharType="begin"/>
            </w:r>
            <w:r>
              <w:rPr>
                <w:noProof/>
                <w:webHidden/>
              </w:rPr>
              <w:instrText xml:space="preserve"> PAGEREF _Toc106793773 \h </w:instrText>
            </w:r>
            <w:r>
              <w:rPr>
                <w:noProof/>
                <w:webHidden/>
              </w:rPr>
            </w:r>
            <w:r>
              <w:rPr>
                <w:noProof/>
                <w:webHidden/>
              </w:rPr>
              <w:fldChar w:fldCharType="separate"/>
            </w:r>
            <w:r>
              <w:rPr>
                <w:noProof/>
                <w:webHidden/>
              </w:rPr>
              <w:t>85</w:t>
            </w:r>
            <w:r>
              <w:rPr>
                <w:noProof/>
                <w:webHidden/>
              </w:rPr>
              <w:fldChar w:fldCharType="end"/>
            </w:r>
          </w:hyperlink>
        </w:p>
        <w:p w14:paraId="598CE50D" w14:textId="6C74E458" w:rsidR="00B43F3D" w:rsidRDefault="00B43F3D">
          <w:pPr>
            <w:pStyle w:val="TOC1"/>
            <w:rPr>
              <w:rFonts w:eastAsiaTheme="minorEastAsia"/>
              <w:noProof/>
              <w:lang w:eastAsia="en-AU"/>
            </w:rPr>
          </w:pPr>
          <w:hyperlink w:anchor="_Toc106793774" w:history="1">
            <w:r w:rsidRPr="007C30AD">
              <w:rPr>
                <w:rStyle w:val="Hyperlink"/>
                <w:noProof/>
              </w:rPr>
              <w:t>School Specific Programs</w:t>
            </w:r>
            <w:r>
              <w:rPr>
                <w:noProof/>
                <w:webHidden/>
              </w:rPr>
              <w:tab/>
            </w:r>
            <w:r>
              <w:rPr>
                <w:noProof/>
                <w:webHidden/>
              </w:rPr>
              <w:fldChar w:fldCharType="begin"/>
            </w:r>
            <w:r>
              <w:rPr>
                <w:noProof/>
                <w:webHidden/>
              </w:rPr>
              <w:instrText xml:space="preserve"> PAGEREF _Toc106793774 \h </w:instrText>
            </w:r>
            <w:r>
              <w:rPr>
                <w:noProof/>
                <w:webHidden/>
              </w:rPr>
            </w:r>
            <w:r>
              <w:rPr>
                <w:noProof/>
                <w:webHidden/>
              </w:rPr>
              <w:fldChar w:fldCharType="separate"/>
            </w:r>
            <w:r>
              <w:rPr>
                <w:noProof/>
                <w:webHidden/>
              </w:rPr>
              <w:t>88</w:t>
            </w:r>
            <w:r>
              <w:rPr>
                <w:noProof/>
                <w:webHidden/>
              </w:rPr>
              <w:fldChar w:fldCharType="end"/>
            </w:r>
          </w:hyperlink>
        </w:p>
        <w:p w14:paraId="0D3BF8C5" w14:textId="42FDAB2F" w:rsidR="00B43F3D" w:rsidRDefault="00B43F3D">
          <w:pPr>
            <w:pStyle w:val="TOC2"/>
            <w:rPr>
              <w:rFonts w:eastAsiaTheme="minorEastAsia"/>
              <w:noProof/>
              <w:lang w:eastAsia="en-AU"/>
            </w:rPr>
          </w:pPr>
          <w:hyperlink w:anchor="_Toc106793775" w:history="1">
            <w:r w:rsidRPr="007C30AD">
              <w:rPr>
                <w:rStyle w:val="Hyperlink"/>
                <w:noProof/>
              </w:rPr>
              <w:t>P-12 Complexity Allowance (Reference 38)</w:t>
            </w:r>
            <w:r>
              <w:rPr>
                <w:noProof/>
                <w:webHidden/>
              </w:rPr>
              <w:tab/>
            </w:r>
            <w:r>
              <w:rPr>
                <w:noProof/>
                <w:webHidden/>
              </w:rPr>
              <w:fldChar w:fldCharType="begin"/>
            </w:r>
            <w:r>
              <w:rPr>
                <w:noProof/>
                <w:webHidden/>
              </w:rPr>
              <w:instrText xml:space="preserve"> PAGEREF _Toc106793775 \h </w:instrText>
            </w:r>
            <w:r>
              <w:rPr>
                <w:noProof/>
                <w:webHidden/>
              </w:rPr>
            </w:r>
            <w:r>
              <w:rPr>
                <w:noProof/>
                <w:webHidden/>
              </w:rPr>
              <w:fldChar w:fldCharType="separate"/>
            </w:r>
            <w:r>
              <w:rPr>
                <w:noProof/>
                <w:webHidden/>
              </w:rPr>
              <w:t>89</w:t>
            </w:r>
            <w:r>
              <w:rPr>
                <w:noProof/>
                <w:webHidden/>
              </w:rPr>
              <w:fldChar w:fldCharType="end"/>
            </w:r>
          </w:hyperlink>
        </w:p>
        <w:p w14:paraId="50C35743" w14:textId="2A06A37D" w:rsidR="00B43F3D" w:rsidRDefault="00B43F3D">
          <w:pPr>
            <w:pStyle w:val="TOC2"/>
            <w:rPr>
              <w:rFonts w:eastAsiaTheme="minorEastAsia"/>
              <w:noProof/>
              <w:lang w:eastAsia="en-AU"/>
            </w:rPr>
          </w:pPr>
          <w:hyperlink w:anchor="_Toc106793776" w:history="1">
            <w:r w:rsidRPr="007C30AD">
              <w:rPr>
                <w:rStyle w:val="Hyperlink"/>
                <w:noProof/>
              </w:rPr>
              <w:t>Location Index funding (Reference 39)</w:t>
            </w:r>
            <w:r>
              <w:rPr>
                <w:noProof/>
                <w:webHidden/>
              </w:rPr>
              <w:tab/>
            </w:r>
            <w:r>
              <w:rPr>
                <w:noProof/>
                <w:webHidden/>
              </w:rPr>
              <w:fldChar w:fldCharType="begin"/>
            </w:r>
            <w:r>
              <w:rPr>
                <w:noProof/>
                <w:webHidden/>
              </w:rPr>
              <w:instrText xml:space="preserve"> PAGEREF _Toc106793776 \h </w:instrText>
            </w:r>
            <w:r>
              <w:rPr>
                <w:noProof/>
                <w:webHidden/>
              </w:rPr>
            </w:r>
            <w:r>
              <w:rPr>
                <w:noProof/>
                <w:webHidden/>
              </w:rPr>
              <w:fldChar w:fldCharType="separate"/>
            </w:r>
            <w:r>
              <w:rPr>
                <w:noProof/>
                <w:webHidden/>
              </w:rPr>
              <w:t>90</w:t>
            </w:r>
            <w:r>
              <w:rPr>
                <w:noProof/>
                <w:webHidden/>
              </w:rPr>
              <w:fldChar w:fldCharType="end"/>
            </w:r>
          </w:hyperlink>
        </w:p>
        <w:p w14:paraId="70F779EE" w14:textId="444050D2" w:rsidR="00B43F3D" w:rsidRDefault="00B43F3D">
          <w:pPr>
            <w:pStyle w:val="TOC2"/>
            <w:rPr>
              <w:rFonts w:eastAsiaTheme="minorEastAsia"/>
              <w:noProof/>
              <w:lang w:eastAsia="en-AU"/>
            </w:rPr>
          </w:pPr>
          <w:hyperlink w:anchor="_Toc106793777" w:history="1">
            <w:r w:rsidRPr="007C30AD">
              <w:rPr>
                <w:rStyle w:val="Hyperlink"/>
                <w:noProof/>
              </w:rPr>
              <w:t>MARC/MACC Teachers (Reference 40)</w:t>
            </w:r>
            <w:r>
              <w:rPr>
                <w:noProof/>
                <w:webHidden/>
              </w:rPr>
              <w:tab/>
            </w:r>
            <w:r>
              <w:rPr>
                <w:noProof/>
                <w:webHidden/>
              </w:rPr>
              <w:fldChar w:fldCharType="begin"/>
            </w:r>
            <w:r>
              <w:rPr>
                <w:noProof/>
                <w:webHidden/>
              </w:rPr>
              <w:instrText xml:space="preserve"> PAGEREF _Toc106793777 \h </w:instrText>
            </w:r>
            <w:r>
              <w:rPr>
                <w:noProof/>
                <w:webHidden/>
              </w:rPr>
            </w:r>
            <w:r>
              <w:rPr>
                <w:noProof/>
                <w:webHidden/>
              </w:rPr>
              <w:fldChar w:fldCharType="separate"/>
            </w:r>
            <w:r>
              <w:rPr>
                <w:noProof/>
                <w:webHidden/>
              </w:rPr>
              <w:t>93</w:t>
            </w:r>
            <w:r>
              <w:rPr>
                <w:noProof/>
                <w:webHidden/>
              </w:rPr>
              <w:fldChar w:fldCharType="end"/>
            </w:r>
          </w:hyperlink>
        </w:p>
        <w:p w14:paraId="610DA26F" w14:textId="5A26506F" w:rsidR="00B43F3D" w:rsidRDefault="00B43F3D">
          <w:pPr>
            <w:pStyle w:val="TOC2"/>
            <w:rPr>
              <w:rFonts w:eastAsiaTheme="minorEastAsia"/>
              <w:noProof/>
              <w:lang w:eastAsia="en-AU"/>
            </w:rPr>
          </w:pPr>
          <w:hyperlink w:anchor="_Toc106793778" w:history="1">
            <w:r w:rsidRPr="007C30AD">
              <w:rPr>
                <w:rStyle w:val="Hyperlink"/>
                <w:noProof/>
              </w:rPr>
              <w:t>Instrumental Music Programs (Reference 41)</w:t>
            </w:r>
            <w:r>
              <w:rPr>
                <w:noProof/>
                <w:webHidden/>
              </w:rPr>
              <w:tab/>
            </w:r>
            <w:r>
              <w:rPr>
                <w:noProof/>
                <w:webHidden/>
              </w:rPr>
              <w:fldChar w:fldCharType="begin"/>
            </w:r>
            <w:r>
              <w:rPr>
                <w:noProof/>
                <w:webHidden/>
              </w:rPr>
              <w:instrText xml:space="preserve"> PAGEREF _Toc106793778 \h </w:instrText>
            </w:r>
            <w:r>
              <w:rPr>
                <w:noProof/>
                <w:webHidden/>
              </w:rPr>
            </w:r>
            <w:r>
              <w:rPr>
                <w:noProof/>
                <w:webHidden/>
              </w:rPr>
              <w:fldChar w:fldCharType="separate"/>
            </w:r>
            <w:r>
              <w:rPr>
                <w:noProof/>
                <w:webHidden/>
              </w:rPr>
              <w:t>96</w:t>
            </w:r>
            <w:r>
              <w:rPr>
                <w:noProof/>
                <w:webHidden/>
              </w:rPr>
              <w:fldChar w:fldCharType="end"/>
            </w:r>
          </w:hyperlink>
        </w:p>
        <w:p w14:paraId="631D69A5" w14:textId="679CDC11" w:rsidR="00B43F3D" w:rsidRDefault="00B43F3D">
          <w:pPr>
            <w:pStyle w:val="TOC2"/>
            <w:rPr>
              <w:rFonts w:eastAsiaTheme="minorEastAsia"/>
              <w:noProof/>
              <w:lang w:eastAsia="en-AU"/>
            </w:rPr>
          </w:pPr>
          <w:hyperlink w:anchor="_Toc106793779" w:history="1">
            <w:r w:rsidRPr="007C30AD">
              <w:rPr>
                <w:rStyle w:val="Hyperlink"/>
                <w:noProof/>
              </w:rPr>
              <w:t>Local Native-speaker Language Assistants Program  (Reference 42)</w:t>
            </w:r>
            <w:r>
              <w:rPr>
                <w:noProof/>
                <w:webHidden/>
              </w:rPr>
              <w:tab/>
            </w:r>
            <w:r>
              <w:rPr>
                <w:noProof/>
                <w:webHidden/>
              </w:rPr>
              <w:fldChar w:fldCharType="begin"/>
            </w:r>
            <w:r>
              <w:rPr>
                <w:noProof/>
                <w:webHidden/>
              </w:rPr>
              <w:instrText xml:space="preserve"> PAGEREF _Toc106793779 \h </w:instrText>
            </w:r>
            <w:r>
              <w:rPr>
                <w:noProof/>
                <w:webHidden/>
              </w:rPr>
            </w:r>
            <w:r>
              <w:rPr>
                <w:noProof/>
                <w:webHidden/>
              </w:rPr>
              <w:fldChar w:fldCharType="separate"/>
            </w:r>
            <w:r>
              <w:rPr>
                <w:noProof/>
                <w:webHidden/>
              </w:rPr>
              <w:t>97</w:t>
            </w:r>
            <w:r>
              <w:rPr>
                <w:noProof/>
                <w:webHidden/>
              </w:rPr>
              <w:fldChar w:fldCharType="end"/>
            </w:r>
          </w:hyperlink>
        </w:p>
        <w:p w14:paraId="7A6AB94D" w14:textId="7143D87A" w:rsidR="00B43F3D" w:rsidRDefault="00B43F3D">
          <w:pPr>
            <w:pStyle w:val="TOC2"/>
            <w:rPr>
              <w:rFonts w:eastAsiaTheme="minorEastAsia"/>
              <w:noProof/>
              <w:lang w:eastAsia="en-AU"/>
            </w:rPr>
          </w:pPr>
          <w:hyperlink w:anchor="_Toc106793780" w:history="1">
            <w:r w:rsidRPr="007C30AD">
              <w:rPr>
                <w:rStyle w:val="Hyperlink"/>
                <w:noProof/>
              </w:rPr>
              <w:t>Bus coordination (Reference 43)</w:t>
            </w:r>
            <w:r>
              <w:rPr>
                <w:noProof/>
                <w:webHidden/>
              </w:rPr>
              <w:tab/>
            </w:r>
            <w:r>
              <w:rPr>
                <w:noProof/>
                <w:webHidden/>
              </w:rPr>
              <w:fldChar w:fldCharType="begin"/>
            </w:r>
            <w:r>
              <w:rPr>
                <w:noProof/>
                <w:webHidden/>
              </w:rPr>
              <w:instrText xml:space="preserve"> PAGEREF _Toc106793780 \h </w:instrText>
            </w:r>
            <w:r>
              <w:rPr>
                <w:noProof/>
                <w:webHidden/>
              </w:rPr>
            </w:r>
            <w:r>
              <w:rPr>
                <w:noProof/>
                <w:webHidden/>
              </w:rPr>
              <w:fldChar w:fldCharType="separate"/>
            </w:r>
            <w:r>
              <w:rPr>
                <w:noProof/>
                <w:webHidden/>
              </w:rPr>
              <w:t>98</w:t>
            </w:r>
            <w:r>
              <w:rPr>
                <w:noProof/>
                <w:webHidden/>
              </w:rPr>
              <w:fldChar w:fldCharType="end"/>
            </w:r>
          </w:hyperlink>
        </w:p>
        <w:p w14:paraId="6B53C16C" w14:textId="5947E63E" w:rsidR="00B43F3D" w:rsidRDefault="00B43F3D">
          <w:pPr>
            <w:pStyle w:val="TOC2"/>
            <w:rPr>
              <w:rFonts w:eastAsiaTheme="minorEastAsia"/>
              <w:noProof/>
              <w:lang w:eastAsia="en-AU"/>
            </w:rPr>
          </w:pPr>
          <w:hyperlink w:anchor="_Toc106793781" w:history="1">
            <w:r w:rsidRPr="007C30AD">
              <w:rPr>
                <w:rStyle w:val="Hyperlink"/>
                <w:noProof/>
              </w:rPr>
              <w:t>Country Area Program Grant (Reference 45)</w:t>
            </w:r>
            <w:r>
              <w:rPr>
                <w:noProof/>
                <w:webHidden/>
              </w:rPr>
              <w:tab/>
            </w:r>
            <w:r>
              <w:rPr>
                <w:noProof/>
                <w:webHidden/>
              </w:rPr>
              <w:fldChar w:fldCharType="begin"/>
            </w:r>
            <w:r>
              <w:rPr>
                <w:noProof/>
                <w:webHidden/>
              </w:rPr>
              <w:instrText xml:space="preserve"> PAGEREF _Toc106793781 \h </w:instrText>
            </w:r>
            <w:r>
              <w:rPr>
                <w:noProof/>
                <w:webHidden/>
              </w:rPr>
            </w:r>
            <w:r>
              <w:rPr>
                <w:noProof/>
                <w:webHidden/>
              </w:rPr>
              <w:fldChar w:fldCharType="separate"/>
            </w:r>
            <w:r>
              <w:rPr>
                <w:noProof/>
                <w:webHidden/>
              </w:rPr>
              <w:t>99</w:t>
            </w:r>
            <w:r>
              <w:rPr>
                <w:noProof/>
                <w:webHidden/>
              </w:rPr>
              <w:fldChar w:fldCharType="end"/>
            </w:r>
          </w:hyperlink>
        </w:p>
        <w:p w14:paraId="07302F38" w14:textId="6392F26A" w:rsidR="00B43F3D" w:rsidRDefault="00B43F3D">
          <w:pPr>
            <w:pStyle w:val="TOC2"/>
            <w:rPr>
              <w:rFonts w:eastAsiaTheme="minorEastAsia"/>
              <w:noProof/>
              <w:lang w:eastAsia="en-AU"/>
            </w:rPr>
          </w:pPr>
          <w:hyperlink w:anchor="_Toc106793782" w:history="1">
            <w:r w:rsidRPr="007C30AD">
              <w:rPr>
                <w:rStyle w:val="Hyperlink"/>
                <w:noProof/>
              </w:rPr>
              <w:t>MARC/MACC Grant (Reference 46)</w:t>
            </w:r>
            <w:r>
              <w:rPr>
                <w:noProof/>
                <w:webHidden/>
              </w:rPr>
              <w:tab/>
            </w:r>
            <w:r>
              <w:rPr>
                <w:noProof/>
                <w:webHidden/>
              </w:rPr>
              <w:fldChar w:fldCharType="begin"/>
            </w:r>
            <w:r>
              <w:rPr>
                <w:noProof/>
                <w:webHidden/>
              </w:rPr>
              <w:instrText xml:space="preserve"> PAGEREF _Toc106793782 \h </w:instrText>
            </w:r>
            <w:r>
              <w:rPr>
                <w:noProof/>
                <w:webHidden/>
              </w:rPr>
            </w:r>
            <w:r>
              <w:rPr>
                <w:noProof/>
                <w:webHidden/>
              </w:rPr>
              <w:fldChar w:fldCharType="separate"/>
            </w:r>
            <w:r>
              <w:rPr>
                <w:noProof/>
                <w:webHidden/>
              </w:rPr>
              <w:t>101</w:t>
            </w:r>
            <w:r>
              <w:rPr>
                <w:noProof/>
                <w:webHidden/>
              </w:rPr>
              <w:fldChar w:fldCharType="end"/>
            </w:r>
          </w:hyperlink>
        </w:p>
        <w:p w14:paraId="5E9028DF" w14:textId="1C5EFE13" w:rsidR="00B43F3D" w:rsidRDefault="00B43F3D">
          <w:pPr>
            <w:pStyle w:val="TOC2"/>
            <w:rPr>
              <w:rFonts w:eastAsiaTheme="minorEastAsia"/>
              <w:noProof/>
              <w:lang w:eastAsia="en-AU"/>
            </w:rPr>
          </w:pPr>
          <w:hyperlink w:anchor="_Toc106793783" w:history="1">
            <w:r w:rsidRPr="007C30AD">
              <w:rPr>
                <w:rStyle w:val="Hyperlink"/>
                <w:noProof/>
              </w:rPr>
              <w:t>Alternative Settings Teachers (Reference 47)</w:t>
            </w:r>
            <w:r>
              <w:rPr>
                <w:noProof/>
                <w:webHidden/>
              </w:rPr>
              <w:tab/>
            </w:r>
            <w:r>
              <w:rPr>
                <w:noProof/>
                <w:webHidden/>
              </w:rPr>
              <w:fldChar w:fldCharType="begin"/>
            </w:r>
            <w:r>
              <w:rPr>
                <w:noProof/>
                <w:webHidden/>
              </w:rPr>
              <w:instrText xml:space="preserve"> PAGEREF _Toc106793783 \h </w:instrText>
            </w:r>
            <w:r>
              <w:rPr>
                <w:noProof/>
                <w:webHidden/>
              </w:rPr>
            </w:r>
            <w:r>
              <w:rPr>
                <w:noProof/>
                <w:webHidden/>
              </w:rPr>
              <w:fldChar w:fldCharType="separate"/>
            </w:r>
            <w:r>
              <w:rPr>
                <w:noProof/>
                <w:webHidden/>
              </w:rPr>
              <w:t>102</w:t>
            </w:r>
            <w:r>
              <w:rPr>
                <w:noProof/>
                <w:webHidden/>
              </w:rPr>
              <w:fldChar w:fldCharType="end"/>
            </w:r>
          </w:hyperlink>
        </w:p>
        <w:p w14:paraId="5B7CCF52" w14:textId="510911CC" w:rsidR="00B43F3D" w:rsidRDefault="00B43F3D">
          <w:pPr>
            <w:pStyle w:val="TOC2"/>
            <w:rPr>
              <w:rFonts w:eastAsiaTheme="minorEastAsia"/>
              <w:noProof/>
              <w:lang w:eastAsia="en-AU"/>
            </w:rPr>
          </w:pPr>
          <w:hyperlink w:anchor="_Toc106793784" w:history="1">
            <w:r w:rsidRPr="007C30AD">
              <w:rPr>
                <w:rStyle w:val="Hyperlink"/>
                <w:noProof/>
              </w:rPr>
              <w:t>Ancillary Settings Teachers (Reference 48)</w:t>
            </w:r>
            <w:r>
              <w:rPr>
                <w:noProof/>
                <w:webHidden/>
              </w:rPr>
              <w:tab/>
            </w:r>
            <w:r>
              <w:rPr>
                <w:noProof/>
                <w:webHidden/>
              </w:rPr>
              <w:fldChar w:fldCharType="begin"/>
            </w:r>
            <w:r>
              <w:rPr>
                <w:noProof/>
                <w:webHidden/>
              </w:rPr>
              <w:instrText xml:space="preserve"> PAGEREF _Toc106793784 \h </w:instrText>
            </w:r>
            <w:r>
              <w:rPr>
                <w:noProof/>
                <w:webHidden/>
              </w:rPr>
            </w:r>
            <w:r>
              <w:rPr>
                <w:noProof/>
                <w:webHidden/>
              </w:rPr>
              <w:fldChar w:fldCharType="separate"/>
            </w:r>
            <w:r>
              <w:rPr>
                <w:noProof/>
                <w:webHidden/>
              </w:rPr>
              <w:t>103</w:t>
            </w:r>
            <w:r>
              <w:rPr>
                <w:noProof/>
                <w:webHidden/>
              </w:rPr>
              <w:fldChar w:fldCharType="end"/>
            </w:r>
          </w:hyperlink>
        </w:p>
        <w:p w14:paraId="5E2A7499" w14:textId="7D022BAF" w:rsidR="00B43F3D" w:rsidRDefault="00B43F3D">
          <w:pPr>
            <w:pStyle w:val="TOC2"/>
            <w:rPr>
              <w:rFonts w:eastAsiaTheme="minorEastAsia"/>
              <w:noProof/>
              <w:lang w:eastAsia="en-AU"/>
            </w:rPr>
          </w:pPr>
          <w:hyperlink w:anchor="_Toc106793785" w:history="1">
            <w:r w:rsidRPr="007C30AD">
              <w:rPr>
                <w:rStyle w:val="Hyperlink"/>
                <w:noProof/>
              </w:rPr>
              <w:t>Alternative programs — regional grants (Reference 49)</w:t>
            </w:r>
            <w:r>
              <w:rPr>
                <w:noProof/>
                <w:webHidden/>
              </w:rPr>
              <w:tab/>
            </w:r>
            <w:r>
              <w:rPr>
                <w:noProof/>
                <w:webHidden/>
              </w:rPr>
              <w:fldChar w:fldCharType="begin"/>
            </w:r>
            <w:r>
              <w:rPr>
                <w:noProof/>
                <w:webHidden/>
              </w:rPr>
              <w:instrText xml:space="preserve"> PAGEREF _Toc106793785 \h </w:instrText>
            </w:r>
            <w:r>
              <w:rPr>
                <w:noProof/>
                <w:webHidden/>
              </w:rPr>
            </w:r>
            <w:r>
              <w:rPr>
                <w:noProof/>
                <w:webHidden/>
              </w:rPr>
              <w:fldChar w:fldCharType="separate"/>
            </w:r>
            <w:r>
              <w:rPr>
                <w:noProof/>
                <w:webHidden/>
              </w:rPr>
              <w:t>104</w:t>
            </w:r>
            <w:r>
              <w:rPr>
                <w:noProof/>
                <w:webHidden/>
              </w:rPr>
              <w:fldChar w:fldCharType="end"/>
            </w:r>
          </w:hyperlink>
        </w:p>
        <w:p w14:paraId="1DC7FC6F" w14:textId="692E0C92" w:rsidR="00B43F3D" w:rsidRDefault="00B43F3D">
          <w:pPr>
            <w:pStyle w:val="TOC2"/>
            <w:rPr>
              <w:rFonts w:eastAsiaTheme="minorEastAsia"/>
              <w:noProof/>
              <w:lang w:eastAsia="en-AU"/>
            </w:rPr>
          </w:pPr>
          <w:hyperlink w:anchor="_Toc106793786" w:history="1">
            <w:r w:rsidRPr="007C30AD">
              <w:rPr>
                <w:rStyle w:val="Hyperlink"/>
                <w:noProof/>
              </w:rPr>
              <w:t>Joint Community Program (Reference 123)</w:t>
            </w:r>
            <w:r>
              <w:rPr>
                <w:noProof/>
                <w:webHidden/>
              </w:rPr>
              <w:tab/>
            </w:r>
            <w:r>
              <w:rPr>
                <w:noProof/>
                <w:webHidden/>
              </w:rPr>
              <w:fldChar w:fldCharType="begin"/>
            </w:r>
            <w:r>
              <w:rPr>
                <w:noProof/>
                <w:webHidden/>
              </w:rPr>
              <w:instrText xml:space="preserve"> PAGEREF _Toc106793786 \h </w:instrText>
            </w:r>
            <w:r>
              <w:rPr>
                <w:noProof/>
                <w:webHidden/>
              </w:rPr>
            </w:r>
            <w:r>
              <w:rPr>
                <w:noProof/>
                <w:webHidden/>
              </w:rPr>
              <w:fldChar w:fldCharType="separate"/>
            </w:r>
            <w:r>
              <w:rPr>
                <w:noProof/>
                <w:webHidden/>
              </w:rPr>
              <w:t>105</w:t>
            </w:r>
            <w:r>
              <w:rPr>
                <w:noProof/>
                <w:webHidden/>
              </w:rPr>
              <w:fldChar w:fldCharType="end"/>
            </w:r>
          </w:hyperlink>
        </w:p>
        <w:p w14:paraId="1C2BE28D" w14:textId="3C18E51A" w:rsidR="00B43F3D" w:rsidRDefault="00B43F3D">
          <w:pPr>
            <w:pStyle w:val="TOC2"/>
            <w:rPr>
              <w:rFonts w:eastAsiaTheme="minorEastAsia"/>
              <w:noProof/>
              <w:lang w:eastAsia="en-AU"/>
            </w:rPr>
          </w:pPr>
          <w:hyperlink w:anchor="_Toc106793787" w:history="1">
            <w:r w:rsidRPr="007C30AD">
              <w:rPr>
                <w:rStyle w:val="Hyperlink"/>
                <w:noProof/>
              </w:rPr>
              <w:t>Designated Bilingual Programs (Reference 124)</w:t>
            </w:r>
            <w:r>
              <w:rPr>
                <w:noProof/>
                <w:webHidden/>
              </w:rPr>
              <w:tab/>
            </w:r>
            <w:r>
              <w:rPr>
                <w:noProof/>
                <w:webHidden/>
              </w:rPr>
              <w:fldChar w:fldCharType="begin"/>
            </w:r>
            <w:r>
              <w:rPr>
                <w:noProof/>
                <w:webHidden/>
              </w:rPr>
              <w:instrText xml:space="preserve"> PAGEREF _Toc106793787 \h </w:instrText>
            </w:r>
            <w:r>
              <w:rPr>
                <w:noProof/>
                <w:webHidden/>
              </w:rPr>
            </w:r>
            <w:r>
              <w:rPr>
                <w:noProof/>
                <w:webHidden/>
              </w:rPr>
              <w:fldChar w:fldCharType="separate"/>
            </w:r>
            <w:r>
              <w:rPr>
                <w:noProof/>
                <w:webHidden/>
              </w:rPr>
              <w:t>106</w:t>
            </w:r>
            <w:r>
              <w:rPr>
                <w:noProof/>
                <w:webHidden/>
              </w:rPr>
              <w:fldChar w:fldCharType="end"/>
            </w:r>
          </w:hyperlink>
        </w:p>
        <w:p w14:paraId="5A9F05DA" w14:textId="08F16F5D" w:rsidR="00B43F3D" w:rsidRDefault="00B43F3D">
          <w:pPr>
            <w:pStyle w:val="TOC1"/>
            <w:rPr>
              <w:rFonts w:eastAsiaTheme="minorEastAsia"/>
              <w:noProof/>
              <w:lang w:eastAsia="en-AU"/>
            </w:rPr>
          </w:pPr>
          <w:hyperlink w:anchor="_Toc106793788" w:history="1">
            <w:r w:rsidRPr="007C30AD">
              <w:rPr>
                <w:rStyle w:val="Hyperlink"/>
                <w:noProof/>
              </w:rPr>
              <w:t>Targeted Initiatives</w:t>
            </w:r>
            <w:r>
              <w:rPr>
                <w:noProof/>
                <w:webHidden/>
              </w:rPr>
              <w:tab/>
            </w:r>
            <w:r>
              <w:rPr>
                <w:noProof/>
                <w:webHidden/>
              </w:rPr>
              <w:fldChar w:fldCharType="begin"/>
            </w:r>
            <w:r>
              <w:rPr>
                <w:noProof/>
                <w:webHidden/>
              </w:rPr>
              <w:instrText xml:space="preserve"> PAGEREF _Toc106793788 \h </w:instrText>
            </w:r>
            <w:r>
              <w:rPr>
                <w:noProof/>
                <w:webHidden/>
              </w:rPr>
            </w:r>
            <w:r>
              <w:rPr>
                <w:noProof/>
                <w:webHidden/>
              </w:rPr>
              <w:fldChar w:fldCharType="separate"/>
            </w:r>
            <w:r>
              <w:rPr>
                <w:noProof/>
                <w:webHidden/>
              </w:rPr>
              <w:t>107</w:t>
            </w:r>
            <w:r>
              <w:rPr>
                <w:noProof/>
                <w:webHidden/>
              </w:rPr>
              <w:fldChar w:fldCharType="end"/>
            </w:r>
          </w:hyperlink>
        </w:p>
        <w:p w14:paraId="21B052BD" w14:textId="4CAC917C" w:rsidR="00B43F3D" w:rsidRDefault="00B43F3D">
          <w:pPr>
            <w:pStyle w:val="TOC2"/>
            <w:rPr>
              <w:rFonts w:eastAsiaTheme="minorEastAsia"/>
              <w:noProof/>
              <w:lang w:eastAsia="en-AU"/>
            </w:rPr>
          </w:pPr>
          <w:hyperlink w:anchor="_Toc106793789" w:history="1">
            <w:r w:rsidRPr="007C30AD">
              <w:rPr>
                <w:rStyle w:val="Hyperlink"/>
                <w:noProof/>
              </w:rPr>
              <w:t>Primary Welfare (Reference 50)</w:t>
            </w:r>
            <w:r>
              <w:rPr>
                <w:noProof/>
                <w:webHidden/>
              </w:rPr>
              <w:tab/>
            </w:r>
            <w:r>
              <w:rPr>
                <w:noProof/>
                <w:webHidden/>
              </w:rPr>
              <w:fldChar w:fldCharType="begin"/>
            </w:r>
            <w:r>
              <w:rPr>
                <w:noProof/>
                <w:webHidden/>
              </w:rPr>
              <w:instrText xml:space="preserve"> PAGEREF _Toc106793789 \h </w:instrText>
            </w:r>
            <w:r>
              <w:rPr>
                <w:noProof/>
                <w:webHidden/>
              </w:rPr>
            </w:r>
            <w:r>
              <w:rPr>
                <w:noProof/>
                <w:webHidden/>
              </w:rPr>
              <w:fldChar w:fldCharType="separate"/>
            </w:r>
            <w:r>
              <w:rPr>
                <w:noProof/>
                <w:webHidden/>
              </w:rPr>
              <w:t>109</w:t>
            </w:r>
            <w:r>
              <w:rPr>
                <w:noProof/>
                <w:webHidden/>
              </w:rPr>
              <w:fldChar w:fldCharType="end"/>
            </w:r>
          </w:hyperlink>
        </w:p>
        <w:p w14:paraId="0462EEA3" w14:textId="69B3AE55" w:rsidR="00B43F3D" w:rsidRDefault="00B43F3D">
          <w:pPr>
            <w:pStyle w:val="TOC2"/>
            <w:rPr>
              <w:rFonts w:eastAsiaTheme="minorEastAsia"/>
              <w:noProof/>
              <w:lang w:eastAsia="en-AU"/>
            </w:rPr>
          </w:pPr>
          <w:hyperlink w:anchor="_Toc106793790" w:history="1">
            <w:r w:rsidRPr="007C30AD">
              <w:rPr>
                <w:rStyle w:val="Hyperlink"/>
                <w:noProof/>
              </w:rPr>
              <w:t>Late Enrolment and Senior Secondary Re-engagement (Reference 53)</w:t>
            </w:r>
            <w:r>
              <w:rPr>
                <w:noProof/>
                <w:webHidden/>
              </w:rPr>
              <w:tab/>
            </w:r>
            <w:r>
              <w:rPr>
                <w:noProof/>
                <w:webHidden/>
              </w:rPr>
              <w:fldChar w:fldCharType="begin"/>
            </w:r>
            <w:r>
              <w:rPr>
                <w:noProof/>
                <w:webHidden/>
              </w:rPr>
              <w:instrText xml:space="preserve"> PAGEREF _Toc106793790 \h </w:instrText>
            </w:r>
            <w:r>
              <w:rPr>
                <w:noProof/>
                <w:webHidden/>
              </w:rPr>
            </w:r>
            <w:r>
              <w:rPr>
                <w:noProof/>
                <w:webHidden/>
              </w:rPr>
              <w:fldChar w:fldCharType="separate"/>
            </w:r>
            <w:r>
              <w:rPr>
                <w:noProof/>
                <w:webHidden/>
              </w:rPr>
              <w:t>111</w:t>
            </w:r>
            <w:r>
              <w:rPr>
                <w:noProof/>
                <w:webHidden/>
              </w:rPr>
              <w:fldChar w:fldCharType="end"/>
            </w:r>
          </w:hyperlink>
        </w:p>
        <w:p w14:paraId="62698BC0" w14:textId="793C490B" w:rsidR="00B43F3D" w:rsidRDefault="00B43F3D">
          <w:pPr>
            <w:pStyle w:val="TOC2"/>
            <w:rPr>
              <w:rFonts w:eastAsiaTheme="minorEastAsia"/>
              <w:noProof/>
              <w:lang w:eastAsia="en-AU"/>
            </w:rPr>
          </w:pPr>
          <w:hyperlink w:anchor="_Toc106793791" w:history="1">
            <w:r w:rsidRPr="007C30AD">
              <w:rPr>
                <w:rStyle w:val="Hyperlink"/>
                <w:noProof/>
              </w:rPr>
              <w:t>Vocational Education and Training Delivered to Secondary School Students (Reference 56)</w:t>
            </w:r>
            <w:r>
              <w:rPr>
                <w:noProof/>
                <w:webHidden/>
              </w:rPr>
              <w:tab/>
            </w:r>
            <w:r>
              <w:rPr>
                <w:noProof/>
                <w:webHidden/>
              </w:rPr>
              <w:fldChar w:fldCharType="begin"/>
            </w:r>
            <w:r>
              <w:rPr>
                <w:noProof/>
                <w:webHidden/>
              </w:rPr>
              <w:instrText xml:space="preserve"> PAGEREF _Toc106793791 \h </w:instrText>
            </w:r>
            <w:r>
              <w:rPr>
                <w:noProof/>
                <w:webHidden/>
              </w:rPr>
            </w:r>
            <w:r>
              <w:rPr>
                <w:noProof/>
                <w:webHidden/>
              </w:rPr>
              <w:fldChar w:fldCharType="separate"/>
            </w:r>
            <w:r>
              <w:rPr>
                <w:noProof/>
                <w:webHidden/>
              </w:rPr>
              <w:t>115</w:t>
            </w:r>
            <w:r>
              <w:rPr>
                <w:noProof/>
                <w:webHidden/>
              </w:rPr>
              <w:fldChar w:fldCharType="end"/>
            </w:r>
          </w:hyperlink>
        </w:p>
        <w:p w14:paraId="062328DC" w14:textId="498DCE7C" w:rsidR="00B43F3D" w:rsidRDefault="00B43F3D">
          <w:pPr>
            <w:pStyle w:val="TOC2"/>
            <w:rPr>
              <w:rFonts w:eastAsiaTheme="minorEastAsia"/>
              <w:noProof/>
              <w:lang w:eastAsia="en-AU"/>
            </w:rPr>
          </w:pPr>
          <w:hyperlink w:anchor="_Toc106793792" w:history="1">
            <w:r w:rsidRPr="007C30AD">
              <w:rPr>
                <w:rStyle w:val="Hyperlink"/>
                <w:noProof/>
              </w:rPr>
              <w:t>Respectful Relationships (Reference 86)</w:t>
            </w:r>
            <w:r>
              <w:rPr>
                <w:noProof/>
                <w:webHidden/>
              </w:rPr>
              <w:tab/>
            </w:r>
            <w:r>
              <w:rPr>
                <w:noProof/>
                <w:webHidden/>
              </w:rPr>
              <w:fldChar w:fldCharType="begin"/>
            </w:r>
            <w:r>
              <w:rPr>
                <w:noProof/>
                <w:webHidden/>
              </w:rPr>
              <w:instrText xml:space="preserve"> PAGEREF _Toc106793792 \h </w:instrText>
            </w:r>
            <w:r>
              <w:rPr>
                <w:noProof/>
                <w:webHidden/>
              </w:rPr>
            </w:r>
            <w:r>
              <w:rPr>
                <w:noProof/>
                <w:webHidden/>
              </w:rPr>
              <w:fldChar w:fldCharType="separate"/>
            </w:r>
            <w:r>
              <w:rPr>
                <w:noProof/>
                <w:webHidden/>
              </w:rPr>
              <w:t>124</w:t>
            </w:r>
            <w:r>
              <w:rPr>
                <w:noProof/>
                <w:webHidden/>
              </w:rPr>
              <w:fldChar w:fldCharType="end"/>
            </w:r>
          </w:hyperlink>
        </w:p>
        <w:p w14:paraId="0DE326D0" w14:textId="02C4161E" w:rsidR="00B43F3D" w:rsidRDefault="00B43F3D">
          <w:pPr>
            <w:pStyle w:val="TOC2"/>
            <w:rPr>
              <w:rFonts w:eastAsiaTheme="minorEastAsia"/>
              <w:noProof/>
              <w:lang w:eastAsia="en-AU"/>
            </w:rPr>
          </w:pPr>
          <w:hyperlink w:anchor="_Toc106793793" w:history="1">
            <w:r w:rsidRPr="007C30AD">
              <w:rPr>
                <w:rStyle w:val="Hyperlink"/>
                <w:noProof/>
              </w:rPr>
              <w:t>Extended Koorie Literacy and Numeracy Program (Reference 88)</w:t>
            </w:r>
            <w:r>
              <w:rPr>
                <w:noProof/>
                <w:webHidden/>
              </w:rPr>
              <w:tab/>
            </w:r>
            <w:r>
              <w:rPr>
                <w:noProof/>
                <w:webHidden/>
              </w:rPr>
              <w:fldChar w:fldCharType="begin"/>
            </w:r>
            <w:r>
              <w:rPr>
                <w:noProof/>
                <w:webHidden/>
              </w:rPr>
              <w:instrText xml:space="preserve"> PAGEREF _Toc106793793 \h </w:instrText>
            </w:r>
            <w:r>
              <w:rPr>
                <w:noProof/>
                <w:webHidden/>
              </w:rPr>
            </w:r>
            <w:r>
              <w:rPr>
                <w:noProof/>
                <w:webHidden/>
              </w:rPr>
              <w:fldChar w:fldCharType="separate"/>
            </w:r>
            <w:r>
              <w:rPr>
                <w:noProof/>
                <w:webHidden/>
              </w:rPr>
              <w:t>126</w:t>
            </w:r>
            <w:r>
              <w:rPr>
                <w:noProof/>
                <w:webHidden/>
              </w:rPr>
              <w:fldChar w:fldCharType="end"/>
            </w:r>
          </w:hyperlink>
        </w:p>
        <w:p w14:paraId="5E54B774" w14:textId="69D60C46" w:rsidR="00B43F3D" w:rsidRDefault="00B43F3D">
          <w:pPr>
            <w:pStyle w:val="TOC2"/>
            <w:rPr>
              <w:rFonts w:eastAsiaTheme="minorEastAsia"/>
              <w:noProof/>
              <w:lang w:eastAsia="en-AU"/>
            </w:rPr>
          </w:pPr>
          <w:hyperlink w:anchor="_Toc106793794" w:history="1">
            <w:r w:rsidRPr="007C30AD">
              <w:rPr>
                <w:rStyle w:val="Hyperlink"/>
                <w:noProof/>
              </w:rPr>
              <w:t>Early Years Koorie Literacy and Numeracy Program (Reference 90)</w:t>
            </w:r>
            <w:r>
              <w:rPr>
                <w:noProof/>
                <w:webHidden/>
              </w:rPr>
              <w:tab/>
            </w:r>
            <w:r>
              <w:rPr>
                <w:noProof/>
                <w:webHidden/>
              </w:rPr>
              <w:fldChar w:fldCharType="begin"/>
            </w:r>
            <w:r>
              <w:rPr>
                <w:noProof/>
                <w:webHidden/>
              </w:rPr>
              <w:instrText xml:space="preserve"> PAGEREF _Toc106793794 \h </w:instrText>
            </w:r>
            <w:r>
              <w:rPr>
                <w:noProof/>
                <w:webHidden/>
              </w:rPr>
            </w:r>
            <w:r>
              <w:rPr>
                <w:noProof/>
                <w:webHidden/>
              </w:rPr>
              <w:fldChar w:fldCharType="separate"/>
            </w:r>
            <w:r>
              <w:rPr>
                <w:noProof/>
                <w:webHidden/>
              </w:rPr>
              <w:t>128</w:t>
            </w:r>
            <w:r>
              <w:rPr>
                <w:noProof/>
                <w:webHidden/>
              </w:rPr>
              <w:fldChar w:fldCharType="end"/>
            </w:r>
          </w:hyperlink>
        </w:p>
        <w:p w14:paraId="730EB853" w14:textId="0EF1615E" w:rsidR="00B43F3D" w:rsidRDefault="00B43F3D">
          <w:pPr>
            <w:pStyle w:val="TOC2"/>
            <w:rPr>
              <w:rFonts w:eastAsiaTheme="minorEastAsia"/>
              <w:noProof/>
              <w:lang w:eastAsia="en-AU"/>
            </w:rPr>
          </w:pPr>
          <w:hyperlink w:anchor="_Toc106793795" w:history="1">
            <w:r w:rsidRPr="007C30AD">
              <w:rPr>
                <w:rStyle w:val="Hyperlink"/>
                <w:noProof/>
              </w:rPr>
              <w:t>Doctors in Secondary Schools — School program lead funding (Reference 64)</w:t>
            </w:r>
            <w:r>
              <w:rPr>
                <w:noProof/>
                <w:webHidden/>
              </w:rPr>
              <w:tab/>
            </w:r>
            <w:r>
              <w:rPr>
                <w:noProof/>
                <w:webHidden/>
              </w:rPr>
              <w:fldChar w:fldCharType="begin"/>
            </w:r>
            <w:r>
              <w:rPr>
                <w:noProof/>
                <w:webHidden/>
              </w:rPr>
              <w:instrText xml:space="preserve"> PAGEREF _Toc106793795 \h </w:instrText>
            </w:r>
            <w:r>
              <w:rPr>
                <w:noProof/>
                <w:webHidden/>
              </w:rPr>
            </w:r>
            <w:r>
              <w:rPr>
                <w:noProof/>
                <w:webHidden/>
              </w:rPr>
              <w:fldChar w:fldCharType="separate"/>
            </w:r>
            <w:r>
              <w:rPr>
                <w:noProof/>
                <w:webHidden/>
              </w:rPr>
              <w:t>130</w:t>
            </w:r>
            <w:r>
              <w:rPr>
                <w:noProof/>
                <w:webHidden/>
              </w:rPr>
              <w:fldChar w:fldCharType="end"/>
            </w:r>
          </w:hyperlink>
        </w:p>
        <w:p w14:paraId="16C24A88" w14:textId="712340B1" w:rsidR="00B43F3D" w:rsidRDefault="00B43F3D">
          <w:pPr>
            <w:pStyle w:val="TOC2"/>
            <w:rPr>
              <w:rFonts w:eastAsiaTheme="minorEastAsia"/>
              <w:noProof/>
              <w:lang w:eastAsia="en-AU"/>
            </w:rPr>
          </w:pPr>
          <w:hyperlink w:anchor="_Toc106793796" w:history="1">
            <w:r w:rsidRPr="007C30AD">
              <w:rPr>
                <w:rStyle w:val="Hyperlink"/>
                <w:noProof/>
              </w:rPr>
              <w:t>Career Education Funding (Reference 91)</w:t>
            </w:r>
            <w:r>
              <w:rPr>
                <w:noProof/>
                <w:webHidden/>
              </w:rPr>
              <w:tab/>
            </w:r>
            <w:r>
              <w:rPr>
                <w:noProof/>
                <w:webHidden/>
              </w:rPr>
              <w:fldChar w:fldCharType="begin"/>
            </w:r>
            <w:r>
              <w:rPr>
                <w:noProof/>
                <w:webHidden/>
              </w:rPr>
              <w:instrText xml:space="preserve"> PAGEREF _Toc106793796 \h </w:instrText>
            </w:r>
            <w:r>
              <w:rPr>
                <w:noProof/>
                <w:webHidden/>
              </w:rPr>
            </w:r>
            <w:r>
              <w:rPr>
                <w:noProof/>
                <w:webHidden/>
              </w:rPr>
              <w:fldChar w:fldCharType="separate"/>
            </w:r>
            <w:r>
              <w:rPr>
                <w:noProof/>
                <w:webHidden/>
              </w:rPr>
              <w:t>132</w:t>
            </w:r>
            <w:r>
              <w:rPr>
                <w:noProof/>
                <w:webHidden/>
              </w:rPr>
              <w:fldChar w:fldCharType="end"/>
            </w:r>
          </w:hyperlink>
        </w:p>
        <w:p w14:paraId="36B1F8FB" w14:textId="7629A458" w:rsidR="00B43F3D" w:rsidRDefault="00B43F3D">
          <w:pPr>
            <w:pStyle w:val="TOC2"/>
            <w:rPr>
              <w:rFonts w:eastAsiaTheme="minorEastAsia"/>
              <w:noProof/>
              <w:lang w:eastAsia="en-AU"/>
            </w:rPr>
          </w:pPr>
          <w:hyperlink w:anchor="_Toc106793797" w:history="1">
            <w:r w:rsidRPr="007C30AD">
              <w:rPr>
                <w:rStyle w:val="Hyperlink"/>
                <w:noProof/>
              </w:rPr>
              <w:t>Swimming in Schools (Reference 115)</w:t>
            </w:r>
            <w:r>
              <w:rPr>
                <w:noProof/>
                <w:webHidden/>
              </w:rPr>
              <w:tab/>
            </w:r>
            <w:r>
              <w:rPr>
                <w:noProof/>
                <w:webHidden/>
              </w:rPr>
              <w:fldChar w:fldCharType="begin"/>
            </w:r>
            <w:r>
              <w:rPr>
                <w:noProof/>
                <w:webHidden/>
              </w:rPr>
              <w:instrText xml:space="preserve"> PAGEREF _Toc106793797 \h </w:instrText>
            </w:r>
            <w:r>
              <w:rPr>
                <w:noProof/>
                <w:webHidden/>
              </w:rPr>
            </w:r>
            <w:r>
              <w:rPr>
                <w:noProof/>
                <w:webHidden/>
              </w:rPr>
              <w:fldChar w:fldCharType="separate"/>
            </w:r>
            <w:r>
              <w:rPr>
                <w:noProof/>
                <w:webHidden/>
              </w:rPr>
              <w:t>135</w:t>
            </w:r>
            <w:r>
              <w:rPr>
                <w:noProof/>
                <w:webHidden/>
              </w:rPr>
              <w:fldChar w:fldCharType="end"/>
            </w:r>
          </w:hyperlink>
        </w:p>
        <w:p w14:paraId="64A98A26" w14:textId="6569344B" w:rsidR="00B43F3D" w:rsidRDefault="00B43F3D">
          <w:pPr>
            <w:pStyle w:val="TOC2"/>
            <w:rPr>
              <w:rFonts w:eastAsiaTheme="minorEastAsia"/>
              <w:noProof/>
              <w:lang w:eastAsia="en-AU"/>
            </w:rPr>
          </w:pPr>
          <w:hyperlink w:anchor="_Toc106793798" w:history="1">
            <w:r w:rsidRPr="007C30AD">
              <w:rPr>
                <w:rStyle w:val="Hyperlink"/>
                <w:noProof/>
              </w:rPr>
              <w:t>Head Start (Reference 116)</w:t>
            </w:r>
            <w:r>
              <w:rPr>
                <w:noProof/>
                <w:webHidden/>
              </w:rPr>
              <w:tab/>
            </w:r>
            <w:r>
              <w:rPr>
                <w:noProof/>
                <w:webHidden/>
              </w:rPr>
              <w:fldChar w:fldCharType="begin"/>
            </w:r>
            <w:r>
              <w:rPr>
                <w:noProof/>
                <w:webHidden/>
              </w:rPr>
              <w:instrText xml:space="preserve"> PAGEREF _Toc106793798 \h </w:instrText>
            </w:r>
            <w:r>
              <w:rPr>
                <w:noProof/>
                <w:webHidden/>
              </w:rPr>
            </w:r>
            <w:r>
              <w:rPr>
                <w:noProof/>
                <w:webHidden/>
              </w:rPr>
              <w:fldChar w:fldCharType="separate"/>
            </w:r>
            <w:r>
              <w:rPr>
                <w:noProof/>
                <w:webHidden/>
              </w:rPr>
              <w:t>137</w:t>
            </w:r>
            <w:r>
              <w:rPr>
                <w:noProof/>
                <w:webHidden/>
              </w:rPr>
              <w:fldChar w:fldCharType="end"/>
            </w:r>
          </w:hyperlink>
        </w:p>
        <w:p w14:paraId="5725D342" w14:textId="25174ACC" w:rsidR="00B43F3D" w:rsidRDefault="00B43F3D">
          <w:pPr>
            <w:pStyle w:val="TOC2"/>
            <w:rPr>
              <w:rFonts w:eastAsiaTheme="minorEastAsia"/>
              <w:noProof/>
              <w:lang w:eastAsia="en-AU"/>
            </w:rPr>
          </w:pPr>
          <w:hyperlink w:anchor="_Toc106793799" w:history="1">
            <w:r w:rsidRPr="007C30AD">
              <w:rPr>
                <w:rStyle w:val="Hyperlink"/>
                <w:noProof/>
              </w:rPr>
              <w:t>National School Chaplaincy Program (NSCP) (Reference 117)</w:t>
            </w:r>
            <w:r>
              <w:rPr>
                <w:noProof/>
                <w:webHidden/>
              </w:rPr>
              <w:tab/>
            </w:r>
            <w:r>
              <w:rPr>
                <w:noProof/>
                <w:webHidden/>
              </w:rPr>
              <w:fldChar w:fldCharType="begin"/>
            </w:r>
            <w:r>
              <w:rPr>
                <w:noProof/>
                <w:webHidden/>
              </w:rPr>
              <w:instrText xml:space="preserve"> PAGEREF _Toc106793799 \h </w:instrText>
            </w:r>
            <w:r>
              <w:rPr>
                <w:noProof/>
                <w:webHidden/>
              </w:rPr>
            </w:r>
            <w:r>
              <w:rPr>
                <w:noProof/>
                <w:webHidden/>
              </w:rPr>
              <w:fldChar w:fldCharType="separate"/>
            </w:r>
            <w:r>
              <w:rPr>
                <w:noProof/>
                <w:webHidden/>
              </w:rPr>
              <w:t>138</w:t>
            </w:r>
            <w:r>
              <w:rPr>
                <w:noProof/>
                <w:webHidden/>
              </w:rPr>
              <w:fldChar w:fldCharType="end"/>
            </w:r>
          </w:hyperlink>
        </w:p>
        <w:p w14:paraId="612663B1" w14:textId="6B2E02F3" w:rsidR="00B43F3D" w:rsidRDefault="00B43F3D">
          <w:pPr>
            <w:pStyle w:val="TOC2"/>
            <w:rPr>
              <w:rFonts w:eastAsiaTheme="minorEastAsia"/>
              <w:noProof/>
              <w:lang w:eastAsia="en-AU"/>
            </w:rPr>
          </w:pPr>
          <w:hyperlink w:anchor="_Toc106793800" w:history="1">
            <w:r w:rsidRPr="007C30AD">
              <w:rPr>
                <w:rStyle w:val="Hyperlink"/>
                <w:noProof/>
              </w:rPr>
              <w:t>Middle Years Literacy and Numeracy Support Initiative (Reference 118)</w:t>
            </w:r>
            <w:r>
              <w:rPr>
                <w:noProof/>
                <w:webHidden/>
              </w:rPr>
              <w:tab/>
            </w:r>
            <w:r>
              <w:rPr>
                <w:noProof/>
                <w:webHidden/>
              </w:rPr>
              <w:fldChar w:fldCharType="begin"/>
            </w:r>
            <w:r>
              <w:rPr>
                <w:noProof/>
                <w:webHidden/>
              </w:rPr>
              <w:instrText xml:space="preserve"> PAGEREF _Toc106793800 \h </w:instrText>
            </w:r>
            <w:r>
              <w:rPr>
                <w:noProof/>
                <w:webHidden/>
              </w:rPr>
            </w:r>
            <w:r>
              <w:rPr>
                <w:noProof/>
                <w:webHidden/>
              </w:rPr>
              <w:fldChar w:fldCharType="separate"/>
            </w:r>
            <w:r>
              <w:rPr>
                <w:noProof/>
                <w:webHidden/>
              </w:rPr>
              <w:t>139</w:t>
            </w:r>
            <w:r>
              <w:rPr>
                <w:noProof/>
                <w:webHidden/>
              </w:rPr>
              <w:fldChar w:fldCharType="end"/>
            </w:r>
          </w:hyperlink>
        </w:p>
        <w:p w14:paraId="18CB598A" w14:textId="6EF7F7C1" w:rsidR="00B43F3D" w:rsidRDefault="00B43F3D">
          <w:pPr>
            <w:pStyle w:val="TOC2"/>
            <w:rPr>
              <w:rFonts w:eastAsiaTheme="minorEastAsia"/>
              <w:noProof/>
              <w:lang w:eastAsia="en-AU"/>
            </w:rPr>
          </w:pPr>
          <w:hyperlink w:anchor="_Toc106793801" w:history="1">
            <w:r w:rsidRPr="007C30AD">
              <w:rPr>
                <w:rStyle w:val="Hyperlink"/>
                <w:noProof/>
              </w:rPr>
              <w:t>Student Excellence Program Funding (Reference 120)</w:t>
            </w:r>
            <w:r>
              <w:rPr>
                <w:noProof/>
                <w:webHidden/>
              </w:rPr>
              <w:tab/>
            </w:r>
            <w:r>
              <w:rPr>
                <w:noProof/>
                <w:webHidden/>
              </w:rPr>
              <w:fldChar w:fldCharType="begin"/>
            </w:r>
            <w:r>
              <w:rPr>
                <w:noProof/>
                <w:webHidden/>
              </w:rPr>
              <w:instrText xml:space="preserve"> PAGEREF _Toc106793801 \h </w:instrText>
            </w:r>
            <w:r>
              <w:rPr>
                <w:noProof/>
                <w:webHidden/>
              </w:rPr>
            </w:r>
            <w:r>
              <w:rPr>
                <w:noProof/>
                <w:webHidden/>
              </w:rPr>
              <w:fldChar w:fldCharType="separate"/>
            </w:r>
            <w:r>
              <w:rPr>
                <w:noProof/>
                <w:webHidden/>
              </w:rPr>
              <w:t>142</w:t>
            </w:r>
            <w:r>
              <w:rPr>
                <w:noProof/>
                <w:webHidden/>
              </w:rPr>
              <w:fldChar w:fldCharType="end"/>
            </w:r>
          </w:hyperlink>
        </w:p>
        <w:p w14:paraId="4C36CD9C" w14:textId="4B76F7E8" w:rsidR="00B43F3D" w:rsidRDefault="00B43F3D">
          <w:pPr>
            <w:pStyle w:val="TOC2"/>
            <w:rPr>
              <w:rFonts w:eastAsiaTheme="minorEastAsia"/>
              <w:noProof/>
              <w:lang w:eastAsia="en-AU"/>
            </w:rPr>
          </w:pPr>
          <w:hyperlink w:anchor="_Toc106793802" w:history="1">
            <w:r w:rsidRPr="007C30AD">
              <w:rPr>
                <w:rStyle w:val="Hyperlink"/>
                <w:noProof/>
              </w:rPr>
              <w:t>VCE Revision Lectures (Reference 121)</w:t>
            </w:r>
            <w:r>
              <w:rPr>
                <w:noProof/>
                <w:webHidden/>
              </w:rPr>
              <w:tab/>
            </w:r>
            <w:r>
              <w:rPr>
                <w:noProof/>
                <w:webHidden/>
              </w:rPr>
              <w:fldChar w:fldCharType="begin"/>
            </w:r>
            <w:r>
              <w:rPr>
                <w:noProof/>
                <w:webHidden/>
              </w:rPr>
              <w:instrText xml:space="preserve"> PAGEREF _Toc106793802 \h </w:instrText>
            </w:r>
            <w:r>
              <w:rPr>
                <w:noProof/>
                <w:webHidden/>
              </w:rPr>
            </w:r>
            <w:r>
              <w:rPr>
                <w:noProof/>
                <w:webHidden/>
              </w:rPr>
              <w:fldChar w:fldCharType="separate"/>
            </w:r>
            <w:r>
              <w:rPr>
                <w:noProof/>
                <w:webHidden/>
              </w:rPr>
              <w:t>145</w:t>
            </w:r>
            <w:r>
              <w:rPr>
                <w:noProof/>
                <w:webHidden/>
              </w:rPr>
              <w:fldChar w:fldCharType="end"/>
            </w:r>
          </w:hyperlink>
        </w:p>
        <w:p w14:paraId="6D7AC8A3" w14:textId="15E66A60" w:rsidR="00B43F3D" w:rsidRDefault="00B43F3D">
          <w:pPr>
            <w:pStyle w:val="TOC2"/>
            <w:rPr>
              <w:rFonts w:eastAsiaTheme="minorEastAsia"/>
              <w:noProof/>
              <w:lang w:eastAsia="en-AU"/>
            </w:rPr>
          </w:pPr>
          <w:hyperlink w:anchor="_Toc106793803" w:history="1">
            <w:r w:rsidRPr="007C30AD">
              <w:rPr>
                <w:rStyle w:val="Hyperlink"/>
                <w:noProof/>
              </w:rPr>
              <w:t>Professional Learning Communities (PLC) Link Schools (Reference 122)</w:t>
            </w:r>
            <w:r>
              <w:rPr>
                <w:noProof/>
                <w:webHidden/>
              </w:rPr>
              <w:tab/>
            </w:r>
            <w:r>
              <w:rPr>
                <w:noProof/>
                <w:webHidden/>
              </w:rPr>
              <w:fldChar w:fldCharType="begin"/>
            </w:r>
            <w:r>
              <w:rPr>
                <w:noProof/>
                <w:webHidden/>
              </w:rPr>
              <w:instrText xml:space="preserve"> PAGEREF _Toc106793803 \h </w:instrText>
            </w:r>
            <w:r>
              <w:rPr>
                <w:noProof/>
                <w:webHidden/>
              </w:rPr>
            </w:r>
            <w:r>
              <w:rPr>
                <w:noProof/>
                <w:webHidden/>
              </w:rPr>
              <w:fldChar w:fldCharType="separate"/>
            </w:r>
            <w:r>
              <w:rPr>
                <w:noProof/>
                <w:webHidden/>
              </w:rPr>
              <w:t>147</w:t>
            </w:r>
            <w:r>
              <w:rPr>
                <w:noProof/>
                <w:webHidden/>
              </w:rPr>
              <w:fldChar w:fldCharType="end"/>
            </w:r>
          </w:hyperlink>
        </w:p>
        <w:p w14:paraId="1A7015CB" w14:textId="2D59A505" w:rsidR="00B43F3D" w:rsidRDefault="00B43F3D">
          <w:pPr>
            <w:pStyle w:val="TOC2"/>
            <w:rPr>
              <w:rFonts w:eastAsiaTheme="minorEastAsia"/>
              <w:noProof/>
              <w:lang w:eastAsia="en-AU"/>
            </w:rPr>
          </w:pPr>
          <w:hyperlink w:anchor="_Toc106793804" w:history="1">
            <w:r w:rsidRPr="007C30AD">
              <w:rPr>
                <w:rStyle w:val="Hyperlink"/>
                <w:noProof/>
              </w:rPr>
              <w:t>Primary Mathematics and Science Specialists Initiative (Reference 125)</w:t>
            </w:r>
            <w:r>
              <w:rPr>
                <w:noProof/>
                <w:webHidden/>
              </w:rPr>
              <w:tab/>
            </w:r>
            <w:r>
              <w:rPr>
                <w:noProof/>
                <w:webHidden/>
              </w:rPr>
              <w:fldChar w:fldCharType="begin"/>
            </w:r>
            <w:r>
              <w:rPr>
                <w:noProof/>
                <w:webHidden/>
              </w:rPr>
              <w:instrText xml:space="preserve"> PAGEREF _Toc106793804 \h </w:instrText>
            </w:r>
            <w:r>
              <w:rPr>
                <w:noProof/>
                <w:webHidden/>
              </w:rPr>
            </w:r>
            <w:r>
              <w:rPr>
                <w:noProof/>
                <w:webHidden/>
              </w:rPr>
              <w:fldChar w:fldCharType="separate"/>
            </w:r>
            <w:r>
              <w:rPr>
                <w:noProof/>
                <w:webHidden/>
              </w:rPr>
              <w:t>148</w:t>
            </w:r>
            <w:r>
              <w:rPr>
                <w:noProof/>
                <w:webHidden/>
              </w:rPr>
              <w:fldChar w:fldCharType="end"/>
            </w:r>
          </w:hyperlink>
        </w:p>
        <w:p w14:paraId="5900DAE5" w14:textId="185E9342" w:rsidR="00B43F3D" w:rsidRDefault="00B43F3D">
          <w:pPr>
            <w:pStyle w:val="TOC2"/>
            <w:rPr>
              <w:rFonts w:eastAsiaTheme="minorEastAsia"/>
              <w:noProof/>
              <w:lang w:eastAsia="en-AU"/>
            </w:rPr>
          </w:pPr>
          <w:hyperlink w:anchor="_Toc106793805" w:history="1">
            <w:r w:rsidRPr="007C30AD">
              <w:rPr>
                <w:rStyle w:val="Hyperlink"/>
                <w:noProof/>
              </w:rPr>
              <w:t>Secondary Mathematics and Science Initiative (Reference 133)</w:t>
            </w:r>
            <w:r>
              <w:rPr>
                <w:noProof/>
                <w:webHidden/>
              </w:rPr>
              <w:tab/>
            </w:r>
            <w:r>
              <w:rPr>
                <w:noProof/>
                <w:webHidden/>
              </w:rPr>
              <w:fldChar w:fldCharType="begin"/>
            </w:r>
            <w:r>
              <w:rPr>
                <w:noProof/>
                <w:webHidden/>
              </w:rPr>
              <w:instrText xml:space="preserve"> PAGEREF _Toc106793805 \h </w:instrText>
            </w:r>
            <w:r>
              <w:rPr>
                <w:noProof/>
                <w:webHidden/>
              </w:rPr>
            </w:r>
            <w:r>
              <w:rPr>
                <w:noProof/>
                <w:webHidden/>
              </w:rPr>
              <w:fldChar w:fldCharType="separate"/>
            </w:r>
            <w:r>
              <w:rPr>
                <w:noProof/>
                <w:webHidden/>
              </w:rPr>
              <w:t>150</w:t>
            </w:r>
            <w:r>
              <w:rPr>
                <w:noProof/>
                <w:webHidden/>
              </w:rPr>
              <w:fldChar w:fldCharType="end"/>
            </w:r>
          </w:hyperlink>
        </w:p>
        <w:p w14:paraId="10DA6E58" w14:textId="4EDA9F40" w:rsidR="00B43F3D" w:rsidRDefault="00B43F3D">
          <w:pPr>
            <w:pStyle w:val="TOC2"/>
            <w:rPr>
              <w:rFonts w:eastAsiaTheme="minorEastAsia"/>
              <w:noProof/>
              <w:lang w:eastAsia="en-AU"/>
            </w:rPr>
          </w:pPr>
          <w:hyperlink w:anchor="_Toc106793806" w:history="1">
            <w:r w:rsidRPr="007C30AD">
              <w:rPr>
                <w:rStyle w:val="Hyperlink"/>
                <w:noProof/>
              </w:rPr>
              <w:t>Transition Funding (Rural) (Reference 126)</w:t>
            </w:r>
            <w:r>
              <w:rPr>
                <w:noProof/>
                <w:webHidden/>
              </w:rPr>
              <w:tab/>
            </w:r>
            <w:r>
              <w:rPr>
                <w:noProof/>
                <w:webHidden/>
              </w:rPr>
              <w:fldChar w:fldCharType="begin"/>
            </w:r>
            <w:r>
              <w:rPr>
                <w:noProof/>
                <w:webHidden/>
              </w:rPr>
              <w:instrText xml:space="preserve"> PAGEREF _Toc106793806 \h </w:instrText>
            </w:r>
            <w:r>
              <w:rPr>
                <w:noProof/>
                <w:webHidden/>
              </w:rPr>
            </w:r>
            <w:r>
              <w:rPr>
                <w:noProof/>
                <w:webHidden/>
              </w:rPr>
              <w:fldChar w:fldCharType="separate"/>
            </w:r>
            <w:r>
              <w:rPr>
                <w:noProof/>
                <w:webHidden/>
              </w:rPr>
              <w:t>151</w:t>
            </w:r>
            <w:r>
              <w:rPr>
                <w:noProof/>
                <w:webHidden/>
              </w:rPr>
              <w:fldChar w:fldCharType="end"/>
            </w:r>
          </w:hyperlink>
        </w:p>
        <w:p w14:paraId="26C7CFB5" w14:textId="73D6D98D" w:rsidR="00B43F3D" w:rsidRDefault="00B43F3D">
          <w:pPr>
            <w:pStyle w:val="TOC2"/>
            <w:rPr>
              <w:rFonts w:eastAsiaTheme="minorEastAsia"/>
              <w:noProof/>
              <w:lang w:eastAsia="en-AU"/>
            </w:rPr>
          </w:pPr>
          <w:hyperlink w:anchor="_Toc106793807" w:history="1">
            <w:r w:rsidRPr="007C30AD">
              <w:rPr>
                <w:rStyle w:val="Hyperlink"/>
                <w:noProof/>
              </w:rPr>
              <w:t>Jobs, Skills and Pathways (JSP) coordination (Reference 127)</w:t>
            </w:r>
            <w:r>
              <w:rPr>
                <w:noProof/>
                <w:webHidden/>
              </w:rPr>
              <w:tab/>
            </w:r>
            <w:r>
              <w:rPr>
                <w:noProof/>
                <w:webHidden/>
              </w:rPr>
              <w:fldChar w:fldCharType="begin"/>
            </w:r>
            <w:r>
              <w:rPr>
                <w:noProof/>
                <w:webHidden/>
              </w:rPr>
              <w:instrText xml:space="preserve"> PAGEREF _Toc106793807 \h </w:instrText>
            </w:r>
            <w:r>
              <w:rPr>
                <w:noProof/>
                <w:webHidden/>
              </w:rPr>
            </w:r>
            <w:r>
              <w:rPr>
                <w:noProof/>
                <w:webHidden/>
              </w:rPr>
              <w:fldChar w:fldCharType="separate"/>
            </w:r>
            <w:r>
              <w:rPr>
                <w:noProof/>
                <w:webHidden/>
              </w:rPr>
              <w:t>153</w:t>
            </w:r>
            <w:r>
              <w:rPr>
                <w:noProof/>
                <w:webHidden/>
              </w:rPr>
              <w:fldChar w:fldCharType="end"/>
            </w:r>
          </w:hyperlink>
        </w:p>
        <w:p w14:paraId="5A780CE6" w14:textId="2FB1A754" w:rsidR="00B43F3D" w:rsidRDefault="00B43F3D">
          <w:pPr>
            <w:pStyle w:val="TOC2"/>
            <w:rPr>
              <w:rFonts w:eastAsiaTheme="minorEastAsia"/>
              <w:noProof/>
              <w:lang w:eastAsia="en-AU"/>
            </w:rPr>
          </w:pPr>
          <w:hyperlink w:anchor="_Toc106793808" w:history="1">
            <w:r w:rsidRPr="007C30AD">
              <w:rPr>
                <w:rStyle w:val="Hyperlink"/>
                <w:noProof/>
              </w:rPr>
              <w:t>Tutor Learning Initiative (Reference 129)</w:t>
            </w:r>
            <w:r>
              <w:rPr>
                <w:noProof/>
                <w:webHidden/>
              </w:rPr>
              <w:tab/>
            </w:r>
            <w:r>
              <w:rPr>
                <w:noProof/>
                <w:webHidden/>
              </w:rPr>
              <w:fldChar w:fldCharType="begin"/>
            </w:r>
            <w:r>
              <w:rPr>
                <w:noProof/>
                <w:webHidden/>
              </w:rPr>
              <w:instrText xml:space="preserve"> PAGEREF _Toc106793808 \h </w:instrText>
            </w:r>
            <w:r>
              <w:rPr>
                <w:noProof/>
                <w:webHidden/>
              </w:rPr>
            </w:r>
            <w:r>
              <w:rPr>
                <w:noProof/>
                <w:webHidden/>
              </w:rPr>
              <w:fldChar w:fldCharType="separate"/>
            </w:r>
            <w:r>
              <w:rPr>
                <w:noProof/>
                <w:webHidden/>
              </w:rPr>
              <w:t>155</w:t>
            </w:r>
            <w:r>
              <w:rPr>
                <w:noProof/>
                <w:webHidden/>
              </w:rPr>
              <w:fldChar w:fldCharType="end"/>
            </w:r>
          </w:hyperlink>
        </w:p>
        <w:p w14:paraId="4A93AB98" w14:textId="034DFF79" w:rsidR="00B43F3D" w:rsidRDefault="00B43F3D">
          <w:pPr>
            <w:pStyle w:val="TOC2"/>
            <w:rPr>
              <w:rFonts w:eastAsiaTheme="minorEastAsia"/>
              <w:noProof/>
              <w:lang w:eastAsia="en-AU"/>
            </w:rPr>
          </w:pPr>
          <w:hyperlink w:anchor="_Toc106793809" w:history="1">
            <w:r w:rsidRPr="007C30AD">
              <w:rPr>
                <w:rStyle w:val="Hyperlink"/>
                <w:noProof/>
              </w:rPr>
              <w:t>Mental Health in Primary Schools Pilot (Reference 130)</w:t>
            </w:r>
            <w:r>
              <w:rPr>
                <w:noProof/>
                <w:webHidden/>
              </w:rPr>
              <w:tab/>
            </w:r>
            <w:r>
              <w:rPr>
                <w:noProof/>
                <w:webHidden/>
              </w:rPr>
              <w:fldChar w:fldCharType="begin"/>
            </w:r>
            <w:r>
              <w:rPr>
                <w:noProof/>
                <w:webHidden/>
              </w:rPr>
              <w:instrText xml:space="preserve"> PAGEREF _Toc106793809 \h </w:instrText>
            </w:r>
            <w:r>
              <w:rPr>
                <w:noProof/>
                <w:webHidden/>
              </w:rPr>
            </w:r>
            <w:r>
              <w:rPr>
                <w:noProof/>
                <w:webHidden/>
              </w:rPr>
              <w:fldChar w:fldCharType="separate"/>
            </w:r>
            <w:r>
              <w:rPr>
                <w:noProof/>
                <w:webHidden/>
              </w:rPr>
              <w:t>157</w:t>
            </w:r>
            <w:r>
              <w:rPr>
                <w:noProof/>
                <w:webHidden/>
              </w:rPr>
              <w:fldChar w:fldCharType="end"/>
            </w:r>
          </w:hyperlink>
        </w:p>
        <w:p w14:paraId="1E2AD078" w14:textId="57889FFE" w:rsidR="00B43F3D" w:rsidRDefault="00B43F3D">
          <w:pPr>
            <w:pStyle w:val="TOC2"/>
            <w:rPr>
              <w:rFonts w:eastAsiaTheme="minorEastAsia"/>
              <w:noProof/>
              <w:lang w:eastAsia="en-AU"/>
            </w:rPr>
          </w:pPr>
          <w:hyperlink w:anchor="_Toc106793810" w:history="1">
            <w:r w:rsidRPr="007C30AD">
              <w:rPr>
                <w:rStyle w:val="Hyperlink"/>
                <w:noProof/>
              </w:rPr>
              <w:t>Mental Health Practitioners in Specialist Schools (Reference 131)</w:t>
            </w:r>
            <w:r>
              <w:rPr>
                <w:noProof/>
                <w:webHidden/>
              </w:rPr>
              <w:tab/>
            </w:r>
            <w:r>
              <w:rPr>
                <w:noProof/>
                <w:webHidden/>
              </w:rPr>
              <w:fldChar w:fldCharType="begin"/>
            </w:r>
            <w:r>
              <w:rPr>
                <w:noProof/>
                <w:webHidden/>
              </w:rPr>
              <w:instrText xml:space="preserve"> PAGEREF _Toc106793810 \h </w:instrText>
            </w:r>
            <w:r>
              <w:rPr>
                <w:noProof/>
                <w:webHidden/>
              </w:rPr>
            </w:r>
            <w:r>
              <w:rPr>
                <w:noProof/>
                <w:webHidden/>
              </w:rPr>
              <w:fldChar w:fldCharType="separate"/>
            </w:r>
            <w:r>
              <w:rPr>
                <w:noProof/>
                <w:webHidden/>
              </w:rPr>
              <w:t>159</w:t>
            </w:r>
            <w:r>
              <w:rPr>
                <w:noProof/>
                <w:webHidden/>
              </w:rPr>
              <w:fldChar w:fldCharType="end"/>
            </w:r>
          </w:hyperlink>
        </w:p>
        <w:p w14:paraId="6B8C54CC" w14:textId="666A7740" w:rsidR="00B43F3D" w:rsidRDefault="00B43F3D">
          <w:pPr>
            <w:pStyle w:val="TOC2"/>
            <w:rPr>
              <w:rFonts w:eastAsiaTheme="minorEastAsia"/>
              <w:noProof/>
              <w:lang w:eastAsia="en-AU"/>
            </w:rPr>
          </w:pPr>
          <w:hyperlink w:anchor="_Toc106793811" w:history="1">
            <w:r w:rsidRPr="007C30AD">
              <w:rPr>
                <w:rStyle w:val="Hyperlink"/>
                <w:noProof/>
              </w:rPr>
              <w:t>Career Start - Transforming the First Years of the Teaching Career (Reference 132)</w:t>
            </w:r>
            <w:r>
              <w:rPr>
                <w:noProof/>
                <w:webHidden/>
              </w:rPr>
              <w:tab/>
            </w:r>
            <w:r>
              <w:rPr>
                <w:noProof/>
                <w:webHidden/>
              </w:rPr>
              <w:fldChar w:fldCharType="begin"/>
            </w:r>
            <w:r>
              <w:rPr>
                <w:noProof/>
                <w:webHidden/>
              </w:rPr>
              <w:instrText xml:space="preserve"> PAGEREF _Toc106793811 \h </w:instrText>
            </w:r>
            <w:r>
              <w:rPr>
                <w:noProof/>
                <w:webHidden/>
              </w:rPr>
            </w:r>
            <w:r>
              <w:rPr>
                <w:noProof/>
                <w:webHidden/>
              </w:rPr>
              <w:fldChar w:fldCharType="separate"/>
            </w:r>
            <w:r>
              <w:rPr>
                <w:noProof/>
                <w:webHidden/>
              </w:rPr>
              <w:t>161</w:t>
            </w:r>
            <w:r>
              <w:rPr>
                <w:noProof/>
                <w:webHidden/>
              </w:rPr>
              <w:fldChar w:fldCharType="end"/>
            </w:r>
          </w:hyperlink>
        </w:p>
        <w:p w14:paraId="019E01B6" w14:textId="782C994F" w:rsidR="00B43F3D" w:rsidRDefault="00B43F3D">
          <w:pPr>
            <w:pStyle w:val="TOC2"/>
            <w:rPr>
              <w:rFonts w:eastAsiaTheme="minorEastAsia"/>
              <w:noProof/>
              <w:lang w:eastAsia="en-AU"/>
            </w:rPr>
          </w:pPr>
          <w:hyperlink w:anchor="_Toc106793812" w:history="1">
            <w:r w:rsidRPr="007C30AD">
              <w:rPr>
                <w:rStyle w:val="Hyperlink"/>
                <w:noProof/>
              </w:rPr>
              <w:t>Inclusion Outreach Coaching (IOC) initiative (Reference 136)</w:t>
            </w:r>
            <w:r>
              <w:rPr>
                <w:noProof/>
                <w:webHidden/>
              </w:rPr>
              <w:tab/>
            </w:r>
            <w:r>
              <w:rPr>
                <w:noProof/>
                <w:webHidden/>
              </w:rPr>
              <w:fldChar w:fldCharType="begin"/>
            </w:r>
            <w:r>
              <w:rPr>
                <w:noProof/>
                <w:webHidden/>
              </w:rPr>
              <w:instrText xml:space="preserve"> PAGEREF _Toc106793812 \h </w:instrText>
            </w:r>
            <w:r>
              <w:rPr>
                <w:noProof/>
                <w:webHidden/>
              </w:rPr>
            </w:r>
            <w:r>
              <w:rPr>
                <w:noProof/>
                <w:webHidden/>
              </w:rPr>
              <w:fldChar w:fldCharType="separate"/>
            </w:r>
            <w:r>
              <w:rPr>
                <w:noProof/>
                <w:webHidden/>
              </w:rPr>
              <w:t>166</w:t>
            </w:r>
            <w:r>
              <w:rPr>
                <w:noProof/>
                <w:webHidden/>
              </w:rPr>
              <w:fldChar w:fldCharType="end"/>
            </w:r>
          </w:hyperlink>
        </w:p>
        <w:p w14:paraId="25B4504D" w14:textId="7EEB825A" w:rsidR="00B43F3D" w:rsidRDefault="00B43F3D">
          <w:pPr>
            <w:pStyle w:val="TOC2"/>
            <w:rPr>
              <w:rFonts w:eastAsiaTheme="minorEastAsia"/>
              <w:noProof/>
              <w:lang w:eastAsia="en-AU"/>
            </w:rPr>
          </w:pPr>
          <w:hyperlink w:anchor="_Toc106793813" w:history="1">
            <w:r w:rsidRPr="007C30AD">
              <w:rPr>
                <w:rStyle w:val="Hyperlink"/>
                <w:noProof/>
              </w:rPr>
              <w:t>Outside School Hours Care (OSHC) Establishment Grant Initiative (Reference 134)</w:t>
            </w:r>
            <w:r>
              <w:rPr>
                <w:noProof/>
                <w:webHidden/>
              </w:rPr>
              <w:tab/>
            </w:r>
            <w:r>
              <w:rPr>
                <w:noProof/>
                <w:webHidden/>
              </w:rPr>
              <w:fldChar w:fldCharType="begin"/>
            </w:r>
            <w:r>
              <w:rPr>
                <w:noProof/>
                <w:webHidden/>
              </w:rPr>
              <w:instrText xml:space="preserve"> PAGEREF _Toc106793813 \h </w:instrText>
            </w:r>
            <w:r>
              <w:rPr>
                <w:noProof/>
                <w:webHidden/>
              </w:rPr>
            </w:r>
            <w:r>
              <w:rPr>
                <w:noProof/>
                <w:webHidden/>
              </w:rPr>
              <w:fldChar w:fldCharType="separate"/>
            </w:r>
            <w:r>
              <w:rPr>
                <w:noProof/>
                <w:webHidden/>
              </w:rPr>
              <w:t>168</w:t>
            </w:r>
            <w:r>
              <w:rPr>
                <w:noProof/>
                <w:webHidden/>
              </w:rPr>
              <w:fldChar w:fldCharType="end"/>
            </w:r>
          </w:hyperlink>
        </w:p>
        <w:p w14:paraId="117961C2" w14:textId="68915E02" w:rsidR="00B43F3D" w:rsidRDefault="00B43F3D">
          <w:pPr>
            <w:pStyle w:val="TOC2"/>
            <w:rPr>
              <w:rFonts w:eastAsiaTheme="minorEastAsia"/>
              <w:noProof/>
              <w:lang w:eastAsia="en-AU"/>
            </w:rPr>
          </w:pPr>
          <w:hyperlink w:anchor="_Toc106793814" w:history="1">
            <w:r w:rsidRPr="007C30AD">
              <w:rPr>
                <w:rStyle w:val="Hyperlink"/>
                <w:noProof/>
              </w:rPr>
              <w:t>Innovative Initial Teacher Education (ITE) Programs (Reference 135)</w:t>
            </w:r>
            <w:r>
              <w:rPr>
                <w:noProof/>
                <w:webHidden/>
              </w:rPr>
              <w:tab/>
            </w:r>
            <w:r>
              <w:rPr>
                <w:noProof/>
                <w:webHidden/>
              </w:rPr>
              <w:fldChar w:fldCharType="begin"/>
            </w:r>
            <w:r>
              <w:rPr>
                <w:noProof/>
                <w:webHidden/>
              </w:rPr>
              <w:instrText xml:space="preserve"> PAGEREF _Toc106793814 \h </w:instrText>
            </w:r>
            <w:r>
              <w:rPr>
                <w:noProof/>
                <w:webHidden/>
              </w:rPr>
            </w:r>
            <w:r>
              <w:rPr>
                <w:noProof/>
                <w:webHidden/>
              </w:rPr>
              <w:fldChar w:fldCharType="separate"/>
            </w:r>
            <w:r>
              <w:rPr>
                <w:noProof/>
                <w:webHidden/>
              </w:rPr>
              <w:t>170</w:t>
            </w:r>
            <w:r>
              <w:rPr>
                <w:noProof/>
                <w:webHidden/>
              </w:rPr>
              <w:fldChar w:fldCharType="end"/>
            </w:r>
          </w:hyperlink>
        </w:p>
        <w:p w14:paraId="78A80EE6" w14:textId="6FE13E06" w:rsidR="00B43F3D" w:rsidRDefault="00B43F3D">
          <w:pPr>
            <w:pStyle w:val="TOC2"/>
            <w:rPr>
              <w:rFonts w:eastAsiaTheme="minorEastAsia"/>
              <w:noProof/>
              <w:lang w:eastAsia="en-AU"/>
            </w:rPr>
          </w:pPr>
          <w:hyperlink w:anchor="_Toc106793815" w:history="1">
            <w:r w:rsidRPr="007C30AD">
              <w:rPr>
                <w:rStyle w:val="Hyperlink"/>
                <w:noProof/>
              </w:rPr>
              <w:t>School Mental Health Fund (Reference 139)</w:t>
            </w:r>
            <w:r>
              <w:rPr>
                <w:noProof/>
                <w:webHidden/>
              </w:rPr>
              <w:tab/>
            </w:r>
            <w:r>
              <w:rPr>
                <w:noProof/>
                <w:webHidden/>
              </w:rPr>
              <w:fldChar w:fldCharType="begin"/>
            </w:r>
            <w:r>
              <w:rPr>
                <w:noProof/>
                <w:webHidden/>
              </w:rPr>
              <w:instrText xml:space="preserve"> PAGEREF _Toc106793815 \h </w:instrText>
            </w:r>
            <w:r>
              <w:rPr>
                <w:noProof/>
                <w:webHidden/>
              </w:rPr>
            </w:r>
            <w:r>
              <w:rPr>
                <w:noProof/>
                <w:webHidden/>
              </w:rPr>
              <w:fldChar w:fldCharType="separate"/>
            </w:r>
            <w:r>
              <w:rPr>
                <w:noProof/>
                <w:webHidden/>
              </w:rPr>
              <w:t>172</w:t>
            </w:r>
            <w:r>
              <w:rPr>
                <w:noProof/>
                <w:webHidden/>
              </w:rPr>
              <w:fldChar w:fldCharType="end"/>
            </w:r>
          </w:hyperlink>
        </w:p>
        <w:p w14:paraId="625097AF" w14:textId="116577F8" w:rsidR="00B43F3D" w:rsidRDefault="00B43F3D">
          <w:pPr>
            <w:pStyle w:val="TOC1"/>
            <w:rPr>
              <w:rFonts w:eastAsiaTheme="minorEastAsia"/>
              <w:noProof/>
              <w:lang w:eastAsia="en-AU"/>
            </w:rPr>
          </w:pPr>
          <w:hyperlink w:anchor="_Toc106793816" w:history="1">
            <w:r w:rsidRPr="007C30AD">
              <w:rPr>
                <w:rStyle w:val="Hyperlink"/>
                <w:noProof/>
              </w:rPr>
              <w:t>Managing the Budget</w:t>
            </w:r>
            <w:r>
              <w:rPr>
                <w:noProof/>
                <w:webHidden/>
              </w:rPr>
              <w:tab/>
            </w:r>
            <w:r>
              <w:rPr>
                <w:noProof/>
                <w:webHidden/>
              </w:rPr>
              <w:fldChar w:fldCharType="begin"/>
            </w:r>
            <w:r>
              <w:rPr>
                <w:noProof/>
                <w:webHidden/>
              </w:rPr>
              <w:instrText xml:space="preserve"> PAGEREF _Toc106793816 \h </w:instrText>
            </w:r>
            <w:r>
              <w:rPr>
                <w:noProof/>
                <w:webHidden/>
              </w:rPr>
            </w:r>
            <w:r>
              <w:rPr>
                <w:noProof/>
                <w:webHidden/>
              </w:rPr>
              <w:fldChar w:fldCharType="separate"/>
            </w:r>
            <w:r>
              <w:rPr>
                <w:noProof/>
                <w:webHidden/>
              </w:rPr>
              <w:t>174</w:t>
            </w:r>
            <w:r>
              <w:rPr>
                <w:noProof/>
                <w:webHidden/>
              </w:rPr>
              <w:fldChar w:fldCharType="end"/>
            </w:r>
          </w:hyperlink>
        </w:p>
        <w:p w14:paraId="48D7FC0D" w14:textId="7571966E" w:rsidR="00B43F3D" w:rsidRDefault="00B43F3D">
          <w:pPr>
            <w:pStyle w:val="TOC2"/>
            <w:rPr>
              <w:rFonts w:eastAsiaTheme="minorEastAsia"/>
              <w:noProof/>
              <w:lang w:eastAsia="en-AU"/>
            </w:rPr>
          </w:pPr>
          <w:hyperlink w:anchor="_Toc106793817" w:history="1">
            <w:r w:rsidRPr="007C30AD">
              <w:rPr>
                <w:rStyle w:val="Hyperlink"/>
                <w:noProof/>
              </w:rPr>
              <w:t>Salary and Related Expenditure</w:t>
            </w:r>
            <w:r>
              <w:rPr>
                <w:noProof/>
                <w:webHidden/>
              </w:rPr>
              <w:tab/>
            </w:r>
            <w:r>
              <w:rPr>
                <w:noProof/>
                <w:webHidden/>
              </w:rPr>
              <w:fldChar w:fldCharType="begin"/>
            </w:r>
            <w:r>
              <w:rPr>
                <w:noProof/>
                <w:webHidden/>
              </w:rPr>
              <w:instrText xml:space="preserve"> PAGEREF _Toc106793817 \h </w:instrText>
            </w:r>
            <w:r>
              <w:rPr>
                <w:noProof/>
                <w:webHidden/>
              </w:rPr>
            </w:r>
            <w:r>
              <w:rPr>
                <w:noProof/>
                <w:webHidden/>
              </w:rPr>
              <w:fldChar w:fldCharType="separate"/>
            </w:r>
            <w:r>
              <w:rPr>
                <w:noProof/>
                <w:webHidden/>
              </w:rPr>
              <w:t>176</w:t>
            </w:r>
            <w:r>
              <w:rPr>
                <w:noProof/>
                <w:webHidden/>
              </w:rPr>
              <w:fldChar w:fldCharType="end"/>
            </w:r>
          </w:hyperlink>
        </w:p>
        <w:p w14:paraId="20ED52A5" w14:textId="10D650D5" w:rsidR="00B43F3D" w:rsidRDefault="00B43F3D">
          <w:pPr>
            <w:pStyle w:val="TOC2"/>
            <w:rPr>
              <w:rFonts w:eastAsiaTheme="minorEastAsia"/>
              <w:noProof/>
              <w:lang w:eastAsia="en-AU"/>
            </w:rPr>
          </w:pPr>
          <w:hyperlink w:anchor="_Toc106793818" w:history="1">
            <w:r w:rsidRPr="007C30AD">
              <w:rPr>
                <w:rStyle w:val="Hyperlink"/>
                <w:noProof/>
              </w:rPr>
              <w:t>Relief staffing</w:t>
            </w:r>
            <w:r>
              <w:rPr>
                <w:noProof/>
                <w:webHidden/>
              </w:rPr>
              <w:tab/>
            </w:r>
            <w:r>
              <w:rPr>
                <w:noProof/>
                <w:webHidden/>
              </w:rPr>
              <w:fldChar w:fldCharType="begin"/>
            </w:r>
            <w:r>
              <w:rPr>
                <w:noProof/>
                <w:webHidden/>
              </w:rPr>
              <w:instrText xml:space="preserve"> PAGEREF _Toc106793818 \h </w:instrText>
            </w:r>
            <w:r>
              <w:rPr>
                <w:noProof/>
                <w:webHidden/>
              </w:rPr>
            </w:r>
            <w:r>
              <w:rPr>
                <w:noProof/>
                <w:webHidden/>
              </w:rPr>
              <w:fldChar w:fldCharType="separate"/>
            </w:r>
            <w:r>
              <w:rPr>
                <w:noProof/>
                <w:webHidden/>
              </w:rPr>
              <w:t>184</w:t>
            </w:r>
            <w:r>
              <w:rPr>
                <w:noProof/>
                <w:webHidden/>
              </w:rPr>
              <w:fldChar w:fldCharType="end"/>
            </w:r>
          </w:hyperlink>
        </w:p>
        <w:p w14:paraId="4B884833" w14:textId="40ED817F" w:rsidR="00B43F3D" w:rsidRDefault="00B43F3D">
          <w:pPr>
            <w:pStyle w:val="TOC2"/>
            <w:rPr>
              <w:rFonts w:eastAsiaTheme="minorEastAsia"/>
              <w:noProof/>
              <w:lang w:eastAsia="en-AU"/>
            </w:rPr>
          </w:pPr>
          <w:hyperlink w:anchor="_Toc106793819" w:history="1">
            <w:r w:rsidRPr="007C30AD">
              <w:rPr>
                <w:rStyle w:val="Hyperlink"/>
                <w:noProof/>
              </w:rPr>
              <w:t>Surplus or deficit</w:t>
            </w:r>
            <w:r>
              <w:rPr>
                <w:noProof/>
                <w:webHidden/>
              </w:rPr>
              <w:tab/>
            </w:r>
            <w:r>
              <w:rPr>
                <w:noProof/>
                <w:webHidden/>
              </w:rPr>
              <w:fldChar w:fldCharType="begin"/>
            </w:r>
            <w:r>
              <w:rPr>
                <w:noProof/>
                <w:webHidden/>
              </w:rPr>
              <w:instrText xml:space="preserve"> PAGEREF _Toc106793819 \h </w:instrText>
            </w:r>
            <w:r>
              <w:rPr>
                <w:noProof/>
                <w:webHidden/>
              </w:rPr>
            </w:r>
            <w:r>
              <w:rPr>
                <w:noProof/>
                <w:webHidden/>
              </w:rPr>
              <w:fldChar w:fldCharType="separate"/>
            </w:r>
            <w:r>
              <w:rPr>
                <w:noProof/>
                <w:webHidden/>
              </w:rPr>
              <w:t>196</w:t>
            </w:r>
            <w:r>
              <w:rPr>
                <w:noProof/>
                <w:webHidden/>
              </w:rPr>
              <w:fldChar w:fldCharType="end"/>
            </w:r>
          </w:hyperlink>
        </w:p>
        <w:p w14:paraId="4646B893" w14:textId="2BE10F91" w:rsidR="00B43F3D" w:rsidRDefault="00B43F3D">
          <w:pPr>
            <w:pStyle w:val="TOC2"/>
            <w:rPr>
              <w:rFonts w:eastAsiaTheme="minorEastAsia"/>
              <w:noProof/>
              <w:lang w:eastAsia="en-AU"/>
            </w:rPr>
          </w:pPr>
          <w:hyperlink w:anchor="_Toc106793820" w:history="1">
            <w:r w:rsidRPr="007C30AD">
              <w:rPr>
                <w:rStyle w:val="Hyperlink"/>
                <w:noProof/>
              </w:rPr>
              <w:t>Reports</w:t>
            </w:r>
            <w:r>
              <w:rPr>
                <w:noProof/>
                <w:webHidden/>
              </w:rPr>
              <w:tab/>
            </w:r>
            <w:r>
              <w:rPr>
                <w:noProof/>
                <w:webHidden/>
              </w:rPr>
              <w:fldChar w:fldCharType="begin"/>
            </w:r>
            <w:r>
              <w:rPr>
                <w:noProof/>
                <w:webHidden/>
              </w:rPr>
              <w:instrText xml:space="preserve"> PAGEREF _Toc106793820 \h </w:instrText>
            </w:r>
            <w:r>
              <w:rPr>
                <w:noProof/>
                <w:webHidden/>
              </w:rPr>
            </w:r>
            <w:r>
              <w:rPr>
                <w:noProof/>
                <w:webHidden/>
              </w:rPr>
              <w:fldChar w:fldCharType="separate"/>
            </w:r>
            <w:r>
              <w:rPr>
                <w:noProof/>
                <w:webHidden/>
              </w:rPr>
              <w:t>198</w:t>
            </w:r>
            <w:r>
              <w:rPr>
                <w:noProof/>
                <w:webHidden/>
              </w:rPr>
              <w:fldChar w:fldCharType="end"/>
            </w:r>
          </w:hyperlink>
        </w:p>
        <w:p w14:paraId="2223B665" w14:textId="17FA4423" w:rsidR="00B43F3D" w:rsidRDefault="00B43F3D">
          <w:pPr>
            <w:pStyle w:val="TOC2"/>
            <w:rPr>
              <w:rFonts w:eastAsiaTheme="minorEastAsia"/>
              <w:noProof/>
              <w:lang w:eastAsia="en-AU"/>
            </w:rPr>
          </w:pPr>
          <w:hyperlink w:anchor="_Toc106793821" w:history="1">
            <w:r w:rsidRPr="007C30AD">
              <w:rPr>
                <w:rStyle w:val="Hyperlink"/>
                <w:noProof/>
              </w:rPr>
              <w:t>Planning</w:t>
            </w:r>
            <w:r>
              <w:rPr>
                <w:noProof/>
                <w:webHidden/>
              </w:rPr>
              <w:tab/>
            </w:r>
            <w:r>
              <w:rPr>
                <w:noProof/>
                <w:webHidden/>
              </w:rPr>
              <w:fldChar w:fldCharType="begin"/>
            </w:r>
            <w:r>
              <w:rPr>
                <w:noProof/>
                <w:webHidden/>
              </w:rPr>
              <w:instrText xml:space="preserve"> PAGEREF _Toc106793821 \h </w:instrText>
            </w:r>
            <w:r>
              <w:rPr>
                <w:noProof/>
                <w:webHidden/>
              </w:rPr>
            </w:r>
            <w:r>
              <w:rPr>
                <w:noProof/>
                <w:webHidden/>
              </w:rPr>
              <w:fldChar w:fldCharType="separate"/>
            </w:r>
            <w:r>
              <w:rPr>
                <w:noProof/>
                <w:webHidden/>
              </w:rPr>
              <w:t>200</w:t>
            </w:r>
            <w:r>
              <w:rPr>
                <w:noProof/>
                <w:webHidden/>
              </w:rPr>
              <w:fldChar w:fldCharType="end"/>
            </w:r>
          </w:hyperlink>
        </w:p>
        <w:p w14:paraId="4F19161C" w14:textId="1C2A46FF" w:rsidR="00B43F3D" w:rsidRDefault="00B43F3D">
          <w:pPr>
            <w:pStyle w:val="TOC2"/>
            <w:rPr>
              <w:rFonts w:eastAsiaTheme="minorEastAsia"/>
              <w:noProof/>
              <w:lang w:eastAsia="en-AU"/>
            </w:rPr>
          </w:pPr>
          <w:hyperlink w:anchor="_Toc106793822" w:history="1">
            <w:r w:rsidRPr="007C30AD">
              <w:rPr>
                <w:rStyle w:val="Hyperlink"/>
                <w:noProof/>
              </w:rPr>
              <w:t>Reconciliation</w:t>
            </w:r>
            <w:r>
              <w:rPr>
                <w:noProof/>
                <w:webHidden/>
              </w:rPr>
              <w:tab/>
            </w:r>
            <w:r>
              <w:rPr>
                <w:noProof/>
                <w:webHidden/>
              </w:rPr>
              <w:fldChar w:fldCharType="begin"/>
            </w:r>
            <w:r>
              <w:rPr>
                <w:noProof/>
                <w:webHidden/>
              </w:rPr>
              <w:instrText xml:space="preserve"> PAGEREF _Toc106793822 \h </w:instrText>
            </w:r>
            <w:r>
              <w:rPr>
                <w:noProof/>
                <w:webHidden/>
              </w:rPr>
            </w:r>
            <w:r>
              <w:rPr>
                <w:noProof/>
                <w:webHidden/>
              </w:rPr>
              <w:fldChar w:fldCharType="separate"/>
            </w:r>
            <w:r>
              <w:rPr>
                <w:noProof/>
                <w:webHidden/>
              </w:rPr>
              <w:t>201</w:t>
            </w:r>
            <w:r>
              <w:rPr>
                <w:noProof/>
                <w:webHidden/>
              </w:rPr>
              <w:fldChar w:fldCharType="end"/>
            </w:r>
          </w:hyperlink>
        </w:p>
        <w:p w14:paraId="10720CB6" w14:textId="6BE012BE" w:rsidR="00B43F3D" w:rsidRDefault="00B43F3D">
          <w:pPr>
            <w:pStyle w:val="TOC2"/>
            <w:rPr>
              <w:rFonts w:eastAsiaTheme="minorEastAsia"/>
              <w:noProof/>
              <w:lang w:eastAsia="en-AU"/>
            </w:rPr>
          </w:pPr>
          <w:hyperlink w:anchor="_Toc106793823" w:history="1">
            <w:r w:rsidRPr="007C30AD">
              <w:rPr>
                <w:rStyle w:val="Hyperlink"/>
                <w:noProof/>
              </w:rPr>
              <w:t>Cash</w:t>
            </w:r>
            <w:r>
              <w:rPr>
                <w:noProof/>
                <w:webHidden/>
              </w:rPr>
              <w:tab/>
            </w:r>
            <w:r>
              <w:rPr>
                <w:noProof/>
                <w:webHidden/>
              </w:rPr>
              <w:fldChar w:fldCharType="begin"/>
            </w:r>
            <w:r>
              <w:rPr>
                <w:noProof/>
                <w:webHidden/>
              </w:rPr>
              <w:instrText xml:space="preserve"> PAGEREF _Toc106793823 \h </w:instrText>
            </w:r>
            <w:r>
              <w:rPr>
                <w:noProof/>
                <w:webHidden/>
              </w:rPr>
            </w:r>
            <w:r>
              <w:rPr>
                <w:noProof/>
                <w:webHidden/>
              </w:rPr>
              <w:fldChar w:fldCharType="separate"/>
            </w:r>
            <w:r>
              <w:rPr>
                <w:noProof/>
                <w:webHidden/>
              </w:rPr>
              <w:t>203</w:t>
            </w:r>
            <w:r>
              <w:rPr>
                <w:noProof/>
                <w:webHidden/>
              </w:rPr>
              <w:fldChar w:fldCharType="end"/>
            </w:r>
          </w:hyperlink>
        </w:p>
        <w:p w14:paraId="025E621C" w14:textId="64C65C9E" w:rsidR="00B43F3D" w:rsidRDefault="00B43F3D">
          <w:pPr>
            <w:pStyle w:val="TOC2"/>
            <w:rPr>
              <w:rFonts w:eastAsiaTheme="minorEastAsia"/>
              <w:noProof/>
              <w:lang w:eastAsia="en-AU"/>
            </w:rPr>
          </w:pPr>
          <w:hyperlink w:anchor="_Toc106793824" w:history="1">
            <w:r w:rsidRPr="007C30AD">
              <w:rPr>
                <w:rStyle w:val="Hyperlink"/>
                <w:noProof/>
              </w:rPr>
              <w:t>Deficit management and workforce bridging</w:t>
            </w:r>
            <w:r>
              <w:rPr>
                <w:noProof/>
                <w:webHidden/>
              </w:rPr>
              <w:tab/>
            </w:r>
            <w:r>
              <w:rPr>
                <w:noProof/>
                <w:webHidden/>
              </w:rPr>
              <w:fldChar w:fldCharType="begin"/>
            </w:r>
            <w:r>
              <w:rPr>
                <w:noProof/>
                <w:webHidden/>
              </w:rPr>
              <w:instrText xml:space="preserve"> PAGEREF _Toc106793824 \h </w:instrText>
            </w:r>
            <w:r>
              <w:rPr>
                <w:noProof/>
                <w:webHidden/>
              </w:rPr>
            </w:r>
            <w:r>
              <w:rPr>
                <w:noProof/>
                <w:webHidden/>
              </w:rPr>
              <w:fldChar w:fldCharType="separate"/>
            </w:r>
            <w:r>
              <w:rPr>
                <w:noProof/>
                <w:webHidden/>
              </w:rPr>
              <w:t>211</w:t>
            </w:r>
            <w:r>
              <w:rPr>
                <w:noProof/>
                <w:webHidden/>
              </w:rPr>
              <w:fldChar w:fldCharType="end"/>
            </w:r>
          </w:hyperlink>
        </w:p>
        <w:p w14:paraId="79E6844A" w14:textId="26092399" w:rsidR="00B43F3D" w:rsidRDefault="00B43F3D">
          <w:pPr>
            <w:pStyle w:val="TOC2"/>
            <w:rPr>
              <w:rFonts w:eastAsiaTheme="minorEastAsia"/>
              <w:noProof/>
              <w:lang w:eastAsia="en-AU"/>
            </w:rPr>
          </w:pPr>
          <w:hyperlink w:anchor="_Toc106793825" w:history="1">
            <w:r w:rsidRPr="007C30AD">
              <w:rPr>
                <w:rStyle w:val="Hyperlink"/>
                <w:noProof/>
              </w:rPr>
              <w:t>Principal classification budget</w:t>
            </w:r>
            <w:r>
              <w:rPr>
                <w:noProof/>
                <w:webHidden/>
              </w:rPr>
              <w:tab/>
            </w:r>
            <w:r>
              <w:rPr>
                <w:noProof/>
                <w:webHidden/>
              </w:rPr>
              <w:fldChar w:fldCharType="begin"/>
            </w:r>
            <w:r>
              <w:rPr>
                <w:noProof/>
                <w:webHidden/>
              </w:rPr>
              <w:instrText xml:space="preserve"> PAGEREF _Toc106793825 \h </w:instrText>
            </w:r>
            <w:r>
              <w:rPr>
                <w:noProof/>
                <w:webHidden/>
              </w:rPr>
            </w:r>
            <w:r>
              <w:rPr>
                <w:noProof/>
                <w:webHidden/>
              </w:rPr>
              <w:fldChar w:fldCharType="separate"/>
            </w:r>
            <w:r>
              <w:rPr>
                <w:noProof/>
                <w:webHidden/>
              </w:rPr>
              <w:t>215</w:t>
            </w:r>
            <w:r>
              <w:rPr>
                <w:noProof/>
                <w:webHidden/>
              </w:rPr>
              <w:fldChar w:fldCharType="end"/>
            </w:r>
          </w:hyperlink>
        </w:p>
        <w:p w14:paraId="1B6E0CF7" w14:textId="4C93208B" w:rsidR="00B43F3D" w:rsidRDefault="00B43F3D">
          <w:pPr>
            <w:pStyle w:val="TOC2"/>
            <w:rPr>
              <w:rFonts w:eastAsiaTheme="minorEastAsia"/>
              <w:noProof/>
              <w:lang w:eastAsia="en-AU"/>
            </w:rPr>
          </w:pPr>
          <w:hyperlink w:anchor="_Toc106793826" w:history="1">
            <w:r w:rsidRPr="007C30AD">
              <w:rPr>
                <w:rStyle w:val="Hyperlink"/>
                <w:noProof/>
              </w:rPr>
              <w:t>Enrolment Variation Funding</w:t>
            </w:r>
            <w:r>
              <w:rPr>
                <w:noProof/>
                <w:webHidden/>
              </w:rPr>
              <w:tab/>
            </w:r>
            <w:r>
              <w:rPr>
                <w:noProof/>
                <w:webHidden/>
              </w:rPr>
              <w:fldChar w:fldCharType="begin"/>
            </w:r>
            <w:r>
              <w:rPr>
                <w:noProof/>
                <w:webHidden/>
              </w:rPr>
              <w:instrText xml:space="preserve"> PAGEREF _Toc106793826 \h </w:instrText>
            </w:r>
            <w:r>
              <w:rPr>
                <w:noProof/>
                <w:webHidden/>
              </w:rPr>
            </w:r>
            <w:r>
              <w:rPr>
                <w:noProof/>
                <w:webHidden/>
              </w:rPr>
              <w:fldChar w:fldCharType="separate"/>
            </w:r>
            <w:r>
              <w:rPr>
                <w:noProof/>
                <w:webHidden/>
              </w:rPr>
              <w:t>216</w:t>
            </w:r>
            <w:r>
              <w:rPr>
                <w:noProof/>
                <w:webHidden/>
              </w:rPr>
              <w:fldChar w:fldCharType="end"/>
            </w:r>
          </w:hyperlink>
        </w:p>
        <w:p w14:paraId="67E28987" w14:textId="3378A167" w:rsidR="00787CC6" w:rsidRPr="004D307F" w:rsidRDefault="007016CD">
          <w:r w:rsidRPr="004D307F">
            <w:rPr>
              <w:color w:val="222A35" w:themeColor="text2" w:themeShade="80"/>
            </w:rPr>
            <w:fldChar w:fldCharType="end"/>
          </w:r>
        </w:p>
      </w:sdtContent>
    </w:sdt>
    <w:p w14:paraId="4AE73D1B" w14:textId="77777777" w:rsidR="006D204B" w:rsidRPr="004D307F" w:rsidRDefault="006D204B">
      <w:pPr>
        <w:rPr>
          <w:rFonts w:asciiTheme="majorHAnsi" w:eastAsia="Times New Roman" w:hAnsiTheme="majorHAnsi" w:cs="Times New Roman"/>
          <w:b/>
          <w:bCs/>
          <w:color w:val="323E4F" w:themeColor="text2" w:themeShade="BF"/>
          <w:kern w:val="36"/>
          <w:sz w:val="48"/>
          <w:szCs w:val="48"/>
          <w:lang w:val="en" w:eastAsia="en-AU"/>
        </w:rPr>
      </w:pPr>
      <w:r w:rsidRPr="004D307F">
        <w:rPr>
          <w:lang w:val="en"/>
        </w:rPr>
        <w:br w:type="page"/>
      </w:r>
    </w:p>
    <w:p w14:paraId="25375CC7" w14:textId="495013BB" w:rsidR="00ED4312" w:rsidRPr="004D307F" w:rsidRDefault="00ED4312" w:rsidP="000F3581">
      <w:pPr>
        <w:pStyle w:val="Heading1"/>
        <w:rPr>
          <w:lang w:val="en"/>
        </w:rPr>
      </w:pPr>
      <w:bookmarkStart w:id="1" w:name="_Toc106793738"/>
      <w:r w:rsidRPr="004D307F">
        <w:rPr>
          <w:lang w:val="en"/>
        </w:rPr>
        <w:lastRenderedPageBreak/>
        <w:t>Core Student Learning Allocation funding (Student Based Funding)</w:t>
      </w:r>
      <w:bookmarkEnd w:id="1"/>
    </w:p>
    <w:p w14:paraId="16308921" w14:textId="77777777" w:rsidR="00ED4312" w:rsidRPr="004D307F" w:rsidRDefault="00ED4312" w:rsidP="00ED4312">
      <w:pPr>
        <w:spacing w:before="100" w:beforeAutospacing="1" w:after="100" w:afterAutospacing="1" w:line="312" w:lineRule="atLeast"/>
        <w:outlineLvl w:val="1"/>
        <w:rPr>
          <w:rFonts w:ascii="VIC" w:eastAsia="Times New Roman" w:hAnsi="VIC" w:cs="Times New Roman"/>
          <w:b/>
          <w:bCs/>
          <w:color w:val="011A3C"/>
          <w:sz w:val="36"/>
          <w:szCs w:val="36"/>
          <w:lang w:val="en" w:eastAsia="en-AU"/>
        </w:rPr>
      </w:pPr>
      <w:r w:rsidRPr="004D307F">
        <w:rPr>
          <w:rFonts w:ascii="VIC" w:eastAsia="Times New Roman" w:hAnsi="VIC" w:cs="Times New Roman"/>
          <w:b/>
          <w:bCs/>
          <w:color w:val="011A3C"/>
          <w:sz w:val="36"/>
          <w:szCs w:val="36"/>
          <w:lang w:val="en" w:eastAsia="en-AU"/>
        </w:rPr>
        <w:t>Policy</w:t>
      </w:r>
    </w:p>
    <w:p w14:paraId="5F096DD6" w14:textId="692FB5A6" w:rsidR="00ED4312" w:rsidRPr="004D307F" w:rsidRDefault="00ED4312" w:rsidP="00ED4312">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policy provides</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information about how funding is allocated to schools through the Student Resource </w:t>
      </w:r>
      <w:r w:rsidR="00E913EB" w:rsidRPr="004D307F">
        <w:rPr>
          <w:rFonts w:ascii="VIC" w:eastAsia="Times New Roman" w:hAnsi="VIC" w:cs="Times New Roman"/>
          <w:color w:val="011A3C"/>
          <w:sz w:val="24"/>
          <w:szCs w:val="24"/>
          <w:lang w:val="en" w:eastAsia="en-AU"/>
        </w:rPr>
        <w:t>Package (</w:t>
      </w:r>
      <w:r w:rsidR="001039D9" w:rsidRPr="004D307F">
        <w:rPr>
          <w:rFonts w:ascii="VIC" w:eastAsia="Times New Roman" w:hAnsi="VIC" w:cs="Times New Roman"/>
          <w:color w:val="011A3C"/>
          <w:sz w:val="24"/>
          <w:szCs w:val="24"/>
          <w:lang w:val="en" w:eastAsia="en-AU"/>
        </w:rPr>
        <w:t>SRP)</w:t>
      </w:r>
      <w:r w:rsidRPr="004D307F">
        <w:rPr>
          <w:rFonts w:ascii="VIC" w:eastAsia="Times New Roman" w:hAnsi="VIC" w:cs="Times New Roman"/>
          <w:color w:val="011A3C"/>
          <w:sz w:val="24"/>
          <w:szCs w:val="24"/>
          <w:lang w:val="en" w:eastAsia="en-AU"/>
        </w:rPr>
        <w:t xml:space="preserve"> for core student learning needs.</w:t>
      </w:r>
    </w:p>
    <w:p w14:paraId="07C78316" w14:textId="77777777" w:rsidR="00ED4312" w:rsidRPr="004D307F" w:rsidRDefault="00ED4312" w:rsidP="00ED4312">
      <w:pPr>
        <w:spacing w:before="100" w:beforeAutospacing="1" w:after="100" w:afterAutospacing="1" w:line="312" w:lineRule="atLeast"/>
        <w:outlineLvl w:val="1"/>
        <w:rPr>
          <w:rFonts w:ascii="VIC" w:eastAsia="Times New Roman" w:hAnsi="VIC" w:cs="Times New Roman"/>
          <w:b/>
          <w:bCs/>
          <w:color w:val="011A3C"/>
          <w:sz w:val="36"/>
          <w:szCs w:val="36"/>
          <w:lang w:val="en" w:eastAsia="en-AU"/>
        </w:rPr>
      </w:pPr>
      <w:r w:rsidRPr="004D307F">
        <w:rPr>
          <w:rFonts w:ascii="VIC" w:eastAsia="Times New Roman" w:hAnsi="VIC" w:cs="Times New Roman"/>
          <w:b/>
          <w:bCs/>
          <w:color w:val="011A3C"/>
          <w:sz w:val="36"/>
          <w:szCs w:val="36"/>
          <w:lang w:val="en" w:eastAsia="en-AU"/>
        </w:rPr>
        <w:t>Details</w:t>
      </w:r>
    </w:p>
    <w:p w14:paraId="0BFC9C64" w14:textId="3AF50C90" w:rsidR="00ED4312" w:rsidRPr="004D307F" w:rsidRDefault="00ED4312" w:rsidP="00ED4312">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Core student learning allocation funding is one of two types of </w:t>
      </w:r>
      <w:r w:rsidR="00DD35AA" w:rsidRPr="004D307F">
        <w:rPr>
          <w:rFonts w:ascii="VIC" w:eastAsia="Times New Roman" w:hAnsi="VIC" w:cs="Times New Roman"/>
          <w:color w:val="011A3C"/>
          <w:sz w:val="24"/>
          <w:szCs w:val="24"/>
          <w:lang w:val="en" w:eastAsia="en-AU"/>
        </w:rPr>
        <w:t>student-based</w:t>
      </w:r>
      <w:r w:rsidRPr="004D307F">
        <w:rPr>
          <w:rFonts w:ascii="VIC" w:eastAsia="Times New Roman" w:hAnsi="VIC" w:cs="Times New Roman"/>
          <w:color w:val="011A3C"/>
          <w:sz w:val="24"/>
          <w:szCs w:val="24"/>
          <w:lang w:val="en" w:eastAsia="en-AU"/>
        </w:rPr>
        <w:t xml:space="preserve"> funding. The other type of student based funding is </w:t>
      </w:r>
      <w:hyperlink r:id="rId11" w:history="1">
        <w:r w:rsidRPr="004D307F">
          <w:rPr>
            <w:rFonts w:ascii="VIC" w:eastAsia="Times New Roman" w:hAnsi="VIC" w:cs="Times New Roman"/>
            <w:color w:val="011A3C"/>
            <w:sz w:val="24"/>
            <w:szCs w:val="24"/>
            <w:lang w:val="en" w:eastAsia="en-AU"/>
          </w:rPr>
          <w:t>Equity</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funding</w:t>
        </w:r>
      </w:hyperlink>
      <w:r w:rsidRPr="004D307F">
        <w:rPr>
          <w:rFonts w:ascii="VIC" w:eastAsia="Times New Roman" w:hAnsi="VIC" w:cs="Times New Roman"/>
          <w:color w:val="011A3C"/>
          <w:sz w:val="24"/>
          <w:szCs w:val="24"/>
          <w:lang w:val="en" w:eastAsia="en-AU"/>
        </w:rPr>
        <w:t>.</w:t>
      </w:r>
    </w:p>
    <w:p w14:paraId="7508610C" w14:textId="77777777" w:rsidR="00ED4312" w:rsidRPr="004D307F" w:rsidRDefault="00ED4312" w:rsidP="00ED4312">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Student based funding represents the main funding source for all schools and comprises approximately 90% of the total SRP provided to schools.</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This funding is designed to cover core teaching and learning, leadership, teaching support, professional development, relief teaching, payroll tax and superannuation costs for the school.</w:t>
      </w:r>
      <w:r w:rsidRPr="004D307F">
        <w:rPr>
          <w:rFonts w:ascii="Calibri" w:eastAsia="Times New Roman" w:hAnsi="Calibri" w:cs="Calibri" w:hint="eastAsia"/>
          <w:color w:val="011A3C"/>
          <w:sz w:val="24"/>
          <w:szCs w:val="24"/>
          <w:lang w:val="en" w:eastAsia="en-AU"/>
        </w:rPr>
        <w:t> </w:t>
      </w:r>
    </w:p>
    <w:p w14:paraId="73D1DF94" w14:textId="5A3F1508" w:rsidR="00930B6B" w:rsidRPr="004D307F" w:rsidRDefault="00ED4312" w:rsidP="004D307F">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Core Student Learning Allocation is designed to recognise the differing costs associated with different levels of learning, different types and sizes of schools, and the additional costs imposed by rurality and isolation. The specific types of Core Student Learning Allocation funding are listed below.</w:t>
      </w:r>
    </w:p>
    <w:p w14:paraId="111EABF7" w14:textId="3A24423E" w:rsidR="00ED4312" w:rsidRPr="004D307F" w:rsidRDefault="00F45270" w:rsidP="00ED4312">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Each </w:t>
      </w:r>
      <w:r w:rsidR="00ED4312" w:rsidRPr="004D307F">
        <w:rPr>
          <w:rFonts w:ascii="VIC" w:eastAsia="Times New Roman" w:hAnsi="VIC" w:cs="Times New Roman"/>
          <w:color w:val="011A3C"/>
          <w:sz w:val="24"/>
          <w:szCs w:val="24"/>
          <w:lang w:val="en" w:eastAsia="en-AU"/>
        </w:rPr>
        <w:t>of the specific types of Core Student Learning Allocation funding</w:t>
      </w:r>
      <w:r w:rsidRPr="004D307F">
        <w:rPr>
          <w:rFonts w:ascii="VIC" w:eastAsia="Times New Roman" w:hAnsi="VIC" w:cs="Times New Roman"/>
          <w:color w:val="011A3C"/>
          <w:sz w:val="24"/>
          <w:szCs w:val="24"/>
          <w:lang w:val="en" w:eastAsia="en-AU"/>
        </w:rPr>
        <w:t xml:space="preserve"> are listed below:</w:t>
      </w:r>
    </w:p>
    <w:p w14:paraId="60B7E4D1" w14:textId="77777777" w:rsidR="00ED4312" w:rsidRPr="004D307F" w:rsidRDefault="00ED4312" w:rsidP="00ED0863">
      <w:pPr>
        <w:numPr>
          <w:ilvl w:val="0"/>
          <w:numId w:val="12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Student per capita funding Years Prep-12 Students</w:t>
      </w:r>
    </w:p>
    <w:p w14:paraId="09D207B6" w14:textId="77777777" w:rsidR="00ED4312" w:rsidRPr="004D307F" w:rsidRDefault="00ED4312" w:rsidP="00ED0863">
      <w:pPr>
        <w:numPr>
          <w:ilvl w:val="0"/>
          <w:numId w:val="12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Enrolment Linked Base</w:t>
      </w:r>
    </w:p>
    <w:p w14:paraId="597E862A" w14:textId="77777777" w:rsidR="00ED4312" w:rsidRPr="004D307F" w:rsidRDefault="00ED4312" w:rsidP="00ED0863">
      <w:pPr>
        <w:numPr>
          <w:ilvl w:val="0"/>
          <w:numId w:val="12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Small School Base</w:t>
      </w:r>
    </w:p>
    <w:p w14:paraId="65EDEA2C" w14:textId="77777777" w:rsidR="00ED4312" w:rsidRPr="004D307F" w:rsidRDefault="00ED4312" w:rsidP="00ED0863">
      <w:pPr>
        <w:numPr>
          <w:ilvl w:val="0"/>
          <w:numId w:val="12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Rural School Size Adjustment Factor</w:t>
      </w:r>
    </w:p>
    <w:p w14:paraId="733D8FEB" w14:textId="77777777" w:rsidR="00ED4312" w:rsidRPr="004D307F" w:rsidRDefault="00ED4312" w:rsidP="00ED0863">
      <w:pPr>
        <w:numPr>
          <w:ilvl w:val="0"/>
          <w:numId w:val="12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Core Index Stages 1-3</w:t>
      </w:r>
    </w:p>
    <w:p w14:paraId="1BC726D4" w14:textId="77777777" w:rsidR="00ED4312" w:rsidRPr="004D307F" w:rsidRDefault="00ED4312" w:rsidP="00ED0863">
      <w:pPr>
        <w:numPr>
          <w:ilvl w:val="0"/>
          <w:numId w:val="12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Size Adjustment Supplementation</w:t>
      </w:r>
    </w:p>
    <w:p w14:paraId="4229619E" w14:textId="77777777" w:rsidR="00ED4312" w:rsidRPr="004D307F" w:rsidRDefault="00ED4312" w:rsidP="00ED0863">
      <w:pPr>
        <w:numPr>
          <w:ilvl w:val="0"/>
          <w:numId w:val="12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Approved Early Education Program</w:t>
      </w:r>
    </w:p>
    <w:p w14:paraId="38EA3029" w14:textId="71608A5D" w:rsidR="00CE78A9" w:rsidRPr="004D307F" w:rsidRDefault="00CE78A9" w:rsidP="00ED0863">
      <w:pPr>
        <w:numPr>
          <w:ilvl w:val="0"/>
          <w:numId w:val="12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Principal Salary Adjustment</w:t>
      </w:r>
    </w:p>
    <w:p w14:paraId="4892B2A1" w14:textId="69B3FC7D" w:rsidR="00ED4312" w:rsidRPr="004D307F" w:rsidRDefault="00ED4312" w:rsidP="00ED0863">
      <w:pPr>
        <w:numPr>
          <w:ilvl w:val="0"/>
          <w:numId w:val="12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Language and Learning Disabilities</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Support Program</w:t>
      </w:r>
    </w:p>
    <w:p w14:paraId="3EDBA839" w14:textId="1A06E234" w:rsidR="00ED4312" w:rsidRPr="004D307F" w:rsidRDefault="00ED4312" w:rsidP="00ED0863">
      <w:pPr>
        <w:numPr>
          <w:ilvl w:val="0"/>
          <w:numId w:val="12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Mental Health</w:t>
      </w:r>
      <w:r w:rsidR="00D47403" w:rsidRPr="004D307F">
        <w:rPr>
          <w:rFonts w:ascii="VIC" w:eastAsia="Times New Roman" w:hAnsi="VIC" w:cs="Times New Roman"/>
          <w:color w:val="011A3C"/>
          <w:sz w:val="24"/>
          <w:szCs w:val="24"/>
          <w:lang w:val="en" w:eastAsia="en-AU"/>
        </w:rPr>
        <w:t xml:space="preserve"> Practitioners</w:t>
      </w:r>
    </w:p>
    <w:p w14:paraId="0892F10F" w14:textId="77777777" w:rsidR="0094634B" w:rsidRPr="004D307F" w:rsidRDefault="0094634B" w:rsidP="0094634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Not all types of funding are available to all schools. Funding is assessed according to school or campus type and student need.</w:t>
      </w:r>
    </w:p>
    <w:p w14:paraId="7C98A508" w14:textId="38BCF2B3" w:rsidR="009E681D" w:rsidRPr="004D307F" w:rsidRDefault="0094634B" w:rsidP="0094634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are expected to use SRP funds for the purpose for which it was allocated.</w:t>
      </w:r>
    </w:p>
    <w:p w14:paraId="0D291699" w14:textId="1303F87E" w:rsidR="00EC143E" w:rsidRPr="004D307F" w:rsidRDefault="00EC143E" w:rsidP="0094634B">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br w:type="page"/>
      </w:r>
    </w:p>
    <w:p w14:paraId="5CB2F173" w14:textId="7C54A6FF" w:rsidR="001167A8" w:rsidRPr="004D307F" w:rsidRDefault="001167A8" w:rsidP="00B566E7">
      <w:pPr>
        <w:pStyle w:val="Heading2"/>
      </w:pPr>
      <w:bookmarkStart w:id="2" w:name="_Toc106793739"/>
      <w:r w:rsidRPr="004D307F">
        <w:lastRenderedPageBreak/>
        <w:t>Student per capita Funding Years Prep-12 Students (Reference 1)</w:t>
      </w:r>
      <w:bookmarkEnd w:id="2"/>
    </w:p>
    <w:p w14:paraId="57E5A1A4" w14:textId="77777777" w:rsidR="001167A8" w:rsidRPr="004D307F"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 the Student Resource Package, the majority of funding provided to schools has been specified as per-student rates (i.e. in student per capita form). </w:t>
      </w:r>
    </w:p>
    <w:p w14:paraId="1F76FAC1" w14:textId="70E0F5E6" w:rsidR="001167A8" w:rsidRPr="004D307F"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Research conducted by The University of Melbourne has allowed the differing costs associated with delivering effective educational outcomes at the various levels of learning to be recognised by differing rates. The relativities are an initial assessment of the most effective way of allocating existing funds. These relativities may be adjusted over time through further research and a rolling benchmark process.</w:t>
      </w:r>
    </w:p>
    <w:p w14:paraId="327E805A" w14:textId="77777777" w:rsidR="001167A8" w:rsidRPr="004D307F"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3A0EC60D" w14:textId="77777777" w:rsidR="001167A8" w:rsidRPr="004D307F"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with the following campus types are eligible for the student per capita funding at campus level.</w:t>
      </w:r>
    </w:p>
    <w:p w14:paraId="63D0B3E4" w14:textId="77777777" w:rsidR="001167A8" w:rsidRPr="004D307F" w:rsidRDefault="001167A8" w:rsidP="001167A8">
      <w:pPr>
        <w:numPr>
          <w:ilvl w:val="0"/>
          <w:numId w:val="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w:t>
      </w:r>
    </w:p>
    <w:p w14:paraId="5892237E" w14:textId="77777777" w:rsidR="001167A8" w:rsidRPr="004D307F" w:rsidRDefault="001167A8" w:rsidP="001167A8">
      <w:pPr>
        <w:numPr>
          <w:ilvl w:val="0"/>
          <w:numId w:val="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Secondary</w:t>
      </w:r>
    </w:p>
    <w:p w14:paraId="796887AA" w14:textId="77777777" w:rsidR="001167A8" w:rsidRPr="004D307F" w:rsidRDefault="001167A8" w:rsidP="001167A8">
      <w:pPr>
        <w:numPr>
          <w:ilvl w:val="0"/>
          <w:numId w:val="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Primary/Secondary Combined</w:t>
      </w:r>
    </w:p>
    <w:p w14:paraId="79EFF6FA" w14:textId="77777777" w:rsidR="000F760D" w:rsidRPr="004D307F" w:rsidRDefault="000F760D" w:rsidP="000F760D">
      <w:pPr>
        <w:numPr>
          <w:ilvl w:val="0"/>
          <w:numId w:val="1"/>
        </w:num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3" w:name="_Hlk46933012"/>
      <w:r w:rsidRPr="004D307F">
        <w:rPr>
          <w:rFonts w:ascii="VIC-Regular" w:eastAsia="Times New Roman" w:hAnsi="VIC-Regular" w:cs="Times New Roman"/>
          <w:color w:val="011A3C"/>
          <w:sz w:val="24"/>
          <w:szCs w:val="24"/>
          <w:lang w:val="en" w:eastAsia="en-AU"/>
        </w:rPr>
        <w:t>Community</w:t>
      </w:r>
    </w:p>
    <w:p w14:paraId="34D66DF6" w14:textId="40350A82" w:rsidR="00FF759D" w:rsidRPr="004D307F" w:rsidRDefault="00FF759D" w:rsidP="00A6513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Confirmed and Revised budget </w:t>
      </w:r>
      <w:r w:rsidR="00A65133" w:rsidRPr="004D307F">
        <w:rPr>
          <w:rFonts w:ascii="VIC-Regular" w:eastAsia="Times New Roman" w:hAnsi="VIC-Regular" w:cs="Times New Roman"/>
          <w:color w:val="011A3C"/>
          <w:sz w:val="24"/>
          <w:szCs w:val="24"/>
          <w:lang w:val="en" w:eastAsia="en-AU"/>
        </w:rPr>
        <w:t xml:space="preserve">cycles, funding is </w:t>
      </w:r>
      <w:r w:rsidRPr="004D307F">
        <w:rPr>
          <w:rFonts w:ascii="VIC-Regular" w:eastAsia="Times New Roman" w:hAnsi="VIC-Regular" w:cs="Times New Roman"/>
          <w:color w:val="011A3C"/>
          <w:sz w:val="24"/>
          <w:szCs w:val="24"/>
          <w:lang w:val="en" w:eastAsia="en-AU"/>
        </w:rPr>
        <w:t>provided through credit and cash funding</w:t>
      </w:r>
      <w:bookmarkEnd w:id="3"/>
      <w:r w:rsidR="00A65133" w:rsidRPr="004D307F">
        <w:rPr>
          <w:rFonts w:ascii="VIC-Regular" w:eastAsia="Times New Roman" w:hAnsi="VIC-Regular" w:cs="Times New Roman"/>
          <w:color w:val="011A3C"/>
          <w:sz w:val="24"/>
          <w:szCs w:val="24"/>
          <w:lang w:val="en" w:eastAsia="en-AU"/>
        </w:rPr>
        <w:t>.</w:t>
      </w:r>
    </w:p>
    <w:p w14:paraId="3A297E5E" w14:textId="4AFFF380" w:rsidR="001167A8" w:rsidRPr="004D307F"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64E1AE7E" w14:textId="77777777" w:rsidR="001167A8" w:rsidRPr="004D307F"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Student per Capita Funding</w:t>
      </w:r>
      <w:r w:rsidRPr="004D307F">
        <w:rPr>
          <w:rFonts w:ascii="VIC-Regular" w:eastAsia="Times New Roman" w:hAnsi="VIC-Regular" w:cs="Times New Roman"/>
          <w:color w:val="011A3C"/>
          <w:sz w:val="24"/>
          <w:szCs w:val="24"/>
          <w:lang w:val="en" w:eastAsia="en-AU"/>
        </w:rPr>
        <w:t xml:space="preserve"> = Student enrolments (P-12) * Student Price</w:t>
      </w:r>
    </w:p>
    <w:p w14:paraId="40F00984" w14:textId="6AFBA990" w:rsidR="001167A8" w:rsidRPr="004D307F"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Example: A </w:t>
      </w:r>
      <w:r w:rsidR="004E385A" w:rsidRPr="004D307F">
        <w:rPr>
          <w:rFonts w:ascii="VIC-Regular" w:eastAsia="Times New Roman" w:hAnsi="VIC-Regular" w:cs="Times New Roman"/>
          <w:color w:val="011A3C"/>
          <w:sz w:val="24"/>
          <w:szCs w:val="24"/>
          <w:lang w:val="en" w:eastAsia="en-AU"/>
        </w:rPr>
        <w:t>campus</w:t>
      </w:r>
      <w:r w:rsidRPr="004D307F">
        <w:rPr>
          <w:rFonts w:ascii="VIC-Regular" w:eastAsia="Times New Roman" w:hAnsi="VIC-Regular" w:cs="Times New Roman"/>
          <w:color w:val="011A3C"/>
          <w:sz w:val="24"/>
          <w:szCs w:val="24"/>
          <w:lang w:val="en" w:eastAsia="en-AU"/>
        </w:rPr>
        <w:t xml:space="preserve"> with 62 Year 2 students would calculate their funding as 62 (Year 2 students) * Year 2 Student Price.</w:t>
      </w:r>
    </w:p>
    <w:p w14:paraId="53A9DC73" w14:textId="7ADAA416" w:rsidR="001167A8" w:rsidRPr="004D307F"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w:t>
      </w:r>
      <w:r w:rsidR="00ED4ED2" w:rsidRPr="004D307F">
        <w:rPr>
          <w:rFonts w:ascii="VIC-Bold" w:eastAsia="Times New Roman" w:hAnsi="VIC-Bold" w:cs="Times New Roman"/>
          <w:b/>
          <w:bCs/>
          <w:color w:val="011A3C"/>
          <w:sz w:val="27"/>
          <w:szCs w:val="27"/>
          <w:lang w:val="en" w:eastAsia="en-A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3"/>
        <w:gridCol w:w="1387"/>
        <w:gridCol w:w="1388"/>
        <w:gridCol w:w="1388"/>
      </w:tblGrid>
      <w:tr w:rsidR="001167A8" w:rsidRPr="004D307F" w14:paraId="78FDA1D9" w14:textId="77777777" w:rsidTr="00842992">
        <w:trPr>
          <w:tblHeader/>
        </w:trPr>
        <w:tc>
          <w:tcPr>
            <w:tcW w:w="0" w:type="auto"/>
            <w:hideMark/>
          </w:tcPr>
          <w:p w14:paraId="367B1D44" w14:textId="56B62E61" w:rsidR="001167A8" w:rsidRPr="004D307F" w:rsidRDefault="001167A8" w:rsidP="001167A8">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 xml:space="preserve">Student per Capita Years Prep </w:t>
            </w:r>
            <w:r w:rsidR="00854998" w:rsidRPr="004D307F">
              <w:rPr>
                <w:rFonts w:ascii="VIC-Bold" w:eastAsia="Times New Roman" w:hAnsi="VIC-Bold" w:cs="Times New Roman"/>
                <w:color w:val="323E4F" w:themeColor="text2" w:themeShade="BF"/>
                <w:sz w:val="24"/>
                <w:szCs w:val="24"/>
                <w:lang w:eastAsia="en-AU"/>
              </w:rPr>
              <w:t>to</w:t>
            </w:r>
            <w:r w:rsidRPr="004D307F">
              <w:rPr>
                <w:rFonts w:ascii="VIC-Bold" w:eastAsia="Times New Roman" w:hAnsi="VIC-Bold" w:cs="Times New Roman"/>
                <w:color w:val="323E4F" w:themeColor="text2" w:themeShade="BF"/>
                <w:sz w:val="24"/>
                <w:szCs w:val="24"/>
                <w:lang w:eastAsia="en-AU"/>
              </w:rPr>
              <w:t xml:space="preserve"> 12 Students</w:t>
            </w:r>
          </w:p>
        </w:tc>
        <w:tc>
          <w:tcPr>
            <w:tcW w:w="1387" w:type="dxa"/>
            <w:hideMark/>
          </w:tcPr>
          <w:p w14:paraId="2C1E8C5A" w14:textId="77777777" w:rsidR="001167A8" w:rsidRPr="004D307F"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Credit ($)</w:t>
            </w:r>
          </w:p>
        </w:tc>
        <w:tc>
          <w:tcPr>
            <w:tcW w:w="1388" w:type="dxa"/>
            <w:hideMark/>
          </w:tcPr>
          <w:p w14:paraId="2AFB1996" w14:textId="77777777" w:rsidR="001167A8" w:rsidRPr="004D307F"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Cash ($)</w:t>
            </w:r>
          </w:p>
        </w:tc>
        <w:tc>
          <w:tcPr>
            <w:tcW w:w="1388" w:type="dxa"/>
            <w:hideMark/>
          </w:tcPr>
          <w:p w14:paraId="7E114E81" w14:textId="77777777" w:rsidR="001167A8" w:rsidRPr="004D307F"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Total Student Price ($)</w:t>
            </w:r>
          </w:p>
        </w:tc>
      </w:tr>
      <w:tr w:rsidR="00076552" w:rsidRPr="004D307F" w14:paraId="7A8BFA73" w14:textId="77777777" w:rsidTr="00842992">
        <w:tc>
          <w:tcPr>
            <w:tcW w:w="0" w:type="auto"/>
            <w:hideMark/>
          </w:tcPr>
          <w:p w14:paraId="3536ECC1" w14:textId="77777777" w:rsidR="00076552" w:rsidRPr="004D307F" w:rsidRDefault="00076552" w:rsidP="00076552">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Prep-Year 1</w:t>
            </w:r>
          </w:p>
        </w:tc>
        <w:tc>
          <w:tcPr>
            <w:tcW w:w="1387" w:type="dxa"/>
            <w:hideMark/>
          </w:tcPr>
          <w:p w14:paraId="172589BF" w14:textId="261E3181" w:rsidR="00076552" w:rsidRPr="004D307F" w:rsidRDefault="0007655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7,735</w:t>
            </w:r>
          </w:p>
        </w:tc>
        <w:tc>
          <w:tcPr>
            <w:tcW w:w="1388" w:type="dxa"/>
            <w:hideMark/>
          </w:tcPr>
          <w:p w14:paraId="162231DE" w14:textId="30D5E84A" w:rsidR="00076552" w:rsidRPr="004D307F" w:rsidRDefault="00ED4ED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490</w:t>
            </w:r>
          </w:p>
        </w:tc>
        <w:tc>
          <w:tcPr>
            <w:tcW w:w="1388" w:type="dxa"/>
            <w:hideMark/>
          </w:tcPr>
          <w:p w14:paraId="38DFBE15" w14:textId="193D21F2" w:rsidR="00076552" w:rsidRPr="004D307F" w:rsidRDefault="00ED4ED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w:t>
            </w:r>
            <w:r w:rsidR="005D5CA5" w:rsidRPr="004D307F">
              <w:rPr>
                <w:rFonts w:ascii="VIC-Regular" w:eastAsia="Times New Roman" w:hAnsi="VIC-Regular" w:cs="Times New Roman"/>
                <w:color w:val="323E4F" w:themeColor="text2" w:themeShade="BF"/>
                <w:sz w:val="24"/>
                <w:szCs w:val="24"/>
                <w:lang w:eastAsia="en-AU"/>
              </w:rPr>
              <w:t>,</w:t>
            </w:r>
            <w:r w:rsidRPr="004D307F">
              <w:rPr>
                <w:rFonts w:ascii="VIC-Regular" w:eastAsia="Times New Roman" w:hAnsi="VIC-Regular" w:cs="Times New Roman"/>
                <w:color w:val="323E4F" w:themeColor="text2" w:themeShade="BF"/>
                <w:sz w:val="24"/>
                <w:szCs w:val="24"/>
                <w:lang w:eastAsia="en-AU"/>
              </w:rPr>
              <w:t>225</w:t>
            </w:r>
          </w:p>
        </w:tc>
      </w:tr>
      <w:tr w:rsidR="00962104" w:rsidRPr="004D307F" w14:paraId="45250A0E" w14:textId="77777777" w:rsidTr="00842992">
        <w:tc>
          <w:tcPr>
            <w:tcW w:w="0" w:type="auto"/>
            <w:hideMark/>
          </w:tcPr>
          <w:p w14:paraId="67141146" w14:textId="77777777" w:rsidR="00962104" w:rsidRPr="004D307F"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Year 2</w:t>
            </w:r>
          </w:p>
        </w:tc>
        <w:tc>
          <w:tcPr>
            <w:tcW w:w="1387" w:type="dxa"/>
            <w:hideMark/>
          </w:tcPr>
          <w:p w14:paraId="07E7A23E" w14:textId="67057B2A" w:rsidR="00962104" w:rsidRPr="004D307F"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7,184</w:t>
            </w:r>
          </w:p>
        </w:tc>
        <w:tc>
          <w:tcPr>
            <w:tcW w:w="1388" w:type="dxa"/>
            <w:hideMark/>
          </w:tcPr>
          <w:p w14:paraId="5C47E902" w14:textId="594C0A31" w:rsidR="00962104" w:rsidRPr="004D307F" w:rsidRDefault="00ED4ED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456</w:t>
            </w:r>
          </w:p>
        </w:tc>
        <w:tc>
          <w:tcPr>
            <w:tcW w:w="1388" w:type="dxa"/>
            <w:hideMark/>
          </w:tcPr>
          <w:p w14:paraId="4DC2CC50" w14:textId="552FEC5D" w:rsidR="00962104" w:rsidRPr="004D307F" w:rsidRDefault="00ED4ED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w:t>
            </w:r>
            <w:r w:rsidR="005D5CA5" w:rsidRPr="004D307F">
              <w:rPr>
                <w:rFonts w:ascii="VIC-Regular" w:eastAsia="Times New Roman" w:hAnsi="VIC-Regular" w:cs="Times New Roman"/>
                <w:color w:val="323E4F" w:themeColor="text2" w:themeShade="BF"/>
                <w:sz w:val="24"/>
                <w:szCs w:val="24"/>
                <w:lang w:eastAsia="en-AU"/>
              </w:rPr>
              <w:t>,</w:t>
            </w:r>
            <w:r w:rsidRPr="004D307F">
              <w:rPr>
                <w:rFonts w:ascii="VIC-Regular" w:eastAsia="Times New Roman" w:hAnsi="VIC-Regular" w:cs="Times New Roman"/>
                <w:color w:val="323E4F" w:themeColor="text2" w:themeShade="BF"/>
                <w:sz w:val="24"/>
                <w:szCs w:val="24"/>
                <w:lang w:eastAsia="en-AU"/>
              </w:rPr>
              <w:t>640</w:t>
            </w:r>
          </w:p>
        </w:tc>
      </w:tr>
      <w:tr w:rsidR="00962104" w:rsidRPr="004D307F" w14:paraId="26633AF4" w14:textId="77777777" w:rsidTr="00842992">
        <w:tc>
          <w:tcPr>
            <w:tcW w:w="0" w:type="auto"/>
            <w:hideMark/>
          </w:tcPr>
          <w:p w14:paraId="38FF91A1" w14:textId="77777777" w:rsidR="00962104" w:rsidRPr="004D307F"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Years 3-6 (and Primary Ungraded)</w:t>
            </w:r>
          </w:p>
        </w:tc>
        <w:tc>
          <w:tcPr>
            <w:tcW w:w="1387" w:type="dxa"/>
            <w:hideMark/>
          </w:tcPr>
          <w:p w14:paraId="3F829F76" w14:textId="1040BDC2" w:rsidR="00962104" w:rsidRPr="004D307F"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6,590</w:t>
            </w:r>
          </w:p>
        </w:tc>
        <w:tc>
          <w:tcPr>
            <w:tcW w:w="1388" w:type="dxa"/>
            <w:hideMark/>
          </w:tcPr>
          <w:p w14:paraId="112C40C5" w14:textId="2A8BA193" w:rsidR="00962104" w:rsidRPr="004D307F" w:rsidRDefault="00ED4ED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416</w:t>
            </w:r>
          </w:p>
        </w:tc>
        <w:tc>
          <w:tcPr>
            <w:tcW w:w="1388" w:type="dxa"/>
            <w:hideMark/>
          </w:tcPr>
          <w:p w14:paraId="69BD834E" w14:textId="49C24C8F" w:rsidR="00962104" w:rsidRPr="004D307F" w:rsidRDefault="00ED4ED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w:t>
            </w:r>
            <w:r w:rsidR="005D5CA5" w:rsidRPr="004D307F">
              <w:rPr>
                <w:rFonts w:ascii="VIC-Regular" w:eastAsia="Times New Roman" w:hAnsi="VIC-Regular" w:cs="Times New Roman"/>
                <w:color w:val="323E4F" w:themeColor="text2" w:themeShade="BF"/>
                <w:sz w:val="24"/>
                <w:szCs w:val="24"/>
                <w:lang w:eastAsia="en-AU"/>
              </w:rPr>
              <w:t>,</w:t>
            </w:r>
            <w:r w:rsidRPr="004D307F">
              <w:rPr>
                <w:rFonts w:ascii="VIC-Regular" w:eastAsia="Times New Roman" w:hAnsi="VIC-Regular" w:cs="Times New Roman"/>
                <w:color w:val="323E4F" w:themeColor="text2" w:themeShade="BF"/>
                <w:sz w:val="24"/>
                <w:szCs w:val="24"/>
                <w:lang w:eastAsia="en-AU"/>
              </w:rPr>
              <w:t>006</w:t>
            </w:r>
          </w:p>
        </w:tc>
      </w:tr>
      <w:tr w:rsidR="00962104" w:rsidRPr="004D307F" w14:paraId="767E9F7A" w14:textId="77777777" w:rsidTr="00842992">
        <w:tc>
          <w:tcPr>
            <w:tcW w:w="0" w:type="auto"/>
            <w:hideMark/>
          </w:tcPr>
          <w:p w14:paraId="47D96088" w14:textId="77777777" w:rsidR="00962104" w:rsidRPr="004D307F"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Years 7-12 Students (and Secondary Ungraded)</w:t>
            </w:r>
          </w:p>
        </w:tc>
        <w:tc>
          <w:tcPr>
            <w:tcW w:w="1387" w:type="dxa"/>
            <w:hideMark/>
          </w:tcPr>
          <w:p w14:paraId="79591C97" w14:textId="28FE0EE1" w:rsidR="00962104" w:rsidRPr="004D307F"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8,804</w:t>
            </w:r>
          </w:p>
        </w:tc>
        <w:tc>
          <w:tcPr>
            <w:tcW w:w="1388" w:type="dxa"/>
            <w:hideMark/>
          </w:tcPr>
          <w:p w14:paraId="6AAACF3A" w14:textId="3DFFE0B7" w:rsidR="00962104" w:rsidRPr="004D307F" w:rsidRDefault="00ED4ED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474</w:t>
            </w:r>
          </w:p>
        </w:tc>
        <w:tc>
          <w:tcPr>
            <w:tcW w:w="1388" w:type="dxa"/>
            <w:hideMark/>
          </w:tcPr>
          <w:p w14:paraId="35DCE65F" w14:textId="1C5CB35C" w:rsidR="00962104" w:rsidRPr="004D307F" w:rsidRDefault="00ED4ED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9</w:t>
            </w:r>
            <w:r w:rsidR="005D5CA5" w:rsidRPr="004D307F">
              <w:rPr>
                <w:rFonts w:ascii="VIC-Regular" w:eastAsia="Times New Roman" w:hAnsi="VIC-Regular" w:cs="Times New Roman"/>
                <w:color w:val="323E4F" w:themeColor="text2" w:themeShade="BF"/>
                <w:sz w:val="24"/>
                <w:szCs w:val="24"/>
                <w:lang w:eastAsia="en-AU"/>
              </w:rPr>
              <w:t>,</w:t>
            </w:r>
            <w:r w:rsidRPr="004D307F">
              <w:rPr>
                <w:rFonts w:ascii="VIC-Regular" w:eastAsia="Times New Roman" w:hAnsi="VIC-Regular" w:cs="Times New Roman"/>
                <w:color w:val="323E4F" w:themeColor="text2" w:themeShade="BF"/>
                <w:sz w:val="24"/>
                <w:szCs w:val="24"/>
                <w:lang w:eastAsia="en-AU"/>
              </w:rPr>
              <w:t>278</w:t>
            </w:r>
          </w:p>
        </w:tc>
      </w:tr>
    </w:tbl>
    <w:p w14:paraId="6D7BC857" w14:textId="0CA722E2" w:rsidR="001167A8" w:rsidRPr="004D307F" w:rsidRDefault="001167A8" w:rsidP="00B566E7">
      <w:pPr>
        <w:pStyle w:val="Heading2"/>
      </w:pPr>
      <w:r w:rsidRPr="004D307F">
        <w:br w:type="page"/>
      </w:r>
      <w:bookmarkStart w:id="4" w:name="_Toc106793740"/>
      <w:r w:rsidRPr="004D307F">
        <w:lastRenderedPageBreak/>
        <w:t>Enrolment Linked Base (Reference 2)</w:t>
      </w:r>
      <w:bookmarkEnd w:id="4"/>
    </w:p>
    <w:p w14:paraId="40C1B1A8" w14:textId="24170BA8" w:rsidR="001167A8" w:rsidRPr="004D307F"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Enrolment Linked Base</w:t>
      </w:r>
      <w:r w:rsidR="004F5307" w:rsidRPr="004D307F">
        <w:rPr>
          <w:rFonts w:ascii="VIC-Regular" w:eastAsia="Times New Roman" w:hAnsi="VIC-Regular" w:cs="Times New Roman"/>
          <w:color w:val="011A3C"/>
          <w:sz w:val="24"/>
          <w:szCs w:val="24"/>
          <w:lang w:val="en" w:eastAsia="en-AU"/>
        </w:rPr>
        <w:t xml:space="preserve"> (ELB)</w:t>
      </w:r>
      <w:r w:rsidRPr="004D307F">
        <w:rPr>
          <w:rFonts w:ascii="VIC-Regular" w:eastAsia="Times New Roman" w:hAnsi="VIC-Regular" w:cs="Times New Roman"/>
          <w:color w:val="011A3C"/>
          <w:sz w:val="24"/>
          <w:szCs w:val="24"/>
          <w:lang w:val="en" w:eastAsia="en-AU"/>
        </w:rPr>
        <w:t xml:space="preserve"> is provided to ensure that all schools, regardless of size, have sufficient resources to operate effectively. The flat base with taper provides a safety net for small schools whose enrolments are insufficient to generate viable funding. The taper also recognises the economies of scale achievable in larger schools through per student rates.</w:t>
      </w:r>
    </w:p>
    <w:p w14:paraId="61C96434" w14:textId="77777777" w:rsidR="001167A8" w:rsidRPr="004D307F"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base is made up of a flat amount, adjusted by way of a per-student taper that reduces the allocation beyond certain thresholds.</w:t>
      </w:r>
    </w:p>
    <w:p w14:paraId="0616077F" w14:textId="77777777" w:rsidR="001167A8" w:rsidRPr="004D307F"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multi-campus colleges the formula is applied for each campus. To be eligible for multi-campus, each campus must be at least 1km apart.</w:t>
      </w:r>
    </w:p>
    <w:p w14:paraId="162A3622" w14:textId="77777777" w:rsidR="001167A8" w:rsidRPr="004D307F"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6C6B6328" w14:textId="77777777" w:rsidR="001167A8" w:rsidRPr="004D307F"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with the following campus types are eligible for the enrolment linked base funding at campus level.</w:t>
      </w:r>
    </w:p>
    <w:p w14:paraId="6EC7E732" w14:textId="77777777" w:rsidR="001167A8" w:rsidRPr="004D307F" w:rsidRDefault="001167A8" w:rsidP="001167A8">
      <w:pPr>
        <w:numPr>
          <w:ilvl w:val="0"/>
          <w:numId w:val="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w:t>
      </w:r>
    </w:p>
    <w:p w14:paraId="05FD5823" w14:textId="77777777" w:rsidR="001167A8" w:rsidRPr="004D307F" w:rsidRDefault="001167A8" w:rsidP="001167A8">
      <w:pPr>
        <w:numPr>
          <w:ilvl w:val="0"/>
          <w:numId w:val="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Secondary</w:t>
      </w:r>
    </w:p>
    <w:p w14:paraId="632AEAA3" w14:textId="16804160" w:rsidR="001167A8" w:rsidRPr="004D307F" w:rsidRDefault="001167A8" w:rsidP="001167A8">
      <w:pPr>
        <w:numPr>
          <w:ilvl w:val="0"/>
          <w:numId w:val="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Primary/Secondary Combined</w:t>
      </w:r>
    </w:p>
    <w:p w14:paraId="5158B380" w14:textId="15B5EFFF" w:rsidR="0039304A" w:rsidRPr="004D307F" w:rsidRDefault="0039304A" w:rsidP="001167A8">
      <w:pPr>
        <w:numPr>
          <w:ilvl w:val="0"/>
          <w:numId w:val="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Community</w:t>
      </w:r>
    </w:p>
    <w:p w14:paraId="75C07B5B" w14:textId="39FCFC13" w:rsidR="00A65133" w:rsidRPr="004D307F" w:rsidRDefault="00A65133" w:rsidP="001167A8">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bookmarkStart w:id="5" w:name="_Hlk47814683"/>
      <w:r w:rsidRPr="004D307F">
        <w:rPr>
          <w:rFonts w:ascii="VIC-Regular" w:eastAsia="Times New Roman" w:hAnsi="VIC-Regular" w:cs="Times New Roman"/>
          <w:color w:val="011A3C"/>
          <w:sz w:val="24"/>
          <w:szCs w:val="24"/>
          <w:lang w:val="en" w:eastAsia="en-AU"/>
        </w:rPr>
        <w:t xml:space="preserve">Funding is calculated at the Indicative, Confirmed and Revised budget cycles, funding is provided through credit and cash funding. </w:t>
      </w:r>
    </w:p>
    <w:bookmarkEnd w:id="5"/>
    <w:p w14:paraId="00786AB3" w14:textId="71160B68" w:rsidR="001167A8" w:rsidRPr="004D307F"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26A215B1" w14:textId="77777777" w:rsidR="001167A8" w:rsidRPr="004D307F"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Enrolment Linked Base Funding</w:t>
      </w:r>
      <w:r w:rsidRPr="004D307F">
        <w:rPr>
          <w:rFonts w:ascii="VIC-Regular" w:eastAsia="Times New Roman" w:hAnsi="VIC-Regular" w:cs="Times New Roman"/>
          <w:color w:val="011A3C"/>
          <w:sz w:val="24"/>
          <w:szCs w:val="24"/>
          <w:lang w:val="en" w:eastAsia="en-AU"/>
        </w:rPr>
        <w:t xml:space="preserve"> = Base + (Enrolment * Taper)</w:t>
      </w:r>
    </w:p>
    <w:p w14:paraId="3326F7C7" w14:textId="77777777" w:rsidR="001167A8" w:rsidRPr="004D307F" w:rsidRDefault="001167A8" w:rsidP="001167A8">
      <w:pPr>
        <w:numPr>
          <w:ilvl w:val="0"/>
          <w:numId w:val="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Refer to the matching school type configuration from the options below.</w:t>
      </w:r>
    </w:p>
    <w:p w14:paraId="78FC4F6A" w14:textId="77777777" w:rsidR="001167A8" w:rsidRPr="004D307F" w:rsidRDefault="001167A8" w:rsidP="001167A8">
      <w:pPr>
        <w:numPr>
          <w:ilvl w:val="0"/>
          <w:numId w:val="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base is fixed up to an enrolment threshold. Above this level, the per student taper is applied, until the base amount is exhausted.</w:t>
      </w:r>
    </w:p>
    <w:p w14:paraId="027F8DF6" w14:textId="29920F33" w:rsidR="001167A8" w:rsidRPr="004D307F"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Example: A primary </w:t>
      </w:r>
      <w:r w:rsidR="004E385A" w:rsidRPr="004D307F">
        <w:rPr>
          <w:rFonts w:ascii="VIC-Regular" w:eastAsia="Times New Roman" w:hAnsi="VIC-Regular" w:cs="Times New Roman"/>
          <w:color w:val="011A3C"/>
          <w:sz w:val="24"/>
          <w:szCs w:val="24"/>
          <w:lang w:val="en" w:eastAsia="en-AU"/>
        </w:rPr>
        <w:t xml:space="preserve">campus </w:t>
      </w:r>
      <w:r w:rsidRPr="004D307F">
        <w:rPr>
          <w:rFonts w:ascii="VIC-Regular" w:eastAsia="Times New Roman" w:hAnsi="VIC-Regular" w:cs="Times New Roman"/>
          <w:color w:val="011A3C"/>
          <w:sz w:val="24"/>
          <w:szCs w:val="24"/>
          <w:lang w:val="en" w:eastAsia="en-AU"/>
        </w:rPr>
        <w:t>with 600 enrolments would calculate their funding as Primary Base + [100 (enrolment &gt;500) * Primary Taper]</w:t>
      </w:r>
    </w:p>
    <w:p w14:paraId="7275B635" w14:textId="2B5992F6" w:rsidR="001167A8" w:rsidRPr="004D307F" w:rsidRDefault="001167A8" w:rsidP="00CE3A3F">
      <w:pPr>
        <w:keepNext/>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w:t>
      </w:r>
      <w:r w:rsidR="009E5A39" w:rsidRPr="004D307F">
        <w:rPr>
          <w:rFonts w:ascii="VIC-Bold" w:eastAsia="Times New Roman" w:hAnsi="VIC-Bold" w:cs="Times New Roman"/>
          <w:b/>
          <w:bCs/>
          <w:color w:val="011A3C"/>
          <w:sz w:val="27"/>
          <w:szCs w:val="27"/>
          <w:lang w:val="en" w:eastAsia="en-A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73"/>
        <w:gridCol w:w="1367"/>
        <w:gridCol w:w="1450"/>
        <w:gridCol w:w="1626"/>
      </w:tblGrid>
      <w:tr w:rsidR="001167A8" w:rsidRPr="004D307F" w14:paraId="3C9A76F0" w14:textId="77777777" w:rsidTr="00124D27">
        <w:trPr>
          <w:tblHeader/>
        </w:trPr>
        <w:tc>
          <w:tcPr>
            <w:tcW w:w="0" w:type="auto"/>
            <w:hideMark/>
          </w:tcPr>
          <w:p w14:paraId="28DC1707" w14:textId="49EDA54E" w:rsidR="001167A8" w:rsidRPr="004D307F" w:rsidRDefault="004F5307" w:rsidP="001167A8">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ELB  applied</w:t>
            </w:r>
          </w:p>
        </w:tc>
        <w:tc>
          <w:tcPr>
            <w:tcW w:w="0" w:type="auto"/>
            <w:hideMark/>
          </w:tcPr>
          <w:p w14:paraId="1E6C3732" w14:textId="77777777" w:rsidR="001167A8" w:rsidRPr="004D307F"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Credit ($)</w:t>
            </w:r>
          </w:p>
        </w:tc>
        <w:tc>
          <w:tcPr>
            <w:tcW w:w="0" w:type="auto"/>
            <w:hideMark/>
          </w:tcPr>
          <w:p w14:paraId="388E2FDD" w14:textId="77777777" w:rsidR="001167A8" w:rsidRPr="004D307F"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Cash ($)</w:t>
            </w:r>
          </w:p>
        </w:tc>
        <w:tc>
          <w:tcPr>
            <w:tcW w:w="0" w:type="auto"/>
            <w:hideMark/>
          </w:tcPr>
          <w:p w14:paraId="41CEFBB0" w14:textId="77777777" w:rsidR="001167A8" w:rsidRPr="004D307F"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Total ($)</w:t>
            </w:r>
          </w:p>
        </w:tc>
      </w:tr>
      <w:tr w:rsidR="00962104" w:rsidRPr="004D307F" w14:paraId="0F027E8E" w14:textId="77777777" w:rsidTr="00124D27">
        <w:tc>
          <w:tcPr>
            <w:tcW w:w="0" w:type="auto"/>
            <w:hideMark/>
          </w:tcPr>
          <w:p w14:paraId="0CD1B387" w14:textId="77777777" w:rsidR="00962104" w:rsidRPr="004D307F"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Primary (incl. Hub Annex)</w:t>
            </w:r>
          </w:p>
        </w:tc>
        <w:tc>
          <w:tcPr>
            <w:tcW w:w="0" w:type="auto"/>
            <w:hideMark/>
          </w:tcPr>
          <w:p w14:paraId="63E0E974" w14:textId="3CEB6CB7" w:rsidR="00962104" w:rsidRPr="004D307F"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63,424</w:t>
            </w:r>
          </w:p>
        </w:tc>
        <w:tc>
          <w:tcPr>
            <w:tcW w:w="0" w:type="auto"/>
            <w:hideMark/>
          </w:tcPr>
          <w:p w14:paraId="4668F5CF" w14:textId="2667A63C" w:rsidR="00962104" w:rsidRPr="004D307F" w:rsidRDefault="009E5A39"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3,401</w:t>
            </w:r>
          </w:p>
        </w:tc>
        <w:tc>
          <w:tcPr>
            <w:tcW w:w="0" w:type="auto"/>
            <w:hideMark/>
          </w:tcPr>
          <w:p w14:paraId="43AAEAE7" w14:textId="71610E7B" w:rsidR="00962104" w:rsidRPr="004D307F" w:rsidRDefault="009E5A39"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66,825</w:t>
            </w:r>
          </w:p>
        </w:tc>
      </w:tr>
      <w:tr w:rsidR="00962104" w:rsidRPr="004D307F" w14:paraId="1FC44983" w14:textId="77777777" w:rsidTr="00124D27">
        <w:tc>
          <w:tcPr>
            <w:tcW w:w="0" w:type="auto"/>
            <w:hideMark/>
          </w:tcPr>
          <w:p w14:paraId="6DBDD0DE" w14:textId="77777777" w:rsidR="00962104" w:rsidRPr="004D307F"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lastRenderedPageBreak/>
              <w:t>Secondary</w:t>
            </w:r>
          </w:p>
        </w:tc>
        <w:tc>
          <w:tcPr>
            <w:tcW w:w="0" w:type="auto"/>
            <w:hideMark/>
          </w:tcPr>
          <w:p w14:paraId="2602D933" w14:textId="24905459" w:rsidR="00962104" w:rsidRPr="004D307F"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528,246</w:t>
            </w:r>
          </w:p>
        </w:tc>
        <w:tc>
          <w:tcPr>
            <w:tcW w:w="0" w:type="auto"/>
            <w:hideMark/>
          </w:tcPr>
          <w:p w14:paraId="56533971" w14:textId="337577D9" w:rsidR="00962104" w:rsidRPr="004D307F" w:rsidRDefault="009E5A39"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26,917</w:t>
            </w:r>
          </w:p>
        </w:tc>
        <w:tc>
          <w:tcPr>
            <w:tcW w:w="0" w:type="auto"/>
            <w:hideMark/>
          </w:tcPr>
          <w:p w14:paraId="51CF7B91" w14:textId="3C83A0B7" w:rsidR="00962104" w:rsidRPr="004D307F" w:rsidRDefault="009E5A39"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555,163</w:t>
            </w:r>
          </w:p>
        </w:tc>
      </w:tr>
      <w:tr w:rsidR="00962104" w:rsidRPr="004D307F" w14:paraId="6F504EB8" w14:textId="77777777" w:rsidTr="00124D27">
        <w:tc>
          <w:tcPr>
            <w:tcW w:w="0" w:type="auto"/>
            <w:hideMark/>
          </w:tcPr>
          <w:p w14:paraId="4844E647" w14:textId="77777777" w:rsidR="00962104" w:rsidRPr="004D307F"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P-9, P-10 and P-12</w:t>
            </w:r>
          </w:p>
        </w:tc>
        <w:tc>
          <w:tcPr>
            <w:tcW w:w="0" w:type="auto"/>
            <w:hideMark/>
          </w:tcPr>
          <w:p w14:paraId="16431AC5" w14:textId="02A2C1D5" w:rsidR="00962104" w:rsidRPr="004D307F"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554,746</w:t>
            </w:r>
          </w:p>
        </w:tc>
        <w:tc>
          <w:tcPr>
            <w:tcW w:w="0" w:type="auto"/>
            <w:hideMark/>
          </w:tcPr>
          <w:p w14:paraId="2766BD67" w14:textId="20B96100" w:rsidR="00962104" w:rsidRPr="004D307F" w:rsidRDefault="009E5A39"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31,060</w:t>
            </w:r>
          </w:p>
        </w:tc>
        <w:tc>
          <w:tcPr>
            <w:tcW w:w="0" w:type="auto"/>
            <w:hideMark/>
          </w:tcPr>
          <w:p w14:paraId="2B7CD6FC" w14:textId="02CB12A6" w:rsidR="00962104" w:rsidRPr="004D307F" w:rsidRDefault="009E5A39"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585,806</w:t>
            </w:r>
          </w:p>
        </w:tc>
      </w:tr>
      <w:tr w:rsidR="004F5307" w:rsidRPr="004D307F" w14:paraId="5437D290" w14:textId="77777777" w:rsidTr="00124D27">
        <w:tc>
          <w:tcPr>
            <w:tcW w:w="0" w:type="auto"/>
            <w:hideMark/>
          </w:tcPr>
          <w:p w14:paraId="76E8EC7D" w14:textId="77777777" w:rsidR="004F5307" w:rsidRPr="004D307F" w:rsidRDefault="004F5307" w:rsidP="004F530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P-8 (=0.5 x P-12 Base)</w:t>
            </w:r>
          </w:p>
        </w:tc>
        <w:tc>
          <w:tcPr>
            <w:tcW w:w="0" w:type="auto"/>
            <w:hideMark/>
          </w:tcPr>
          <w:p w14:paraId="60C57D28" w14:textId="673620E5" w:rsidR="004F5307" w:rsidRPr="004D307F"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277,373</w:t>
            </w:r>
          </w:p>
        </w:tc>
        <w:tc>
          <w:tcPr>
            <w:tcW w:w="0" w:type="auto"/>
            <w:hideMark/>
          </w:tcPr>
          <w:p w14:paraId="135F4A37" w14:textId="43970F05" w:rsidR="004F5307" w:rsidRPr="004D307F" w:rsidRDefault="009E5A39"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15,530</w:t>
            </w:r>
          </w:p>
        </w:tc>
        <w:tc>
          <w:tcPr>
            <w:tcW w:w="0" w:type="auto"/>
            <w:hideMark/>
          </w:tcPr>
          <w:p w14:paraId="49AEDBEC" w14:textId="15280CD0" w:rsidR="004F5307" w:rsidRPr="004D307F" w:rsidRDefault="009E5A39"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292,903</w:t>
            </w:r>
          </w:p>
        </w:tc>
      </w:tr>
      <w:tr w:rsidR="004F5307" w:rsidRPr="004D307F" w14:paraId="43ECFA04" w14:textId="77777777" w:rsidTr="00124D27">
        <w:tc>
          <w:tcPr>
            <w:tcW w:w="0" w:type="auto"/>
            <w:hideMark/>
          </w:tcPr>
          <w:p w14:paraId="7C95B261" w14:textId="77777777" w:rsidR="004F5307" w:rsidRPr="004D307F" w:rsidRDefault="004F5307" w:rsidP="004F530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Sec-Split Site (=1.5 x Sec Base)</w:t>
            </w:r>
          </w:p>
        </w:tc>
        <w:tc>
          <w:tcPr>
            <w:tcW w:w="0" w:type="auto"/>
            <w:hideMark/>
          </w:tcPr>
          <w:p w14:paraId="15E92BCD" w14:textId="117A77AC" w:rsidR="004F5307" w:rsidRPr="004D307F"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792,369</w:t>
            </w:r>
          </w:p>
        </w:tc>
        <w:tc>
          <w:tcPr>
            <w:tcW w:w="0" w:type="auto"/>
            <w:hideMark/>
          </w:tcPr>
          <w:p w14:paraId="2D4214FE" w14:textId="3C803173" w:rsidR="004F5307" w:rsidRPr="004D307F" w:rsidRDefault="005D5CA5"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40,375.50</w:t>
            </w:r>
          </w:p>
        </w:tc>
        <w:tc>
          <w:tcPr>
            <w:tcW w:w="0" w:type="auto"/>
            <w:hideMark/>
          </w:tcPr>
          <w:p w14:paraId="5B2C0C9E" w14:textId="1CF5D0DC" w:rsidR="004F5307" w:rsidRPr="004D307F"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832,</w:t>
            </w:r>
            <w:r w:rsidR="005D5CA5" w:rsidRPr="004D307F">
              <w:rPr>
                <w:rFonts w:ascii="VIC-Regular" w:eastAsia="Times New Roman" w:hAnsi="VIC-Regular" w:cs="Times New Roman"/>
                <w:color w:val="323E4F" w:themeColor="text2" w:themeShade="BF"/>
                <w:sz w:val="24"/>
                <w:szCs w:val="24"/>
                <w:lang w:eastAsia="en-AU"/>
              </w:rPr>
              <w:t>744</w:t>
            </w:r>
            <w:r w:rsidRPr="004D307F">
              <w:rPr>
                <w:rFonts w:ascii="VIC-Regular" w:eastAsia="Times New Roman" w:hAnsi="VIC-Regular" w:cs="Times New Roman"/>
                <w:color w:val="323E4F" w:themeColor="text2" w:themeShade="BF"/>
                <w:sz w:val="24"/>
                <w:szCs w:val="24"/>
                <w:lang w:eastAsia="en-AU"/>
              </w:rPr>
              <w:t>.50</w:t>
            </w:r>
          </w:p>
        </w:tc>
      </w:tr>
      <w:tr w:rsidR="004F5307" w:rsidRPr="004D307F" w14:paraId="0EB6FDEE" w14:textId="77777777" w:rsidTr="00124D27">
        <w:tc>
          <w:tcPr>
            <w:tcW w:w="0" w:type="auto"/>
            <w:hideMark/>
          </w:tcPr>
          <w:p w14:paraId="75404584" w14:textId="77777777" w:rsidR="004F5307" w:rsidRPr="004D307F" w:rsidRDefault="004F5307" w:rsidP="004F530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Split Site P-12 (=1.5 x P-12 Base)</w:t>
            </w:r>
          </w:p>
        </w:tc>
        <w:tc>
          <w:tcPr>
            <w:tcW w:w="0" w:type="auto"/>
            <w:hideMark/>
          </w:tcPr>
          <w:p w14:paraId="3DB7BF88" w14:textId="2DF5CA7B" w:rsidR="004F5307" w:rsidRPr="004D307F"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832,119</w:t>
            </w:r>
          </w:p>
        </w:tc>
        <w:tc>
          <w:tcPr>
            <w:tcW w:w="0" w:type="auto"/>
            <w:hideMark/>
          </w:tcPr>
          <w:p w14:paraId="4D3B9182" w14:textId="1D5A57B9" w:rsidR="004F5307" w:rsidRPr="004D307F" w:rsidRDefault="005D5CA5"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46,590</w:t>
            </w:r>
          </w:p>
        </w:tc>
        <w:tc>
          <w:tcPr>
            <w:tcW w:w="0" w:type="auto"/>
            <w:hideMark/>
          </w:tcPr>
          <w:p w14:paraId="0149FE8C" w14:textId="2DE418D8" w:rsidR="004F5307" w:rsidRPr="004D307F" w:rsidRDefault="005D5CA5"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878,709</w:t>
            </w:r>
          </w:p>
        </w:tc>
      </w:tr>
    </w:tbl>
    <w:p w14:paraId="5C50734D" w14:textId="77777777" w:rsidR="00F04286" w:rsidRPr="004D307F" w:rsidRDefault="00F0428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32"/>
        <w:gridCol w:w="948"/>
        <w:gridCol w:w="813"/>
        <w:gridCol w:w="1123"/>
      </w:tblGrid>
      <w:tr w:rsidR="001167A8" w:rsidRPr="004D307F" w14:paraId="2E02DBC6" w14:textId="77777777" w:rsidTr="00C55926">
        <w:trPr>
          <w:tblHeader/>
        </w:trPr>
        <w:tc>
          <w:tcPr>
            <w:tcW w:w="0" w:type="auto"/>
            <w:hideMark/>
          </w:tcPr>
          <w:p w14:paraId="1D38485D" w14:textId="77777777" w:rsidR="001167A8" w:rsidRPr="004D307F" w:rsidRDefault="001167A8" w:rsidP="001167A8">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Regular Enrolment Linked Base Taper</w:t>
            </w:r>
          </w:p>
        </w:tc>
        <w:tc>
          <w:tcPr>
            <w:tcW w:w="0" w:type="auto"/>
            <w:hideMark/>
          </w:tcPr>
          <w:p w14:paraId="133CDFE8" w14:textId="77777777" w:rsidR="001167A8" w:rsidRPr="004D307F"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Credit ($)</w:t>
            </w:r>
          </w:p>
        </w:tc>
        <w:tc>
          <w:tcPr>
            <w:tcW w:w="451" w:type="pct"/>
            <w:hideMark/>
          </w:tcPr>
          <w:p w14:paraId="21668762" w14:textId="77777777" w:rsidR="001167A8" w:rsidRPr="004D307F"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Cash ($)</w:t>
            </w:r>
          </w:p>
        </w:tc>
        <w:tc>
          <w:tcPr>
            <w:tcW w:w="623" w:type="pct"/>
            <w:hideMark/>
          </w:tcPr>
          <w:p w14:paraId="7564905B" w14:textId="77777777" w:rsidR="001167A8" w:rsidRPr="004D307F"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Total ($)</w:t>
            </w:r>
          </w:p>
        </w:tc>
      </w:tr>
      <w:tr w:rsidR="004F5307" w:rsidRPr="004D307F" w14:paraId="555BDA8C" w14:textId="77777777" w:rsidTr="00C55926">
        <w:tc>
          <w:tcPr>
            <w:tcW w:w="0" w:type="auto"/>
            <w:hideMark/>
          </w:tcPr>
          <w:p w14:paraId="3EB5FB98" w14:textId="77777777" w:rsidR="004F5307" w:rsidRPr="004D307F" w:rsidRDefault="004F5307" w:rsidP="004F530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Primary Taper &gt;500 Per student reduction</w:t>
            </w:r>
          </w:p>
        </w:tc>
        <w:tc>
          <w:tcPr>
            <w:tcW w:w="0" w:type="auto"/>
            <w:hideMark/>
          </w:tcPr>
          <w:p w14:paraId="6681C6B1" w14:textId="28F52D4B" w:rsidR="004F5307" w:rsidRPr="004D307F"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-169.45</w:t>
            </w:r>
          </w:p>
        </w:tc>
        <w:tc>
          <w:tcPr>
            <w:tcW w:w="451" w:type="pct"/>
            <w:hideMark/>
          </w:tcPr>
          <w:p w14:paraId="1BB0514A" w14:textId="2299D8A2" w:rsidR="004F5307" w:rsidRPr="004D307F"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-9.0</w:t>
            </w:r>
            <w:r w:rsidR="005D5CA5" w:rsidRPr="004D307F">
              <w:rPr>
                <w:rFonts w:ascii="VIC-Regular" w:eastAsia="Times New Roman" w:hAnsi="VIC-Regular" w:cs="Times New Roman"/>
                <w:color w:val="323E4F" w:themeColor="text2" w:themeShade="BF"/>
                <w:sz w:val="24"/>
                <w:szCs w:val="24"/>
                <w:lang w:eastAsia="en-AU"/>
              </w:rPr>
              <w:t>7</w:t>
            </w:r>
          </w:p>
        </w:tc>
        <w:tc>
          <w:tcPr>
            <w:tcW w:w="623" w:type="pct"/>
            <w:hideMark/>
          </w:tcPr>
          <w:p w14:paraId="562B4751" w14:textId="0318813E" w:rsidR="004F5307" w:rsidRPr="004D307F"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-178.</w:t>
            </w:r>
            <w:r w:rsidR="005D5CA5" w:rsidRPr="004D307F">
              <w:rPr>
                <w:rFonts w:ascii="VIC-Regular" w:eastAsia="Times New Roman" w:hAnsi="VIC-Regular" w:cs="Times New Roman"/>
                <w:color w:val="323E4F" w:themeColor="text2" w:themeShade="BF"/>
                <w:sz w:val="24"/>
                <w:szCs w:val="24"/>
                <w:lang w:eastAsia="en-AU"/>
              </w:rPr>
              <w:t>52</w:t>
            </w:r>
          </w:p>
        </w:tc>
      </w:tr>
      <w:tr w:rsidR="004F5307" w:rsidRPr="004D307F" w14:paraId="2E161121" w14:textId="77777777" w:rsidTr="00C55926">
        <w:tc>
          <w:tcPr>
            <w:tcW w:w="0" w:type="auto"/>
            <w:hideMark/>
          </w:tcPr>
          <w:p w14:paraId="3FDC0AD2" w14:textId="77777777" w:rsidR="004F5307" w:rsidRPr="004D307F" w:rsidRDefault="004F5307" w:rsidP="004F530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Secondary and Sec-Split Site Taper &gt;400 Per student reduction</w:t>
            </w:r>
          </w:p>
        </w:tc>
        <w:tc>
          <w:tcPr>
            <w:tcW w:w="0" w:type="auto"/>
            <w:hideMark/>
          </w:tcPr>
          <w:p w14:paraId="7797EB95" w14:textId="5629132F" w:rsidR="004F5307" w:rsidRPr="004D307F"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-452.62</w:t>
            </w:r>
          </w:p>
        </w:tc>
        <w:tc>
          <w:tcPr>
            <w:tcW w:w="451" w:type="pct"/>
            <w:hideMark/>
          </w:tcPr>
          <w:p w14:paraId="1A35B668" w14:textId="5E22D873" w:rsidR="004F5307" w:rsidRPr="004D307F" w:rsidRDefault="005D5CA5"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-23.08</w:t>
            </w:r>
          </w:p>
        </w:tc>
        <w:tc>
          <w:tcPr>
            <w:tcW w:w="623" w:type="pct"/>
            <w:hideMark/>
          </w:tcPr>
          <w:p w14:paraId="19A37040" w14:textId="79D6A511" w:rsidR="004F5307" w:rsidRPr="004D307F"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-475.</w:t>
            </w:r>
            <w:r w:rsidR="005D5CA5" w:rsidRPr="004D307F">
              <w:rPr>
                <w:rFonts w:ascii="VIC-Regular" w:eastAsia="Times New Roman" w:hAnsi="VIC-Regular" w:cs="Times New Roman"/>
                <w:color w:val="323E4F" w:themeColor="text2" w:themeShade="BF"/>
                <w:sz w:val="24"/>
                <w:szCs w:val="24"/>
                <w:lang w:eastAsia="en-AU"/>
              </w:rPr>
              <w:t>70</w:t>
            </w:r>
          </w:p>
        </w:tc>
      </w:tr>
    </w:tbl>
    <w:p w14:paraId="1F9BFC93" w14:textId="5E7C75F7" w:rsidR="001167A8" w:rsidRPr="004D307F" w:rsidRDefault="004F5307"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following campus configurations </w:t>
      </w:r>
      <w:r w:rsidR="001167A8" w:rsidRPr="004D307F">
        <w:rPr>
          <w:rFonts w:ascii="VIC-Regular" w:eastAsia="Times New Roman" w:hAnsi="VIC-Regular" w:cs="Times New Roman"/>
          <w:color w:val="011A3C"/>
          <w:sz w:val="24"/>
          <w:szCs w:val="24"/>
          <w:lang w:val="en" w:eastAsia="en-AU"/>
        </w:rPr>
        <w:t>P-8, P-9, P-10, P-12 &amp; Split Site P-12 — </w:t>
      </w:r>
      <w:r w:rsidR="001167A8" w:rsidRPr="004D307F">
        <w:rPr>
          <w:rFonts w:ascii="VIC-Regular" w:eastAsia="Times New Roman" w:hAnsi="VIC-Regular" w:cs="Times New Roman"/>
          <w:b/>
          <w:bCs/>
          <w:color w:val="011A3C"/>
          <w:sz w:val="24"/>
          <w:szCs w:val="24"/>
          <w:lang w:val="en" w:eastAsia="en-AU"/>
        </w:rPr>
        <w:t xml:space="preserve">use Primary and Secondary </w:t>
      </w:r>
      <w:r w:rsidR="00842992" w:rsidRPr="004D307F">
        <w:rPr>
          <w:rFonts w:ascii="VIC-Regular" w:eastAsia="Times New Roman" w:hAnsi="VIC-Regular" w:cs="Times New Roman"/>
          <w:b/>
          <w:bCs/>
          <w:color w:val="011A3C"/>
          <w:sz w:val="24"/>
          <w:szCs w:val="24"/>
          <w:lang w:val="en" w:eastAsia="en-AU"/>
        </w:rPr>
        <w:t>tapers.</w:t>
      </w:r>
    </w:p>
    <w:p w14:paraId="398B4CF4" w14:textId="7A4261E0" w:rsidR="001167A8" w:rsidRPr="004D307F" w:rsidRDefault="001167A8"/>
    <w:p w14:paraId="5FB1D039" w14:textId="77777777" w:rsidR="001167A8" w:rsidRPr="004D307F" w:rsidRDefault="001167A8">
      <w:r w:rsidRPr="004D307F">
        <w:br w:type="page"/>
      </w:r>
    </w:p>
    <w:p w14:paraId="500CB4B4" w14:textId="77777777" w:rsidR="00DB5C39" w:rsidRPr="004D307F" w:rsidRDefault="00DB5C39" w:rsidP="00B566E7">
      <w:pPr>
        <w:pStyle w:val="Heading2"/>
      </w:pPr>
      <w:bookmarkStart w:id="6" w:name="_Toc106793741"/>
      <w:r w:rsidRPr="004D307F">
        <w:lastRenderedPageBreak/>
        <w:t>Small School Base (Reference 3)</w:t>
      </w:r>
      <w:bookmarkEnd w:id="6"/>
    </w:p>
    <w:p w14:paraId="127D3343" w14:textId="77777777" w:rsidR="00DB5C39" w:rsidRPr="004D307F"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Small School Base is provided to primary schools with less than 80.1 students and secondary colleges with less than 400 students.</w:t>
      </w:r>
    </w:p>
    <w:p w14:paraId="68244AF5" w14:textId="77777777" w:rsidR="00DB5C39" w:rsidRPr="004D307F"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primary schools, the base reduces as enrolments increase. For multi-site primary schools the Base and Taper is applied for each site.</w:t>
      </w:r>
    </w:p>
    <w:p w14:paraId="535C8CFE" w14:textId="77777777" w:rsidR="00DB5C39" w:rsidRPr="004D307F"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secondary colleges, the base is a flat amount up to 110 enrolments after which it reduces as enrolments increase. For multi-campus colleges, the Base and Taper is applied for each campus.</w:t>
      </w:r>
    </w:p>
    <w:p w14:paraId="2099CD02" w14:textId="77777777" w:rsidR="00DB5C39" w:rsidRPr="004D307F" w:rsidRDefault="00DB5C39"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475A8C4F" w14:textId="77777777" w:rsidR="00DB5C39" w:rsidRPr="004D307F"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with the following campus types are eligible for the small school base funding at campus level.</w:t>
      </w:r>
    </w:p>
    <w:p w14:paraId="77C59095" w14:textId="77777777" w:rsidR="00DB5C39" w:rsidRPr="004D307F" w:rsidRDefault="00DB5C39" w:rsidP="00DB5C39">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w:t>
      </w:r>
    </w:p>
    <w:p w14:paraId="714894D2" w14:textId="77777777" w:rsidR="00DB5C39" w:rsidRPr="004D307F" w:rsidRDefault="00DB5C39" w:rsidP="00DB5C39">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Secondary</w:t>
      </w:r>
    </w:p>
    <w:p w14:paraId="08821D53" w14:textId="7FC4C55A" w:rsidR="00DB5C39" w:rsidRPr="004D307F" w:rsidRDefault="00DB5C39" w:rsidP="00DB5C39">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7" w:name="_Hlk66193413"/>
      <w:r w:rsidRPr="004D307F">
        <w:rPr>
          <w:rFonts w:ascii="VIC-Regular" w:eastAsia="Times New Roman" w:hAnsi="VIC-Regular" w:cs="Times New Roman"/>
          <w:color w:val="011A3C"/>
          <w:sz w:val="24"/>
          <w:szCs w:val="24"/>
          <w:lang w:val="en" w:eastAsia="en-AU"/>
        </w:rPr>
        <w:t xml:space="preserve">Primary/Secondary </w:t>
      </w:r>
      <w:bookmarkEnd w:id="7"/>
      <w:r w:rsidRPr="004D307F">
        <w:rPr>
          <w:rFonts w:ascii="VIC-Regular" w:eastAsia="Times New Roman" w:hAnsi="VIC-Regular" w:cs="Times New Roman"/>
          <w:color w:val="011A3C"/>
          <w:sz w:val="24"/>
          <w:szCs w:val="24"/>
          <w:lang w:val="en" w:eastAsia="en-AU"/>
        </w:rPr>
        <w:t>Combined</w:t>
      </w:r>
    </w:p>
    <w:p w14:paraId="3AD404FB" w14:textId="564921B7" w:rsidR="0039304A" w:rsidRPr="004D307F" w:rsidRDefault="0039304A" w:rsidP="00DB5C39">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Community</w:t>
      </w:r>
    </w:p>
    <w:p w14:paraId="1CCE8A10" w14:textId="77777777" w:rsidR="00531290" w:rsidRPr="004D307F" w:rsidRDefault="00531290" w:rsidP="00DB5C39">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Confirmed and Revised budget cycles, funding is provided through credit and cash funding. </w:t>
      </w:r>
    </w:p>
    <w:p w14:paraId="02ABB553" w14:textId="1DCB56D2" w:rsidR="00DB5C39" w:rsidRPr="004D307F" w:rsidRDefault="00DB5C39"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1057DF29" w14:textId="77777777" w:rsidR="00DB5C39" w:rsidRPr="004D307F"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 xml:space="preserve">Small School Base (Primary where enrolment is less than 80.1) </w:t>
      </w:r>
      <w:r w:rsidRPr="004D307F">
        <w:rPr>
          <w:rFonts w:ascii="VIC-Regular" w:eastAsia="Times New Roman" w:hAnsi="VIC-Regular" w:cs="Times New Roman"/>
          <w:color w:val="011A3C"/>
          <w:sz w:val="24"/>
          <w:szCs w:val="24"/>
          <w:lang w:val="en" w:eastAsia="en-AU"/>
        </w:rPr>
        <w:t>= Primary Base + (Primary Enrolment x Taper)</w:t>
      </w:r>
    </w:p>
    <w:p w14:paraId="1618EF9B" w14:textId="32E009F5" w:rsidR="00DB5C39" w:rsidRPr="004D307F"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 xml:space="preserve">Small School Base (Secondary where enrolment is less than 400) </w:t>
      </w:r>
      <w:r w:rsidRPr="004D307F">
        <w:rPr>
          <w:rFonts w:ascii="VIC-Regular" w:eastAsia="Times New Roman" w:hAnsi="VIC-Regular" w:cs="Times New Roman"/>
          <w:color w:val="011A3C"/>
          <w:sz w:val="24"/>
          <w:szCs w:val="24"/>
          <w:lang w:val="en" w:eastAsia="en-AU"/>
        </w:rPr>
        <w:t>= Secondary Base + [(Secondary Enrolment – 110) x Taper]</w:t>
      </w:r>
    </w:p>
    <w:p w14:paraId="55ACD144" w14:textId="635DE946" w:rsidR="00DB5C39" w:rsidRPr="004D307F"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Example: A secondary </w:t>
      </w:r>
      <w:r w:rsidR="00DD54B0" w:rsidRPr="004D307F">
        <w:rPr>
          <w:rFonts w:ascii="VIC-Regular" w:eastAsia="Times New Roman" w:hAnsi="VIC-Regular" w:cs="Times New Roman"/>
          <w:color w:val="011A3C"/>
          <w:sz w:val="24"/>
          <w:szCs w:val="24"/>
          <w:lang w:val="en" w:eastAsia="en-AU"/>
        </w:rPr>
        <w:t xml:space="preserve">campus </w:t>
      </w:r>
      <w:r w:rsidRPr="004D307F">
        <w:rPr>
          <w:rFonts w:ascii="VIC-Regular" w:eastAsia="Times New Roman" w:hAnsi="VIC-Regular" w:cs="Times New Roman"/>
          <w:color w:val="011A3C"/>
          <w:sz w:val="24"/>
          <w:szCs w:val="24"/>
          <w:lang w:val="en" w:eastAsia="en-AU"/>
        </w:rPr>
        <w:t>with 300 enrolments would calculate their funding as Secondary Base + [(300 -110) * Secondary Taper]</w:t>
      </w:r>
    </w:p>
    <w:p w14:paraId="16A26130" w14:textId="77777777" w:rsidR="00141B7F" w:rsidRPr="004D307F" w:rsidRDefault="00141B7F"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p>
    <w:p w14:paraId="6F9E4EAA" w14:textId="77777777" w:rsidR="00141B7F" w:rsidRPr="004D307F" w:rsidRDefault="00141B7F"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p>
    <w:p w14:paraId="3691FA46" w14:textId="77777777" w:rsidR="00141B7F" w:rsidRPr="004D307F" w:rsidRDefault="00141B7F"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p>
    <w:p w14:paraId="61E5143D" w14:textId="3A878698" w:rsidR="00DB5C39" w:rsidRPr="004D307F" w:rsidRDefault="00DB5C39"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w:t>
      </w:r>
      <w:r w:rsidR="006E0408" w:rsidRPr="004D307F">
        <w:rPr>
          <w:rFonts w:ascii="VIC-Bold" w:eastAsia="Times New Roman" w:hAnsi="VIC-Bold" w:cs="Times New Roman"/>
          <w:b/>
          <w:bCs/>
          <w:color w:val="011A3C"/>
          <w:sz w:val="27"/>
          <w:szCs w:val="27"/>
          <w:lang w:val="en" w:eastAsia="en-A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75"/>
        <w:gridCol w:w="1502"/>
        <w:gridCol w:w="1295"/>
        <w:gridCol w:w="1344"/>
      </w:tblGrid>
      <w:tr w:rsidR="00DB5C39" w:rsidRPr="004D307F" w14:paraId="00974DDC" w14:textId="77777777" w:rsidTr="00124D27">
        <w:trPr>
          <w:tblHeader/>
        </w:trPr>
        <w:tc>
          <w:tcPr>
            <w:tcW w:w="0" w:type="auto"/>
            <w:hideMark/>
          </w:tcPr>
          <w:p w14:paraId="2C464FA3" w14:textId="77777777" w:rsidR="00DB5C39" w:rsidRPr="004D307F" w:rsidRDefault="00DB5C39" w:rsidP="00DB5C39">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lastRenderedPageBreak/>
              <w:t>Small Schools Adjustment Base</w:t>
            </w:r>
          </w:p>
        </w:tc>
        <w:tc>
          <w:tcPr>
            <w:tcW w:w="0" w:type="auto"/>
            <w:hideMark/>
          </w:tcPr>
          <w:p w14:paraId="2069F423" w14:textId="77777777" w:rsidR="00DB5C39" w:rsidRPr="004D307F"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Credit ($)</w:t>
            </w:r>
          </w:p>
        </w:tc>
        <w:tc>
          <w:tcPr>
            <w:tcW w:w="0" w:type="auto"/>
            <w:hideMark/>
          </w:tcPr>
          <w:p w14:paraId="1BC7A6FA" w14:textId="77777777" w:rsidR="00DB5C39" w:rsidRPr="004D307F"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Cash ($)</w:t>
            </w:r>
          </w:p>
        </w:tc>
        <w:tc>
          <w:tcPr>
            <w:tcW w:w="0" w:type="auto"/>
            <w:hideMark/>
          </w:tcPr>
          <w:p w14:paraId="555D8A81" w14:textId="77777777" w:rsidR="00DB5C39" w:rsidRPr="004D307F"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Total ($)</w:t>
            </w:r>
          </w:p>
        </w:tc>
      </w:tr>
      <w:tr w:rsidR="00BE29E7" w:rsidRPr="004D307F" w14:paraId="3FF53679" w14:textId="77777777" w:rsidTr="00124D27">
        <w:tc>
          <w:tcPr>
            <w:tcW w:w="0" w:type="auto"/>
            <w:hideMark/>
          </w:tcPr>
          <w:p w14:paraId="47929FFA" w14:textId="77777777" w:rsidR="00BE29E7" w:rsidRPr="004D307F" w:rsidRDefault="00BE29E7" w:rsidP="00BE29E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Primary</w:t>
            </w:r>
          </w:p>
        </w:tc>
        <w:tc>
          <w:tcPr>
            <w:tcW w:w="0" w:type="auto"/>
            <w:hideMark/>
          </w:tcPr>
          <w:p w14:paraId="5F10165B" w14:textId="55CD0286" w:rsidR="00BE29E7" w:rsidRPr="004D307F"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35,054</w:t>
            </w:r>
          </w:p>
        </w:tc>
        <w:tc>
          <w:tcPr>
            <w:tcW w:w="0" w:type="auto"/>
            <w:hideMark/>
          </w:tcPr>
          <w:p w14:paraId="073692E1" w14:textId="7C435426" w:rsidR="00BE29E7" w:rsidRPr="004D307F" w:rsidRDefault="006E0408"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2,412</w:t>
            </w:r>
          </w:p>
        </w:tc>
        <w:tc>
          <w:tcPr>
            <w:tcW w:w="0" w:type="auto"/>
            <w:hideMark/>
          </w:tcPr>
          <w:p w14:paraId="53AD71D7" w14:textId="3E003B54" w:rsidR="00BE29E7" w:rsidRPr="004D307F" w:rsidRDefault="006E0408"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37,466</w:t>
            </w:r>
          </w:p>
        </w:tc>
      </w:tr>
      <w:tr w:rsidR="00BE29E7" w:rsidRPr="004D307F" w14:paraId="5DED63BD" w14:textId="77777777" w:rsidTr="00124D27">
        <w:tc>
          <w:tcPr>
            <w:tcW w:w="0" w:type="auto"/>
            <w:hideMark/>
          </w:tcPr>
          <w:p w14:paraId="3D3792FA" w14:textId="77777777" w:rsidR="00BE29E7" w:rsidRPr="004D307F" w:rsidRDefault="00BE29E7" w:rsidP="00BE29E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Secondary</w:t>
            </w:r>
          </w:p>
        </w:tc>
        <w:tc>
          <w:tcPr>
            <w:tcW w:w="0" w:type="auto"/>
            <w:hideMark/>
          </w:tcPr>
          <w:p w14:paraId="180E648D" w14:textId="18D018BB" w:rsidR="00BE29E7" w:rsidRPr="004D307F"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153,733</w:t>
            </w:r>
          </w:p>
        </w:tc>
        <w:tc>
          <w:tcPr>
            <w:tcW w:w="0" w:type="auto"/>
            <w:hideMark/>
          </w:tcPr>
          <w:p w14:paraId="7B3445FE" w14:textId="29F0D35E" w:rsidR="00BE29E7" w:rsidRPr="004D307F" w:rsidRDefault="006E0408"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8,410</w:t>
            </w:r>
          </w:p>
        </w:tc>
        <w:tc>
          <w:tcPr>
            <w:tcW w:w="0" w:type="auto"/>
            <w:hideMark/>
          </w:tcPr>
          <w:p w14:paraId="1F6E1A23" w14:textId="16E98C6D" w:rsidR="00BE29E7" w:rsidRPr="004D307F" w:rsidRDefault="006E0408"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162,143</w:t>
            </w:r>
          </w:p>
        </w:tc>
      </w:tr>
      <w:tr w:rsidR="00DB5C39" w:rsidRPr="004D307F" w14:paraId="6DE76AC3" w14:textId="77777777" w:rsidTr="00124D27">
        <w:trPr>
          <w:tblHeader/>
        </w:trPr>
        <w:tc>
          <w:tcPr>
            <w:tcW w:w="0" w:type="auto"/>
            <w:hideMark/>
          </w:tcPr>
          <w:p w14:paraId="77183E3F" w14:textId="77777777" w:rsidR="00DB5C39" w:rsidRPr="004D307F" w:rsidRDefault="00DB5C39" w:rsidP="00DB5C39">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Small School Adjustment Taper</w:t>
            </w:r>
          </w:p>
        </w:tc>
        <w:tc>
          <w:tcPr>
            <w:tcW w:w="0" w:type="auto"/>
            <w:hideMark/>
          </w:tcPr>
          <w:p w14:paraId="7818E900" w14:textId="77777777" w:rsidR="00DB5C39" w:rsidRPr="004D307F"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Credit ($)</w:t>
            </w:r>
          </w:p>
        </w:tc>
        <w:tc>
          <w:tcPr>
            <w:tcW w:w="0" w:type="auto"/>
            <w:hideMark/>
          </w:tcPr>
          <w:p w14:paraId="6EAF976A" w14:textId="77777777" w:rsidR="00DB5C39" w:rsidRPr="004D307F"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Cash ($)</w:t>
            </w:r>
          </w:p>
        </w:tc>
        <w:tc>
          <w:tcPr>
            <w:tcW w:w="0" w:type="auto"/>
            <w:hideMark/>
          </w:tcPr>
          <w:p w14:paraId="6150A56F" w14:textId="77777777" w:rsidR="00DB5C39" w:rsidRPr="004D307F"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Total ($)</w:t>
            </w:r>
          </w:p>
        </w:tc>
      </w:tr>
      <w:tr w:rsidR="00BE29E7" w:rsidRPr="004D307F" w14:paraId="6728E007" w14:textId="77777777" w:rsidTr="00124D27">
        <w:tc>
          <w:tcPr>
            <w:tcW w:w="0" w:type="auto"/>
            <w:hideMark/>
          </w:tcPr>
          <w:p w14:paraId="61F7BA11" w14:textId="77777777" w:rsidR="00BE29E7" w:rsidRPr="004D307F" w:rsidRDefault="00BE29E7" w:rsidP="00BE29E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Primary</w:t>
            </w:r>
          </w:p>
        </w:tc>
        <w:tc>
          <w:tcPr>
            <w:tcW w:w="0" w:type="auto"/>
            <w:hideMark/>
          </w:tcPr>
          <w:p w14:paraId="77AA087F" w14:textId="298E6C64" w:rsidR="00BE29E7" w:rsidRPr="004D307F"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-182.02</w:t>
            </w:r>
          </w:p>
        </w:tc>
        <w:tc>
          <w:tcPr>
            <w:tcW w:w="0" w:type="auto"/>
            <w:hideMark/>
          </w:tcPr>
          <w:p w14:paraId="5114E6AC" w14:textId="18BCEBD2" w:rsidR="00BE29E7" w:rsidRPr="004D307F"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-12.</w:t>
            </w:r>
            <w:r w:rsidR="006E0408" w:rsidRPr="004D307F">
              <w:rPr>
                <w:rFonts w:ascii="VIC-Regular" w:eastAsia="Times New Roman" w:hAnsi="VIC-Regular" w:cs="Times New Roman"/>
                <w:color w:val="323E4F" w:themeColor="text2" w:themeShade="BF"/>
                <w:sz w:val="24"/>
                <w:szCs w:val="24"/>
                <w:lang w:eastAsia="en-AU"/>
              </w:rPr>
              <w:t>61</w:t>
            </w:r>
          </w:p>
        </w:tc>
        <w:tc>
          <w:tcPr>
            <w:tcW w:w="0" w:type="auto"/>
            <w:hideMark/>
          </w:tcPr>
          <w:p w14:paraId="29E23C1D" w14:textId="22AF8FF0" w:rsidR="00BE29E7" w:rsidRPr="004D307F"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-194.</w:t>
            </w:r>
            <w:r w:rsidR="006E0408" w:rsidRPr="004D307F">
              <w:rPr>
                <w:rFonts w:ascii="VIC-Regular" w:eastAsia="Times New Roman" w:hAnsi="VIC-Regular" w:cs="Times New Roman"/>
                <w:color w:val="323E4F" w:themeColor="text2" w:themeShade="BF"/>
                <w:sz w:val="24"/>
                <w:szCs w:val="24"/>
                <w:lang w:eastAsia="en-AU"/>
              </w:rPr>
              <w:t>63</w:t>
            </w:r>
          </w:p>
        </w:tc>
      </w:tr>
      <w:tr w:rsidR="00BE29E7" w:rsidRPr="004D307F" w14:paraId="34961AC6" w14:textId="77777777" w:rsidTr="00124D27">
        <w:tc>
          <w:tcPr>
            <w:tcW w:w="0" w:type="auto"/>
            <w:hideMark/>
          </w:tcPr>
          <w:p w14:paraId="26274EED" w14:textId="77777777" w:rsidR="00BE29E7" w:rsidRPr="004D307F" w:rsidRDefault="00BE29E7" w:rsidP="00BE29E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Secondary</w:t>
            </w:r>
          </w:p>
        </w:tc>
        <w:tc>
          <w:tcPr>
            <w:tcW w:w="0" w:type="auto"/>
            <w:hideMark/>
          </w:tcPr>
          <w:p w14:paraId="4D0BA088" w14:textId="3C253119" w:rsidR="00BE29E7" w:rsidRPr="004D307F"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-530.13</w:t>
            </w:r>
          </w:p>
        </w:tc>
        <w:tc>
          <w:tcPr>
            <w:tcW w:w="0" w:type="auto"/>
            <w:hideMark/>
          </w:tcPr>
          <w:p w14:paraId="521A515B" w14:textId="4431A9F4" w:rsidR="00BE29E7" w:rsidRPr="004D307F"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-28.</w:t>
            </w:r>
            <w:r w:rsidR="006E0408" w:rsidRPr="004D307F">
              <w:rPr>
                <w:rFonts w:ascii="VIC-Regular" w:eastAsia="Times New Roman" w:hAnsi="VIC-Regular" w:cs="Times New Roman"/>
                <w:color w:val="323E4F" w:themeColor="text2" w:themeShade="BF"/>
                <w:sz w:val="24"/>
                <w:szCs w:val="24"/>
                <w:lang w:eastAsia="en-AU"/>
              </w:rPr>
              <w:t>99</w:t>
            </w:r>
          </w:p>
        </w:tc>
        <w:tc>
          <w:tcPr>
            <w:tcW w:w="0" w:type="auto"/>
            <w:hideMark/>
          </w:tcPr>
          <w:p w14:paraId="56AFE2A1" w14:textId="1B21AF6C" w:rsidR="00BE29E7" w:rsidRPr="004D307F"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-55</w:t>
            </w:r>
            <w:r w:rsidR="006E0408" w:rsidRPr="004D307F">
              <w:rPr>
                <w:rFonts w:ascii="VIC-Regular" w:eastAsia="Times New Roman" w:hAnsi="VIC-Regular" w:cs="Times New Roman"/>
                <w:color w:val="323E4F" w:themeColor="text2" w:themeShade="BF"/>
                <w:sz w:val="24"/>
                <w:szCs w:val="24"/>
                <w:lang w:eastAsia="en-AU"/>
              </w:rPr>
              <w:t>9</w:t>
            </w:r>
            <w:r w:rsidRPr="004D307F">
              <w:rPr>
                <w:rFonts w:ascii="VIC-Regular" w:eastAsia="Times New Roman" w:hAnsi="VIC-Regular" w:cs="Times New Roman"/>
                <w:color w:val="323E4F" w:themeColor="text2" w:themeShade="BF"/>
                <w:sz w:val="24"/>
                <w:szCs w:val="24"/>
                <w:lang w:eastAsia="en-AU"/>
              </w:rPr>
              <w:t>.</w:t>
            </w:r>
            <w:r w:rsidR="006E0408" w:rsidRPr="004D307F">
              <w:rPr>
                <w:rFonts w:ascii="VIC-Regular" w:eastAsia="Times New Roman" w:hAnsi="VIC-Regular" w:cs="Times New Roman"/>
                <w:color w:val="323E4F" w:themeColor="text2" w:themeShade="BF"/>
                <w:sz w:val="24"/>
                <w:szCs w:val="24"/>
                <w:lang w:eastAsia="en-AU"/>
              </w:rPr>
              <w:t>12</w:t>
            </w:r>
          </w:p>
        </w:tc>
      </w:tr>
    </w:tbl>
    <w:p w14:paraId="21EC1DDD" w14:textId="69DC32C0" w:rsidR="00DB5C39" w:rsidRPr="004D307F" w:rsidRDefault="00DB5C39"/>
    <w:p w14:paraId="030C27FC" w14:textId="77777777" w:rsidR="00DD54B0" w:rsidRPr="004D307F" w:rsidRDefault="00DD54B0">
      <w:pPr>
        <w:rPr>
          <w:rFonts w:ascii="VIC-Bold" w:eastAsia="Times New Roman" w:hAnsi="VIC-Bold" w:cs="Times New Roman"/>
          <w:color w:val="011A3C"/>
          <w:sz w:val="36"/>
          <w:szCs w:val="36"/>
          <w:lang w:val="en" w:eastAsia="en-AU"/>
        </w:rPr>
      </w:pPr>
      <w:r w:rsidRPr="004D307F">
        <w:rPr>
          <w:rFonts w:ascii="VIC-Bold" w:eastAsia="Times New Roman" w:hAnsi="VIC-Bold" w:cs="Times New Roman"/>
          <w:color w:val="011A3C"/>
          <w:sz w:val="36"/>
          <w:szCs w:val="36"/>
          <w:lang w:val="en" w:eastAsia="en-AU"/>
        </w:rPr>
        <w:br w:type="page"/>
      </w:r>
    </w:p>
    <w:p w14:paraId="7E4E223F" w14:textId="22E9EBEA" w:rsidR="006A5663" w:rsidRPr="004D307F" w:rsidRDefault="006A5663" w:rsidP="00B566E7">
      <w:pPr>
        <w:pStyle w:val="Heading2"/>
      </w:pPr>
      <w:bookmarkStart w:id="8" w:name="_Toc106793742"/>
      <w:r w:rsidRPr="004D307F">
        <w:lastRenderedPageBreak/>
        <w:t>Rural School Size Adjustment Factor (Reference 4)</w:t>
      </w:r>
      <w:bookmarkEnd w:id="8"/>
    </w:p>
    <w:p w14:paraId="0C418573" w14:textId="77777777" w:rsidR="006C05C4" w:rsidRPr="004D307F" w:rsidRDefault="006C05C4" w:rsidP="006C05C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This funding line recognises that small rural schools require additional resources to provide a high-quality education that is equal to that of schools in urban areas. </w:t>
      </w:r>
    </w:p>
    <w:p w14:paraId="21717F82" w14:textId="77777777" w:rsidR="006C05C4" w:rsidRPr="004D307F" w:rsidRDefault="006C05C4" w:rsidP="006C05C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provided to eligible primary schools, secondary schools and combined schools that are situated in non-metropolitan and non-provincial locations.  </w:t>
      </w:r>
    </w:p>
    <w:p w14:paraId="6654D492" w14:textId="0F9F7D9C" w:rsidR="006C05C4" w:rsidRPr="004D307F" w:rsidRDefault="006C05C4" w:rsidP="006C05C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Allocations are determined at campus level using a per student rate. The per student rate is split into credit and cash and contains provisions for payroll tax, superannuation, relief teaching and professional development.</w:t>
      </w:r>
    </w:p>
    <w:p w14:paraId="43EA0F14" w14:textId="3FB53D7D" w:rsidR="006A5663" w:rsidRPr="004D307F" w:rsidRDefault="006A5663" w:rsidP="006A5663">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2543BAD6" w14:textId="77777777" w:rsidR="006C05C4" w:rsidRPr="004D307F" w:rsidRDefault="006C05C4" w:rsidP="006C05C4">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Campuses with the following campus type, enrolments and location are eligible for RSAF funding.</w:t>
      </w:r>
    </w:p>
    <w:p w14:paraId="32637437" w14:textId="77777777" w:rsidR="006C05C4" w:rsidRPr="004D307F" w:rsidRDefault="006C05C4" w:rsidP="006C05C4">
      <w:pPr>
        <w:spacing w:after="0" w:line="240" w:lineRule="auto"/>
        <w:rPr>
          <w:rFonts w:ascii="VIC-Regular" w:eastAsia="Times New Roman" w:hAnsi="VIC-Regular" w:cs="Times New Roman"/>
          <w:color w:val="011A3C"/>
          <w:sz w:val="24"/>
          <w:szCs w:val="24"/>
          <w:lang w:val="en" w:eastAsia="en-AU"/>
        </w:rPr>
      </w:pPr>
    </w:p>
    <w:p w14:paraId="2C6E3EF8" w14:textId="77777777" w:rsidR="006C05C4" w:rsidRPr="004D307F" w:rsidRDefault="006C05C4" w:rsidP="006C05C4">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Campus type:</w:t>
      </w:r>
    </w:p>
    <w:p w14:paraId="1C727388" w14:textId="77777777" w:rsidR="006C05C4" w:rsidRPr="004D307F" w:rsidRDefault="006C05C4" w:rsidP="004D307F">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w:t>
      </w:r>
    </w:p>
    <w:p w14:paraId="6DC6EE29" w14:textId="77777777" w:rsidR="006C05C4" w:rsidRPr="004D307F" w:rsidRDefault="006C05C4" w:rsidP="004D307F">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Secondary</w:t>
      </w:r>
    </w:p>
    <w:p w14:paraId="03AB9F39" w14:textId="4837099E" w:rsidR="006C05C4" w:rsidRPr="004D307F" w:rsidRDefault="00170FD6" w:rsidP="004D307F">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Primary/Secondary Combined</w:t>
      </w:r>
    </w:p>
    <w:p w14:paraId="6A07F8CA" w14:textId="10738B2D" w:rsidR="006C05C4" w:rsidRPr="004D307F" w:rsidRDefault="0039304A" w:rsidP="004D307F">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Community</w:t>
      </w:r>
    </w:p>
    <w:p w14:paraId="4EE0483B" w14:textId="77777777" w:rsidR="006C05C4" w:rsidRPr="004D307F" w:rsidRDefault="006C05C4" w:rsidP="006C05C4">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Enrolments:</w:t>
      </w:r>
    </w:p>
    <w:p w14:paraId="0D3FDA06" w14:textId="77777777" w:rsidR="006C05C4" w:rsidRPr="004D307F" w:rsidRDefault="006C05C4" w:rsidP="004D307F">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Less than or equal to 200 Primary enrolments</w:t>
      </w:r>
    </w:p>
    <w:p w14:paraId="2858F5BE" w14:textId="14517C1D" w:rsidR="006C05C4" w:rsidRPr="004D307F" w:rsidRDefault="006C05C4" w:rsidP="004D307F">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Less than or equal to 500 Secondary enrolments</w:t>
      </w:r>
    </w:p>
    <w:p w14:paraId="77D84BFE" w14:textId="77777777" w:rsidR="006C05C4" w:rsidRPr="004D307F" w:rsidRDefault="006C05C4" w:rsidP="006C05C4">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Locations:</w:t>
      </w:r>
    </w:p>
    <w:p w14:paraId="3FE84489" w14:textId="77777777" w:rsidR="006C05C4" w:rsidRPr="004D307F" w:rsidRDefault="006C05C4" w:rsidP="004D307F">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outside the “Major Cities of Australia” Remoteness Area category, as defined by the Australian Bureau of Statistics (ABS), with reference to the 2016 Accessibility/Remoteness Index of Australia (ARIA). </w:t>
      </w:r>
    </w:p>
    <w:p w14:paraId="2704B8B5" w14:textId="6A3B026B" w:rsidR="006C05C4" w:rsidRPr="004D307F" w:rsidRDefault="006C05C4" w:rsidP="004D307F">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outside provincial locations with more than 20,000 population, as defined by the ABS Urban Centres and Localities (UCL). Using ABS 2016, campuses in Geelong, Ballarat, Bendigo, Shepparton-Mooroopna, Warrnambool, Albury-Wodonga, Mildura and Traralgon are ineligible.</w:t>
      </w:r>
    </w:p>
    <w:p w14:paraId="3586F931" w14:textId="1CB13AFE" w:rsidR="00141B7F" w:rsidRPr="004D307F" w:rsidRDefault="00395E28" w:rsidP="006A5663">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Confirmed and Revised budget cycles, funding is provided through credit and cash funding. </w:t>
      </w:r>
    </w:p>
    <w:p w14:paraId="5CE2799F" w14:textId="60F1C106" w:rsidR="006A5663" w:rsidRPr="004D307F" w:rsidRDefault="006A5663" w:rsidP="006A5663">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422EA95C" w14:textId="74B7EAD0" w:rsidR="00E000E8" w:rsidRPr="004D307F" w:rsidRDefault="00E000E8"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Allocation = Primary Enrolments * Primary Per Student Rate + Secondary enrolments * Secondary Per Student Rate</w:t>
      </w:r>
    </w:p>
    <w:p w14:paraId="6A1E2FD6" w14:textId="77777777" w:rsidR="00E000E8" w:rsidRPr="004D307F" w:rsidRDefault="00E000E8"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Note:</w:t>
      </w:r>
    </w:p>
    <w:p w14:paraId="231E076D" w14:textId="71018B8F" w:rsidR="00E000E8" w:rsidRPr="004D307F" w:rsidRDefault="00E000E8" w:rsidP="004D307F">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rates for each enrolment level are provided in </w:t>
      </w:r>
      <w:r w:rsidR="003B16EE" w:rsidRPr="004D307F">
        <w:rPr>
          <w:rFonts w:ascii="VIC-Regular" w:eastAsia="Times New Roman" w:hAnsi="VIC-Regular" w:cs="Times New Roman"/>
          <w:color w:val="011A3C"/>
          <w:sz w:val="24"/>
          <w:szCs w:val="24"/>
          <w:lang w:val="en" w:eastAsia="en-AU"/>
        </w:rPr>
        <w:t xml:space="preserve">the </w:t>
      </w:r>
      <w:hyperlink r:id="rId12" w:history="1">
        <w:r w:rsidR="003B16EE" w:rsidRPr="004D307F">
          <w:rPr>
            <w:rStyle w:val="Hyperlink"/>
            <w:rFonts w:ascii="VIC-Regular" w:eastAsia="Times New Roman" w:hAnsi="VIC-Regular" w:cs="Times New Roman"/>
            <w:sz w:val="24"/>
            <w:szCs w:val="24"/>
            <w:lang w:val="en" w:eastAsia="en-AU"/>
          </w:rPr>
          <w:t xml:space="preserve">Rurality Rates </w:t>
        </w:r>
        <w:r w:rsidR="00270119">
          <w:rPr>
            <w:rStyle w:val="Hyperlink"/>
            <w:rFonts w:ascii="VIC-Regular" w:eastAsia="Times New Roman" w:hAnsi="VIC-Regular" w:cs="Times New Roman"/>
            <w:sz w:val="24"/>
            <w:szCs w:val="24"/>
            <w:lang w:val="en" w:eastAsia="en-AU"/>
          </w:rPr>
          <w:t>s</w:t>
        </w:r>
        <w:r w:rsidR="003B16EE" w:rsidRPr="004D307F">
          <w:rPr>
            <w:rStyle w:val="Hyperlink"/>
            <w:rFonts w:ascii="VIC-Regular" w:eastAsia="Times New Roman" w:hAnsi="VIC-Regular" w:cs="Times New Roman"/>
            <w:sz w:val="24"/>
            <w:szCs w:val="24"/>
            <w:lang w:val="en" w:eastAsia="en-AU"/>
          </w:rPr>
          <w:t>preadsheet</w:t>
        </w:r>
      </w:hyperlink>
      <w:r w:rsidR="00270119">
        <w:rPr>
          <w:rStyle w:val="Hyperlink"/>
          <w:rFonts w:ascii="VIC-Regular" w:eastAsia="Times New Roman" w:hAnsi="VIC-Regular" w:cs="Times New Roman"/>
          <w:sz w:val="24"/>
          <w:szCs w:val="24"/>
          <w:lang w:val="en" w:eastAsia="en-AU"/>
        </w:rPr>
        <w:t xml:space="preserve"> (XLSX)</w:t>
      </w:r>
      <w:r w:rsidR="00C97565" w:rsidRPr="004D307F">
        <w:rPr>
          <w:rStyle w:val="Hyperlink"/>
          <w:rFonts w:ascii="VIC-Regular" w:eastAsia="Times New Roman" w:hAnsi="VIC-Regular" w:cs="Times New Roman"/>
          <w:sz w:val="24"/>
          <w:szCs w:val="24"/>
          <w:lang w:val="en" w:eastAsia="en-AU"/>
        </w:rPr>
        <w:t>.</w:t>
      </w:r>
    </w:p>
    <w:p w14:paraId="520F9C8A" w14:textId="29862A5A" w:rsidR="00E000E8" w:rsidRPr="004D307F" w:rsidRDefault="00E000E8" w:rsidP="004D307F">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Enrolments are rounded down to the nearest whole number to identify the relevant per student rate. The actual campus enrolments are applied to the per student rate to determine the allocation.</w:t>
      </w:r>
    </w:p>
    <w:p w14:paraId="01B7369F" w14:textId="098FFDBD" w:rsidR="00E000E8" w:rsidRPr="004D307F" w:rsidRDefault="00E000E8" w:rsidP="00E000E8">
      <w:pPr>
        <w:spacing w:after="0" w:line="240" w:lineRule="auto"/>
        <w:rPr>
          <w:rFonts w:ascii="VIC-Regular" w:eastAsia="Times New Roman" w:hAnsi="VIC-Regular" w:cs="Times New Roman"/>
          <w:b/>
          <w:bCs/>
          <w:color w:val="011A3C"/>
          <w:sz w:val="24"/>
          <w:szCs w:val="24"/>
          <w:lang w:val="en" w:eastAsia="en-AU"/>
        </w:rPr>
      </w:pPr>
      <w:r w:rsidRPr="004D307F">
        <w:rPr>
          <w:rFonts w:ascii="VIC-Regular" w:eastAsia="Times New Roman" w:hAnsi="VIC-Regular" w:cs="Times New Roman"/>
          <w:b/>
          <w:bCs/>
          <w:color w:val="011A3C"/>
          <w:sz w:val="24"/>
          <w:szCs w:val="24"/>
          <w:lang w:val="en" w:eastAsia="en-AU"/>
        </w:rPr>
        <w:t>Other relevant information</w:t>
      </w:r>
    </w:p>
    <w:p w14:paraId="481F7237" w14:textId="4AF51CC6" w:rsidR="00E000E8" w:rsidRPr="004D307F" w:rsidRDefault="00E000E8"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It is intended that location measures will be updated with the release of new ABS data every 5 years. The </w:t>
      </w:r>
      <w:r w:rsidR="00D666FF" w:rsidRPr="004D307F">
        <w:rPr>
          <w:rFonts w:ascii="VIC-Regular" w:eastAsia="Times New Roman" w:hAnsi="VIC-Regular" w:cs="Times New Roman"/>
          <w:color w:val="011A3C"/>
          <w:sz w:val="24"/>
          <w:szCs w:val="24"/>
          <w:lang w:val="en" w:eastAsia="en-AU"/>
        </w:rPr>
        <w:t>last</w:t>
      </w:r>
      <w:r w:rsidRPr="004D307F">
        <w:rPr>
          <w:rFonts w:ascii="VIC-Regular" w:eastAsia="Times New Roman" w:hAnsi="VIC-Regular" w:cs="Times New Roman"/>
          <w:color w:val="011A3C"/>
          <w:sz w:val="24"/>
          <w:szCs w:val="24"/>
          <w:lang w:val="en" w:eastAsia="en-AU"/>
        </w:rPr>
        <w:t xml:space="preserve"> </w:t>
      </w:r>
      <w:r w:rsidR="00991B22" w:rsidRPr="004D307F">
        <w:rPr>
          <w:rFonts w:ascii="VIC-Regular" w:eastAsia="Times New Roman" w:hAnsi="VIC-Regular" w:cs="Times New Roman"/>
          <w:color w:val="011A3C"/>
          <w:sz w:val="24"/>
          <w:szCs w:val="24"/>
          <w:lang w:val="en" w:eastAsia="en-AU"/>
        </w:rPr>
        <w:t>ABS data survey was completed in August</w:t>
      </w:r>
      <w:r w:rsidRPr="004D307F">
        <w:rPr>
          <w:rFonts w:ascii="VIC-Regular" w:eastAsia="Times New Roman" w:hAnsi="VIC-Regular" w:cs="Times New Roman"/>
          <w:color w:val="011A3C"/>
          <w:sz w:val="24"/>
          <w:szCs w:val="24"/>
          <w:lang w:val="en" w:eastAsia="en-AU"/>
        </w:rPr>
        <w:t xml:space="preserve"> 2021.</w:t>
      </w:r>
      <w:r w:rsidR="00991B22" w:rsidRPr="004D307F">
        <w:rPr>
          <w:rFonts w:ascii="VIC-Regular" w:eastAsia="Times New Roman" w:hAnsi="VIC-Regular" w:cs="Times New Roman"/>
          <w:color w:val="011A3C"/>
          <w:sz w:val="24"/>
          <w:szCs w:val="24"/>
          <w:lang w:val="en" w:eastAsia="en-AU"/>
        </w:rPr>
        <w:t xml:space="preserve"> The result of this will be known in 2022 and applied in the future releases.</w:t>
      </w:r>
      <w:r w:rsidRPr="004D307F">
        <w:rPr>
          <w:rFonts w:ascii="VIC-Regular" w:eastAsia="Times New Roman" w:hAnsi="VIC-Regular" w:cs="Times New Roman"/>
          <w:color w:val="011A3C"/>
          <w:sz w:val="24"/>
          <w:szCs w:val="24"/>
          <w:lang w:val="en" w:eastAsia="en-AU"/>
        </w:rPr>
        <w:t xml:space="preserve"> </w:t>
      </w:r>
    </w:p>
    <w:p w14:paraId="7959641D" w14:textId="40C3AFD4" w:rsidR="00E000E8" w:rsidRPr="004D307F" w:rsidRDefault="00E000E8"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ARIA+ is a continuous index, which the ABS uses to define the Remoteness Area categories, including: Major Cities of Australia, Inner Regional Australia, Outer Regional Australia, Remote Australia and Very Remote Australia. These categories of remoteness are based on a measure of relative access to services. Further information can be found </w:t>
      </w:r>
      <w:hyperlink r:id="rId13" w:history="1">
        <w:r w:rsidRPr="004D307F">
          <w:rPr>
            <w:rFonts w:ascii="VIC-Regular" w:eastAsia="Times New Roman" w:hAnsi="VIC-Regular" w:cs="Times New Roman"/>
            <w:color w:val="011A3C"/>
            <w:sz w:val="24"/>
            <w:szCs w:val="24"/>
            <w:lang w:val="en" w:eastAsia="en-AU"/>
          </w:rPr>
          <w:t>here</w:t>
        </w:r>
      </w:hyperlink>
      <w:r w:rsidRPr="004D307F">
        <w:rPr>
          <w:rFonts w:ascii="VIC-Regular" w:eastAsia="Times New Roman" w:hAnsi="VIC-Regular" w:cs="Times New Roman"/>
          <w:color w:val="011A3C"/>
          <w:sz w:val="24"/>
          <w:szCs w:val="24"/>
          <w:lang w:val="en" w:eastAsia="en-AU"/>
        </w:rPr>
        <w:t xml:space="preserve">. </w:t>
      </w:r>
    </w:p>
    <w:p w14:paraId="6361B93C" w14:textId="7D4E1588" w:rsidR="00E000E8" w:rsidRPr="004D307F" w:rsidRDefault="00E000E8"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More information about </w:t>
      </w:r>
      <w:hyperlink r:id="rId14" w:history="1">
        <w:r w:rsidRPr="004D307F">
          <w:rPr>
            <w:rStyle w:val="Hyperlink"/>
            <w:rFonts w:ascii="VIC-Regular" w:eastAsia="Times New Roman" w:hAnsi="VIC-Regular" w:cs="Times New Roman"/>
            <w:sz w:val="24"/>
            <w:szCs w:val="24"/>
            <w:lang w:val="en" w:eastAsia="en-AU"/>
          </w:rPr>
          <w:t>UCL definitions and sources</w:t>
        </w:r>
      </w:hyperlink>
      <w:r w:rsidR="001778CE" w:rsidRPr="004D307F">
        <w:rPr>
          <w:rFonts w:ascii="VIC-Regular" w:eastAsia="Times New Roman" w:hAnsi="VIC-Regular" w:cs="Times New Roman"/>
          <w:color w:val="011A3C"/>
          <w:sz w:val="24"/>
          <w:szCs w:val="24"/>
          <w:lang w:val="en" w:eastAsia="en-AU"/>
        </w:rPr>
        <w:t xml:space="preserve"> can be found on the ABS website</w:t>
      </w:r>
    </w:p>
    <w:p w14:paraId="16AA338B" w14:textId="043E4C61" w:rsidR="00F04286" w:rsidRPr="004D307F" w:rsidRDefault="00E000E8"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To determine a campus’ Remoteness Area category and UCL boundary, use the </w:t>
      </w:r>
      <w:hyperlink r:id="rId15" w:history="1">
        <w:r w:rsidRPr="004D307F">
          <w:rPr>
            <w:rStyle w:val="Hyperlink"/>
            <w:rFonts w:ascii="VIC-Regular" w:eastAsia="Times New Roman" w:hAnsi="VIC-Regular" w:cs="Times New Roman"/>
            <w:sz w:val="24"/>
            <w:szCs w:val="24"/>
            <w:lang w:val="en" w:eastAsia="en-AU"/>
          </w:rPr>
          <w:t>ABS map tool</w:t>
        </w:r>
      </w:hyperlink>
      <w:r w:rsidR="001778CE"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 </w:t>
      </w:r>
    </w:p>
    <w:p w14:paraId="25A0F040" w14:textId="38685C50" w:rsidR="00341AB0" w:rsidRPr="004D307F" w:rsidRDefault="00C8414A" w:rsidP="00D14A94">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To determine a school’s geographic parameters, refer to </w:t>
      </w:r>
      <w:hyperlink r:id="rId16" w:history="1">
        <w:r w:rsidRPr="004D307F">
          <w:rPr>
            <w:rStyle w:val="Hyperlink"/>
            <w:rFonts w:ascii="VIC-Regular" w:eastAsia="Times New Roman" w:hAnsi="VIC-Regular" w:cs="Times New Roman"/>
            <w:sz w:val="24"/>
            <w:szCs w:val="24"/>
            <w:lang w:val="en" w:eastAsia="en-AU"/>
          </w:rPr>
          <w:t xml:space="preserve">Steps to determine a school’s geographic parameters. </w:t>
        </w:r>
      </w:hyperlink>
    </w:p>
    <w:p w14:paraId="211F4053" w14:textId="62CDD189" w:rsidR="00C8414A" w:rsidRPr="004D307F" w:rsidRDefault="00C8414A" w:rsidP="00B566E7">
      <w:pPr>
        <w:pStyle w:val="Heading2"/>
      </w:pPr>
    </w:p>
    <w:p w14:paraId="0CEC5C19" w14:textId="09A63DD6" w:rsidR="00991B22" w:rsidRPr="004D307F" w:rsidRDefault="00991B22" w:rsidP="00991B22">
      <w:pPr>
        <w:spacing w:after="0" w:line="240" w:lineRule="auto"/>
        <w:rPr>
          <w:rFonts w:ascii="VIC-Regular" w:eastAsia="Times New Roman" w:hAnsi="VIC-Regular" w:cs="Times New Roman"/>
          <w:b/>
          <w:bCs/>
          <w:color w:val="011A3C"/>
          <w:sz w:val="24"/>
          <w:szCs w:val="24"/>
          <w:lang w:val="en" w:eastAsia="en-AU"/>
        </w:rPr>
      </w:pPr>
      <w:r w:rsidRPr="004D307F">
        <w:rPr>
          <w:rFonts w:ascii="VIC-Regular" w:eastAsia="Times New Roman" w:hAnsi="VIC-Regular" w:cs="Times New Roman"/>
          <w:b/>
          <w:bCs/>
          <w:color w:val="011A3C"/>
          <w:sz w:val="24"/>
          <w:szCs w:val="24"/>
          <w:lang w:val="en" w:eastAsia="en-AU"/>
        </w:rPr>
        <w:t>Peri-Urban Funding from 2022</w:t>
      </w:r>
    </w:p>
    <w:p w14:paraId="6EDE710E" w14:textId="77777777" w:rsidR="00991B22" w:rsidRPr="004D307F" w:rsidRDefault="00991B22" w:rsidP="00991B22">
      <w:pPr>
        <w:spacing w:before="120" w:after="12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implementation of the location changes in 2021 affected schools in peri-urban areas. Substantial urban growth has meant that some schools, once identified as rural, are now part of major city areas as identified through the ARIA.</w:t>
      </w:r>
    </w:p>
    <w:p w14:paraId="499EF9C2" w14:textId="21764D47" w:rsidR="00991B22" w:rsidRPr="004D307F" w:rsidRDefault="00991B22" w:rsidP="00E2153A">
      <w:pPr>
        <w:spacing w:before="120" w:after="12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located between the Urban Centres and Localities (UCL) boundary and the ABS metropolitan Melbourne boundary according to Remoteness Areas are eligible to receive 50 percent of the RSAF allocation from 2022. </w:t>
      </w:r>
    </w:p>
    <w:p w14:paraId="3D6D11FA" w14:textId="2E7EC86B" w:rsidR="00E2153A" w:rsidRPr="004D307F" w:rsidRDefault="00991B22" w:rsidP="00E2153A">
      <w:pPr>
        <w:spacing w:before="120" w:after="12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Current schools in receipt of rural transition</w:t>
      </w:r>
      <w:r w:rsidR="00E2153A" w:rsidRPr="004D307F">
        <w:rPr>
          <w:rFonts w:ascii="VIC-Regular" w:eastAsia="Times New Roman" w:hAnsi="VIC-Regular" w:cs="Times New Roman"/>
          <w:color w:val="011A3C"/>
          <w:sz w:val="24"/>
          <w:szCs w:val="24"/>
          <w:lang w:val="en" w:eastAsia="en-AU"/>
        </w:rPr>
        <w:t xml:space="preserve"> and</w:t>
      </w:r>
      <w:r w:rsidRPr="004D307F">
        <w:rPr>
          <w:rFonts w:ascii="VIC-Regular" w:eastAsia="Times New Roman" w:hAnsi="VIC-Regular" w:cs="Times New Roman"/>
          <w:color w:val="011A3C"/>
          <w:sz w:val="24"/>
          <w:szCs w:val="24"/>
          <w:lang w:val="en" w:eastAsia="en-AU"/>
        </w:rPr>
        <w:t xml:space="preserve"> eligible</w:t>
      </w:r>
      <w:r w:rsidR="00E2153A" w:rsidRPr="004D307F">
        <w:rPr>
          <w:rFonts w:ascii="VIC-Regular" w:eastAsia="Times New Roman" w:hAnsi="VIC-Regular" w:cs="Times New Roman"/>
          <w:color w:val="011A3C"/>
          <w:sz w:val="24"/>
          <w:szCs w:val="24"/>
          <w:lang w:val="en" w:eastAsia="en-AU"/>
        </w:rPr>
        <w:t xml:space="preserve"> for peri-urban funding</w:t>
      </w:r>
      <w:r w:rsidRPr="004D307F">
        <w:rPr>
          <w:rFonts w:ascii="VIC-Regular" w:eastAsia="Times New Roman" w:hAnsi="VIC-Regular" w:cs="Times New Roman"/>
          <w:color w:val="011A3C"/>
          <w:sz w:val="24"/>
          <w:szCs w:val="24"/>
          <w:lang w:val="en" w:eastAsia="en-AU"/>
        </w:rPr>
        <w:t xml:space="preserve"> will be transitioned to this allocation in 2023 if the per-urban allocation is </w:t>
      </w:r>
      <w:r w:rsidR="00E2153A" w:rsidRPr="004D307F">
        <w:rPr>
          <w:rFonts w:ascii="VIC-Regular" w:eastAsia="Times New Roman" w:hAnsi="VIC-Regular" w:cs="Times New Roman"/>
          <w:color w:val="011A3C"/>
          <w:sz w:val="24"/>
          <w:szCs w:val="24"/>
          <w:lang w:val="en" w:eastAsia="en-AU"/>
        </w:rPr>
        <w:t xml:space="preserve">less </w:t>
      </w:r>
      <w:r w:rsidRPr="004D307F">
        <w:rPr>
          <w:rFonts w:ascii="VIC-Regular" w:eastAsia="Times New Roman" w:hAnsi="VIC-Regular" w:cs="Times New Roman"/>
          <w:color w:val="011A3C"/>
          <w:sz w:val="24"/>
          <w:szCs w:val="24"/>
          <w:lang w:val="en" w:eastAsia="en-AU"/>
        </w:rPr>
        <w:t>than</w:t>
      </w:r>
      <w:r w:rsidR="00E2153A" w:rsidRPr="004D307F">
        <w:rPr>
          <w:rFonts w:ascii="VIC-Regular" w:eastAsia="Times New Roman" w:hAnsi="VIC-Regular" w:cs="Times New Roman"/>
          <w:color w:val="011A3C"/>
          <w:sz w:val="24"/>
          <w:szCs w:val="24"/>
          <w:lang w:val="en" w:eastAsia="en-AU"/>
        </w:rPr>
        <w:t xml:space="preserve"> the scaled transition in 2022. </w:t>
      </w:r>
    </w:p>
    <w:p w14:paraId="1AB5F287" w14:textId="1734F16E" w:rsidR="00991B22" w:rsidRPr="004D307F" w:rsidRDefault="00E2153A" w:rsidP="00E2153A">
      <w:pPr>
        <w:spacing w:before="120" w:after="12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eligible for this have been contacted individually.</w:t>
      </w:r>
      <w:r w:rsidR="00991B22" w:rsidRPr="004D307F">
        <w:rPr>
          <w:rFonts w:ascii="VIC-Regular" w:eastAsia="Times New Roman" w:hAnsi="VIC-Regular" w:cs="Times New Roman"/>
          <w:color w:val="011A3C"/>
          <w:sz w:val="24"/>
          <w:szCs w:val="24"/>
          <w:lang w:val="en" w:eastAsia="en-AU"/>
        </w:rPr>
        <w:t xml:space="preserve"> </w:t>
      </w:r>
    </w:p>
    <w:p w14:paraId="22362CEF" w14:textId="09F17F44" w:rsidR="006A5663" w:rsidRPr="004D307F" w:rsidRDefault="00341AB0">
      <w:pPr>
        <w:rPr>
          <w:rFonts w:ascii="VIC-Regular" w:eastAsia="Times New Roman" w:hAnsi="VIC-Regular" w:cs="Times New Roman"/>
          <w:color w:val="011A3C"/>
          <w:sz w:val="24"/>
          <w:szCs w:val="24"/>
          <w:lang w:val="en" w:eastAsia="en-AU"/>
        </w:rPr>
      </w:pPr>
      <w:bookmarkStart w:id="9" w:name="_Hlk50546705"/>
      <w:r w:rsidRPr="004D307F">
        <w:rPr>
          <w:rFonts w:ascii="VIC-Regular" w:eastAsia="Times New Roman" w:hAnsi="VIC-Regular" w:cs="Times New Roman"/>
          <w:color w:val="011A3C"/>
          <w:sz w:val="24"/>
          <w:szCs w:val="24"/>
          <w:lang w:val="en" w:eastAsia="en-AU"/>
        </w:rPr>
        <w:lastRenderedPageBreak/>
        <w:t xml:space="preserve">Additionally, schools that may be eligible for transition should refer </w:t>
      </w:r>
      <w:r w:rsidR="00B25992" w:rsidRPr="004D307F">
        <w:rPr>
          <w:rFonts w:ascii="VIC-Regular" w:eastAsia="Times New Roman" w:hAnsi="VIC-Regular" w:cs="Times New Roman"/>
          <w:color w:val="011A3C"/>
          <w:sz w:val="24"/>
          <w:szCs w:val="24"/>
          <w:lang w:val="en" w:eastAsia="en-AU"/>
        </w:rPr>
        <w:t>to:</w:t>
      </w:r>
      <w:r w:rsidR="00A113C0" w:rsidRPr="004D307F">
        <w:rPr>
          <w:rFonts w:ascii="VIC-Regular" w:eastAsia="Times New Roman" w:hAnsi="VIC-Regular" w:cs="Times New Roman"/>
          <w:color w:val="011A3C"/>
          <w:sz w:val="24"/>
          <w:szCs w:val="24"/>
          <w:lang w:val="en" w:eastAsia="en-AU"/>
        </w:rPr>
        <w:t xml:space="preserve"> </w:t>
      </w:r>
      <w:r w:rsidR="00B25992" w:rsidRPr="004D307F">
        <w:rPr>
          <w:rFonts w:ascii="VIC-Regular" w:eastAsia="Times New Roman" w:hAnsi="VIC-Regular" w:cs="Times New Roman"/>
          <w:color w:val="011A3C"/>
          <w:sz w:val="24"/>
          <w:szCs w:val="24"/>
          <w:lang w:val="en" w:eastAsia="en-AU"/>
        </w:rPr>
        <w:t>Transition Funding (Rural) (Ref 126)</w:t>
      </w:r>
      <w:bookmarkEnd w:id="9"/>
      <w:r w:rsidR="006A5663" w:rsidRPr="004D307F">
        <w:rPr>
          <w:rFonts w:ascii="VIC-Regular" w:eastAsia="Times New Roman" w:hAnsi="VIC-Regular" w:cs="Times New Roman"/>
          <w:color w:val="011A3C"/>
          <w:sz w:val="24"/>
          <w:szCs w:val="24"/>
          <w:lang w:val="en" w:eastAsia="en-AU"/>
        </w:rPr>
        <w:br w:type="page"/>
      </w:r>
    </w:p>
    <w:p w14:paraId="088E3097" w14:textId="0B0A8A5D" w:rsidR="00D0026E" w:rsidRPr="004D307F" w:rsidRDefault="00D0026E" w:rsidP="00B566E7">
      <w:pPr>
        <w:pStyle w:val="Heading2"/>
      </w:pPr>
      <w:bookmarkStart w:id="10" w:name="_Toc106793743"/>
      <w:r w:rsidRPr="004D307F">
        <w:lastRenderedPageBreak/>
        <w:t>Core Index Stages 1-3 (Reference 5)</w:t>
      </w:r>
      <w:bookmarkEnd w:id="10"/>
    </w:p>
    <w:p w14:paraId="51EAD4F7" w14:textId="7EA1FF81" w:rsidR="00D0026E" w:rsidRPr="004D307F" w:rsidRDefault="00D0026E"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Core Index Stages 1-3 provides funding to specialist schools for enrolments based on students’ age range.</w:t>
      </w:r>
    </w:p>
    <w:p w14:paraId="12BBA6BB" w14:textId="77777777" w:rsidR="00CC77CA" w:rsidRPr="004D307F" w:rsidRDefault="00CC77CA" w:rsidP="00CC77CA">
      <w:pPr>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r w:rsidRPr="004D307F">
        <w:rPr>
          <w:rFonts w:ascii="VIC-Bold" w:eastAsia="Times New Roman" w:hAnsi="VIC-Bold" w:cs="Times New Roman" w:hint="eastAsia"/>
          <w:b/>
          <w:bCs/>
          <w:color w:val="011A3C"/>
          <w:sz w:val="27"/>
          <w:szCs w:val="27"/>
          <w:lang w:val="en" w:eastAsia="en-AU"/>
        </w:rPr>
        <w:t> </w:t>
      </w:r>
    </w:p>
    <w:p w14:paraId="43F7FCC5" w14:textId="624D815D" w:rsidR="00CC77CA" w:rsidRPr="004D307F" w:rsidRDefault="00CC77CA" w:rsidP="00CC77C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following school types receive the Core Index funding</w:t>
      </w:r>
      <w:r w:rsidR="00800331" w:rsidRPr="004D307F">
        <w:rPr>
          <w:rFonts w:ascii="VIC-Regular" w:eastAsia="Times New Roman" w:hAnsi="VIC-Regular" w:cs="Times New Roman"/>
          <w:color w:val="011A3C"/>
          <w:sz w:val="24"/>
          <w:szCs w:val="24"/>
          <w:lang w:val="en" w:eastAsia="en-AU"/>
        </w:rPr>
        <w:t xml:space="preserve"> at school level</w:t>
      </w:r>
    </w:p>
    <w:p w14:paraId="2305EBDC" w14:textId="2472F148" w:rsidR="00CC77CA" w:rsidRPr="004D307F" w:rsidRDefault="00CC77CA" w:rsidP="00ED0863">
      <w:pPr>
        <w:numPr>
          <w:ilvl w:val="0"/>
          <w:numId w:val="1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w:t>
      </w:r>
      <w:r w:rsidR="00335627" w:rsidRPr="004D307F">
        <w:rPr>
          <w:rFonts w:ascii="VIC-Regular" w:eastAsia="Times New Roman" w:hAnsi="VIC-Regular" w:cs="Times New Roman"/>
          <w:color w:val="011A3C"/>
          <w:sz w:val="24"/>
          <w:szCs w:val="24"/>
          <w:lang w:val="en" w:eastAsia="en-AU"/>
        </w:rPr>
        <w:t xml:space="preserve">ist </w:t>
      </w:r>
      <w:r w:rsidR="00395E28" w:rsidRPr="004D307F">
        <w:rPr>
          <w:rFonts w:ascii="VIC-Regular" w:eastAsia="Times New Roman" w:hAnsi="VIC-Regular" w:cs="Times New Roman"/>
          <w:color w:val="011A3C"/>
          <w:sz w:val="24"/>
          <w:szCs w:val="24"/>
          <w:lang w:val="en" w:eastAsia="en-AU"/>
        </w:rPr>
        <w:t>Schools</w:t>
      </w:r>
    </w:p>
    <w:p w14:paraId="0EA87F06" w14:textId="60396A49" w:rsidR="00C42D86" w:rsidRPr="004D307F" w:rsidRDefault="004A334A" w:rsidP="00ED0863">
      <w:pPr>
        <w:pStyle w:val="ListParagraph"/>
        <w:numPr>
          <w:ilvl w:val="0"/>
          <w:numId w:val="10"/>
        </w:num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bookmarkStart w:id="11" w:name="_Hlk47884304"/>
      <w:r w:rsidRPr="004D307F">
        <w:rPr>
          <w:rFonts w:ascii="VIC-Regular" w:eastAsia="Times New Roman" w:hAnsi="VIC-Regular" w:cs="Times New Roman"/>
          <w:color w:val="011A3C"/>
          <w:sz w:val="24"/>
          <w:szCs w:val="24"/>
          <w:lang w:val="en" w:eastAsia="en-AU"/>
        </w:rPr>
        <w:t xml:space="preserve">Funding is calculated at the Indicative, Confirmed and Revised budget cycles and </w:t>
      </w:r>
      <w:r w:rsidR="009D3396" w:rsidRPr="004D307F">
        <w:rPr>
          <w:rFonts w:ascii="VIC-Regular" w:eastAsia="Times New Roman" w:hAnsi="VIC-Regular" w:cs="Times New Roman"/>
          <w:color w:val="011A3C"/>
          <w:sz w:val="24"/>
          <w:szCs w:val="24"/>
          <w:lang w:val="en" w:eastAsia="en-AU"/>
        </w:rPr>
        <w:t>is allocated through credit and cash funding.</w:t>
      </w:r>
      <w:r w:rsidR="00C42D86" w:rsidRPr="004D307F">
        <w:rPr>
          <w:rFonts w:ascii="VIC-Regular" w:eastAsia="Times New Roman" w:hAnsi="VIC-Regular" w:cs="Times New Roman"/>
          <w:color w:val="011A3C"/>
          <w:sz w:val="24"/>
          <w:szCs w:val="24"/>
          <w:lang w:val="en" w:eastAsia="en-AU"/>
        </w:rPr>
        <w:t xml:space="preserve"> </w:t>
      </w:r>
    </w:p>
    <w:bookmarkEnd w:id="11"/>
    <w:p w14:paraId="38F8E5D7" w14:textId="28425F0B" w:rsidR="00D0026E" w:rsidRPr="004D307F" w:rsidRDefault="00D0026E" w:rsidP="00D0026E">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3F964857" w14:textId="016B8035" w:rsidR="00D0026E" w:rsidRPr="004D307F" w:rsidRDefault="00D0026E"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Core Index allocations are </w:t>
      </w:r>
      <w:r w:rsidR="004A334A" w:rsidRPr="004D307F">
        <w:rPr>
          <w:rFonts w:ascii="VIC-Regular" w:eastAsia="Times New Roman" w:hAnsi="VIC-Regular" w:cs="Times New Roman"/>
          <w:color w:val="011A3C"/>
          <w:sz w:val="24"/>
          <w:szCs w:val="24"/>
          <w:lang w:val="en" w:eastAsia="en-AU"/>
        </w:rPr>
        <w:t xml:space="preserve">determined </w:t>
      </w:r>
      <w:r w:rsidRPr="004D307F">
        <w:rPr>
          <w:rFonts w:ascii="VIC-Regular" w:eastAsia="Times New Roman" w:hAnsi="VIC-Regular" w:cs="Times New Roman"/>
          <w:color w:val="011A3C"/>
          <w:sz w:val="24"/>
          <w:szCs w:val="24"/>
          <w:lang w:val="en" w:eastAsia="en-AU"/>
        </w:rPr>
        <w:t>based on</w:t>
      </w:r>
      <w:r w:rsidR="00335627" w:rsidRPr="004D307F">
        <w:rPr>
          <w:rFonts w:ascii="VIC-Regular" w:eastAsia="Times New Roman" w:hAnsi="VIC-Regular" w:cs="Times New Roman"/>
          <w:color w:val="011A3C"/>
          <w:sz w:val="24"/>
          <w:szCs w:val="24"/>
          <w:lang w:val="en" w:eastAsia="en-AU"/>
        </w:rPr>
        <w:t xml:space="preserve"> Census </w:t>
      </w:r>
      <w:r w:rsidR="00CA1FF9" w:rsidRPr="004D307F">
        <w:rPr>
          <w:rFonts w:ascii="VIC-Regular" w:eastAsia="Times New Roman" w:hAnsi="VIC-Regular" w:cs="Times New Roman"/>
          <w:color w:val="011A3C"/>
          <w:sz w:val="24"/>
          <w:szCs w:val="24"/>
          <w:lang w:val="en" w:eastAsia="en-AU"/>
        </w:rPr>
        <w:t xml:space="preserve">student </w:t>
      </w:r>
      <w:r w:rsidRPr="004D307F">
        <w:rPr>
          <w:rFonts w:ascii="VIC-Regular" w:eastAsia="Times New Roman" w:hAnsi="VIC-Regular" w:cs="Times New Roman"/>
          <w:color w:val="011A3C"/>
          <w:sz w:val="24"/>
          <w:szCs w:val="24"/>
          <w:lang w:val="en" w:eastAsia="en-AU"/>
        </w:rPr>
        <w:t>enrolment details</w:t>
      </w:r>
      <w:r w:rsidR="00CA1FF9" w:rsidRPr="004D307F">
        <w:rPr>
          <w:rFonts w:ascii="VIC-Regular" w:eastAsia="Times New Roman" w:hAnsi="VIC-Regular" w:cs="Times New Roman"/>
          <w:color w:val="011A3C"/>
          <w:sz w:val="24"/>
          <w:szCs w:val="24"/>
          <w:lang w:val="en" w:eastAsia="en-AU"/>
        </w:rPr>
        <w:t>.</w:t>
      </w:r>
    </w:p>
    <w:p w14:paraId="03620647" w14:textId="7D6665EA" w:rsidR="00D0026E" w:rsidRPr="004D307F" w:rsidRDefault="00D0026E"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Core Index allocation</w:t>
      </w:r>
      <w:r w:rsidRPr="004D307F">
        <w:rPr>
          <w:rFonts w:ascii="VIC-Regular" w:eastAsia="Times New Roman" w:hAnsi="VIC-Regular" w:cs="Times New Roman"/>
          <w:color w:val="011A3C"/>
          <w:sz w:val="24"/>
          <w:szCs w:val="24"/>
          <w:lang w:val="en" w:eastAsia="en-AU"/>
        </w:rPr>
        <w:t xml:space="preserve"> =</w:t>
      </w:r>
      <w:r w:rsidR="00CA1FF9" w:rsidRPr="004D307F">
        <w:rPr>
          <w:rFonts w:ascii="VIC-Regular" w:eastAsia="Times New Roman" w:hAnsi="VIC-Regular" w:cs="Times New Roman"/>
          <w:color w:val="011A3C"/>
          <w:sz w:val="24"/>
          <w:szCs w:val="24"/>
          <w:lang w:val="en" w:eastAsia="en-AU"/>
        </w:rPr>
        <w:t xml:space="preserve"> Census </w:t>
      </w:r>
      <w:r w:rsidRPr="004D307F">
        <w:rPr>
          <w:rFonts w:ascii="VIC-Regular" w:eastAsia="Times New Roman" w:hAnsi="VIC-Regular" w:cs="Times New Roman"/>
          <w:color w:val="011A3C"/>
          <w:sz w:val="24"/>
          <w:szCs w:val="24"/>
          <w:lang w:val="en" w:eastAsia="en-AU"/>
        </w:rPr>
        <w:t>student enrolments * stage funding rate</w:t>
      </w:r>
    </w:p>
    <w:p w14:paraId="00EFDFB0" w14:textId="0D2F5159" w:rsidR="00D603B5" w:rsidRPr="004D307F" w:rsidRDefault="00D603B5"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Example: A school with 10 stage 2 enrolments would calculate their Stage 2 funding as:</w:t>
      </w:r>
      <w:r w:rsidRPr="004D307F">
        <w:rPr>
          <w:rFonts w:ascii="VIC-Regular" w:eastAsia="Times New Roman" w:hAnsi="VIC-Regular" w:cs="Times New Roman"/>
          <w:color w:val="011A3C"/>
          <w:sz w:val="24"/>
          <w:szCs w:val="24"/>
          <w:lang w:val="en" w:eastAsia="en-AU"/>
        </w:rPr>
        <w:br/>
        <w:t>Stage 2 enrolments (10) * Stage 2 rate.</w:t>
      </w:r>
      <w:r w:rsidR="00D36A42"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This would be repeated for all stages</w:t>
      </w:r>
      <w:r w:rsidR="002F4A99" w:rsidRPr="004D307F">
        <w:rPr>
          <w:rFonts w:ascii="VIC-Regular" w:eastAsia="Times New Roman" w:hAnsi="VIC-Regular" w:cs="Times New Roman"/>
          <w:color w:val="011A3C"/>
          <w:sz w:val="24"/>
          <w:szCs w:val="24"/>
          <w:lang w:val="en" w:eastAsia="en-AU"/>
        </w:rPr>
        <w:t xml:space="preserve"> dependent on school enrolments</w:t>
      </w:r>
      <w:r w:rsidRPr="004D307F">
        <w:rPr>
          <w:rFonts w:ascii="VIC-Regular" w:eastAsia="Times New Roman" w:hAnsi="VIC-Regular" w:cs="Times New Roman"/>
          <w:color w:val="011A3C"/>
          <w:sz w:val="24"/>
          <w:szCs w:val="24"/>
          <w:lang w:val="en" w:eastAsia="en-AU"/>
        </w:rPr>
        <w:t>.</w:t>
      </w:r>
    </w:p>
    <w:p w14:paraId="62978F02" w14:textId="5C60B163" w:rsidR="00D0026E" w:rsidRPr="004D307F" w:rsidRDefault="00D0026E" w:rsidP="00D0026E">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w:t>
      </w:r>
      <w:r w:rsidR="004A334A" w:rsidRPr="004D307F">
        <w:rPr>
          <w:rFonts w:ascii="VIC-Bold" w:eastAsia="Times New Roman" w:hAnsi="VIC-Bold" w:cs="Times New Roman"/>
          <w:b/>
          <w:bCs/>
          <w:color w:val="011A3C"/>
          <w:sz w:val="27"/>
          <w:szCs w:val="27"/>
          <w:lang w:val="en" w:eastAsia="en-A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15"/>
        <w:gridCol w:w="3914"/>
        <w:gridCol w:w="1518"/>
        <w:gridCol w:w="1310"/>
        <w:gridCol w:w="1359"/>
      </w:tblGrid>
      <w:tr w:rsidR="00D0026E" w:rsidRPr="004D307F" w14:paraId="25960045" w14:textId="77777777" w:rsidTr="00124D27">
        <w:trPr>
          <w:tblHeader/>
        </w:trPr>
        <w:tc>
          <w:tcPr>
            <w:tcW w:w="0" w:type="auto"/>
            <w:hideMark/>
          </w:tcPr>
          <w:p w14:paraId="6B5628EC" w14:textId="77777777" w:rsidR="00D0026E" w:rsidRPr="004D307F" w:rsidRDefault="00D0026E" w:rsidP="00D0026E">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Stage</w:t>
            </w:r>
          </w:p>
        </w:tc>
        <w:tc>
          <w:tcPr>
            <w:tcW w:w="0" w:type="auto"/>
            <w:hideMark/>
          </w:tcPr>
          <w:p w14:paraId="636CE6D6" w14:textId="7BDFD2BB" w:rsidR="00D0026E" w:rsidRPr="004D307F" w:rsidRDefault="00D0026E" w:rsidP="00D0026E">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Age Range</w:t>
            </w:r>
            <w:r w:rsidR="004A334A" w:rsidRPr="004D307F">
              <w:rPr>
                <w:rFonts w:ascii="VIC-Bold" w:eastAsia="Times New Roman" w:hAnsi="VIC-Bold" w:cs="Times New Roman"/>
                <w:color w:val="323E4F" w:themeColor="text2" w:themeShade="BF"/>
                <w:sz w:val="24"/>
                <w:szCs w:val="24"/>
                <w:lang w:eastAsia="en-AU"/>
              </w:rPr>
              <w:t xml:space="preserve"> (at 1 January)</w:t>
            </w:r>
          </w:p>
        </w:tc>
        <w:tc>
          <w:tcPr>
            <w:tcW w:w="0" w:type="auto"/>
            <w:hideMark/>
          </w:tcPr>
          <w:p w14:paraId="63E07861" w14:textId="77777777" w:rsidR="00D0026E" w:rsidRPr="004D307F" w:rsidRDefault="00D0026E" w:rsidP="00D0026E">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Credit ($)</w:t>
            </w:r>
          </w:p>
        </w:tc>
        <w:tc>
          <w:tcPr>
            <w:tcW w:w="0" w:type="auto"/>
            <w:hideMark/>
          </w:tcPr>
          <w:p w14:paraId="35771CDF" w14:textId="77777777" w:rsidR="00D0026E" w:rsidRPr="004D307F" w:rsidRDefault="00D0026E" w:rsidP="00D0026E">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Cash ($)</w:t>
            </w:r>
          </w:p>
        </w:tc>
        <w:tc>
          <w:tcPr>
            <w:tcW w:w="0" w:type="auto"/>
            <w:hideMark/>
          </w:tcPr>
          <w:p w14:paraId="359B659D" w14:textId="77777777" w:rsidR="00D0026E" w:rsidRPr="004D307F" w:rsidRDefault="00D0026E" w:rsidP="00D0026E">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Total ($)</w:t>
            </w:r>
          </w:p>
        </w:tc>
      </w:tr>
      <w:tr w:rsidR="00D36A42" w:rsidRPr="004D307F" w14:paraId="135462D4" w14:textId="77777777" w:rsidTr="00124D27">
        <w:tc>
          <w:tcPr>
            <w:tcW w:w="0" w:type="auto"/>
            <w:hideMark/>
          </w:tcPr>
          <w:p w14:paraId="06950E71" w14:textId="77777777" w:rsidR="00D36A42" w:rsidRPr="004D307F" w:rsidRDefault="00D36A42" w:rsidP="00D36A42">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w:t>
            </w:r>
          </w:p>
        </w:tc>
        <w:tc>
          <w:tcPr>
            <w:tcW w:w="0" w:type="auto"/>
            <w:hideMark/>
          </w:tcPr>
          <w:p w14:paraId="1F57C172" w14:textId="77777777" w:rsidR="00D36A42" w:rsidRPr="004D307F" w:rsidRDefault="00D36A42" w:rsidP="00D36A42">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 to 10</w:t>
            </w:r>
          </w:p>
        </w:tc>
        <w:tc>
          <w:tcPr>
            <w:tcW w:w="0" w:type="auto"/>
            <w:hideMark/>
          </w:tcPr>
          <w:p w14:paraId="04A4F554" w14:textId="53A6A9EC" w:rsidR="00D36A42" w:rsidRPr="004D307F" w:rsidRDefault="00D36A42" w:rsidP="00D36A42">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8,325</w:t>
            </w:r>
          </w:p>
        </w:tc>
        <w:tc>
          <w:tcPr>
            <w:tcW w:w="0" w:type="auto"/>
            <w:hideMark/>
          </w:tcPr>
          <w:p w14:paraId="476452DC" w14:textId="04821070" w:rsidR="00D36A42" w:rsidRPr="004D307F" w:rsidRDefault="00C521AA" w:rsidP="00D36A42">
            <w:pPr>
              <w:spacing w:after="0" w:line="360" w:lineRule="atLeast"/>
              <w:rPr>
                <w:rFonts w:ascii="VIC-Regular" w:eastAsia="Times New Roman" w:hAnsi="VIC-Regular" w:cs="Times New Roman"/>
                <w:color w:val="323E4F" w:themeColor="text2" w:themeShade="BF"/>
                <w:sz w:val="24"/>
                <w:szCs w:val="24"/>
                <w:lang w:eastAsia="en-AU"/>
              </w:rPr>
            </w:pPr>
            <w:r w:rsidRPr="004D307F">
              <w:rPr>
                <w:color w:val="323E4F" w:themeColor="text2" w:themeShade="BF"/>
              </w:rPr>
              <w:t>734</w:t>
            </w:r>
          </w:p>
        </w:tc>
        <w:tc>
          <w:tcPr>
            <w:tcW w:w="0" w:type="auto"/>
            <w:hideMark/>
          </w:tcPr>
          <w:p w14:paraId="6ECB965D" w14:textId="0CBD5AA1" w:rsidR="00D36A42" w:rsidRPr="004D307F" w:rsidRDefault="00C521AA" w:rsidP="00D36A42">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9,059</w:t>
            </w:r>
          </w:p>
        </w:tc>
      </w:tr>
      <w:tr w:rsidR="00532A6E" w:rsidRPr="004D307F" w14:paraId="569904C0" w14:textId="77777777" w:rsidTr="00124D27">
        <w:tc>
          <w:tcPr>
            <w:tcW w:w="0" w:type="auto"/>
            <w:hideMark/>
          </w:tcPr>
          <w:p w14:paraId="27600801" w14:textId="77777777" w:rsidR="00532A6E" w:rsidRPr="004D307F"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w:t>
            </w:r>
          </w:p>
        </w:tc>
        <w:tc>
          <w:tcPr>
            <w:tcW w:w="0" w:type="auto"/>
            <w:hideMark/>
          </w:tcPr>
          <w:p w14:paraId="2A1FCF8D" w14:textId="77777777" w:rsidR="00532A6E" w:rsidRPr="004D307F"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 to 16</w:t>
            </w:r>
          </w:p>
        </w:tc>
        <w:tc>
          <w:tcPr>
            <w:tcW w:w="0" w:type="auto"/>
            <w:hideMark/>
          </w:tcPr>
          <w:p w14:paraId="216A2F1D" w14:textId="56799CEA" w:rsidR="00532A6E" w:rsidRPr="004D307F"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5,987</w:t>
            </w:r>
          </w:p>
        </w:tc>
        <w:tc>
          <w:tcPr>
            <w:tcW w:w="0" w:type="auto"/>
            <w:hideMark/>
          </w:tcPr>
          <w:p w14:paraId="019E2BAE" w14:textId="574A7FF8" w:rsidR="00532A6E" w:rsidRPr="004D307F" w:rsidRDefault="00C521AA" w:rsidP="00532A6E">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591</w:t>
            </w:r>
          </w:p>
        </w:tc>
        <w:tc>
          <w:tcPr>
            <w:tcW w:w="0" w:type="auto"/>
            <w:hideMark/>
          </w:tcPr>
          <w:p w14:paraId="2BFE51E8" w14:textId="601C30BF" w:rsidR="00532A6E" w:rsidRPr="004D307F" w:rsidRDefault="00C521AA" w:rsidP="00532A6E">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6,578</w:t>
            </w:r>
          </w:p>
        </w:tc>
      </w:tr>
      <w:tr w:rsidR="00532A6E" w:rsidRPr="004D307F" w14:paraId="03A70AF9" w14:textId="77777777" w:rsidTr="00124D27">
        <w:tc>
          <w:tcPr>
            <w:tcW w:w="0" w:type="auto"/>
            <w:hideMark/>
          </w:tcPr>
          <w:p w14:paraId="47582C6D" w14:textId="77777777" w:rsidR="00532A6E" w:rsidRPr="004D307F"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w:t>
            </w:r>
          </w:p>
        </w:tc>
        <w:tc>
          <w:tcPr>
            <w:tcW w:w="0" w:type="auto"/>
            <w:hideMark/>
          </w:tcPr>
          <w:p w14:paraId="1CAD3EB2" w14:textId="77777777" w:rsidR="00532A6E" w:rsidRPr="004D307F"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17 to 18</w:t>
            </w:r>
          </w:p>
        </w:tc>
        <w:tc>
          <w:tcPr>
            <w:tcW w:w="0" w:type="auto"/>
            <w:hideMark/>
          </w:tcPr>
          <w:p w14:paraId="3D4AF820" w14:textId="776F4737" w:rsidR="00532A6E" w:rsidRPr="004D307F"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6,566</w:t>
            </w:r>
          </w:p>
        </w:tc>
        <w:tc>
          <w:tcPr>
            <w:tcW w:w="0" w:type="auto"/>
            <w:hideMark/>
          </w:tcPr>
          <w:p w14:paraId="001DA5B7" w14:textId="3486FF8E" w:rsidR="00532A6E" w:rsidRPr="004D307F" w:rsidRDefault="00C521AA" w:rsidP="00532A6E">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639</w:t>
            </w:r>
          </w:p>
        </w:tc>
        <w:tc>
          <w:tcPr>
            <w:tcW w:w="0" w:type="auto"/>
            <w:hideMark/>
          </w:tcPr>
          <w:p w14:paraId="0C6B18E7" w14:textId="3A06C134" w:rsidR="00532A6E" w:rsidRPr="004D307F" w:rsidRDefault="00C521AA" w:rsidP="00532A6E">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7,205</w:t>
            </w:r>
          </w:p>
        </w:tc>
      </w:tr>
    </w:tbl>
    <w:p w14:paraId="3A5CA506" w14:textId="650B4DB0" w:rsidR="00D0026E" w:rsidRPr="004D307F" w:rsidRDefault="00D0026E" w:rsidP="00D0026E">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Notes</w:t>
      </w:r>
    </w:p>
    <w:p w14:paraId="0F33B911" w14:textId="3A039DC2" w:rsidR="00D0026E" w:rsidRPr="004D307F" w:rsidRDefault="00CA1FF9"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w:t>
      </w:r>
      <w:r w:rsidR="00D0026E" w:rsidRPr="004D307F">
        <w:rPr>
          <w:rFonts w:ascii="VIC-Regular" w:eastAsia="Times New Roman" w:hAnsi="VIC-Regular" w:cs="Times New Roman"/>
          <w:color w:val="011A3C"/>
          <w:sz w:val="24"/>
          <w:szCs w:val="24"/>
          <w:lang w:val="en" w:eastAsia="en-AU"/>
        </w:rPr>
        <w:t xml:space="preserve">pecialist school </w:t>
      </w:r>
      <w:r w:rsidRPr="004D307F">
        <w:rPr>
          <w:rFonts w:ascii="VIC-Regular" w:eastAsia="Times New Roman" w:hAnsi="VIC-Regular" w:cs="Times New Roman"/>
          <w:color w:val="011A3C"/>
          <w:sz w:val="24"/>
          <w:szCs w:val="24"/>
          <w:lang w:val="en" w:eastAsia="en-AU"/>
        </w:rPr>
        <w:t xml:space="preserve">enrolment </w:t>
      </w:r>
      <w:r w:rsidR="00D0026E" w:rsidRPr="004D307F">
        <w:rPr>
          <w:rFonts w:ascii="VIC-Regular" w:eastAsia="Times New Roman" w:hAnsi="VIC-Regular" w:cs="Times New Roman"/>
          <w:color w:val="011A3C"/>
          <w:sz w:val="24"/>
          <w:szCs w:val="24"/>
          <w:lang w:val="en" w:eastAsia="en-AU"/>
        </w:rPr>
        <w:t>eligibility and regional approval need</w:t>
      </w:r>
      <w:r w:rsidRPr="004D307F">
        <w:rPr>
          <w:rFonts w:ascii="VIC-Regular" w:eastAsia="Times New Roman" w:hAnsi="VIC-Regular" w:cs="Times New Roman"/>
          <w:color w:val="011A3C"/>
          <w:sz w:val="24"/>
          <w:szCs w:val="24"/>
          <w:lang w:val="en" w:eastAsia="en-AU"/>
        </w:rPr>
        <w:t>s</w:t>
      </w:r>
      <w:r w:rsidR="00D0026E" w:rsidRPr="004D307F">
        <w:rPr>
          <w:rFonts w:ascii="VIC-Regular" w:eastAsia="Times New Roman" w:hAnsi="VIC-Regular" w:cs="Times New Roman"/>
          <w:color w:val="011A3C"/>
          <w:sz w:val="24"/>
          <w:szCs w:val="24"/>
          <w:lang w:val="en" w:eastAsia="en-AU"/>
        </w:rPr>
        <w:t xml:space="preserve"> to be established for each student. </w:t>
      </w:r>
    </w:p>
    <w:p w14:paraId="708E54B9" w14:textId="679851C3" w:rsidR="00D0026E" w:rsidRPr="004D307F" w:rsidRDefault="00D0026E"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If it is deemed appropriate, a regional director has the discretion and the authority to approve the enrolment of a student </w:t>
      </w:r>
      <w:r w:rsidR="00CA1FF9" w:rsidRPr="004D307F">
        <w:rPr>
          <w:rFonts w:ascii="VIC-Regular" w:eastAsia="Times New Roman" w:hAnsi="VIC-Regular" w:cs="Times New Roman"/>
          <w:color w:val="011A3C"/>
          <w:sz w:val="24"/>
          <w:szCs w:val="24"/>
          <w:lang w:val="en" w:eastAsia="en-AU"/>
        </w:rPr>
        <w:t xml:space="preserve">that does not meet the specialist school’s enrolment criteria. </w:t>
      </w:r>
    </w:p>
    <w:p w14:paraId="7D2CB6E3" w14:textId="77777777" w:rsidR="00C116FE" w:rsidRPr="004D307F" w:rsidRDefault="004A334A"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For the Confirmed budget cycle, totals are sourced from the February Census. </w:t>
      </w:r>
    </w:p>
    <w:p w14:paraId="7705540D" w14:textId="153A6B22" w:rsidR="00157739" w:rsidRPr="004D307F" w:rsidRDefault="004A334A"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For the Indicative budget cycle, totals are sourced from the Principal Projections and distributed by existing age profiles. If Principal Projections totals are not provided, existing totals will be rolled over.</w:t>
      </w:r>
    </w:p>
    <w:p w14:paraId="5F5FE38E" w14:textId="77777777" w:rsidR="00F126FF" w:rsidRPr="004D307F" w:rsidRDefault="00F126FF" w:rsidP="00B566E7">
      <w:pPr>
        <w:pStyle w:val="Heading2"/>
      </w:pPr>
      <w:r w:rsidRPr="004D307F">
        <w:br w:type="page"/>
      </w:r>
    </w:p>
    <w:p w14:paraId="019F1361" w14:textId="26EFFA3E" w:rsidR="00B6662C" w:rsidRPr="004D307F" w:rsidRDefault="00B6662C" w:rsidP="00B566E7">
      <w:pPr>
        <w:pStyle w:val="Heading2"/>
      </w:pPr>
      <w:bookmarkStart w:id="12" w:name="_Toc106793744"/>
      <w:r w:rsidRPr="004D307F">
        <w:lastRenderedPageBreak/>
        <w:t>Size Adjustment Supplementation (Reference 6)</w:t>
      </w:r>
      <w:bookmarkEnd w:id="12"/>
    </w:p>
    <w:p w14:paraId="4EB72031" w14:textId="07FD2FE5" w:rsidR="00B6662C" w:rsidRPr="004D307F" w:rsidRDefault="00B6662C" w:rsidP="00B6662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size adjustment allocation will apply to all specialist schools with a school aged enrolment of less than the enrolment threshold.</w:t>
      </w:r>
    </w:p>
    <w:p w14:paraId="496BD57C" w14:textId="77777777" w:rsidR="00A11F95" w:rsidRPr="004D307F" w:rsidRDefault="00A11F95" w:rsidP="00A11F9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r w:rsidRPr="004D307F">
        <w:rPr>
          <w:rFonts w:ascii="VIC-Bold" w:eastAsia="Times New Roman" w:hAnsi="VIC-Bold" w:cs="Times New Roman" w:hint="eastAsia"/>
          <w:b/>
          <w:bCs/>
          <w:color w:val="011A3C"/>
          <w:sz w:val="27"/>
          <w:szCs w:val="27"/>
          <w:lang w:val="en" w:eastAsia="en-AU"/>
        </w:rPr>
        <w:t> </w:t>
      </w:r>
    </w:p>
    <w:p w14:paraId="48E9E218" w14:textId="02549229" w:rsidR="00A11F95" w:rsidRPr="004D307F" w:rsidRDefault="00A11F95" w:rsidP="00A11F9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following school campus types receive the size adjustment supplementation</w:t>
      </w:r>
      <w:r w:rsidR="009D3396" w:rsidRPr="004D307F">
        <w:rPr>
          <w:rFonts w:ascii="VIC-Regular" w:eastAsia="Times New Roman" w:hAnsi="VIC-Regular" w:cs="Times New Roman"/>
          <w:color w:val="011A3C"/>
          <w:sz w:val="24"/>
          <w:szCs w:val="24"/>
          <w:lang w:val="en" w:eastAsia="en-AU"/>
        </w:rPr>
        <w:t xml:space="preserve"> </w:t>
      </w:r>
      <w:r w:rsidR="002F4A99" w:rsidRPr="004D307F">
        <w:rPr>
          <w:rFonts w:ascii="VIC-Regular" w:eastAsia="Times New Roman" w:hAnsi="VIC-Regular" w:cs="Times New Roman"/>
          <w:color w:val="011A3C"/>
          <w:sz w:val="24"/>
          <w:szCs w:val="24"/>
          <w:lang w:val="en" w:eastAsia="en-AU"/>
        </w:rPr>
        <w:t xml:space="preserve">funding </w:t>
      </w:r>
      <w:r w:rsidR="009D3396" w:rsidRPr="004D307F">
        <w:rPr>
          <w:rFonts w:ascii="VIC-Regular" w:eastAsia="Times New Roman" w:hAnsi="VIC-Regular" w:cs="Times New Roman"/>
          <w:color w:val="011A3C"/>
          <w:sz w:val="24"/>
          <w:szCs w:val="24"/>
          <w:lang w:val="en" w:eastAsia="en-AU"/>
        </w:rPr>
        <w:t>at school level</w:t>
      </w:r>
      <w:r w:rsidRPr="004D307F">
        <w:rPr>
          <w:rFonts w:ascii="VIC-Regular" w:eastAsia="Times New Roman" w:hAnsi="VIC-Regular" w:cs="Times New Roman"/>
          <w:color w:val="011A3C"/>
          <w:sz w:val="24"/>
          <w:szCs w:val="24"/>
          <w:lang w:val="en" w:eastAsia="en-AU"/>
        </w:rPr>
        <w:t>:</w:t>
      </w:r>
    </w:p>
    <w:p w14:paraId="4F9389B6" w14:textId="77777777" w:rsidR="00A11F95" w:rsidRPr="004D307F" w:rsidRDefault="00A11F95" w:rsidP="00ED0863">
      <w:pPr>
        <w:numPr>
          <w:ilvl w:val="0"/>
          <w:numId w:val="1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Day special</w:t>
      </w:r>
    </w:p>
    <w:p w14:paraId="36C037E2" w14:textId="5415102C" w:rsidR="009D3396" w:rsidRPr="004D307F" w:rsidRDefault="00A11F95" w:rsidP="00ED0863">
      <w:pPr>
        <w:numPr>
          <w:ilvl w:val="0"/>
          <w:numId w:val="1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 developmental</w:t>
      </w:r>
    </w:p>
    <w:p w14:paraId="471A4C03" w14:textId="699C3B28" w:rsidR="00C05DD4" w:rsidRPr="004D307F" w:rsidRDefault="00C05DD4" w:rsidP="00ED0863">
      <w:pPr>
        <w:numPr>
          <w:ilvl w:val="0"/>
          <w:numId w:val="1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Disability</w:t>
      </w:r>
    </w:p>
    <w:p w14:paraId="29964A25" w14:textId="6C20B3A1" w:rsidR="0039304A" w:rsidRPr="004D307F" w:rsidRDefault="0039304A" w:rsidP="00ED0863">
      <w:pPr>
        <w:numPr>
          <w:ilvl w:val="0"/>
          <w:numId w:val="1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w:t>
      </w:r>
    </w:p>
    <w:p w14:paraId="66BA4DAD" w14:textId="77777777" w:rsidR="00533493" w:rsidRPr="004D307F" w:rsidRDefault="0039304A" w:rsidP="00ED0863">
      <w:pPr>
        <w:numPr>
          <w:ilvl w:val="0"/>
          <w:numId w:val="1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Furlong Park School For Deaf Children </w:t>
      </w:r>
    </w:p>
    <w:p w14:paraId="3D981BC7" w14:textId="20DD595F" w:rsidR="0039304A" w:rsidRPr="004D307F" w:rsidRDefault="0039304A" w:rsidP="0039304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calculated for each of the 4 school terms and allocated through credit and cash funding.</w:t>
      </w:r>
    </w:p>
    <w:p w14:paraId="0AB0C44F" w14:textId="03204150" w:rsidR="00A11F95" w:rsidRPr="004D307F" w:rsidRDefault="00A11F95" w:rsidP="00A11F9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681EA550" w14:textId="10AB369F" w:rsidR="00B6662C" w:rsidRPr="004D307F" w:rsidRDefault="00B6662C" w:rsidP="00B6662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Where total enrolments at the school are less than 45 (enrolment threshold): Size Adjustment Supplementation = [45(</w:t>
      </w:r>
      <w:r w:rsidR="00F12663" w:rsidRPr="004D307F">
        <w:rPr>
          <w:rFonts w:ascii="VIC-Regular" w:eastAsia="Times New Roman" w:hAnsi="VIC-Regular" w:cs="Times New Roman"/>
          <w:color w:val="011A3C"/>
          <w:sz w:val="24"/>
          <w:szCs w:val="24"/>
          <w:lang w:val="en" w:eastAsia="en-AU"/>
        </w:rPr>
        <w:t>E</w:t>
      </w:r>
      <w:r w:rsidRPr="004D307F">
        <w:rPr>
          <w:rFonts w:ascii="VIC-Regular" w:eastAsia="Times New Roman" w:hAnsi="VIC-Regular" w:cs="Times New Roman"/>
          <w:color w:val="011A3C"/>
          <w:sz w:val="24"/>
          <w:szCs w:val="24"/>
          <w:lang w:val="en" w:eastAsia="en-AU"/>
        </w:rPr>
        <w:t xml:space="preserve">nrolment </w:t>
      </w:r>
      <w:r w:rsidR="00F12663" w:rsidRPr="004D307F">
        <w:rPr>
          <w:rFonts w:ascii="VIC-Regular" w:eastAsia="Times New Roman" w:hAnsi="VIC-Regular" w:cs="Times New Roman"/>
          <w:color w:val="011A3C"/>
          <w:sz w:val="24"/>
          <w:szCs w:val="24"/>
          <w:lang w:val="en" w:eastAsia="en-AU"/>
        </w:rPr>
        <w:t>T</w:t>
      </w:r>
      <w:r w:rsidRPr="004D307F">
        <w:rPr>
          <w:rFonts w:ascii="VIC-Regular" w:eastAsia="Times New Roman" w:hAnsi="VIC-Regular" w:cs="Times New Roman"/>
          <w:color w:val="011A3C"/>
          <w:sz w:val="24"/>
          <w:szCs w:val="24"/>
          <w:lang w:val="en" w:eastAsia="en-AU"/>
        </w:rPr>
        <w:t>hreshold) </w:t>
      </w:r>
      <w:r w:rsidR="00F12663"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 </w:t>
      </w:r>
      <w:r w:rsidR="00F12663" w:rsidRPr="004D307F">
        <w:rPr>
          <w:rFonts w:ascii="VIC-Regular" w:eastAsia="Times New Roman" w:hAnsi="VIC-Regular" w:cs="Times New Roman"/>
          <w:color w:val="011A3C"/>
          <w:sz w:val="24"/>
          <w:szCs w:val="24"/>
          <w:lang w:val="en" w:eastAsia="en-AU"/>
        </w:rPr>
        <w:t xml:space="preserve">Core Index </w:t>
      </w:r>
      <w:r w:rsidRPr="004D307F">
        <w:rPr>
          <w:rFonts w:ascii="VIC-Regular" w:eastAsia="Times New Roman" w:hAnsi="VIC-Regular" w:cs="Times New Roman"/>
          <w:color w:val="011A3C"/>
          <w:sz w:val="24"/>
          <w:szCs w:val="24"/>
          <w:lang w:val="en" w:eastAsia="en-AU"/>
        </w:rPr>
        <w:t>Enrolment] × Rate</w:t>
      </w:r>
    </w:p>
    <w:p w14:paraId="16737B47" w14:textId="0D5A9651" w:rsidR="00800331" w:rsidRPr="004D307F" w:rsidRDefault="00800331" w:rsidP="00B6662C">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4D307F">
        <w:rPr>
          <w:rFonts w:ascii="VIC-Regular" w:eastAsia="Times New Roman" w:hAnsi="VIC-Regular" w:cs="Times New Roman"/>
          <w:b/>
          <w:bCs/>
          <w:color w:val="011A3C"/>
          <w:sz w:val="24"/>
          <w:szCs w:val="24"/>
          <w:lang w:val="en" w:eastAsia="en-AU"/>
        </w:rPr>
        <w:t>Example:</w:t>
      </w:r>
    </w:p>
    <w:p w14:paraId="674554C0" w14:textId="2AFBE222" w:rsidR="00800331" w:rsidRPr="004D307F" w:rsidRDefault="00800331" w:rsidP="00B6662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Example: A school with 35 enrolments would calculate their Size </w:t>
      </w:r>
      <w:r w:rsidR="004E099D" w:rsidRPr="004D307F">
        <w:rPr>
          <w:rFonts w:ascii="VIC-Regular" w:eastAsia="Times New Roman" w:hAnsi="VIC-Regular" w:cs="Times New Roman"/>
          <w:color w:val="011A3C"/>
          <w:sz w:val="24"/>
          <w:szCs w:val="24"/>
          <w:lang w:val="en" w:eastAsia="en-AU"/>
        </w:rPr>
        <w:t>Adjustment funding</w:t>
      </w:r>
      <w:r w:rsidRPr="004D307F">
        <w:rPr>
          <w:rFonts w:ascii="VIC-Regular" w:eastAsia="Times New Roman" w:hAnsi="VIC-Regular" w:cs="Times New Roman"/>
          <w:color w:val="011A3C"/>
          <w:sz w:val="24"/>
          <w:szCs w:val="24"/>
          <w:lang w:val="en" w:eastAsia="en-AU"/>
        </w:rPr>
        <w:t xml:space="preserve"> as:</w:t>
      </w:r>
      <w:r w:rsidRPr="004D307F">
        <w:rPr>
          <w:rFonts w:ascii="VIC-Regular" w:eastAsia="Times New Roman" w:hAnsi="VIC-Regular" w:cs="Times New Roman"/>
          <w:color w:val="011A3C"/>
          <w:sz w:val="24"/>
          <w:szCs w:val="24"/>
          <w:lang w:val="en" w:eastAsia="en-AU"/>
        </w:rPr>
        <w:br/>
        <w:t xml:space="preserve">[45(enrolment threshold) – </w:t>
      </w:r>
      <w:r w:rsidR="00F12663" w:rsidRPr="004D307F">
        <w:rPr>
          <w:rFonts w:ascii="VIC-Regular" w:eastAsia="Times New Roman" w:hAnsi="VIC-Regular" w:cs="Times New Roman"/>
          <w:color w:val="011A3C"/>
          <w:sz w:val="24"/>
          <w:szCs w:val="24"/>
          <w:lang w:val="en" w:eastAsia="en-AU"/>
        </w:rPr>
        <w:t xml:space="preserve">Core Index </w:t>
      </w:r>
      <w:r w:rsidR="004E099D" w:rsidRPr="004D307F">
        <w:rPr>
          <w:rFonts w:ascii="VIC-Regular" w:eastAsia="Times New Roman" w:hAnsi="VIC-Regular" w:cs="Times New Roman"/>
          <w:color w:val="011A3C"/>
          <w:sz w:val="24"/>
          <w:szCs w:val="24"/>
          <w:lang w:val="en" w:eastAsia="en-AU"/>
        </w:rPr>
        <w:t>Enrolment (</w:t>
      </w:r>
      <w:r w:rsidRPr="004D307F">
        <w:rPr>
          <w:rFonts w:ascii="VIC-Regular" w:eastAsia="Times New Roman" w:hAnsi="VIC-Regular" w:cs="Times New Roman"/>
          <w:color w:val="011A3C"/>
          <w:sz w:val="24"/>
          <w:szCs w:val="24"/>
          <w:lang w:val="en" w:eastAsia="en-AU"/>
        </w:rPr>
        <w:t>35)] × Rate</w:t>
      </w:r>
    </w:p>
    <w:p w14:paraId="7AB8D1B7" w14:textId="33B55CA3" w:rsidR="00B6662C" w:rsidRPr="004D307F" w:rsidRDefault="00B6662C" w:rsidP="00B6662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maximum amount funded is limited to </w:t>
      </w:r>
      <w:r w:rsidR="00800331" w:rsidRPr="004D307F">
        <w:rPr>
          <w:rFonts w:ascii="VIC-Regular" w:eastAsia="Times New Roman" w:hAnsi="VIC-Regular" w:cs="Times New Roman"/>
          <w:color w:val="011A3C"/>
          <w:sz w:val="24"/>
          <w:szCs w:val="24"/>
          <w:lang w:val="en" w:eastAsia="en-AU"/>
        </w:rPr>
        <w:t>cap listed below</w:t>
      </w:r>
      <w:r w:rsidRPr="004D307F">
        <w:rPr>
          <w:rFonts w:ascii="VIC-Regular" w:eastAsia="Times New Roman" w:hAnsi="VIC-Regular" w:cs="Times New Roman"/>
          <w:color w:val="011A3C"/>
          <w:sz w:val="24"/>
          <w:szCs w:val="24"/>
          <w:lang w:val="en" w:eastAsia="en-AU"/>
        </w:rPr>
        <w:t>.</w:t>
      </w:r>
    </w:p>
    <w:p w14:paraId="1F5249A7" w14:textId="2D210152" w:rsidR="00B6662C" w:rsidRPr="004D307F" w:rsidRDefault="00B6662C" w:rsidP="00B6662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w:t>
      </w:r>
      <w:r w:rsidR="004A334A" w:rsidRPr="004D307F">
        <w:rPr>
          <w:rFonts w:ascii="VIC-Bold" w:eastAsia="Times New Roman" w:hAnsi="VIC-Bold" w:cs="Times New Roman"/>
          <w:b/>
          <w:bCs/>
          <w:color w:val="011A3C"/>
          <w:sz w:val="27"/>
          <w:szCs w:val="27"/>
          <w:lang w:val="en" w:eastAsia="en-AU"/>
        </w:rPr>
        <w:t>2</w:t>
      </w:r>
    </w:p>
    <w:p w14:paraId="32E03BFF" w14:textId="663C661A" w:rsidR="00B6662C" w:rsidRPr="004D307F" w:rsidRDefault="00B6662C" w:rsidP="00F66851">
      <w:pPr>
        <w:numPr>
          <w:ilvl w:val="0"/>
          <w:numId w:val="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Per student rate: </w:t>
      </w:r>
      <w:r w:rsidR="009A4CFA" w:rsidRPr="004D307F">
        <w:rPr>
          <w:rFonts w:ascii="VIC-Regular" w:eastAsia="Times New Roman" w:hAnsi="VIC-Regular" w:cs="Times New Roman"/>
          <w:color w:val="011A3C"/>
          <w:sz w:val="24"/>
          <w:szCs w:val="24"/>
          <w:lang w:val="en" w:eastAsia="en-AU"/>
        </w:rPr>
        <w:t xml:space="preserve"> $5,1</w:t>
      </w:r>
      <w:r w:rsidR="00C521AA" w:rsidRPr="004D307F">
        <w:rPr>
          <w:rFonts w:ascii="VIC-Regular" w:eastAsia="Times New Roman" w:hAnsi="VIC-Regular" w:cs="Times New Roman"/>
          <w:color w:val="011A3C"/>
          <w:sz w:val="24"/>
          <w:szCs w:val="24"/>
          <w:lang w:val="en" w:eastAsia="en-AU"/>
        </w:rPr>
        <w:t>72</w:t>
      </w:r>
    </w:p>
    <w:p w14:paraId="5F6A858B" w14:textId="77777777" w:rsidR="00B6662C" w:rsidRPr="004D307F" w:rsidRDefault="00B6662C" w:rsidP="00F66851">
      <w:pPr>
        <w:numPr>
          <w:ilvl w:val="0"/>
          <w:numId w:val="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Enrolment threshold: 45</w:t>
      </w:r>
    </w:p>
    <w:p w14:paraId="078589B6" w14:textId="3625DFF1" w:rsidR="00B6662C" w:rsidRPr="004D307F" w:rsidRDefault="00B6662C" w:rsidP="00F66851">
      <w:pPr>
        <w:numPr>
          <w:ilvl w:val="0"/>
          <w:numId w:val="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Maximum funded: </w:t>
      </w:r>
      <w:r w:rsidR="00701354" w:rsidRPr="004D307F">
        <w:rPr>
          <w:rFonts w:ascii="VIC-Regular" w:eastAsia="Times New Roman" w:hAnsi="VIC-Regular" w:cs="Times New Roman"/>
          <w:color w:val="011A3C"/>
          <w:sz w:val="24"/>
          <w:szCs w:val="24"/>
          <w:lang w:val="en" w:eastAsia="en-AU"/>
        </w:rPr>
        <w:t>$</w:t>
      </w:r>
      <w:r w:rsidR="00DD5A70" w:rsidRPr="004D307F">
        <w:rPr>
          <w:rFonts w:ascii="VIC-Regular" w:eastAsia="Times New Roman" w:hAnsi="VIC-Regular" w:cs="Times New Roman"/>
          <w:color w:val="011A3C"/>
          <w:sz w:val="24"/>
          <w:szCs w:val="24"/>
          <w:lang w:val="en" w:eastAsia="en-AU"/>
        </w:rPr>
        <w:t>118,026</w:t>
      </w:r>
    </w:p>
    <w:p w14:paraId="68BF67AB" w14:textId="77777777" w:rsidR="00B6662C" w:rsidRPr="004D307F" w:rsidRDefault="00B6662C">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br w:type="page"/>
      </w:r>
    </w:p>
    <w:p w14:paraId="017EACCC" w14:textId="337AEC16" w:rsidR="00A46A99" w:rsidRPr="004D307F" w:rsidRDefault="00A46A99" w:rsidP="00B566E7">
      <w:pPr>
        <w:pStyle w:val="Heading2"/>
      </w:pPr>
      <w:bookmarkStart w:id="13" w:name="_Toc106793745"/>
      <w:r w:rsidRPr="004D307F">
        <w:lastRenderedPageBreak/>
        <w:t>Approved Early Education Program (Reference 7)</w:t>
      </w:r>
      <w:bookmarkEnd w:id="13"/>
    </w:p>
    <w:p w14:paraId="73B7BE5C" w14:textId="7BFCBDDB" w:rsidR="00A46A99" w:rsidRPr="004D307F" w:rsidRDefault="00A46A99"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defined group of specialist schools maintain early education programs for preschool aged children with disability between the ages of 2 years and 8 months and 4 years and 8 months.</w:t>
      </w:r>
      <w:r w:rsidR="0052364D" w:rsidRPr="004D307F">
        <w:rPr>
          <w:rFonts w:ascii="VIC-Regular" w:eastAsia="Times New Roman" w:hAnsi="VIC-Regular" w:cs="Times New Roman"/>
          <w:color w:val="011A3C"/>
          <w:sz w:val="24"/>
          <w:szCs w:val="24"/>
          <w:lang w:val="en" w:eastAsia="en-AU"/>
        </w:rPr>
        <w:t xml:space="preserve"> Funding is allocated at school level.</w:t>
      </w:r>
    </w:p>
    <w:p w14:paraId="47F209DF" w14:textId="3E65025F" w:rsidR="00AD03DE" w:rsidRPr="004D307F" w:rsidRDefault="00A46A99"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Allocations to these schools are based on a resource agreement.</w:t>
      </w:r>
    </w:p>
    <w:p w14:paraId="4418C32A" w14:textId="46DDC09C" w:rsidR="00AD03DE" w:rsidRPr="004D307F" w:rsidRDefault="00AD03DE" w:rsidP="00AA54C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4547A36E" w14:textId="660CFAFD" w:rsidR="00AD03DE" w:rsidRPr="004D307F" w:rsidRDefault="00AD03DE"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Approved Early Education </w:t>
      </w:r>
      <w:r w:rsidR="004A334A" w:rsidRPr="004D307F">
        <w:rPr>
          <w:rFonts w:ascii="VIC-Regular" w:eastAsia="Times New Roman" w:hAnsi="VIC-Regular" w:cs="Times New Roman"/>
          <w:color w:val="011A3C"/>
          <w:sz w:val="24"/>
          <w:szCs w:val="24"/>
          <w:lang w:val="en" w:eastAsia="en-AU"/>
        </w:rPr>
        <w:t>f</w:t>
      </w:r>
      <w:r w:rsidRPr="004D307F">
        <w:rPr>
          <w:rFonts w:ascii="VIC-Regular" w:eastAsia="Times New Roman" w:hAnsi="VIC-Regular" w:cs="Times New Roman"/>
          <w:color w:val="011A3C"/>
          <w:sz w:val="24"/>
          <w:szCs w:val="24"/>
          <w:lang w:val="en" w:eastAsia="en-AU"/>
        </w:rPr>
        <w:t>unding is calculated as:</w:t>
      </w:r>
    </w:p>
    <w:p w14:paraId="6B0ECEB9" w14:textId="1536B897" w:rsidR="00A46A99" w:rsidRPr="004D307F" w:rsidRDefault="00AD03DE"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FTE at school level * Resource agreement rate </w:t>
      </w:r>
    </w:p>
    <w:p w14:paraId="118E4269" w14:textId="5200CA43" w:rsidR="0052364D" w:rsidRPr="004D307F" w:rsidRDefault="00AD03DE"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Note: Furlong Park School</w:t>
      </w:r>
      <w:r w:rsidR="009A4CFA" w:rsidRPr="004D307F">
        <w:rPr>
          <w:rFonts w:ascii="VIC-Regular" w:eastAsia="Times New Roman" w:hAnsi="VIC-Regular" w:cs="Times New Roman"/>
          <w:color w:val="011A3C"/>
          <w:sz w:val="24"/>
          <w:szCs w:val="24"/>
          <w:lang w:val="en" w:eastAsia="en-AU"/>
        </w:rPr>
        <w:t xml:space="preserve"> </w:t>
      </w:r>
      <w:r w:rsidR="004A334A" w:rsidRPr="004D307F">
        <w:rPr>
          <w:rFonts w:ascii="VIC-Regular" w:eastAsia="Times New Roman" w:hAnsi="VIC-Regular" w:cs="Times New Roman"/>
          <w:color w:val="011A3C"/>
          <w:sz w:val="24"/>
          <w:szCs w:val="24"/>
          <w:lang w:val="en" w:eastAsia="en-AU"/>
        </w:rPr>
        <w:t xml:space="preserve">for Deaf Children </w:t>
      </w:r>
      <w:r w:rsidR="009A4CFA" w:rsidRPr="004D307F">
        <w:rPr>
          <w:rFonts w:ascii="VIC-Regular" w:eastAsia="Times New Roman" w:hAnsi="VIC-Regular" w:cs="Times New Roman"/>
          <w:color w:val="011A3C"/>
          <w:sz w:val="24"/>
          <w:szCs w:val="24"/>
          <w:lang w:val="en" w:eastAsia="en-AU"/>
        </w:rPr>
        <w:t>is the exception</w:t>
      </w:r>
      <w:r w:rsidRPr="004D307F">
        <w:rPr>
          <w:rFonts w:ascii="VIC-Regular" w:eastAsia="Times New Roman" w:hAnsi="VIC-Regular" w:cs="Times New Roman"/>
          <w:color w:val="011A3C"/>
          <w:sz w:val="24"/>
          <w:szCs w:val="24"/>
          <w:lang w:val="en" w:eastAsia="en-AU"/>
        </w:rPr>
        <w:t>.</w:t>
      </w:r>
    </w:p>
    <w:p w14:paraId="14B49C31" w14:textId="3F897A0B" w:rsidR="00A46A99" w:rsidRPr="004D307F" w:rsidRDefault="00AD03DE"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budget </w:t>
      </w:r>
      <w:r w:rsidR="00C53D2A" w:rsidRPr="004D307F">
        <w:rPr>
          <w:rFonts w:ascii="VIC-Regular" w:eastAsia="Times New Roman" w:hAnsi="VIC-Regular" w:cs="Times New Roman"/>
          <w:color w:val="011A3C"/>
          <w:sz w:val="24"/>
          <w:szCs w:val="24"/>
          <w:lang w:val="en" w:eastAsia="en-AU"/>
        </w:rPr>
        <w:t>cycle;</w:t>
      </w:r>
      <w:r w:rsidRPr="004D307F">
        <w:rPr>
          <w:rFonts w:ascii="VIC-Regular" w:eastAsia="Times New Roman" w:hAnsi="VIC-Regular" w:cs="Times New Roman"/>
          <w:color w:val="011A3C"/>
          <w:sz w:val="24"/>
          <w:szCs w:val="24"/>
          <w:lang w:val="en" w:eastAsia="en-AU"/>
        </w:rPr>
        <w:t xml:space="preserve"> allocation of funds is provided through credit and cash funding.</w:t>
      </w:r>
    </w:p>
    <w:p w14:paraId="7C1DC3C3" w14:textId="1B059EF8" w:rsidR="000935F0" w:rsidRPr="004D307F" w:rsidRDefault="000935F0" w:rsidP="000935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w:t>
      </w:r>
      <w:r w:rsidR="004A334A" w:rsidRPr="004D307F">
        <w:rPr>
          <w:rFonts w:ascii="VIC-Bold" w:eastAsia="Times New Roman" w:hAnsi="VIC-Bold" w:cs="Times New Roman"/>
          <w:b/>
          <w:bCs/>
          <w:color w:val="011A3C"/>
          <w:sz w:val="27"/>
          <w:szCs w:val="27"/>
          <w:lang w:val="en" w:eastAsia="en-AU"/>
        </w:rPr>
        <w:t>2</w:t>
      </w:r>
    </w:p>
    <w:p w14:paraId="7F1B036C" w14:textId="41B04884" w:rsidR="004A334A" w:rsidRPr="004D307F" w:rsidRDefault="000935F0">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Resource agreement rate </w:t>
      </w:r>
      <w:r w:rsidR="00C53D2A" w:rsidRPr="004D307F">
        <w:rPr>
          <w:rFonts w:ascii="VIC-Regular" w:eastAsia="Times New Roman" w:hAnsi="VIC-Regular" w:cs="Times New Roman"/>
          <w:color w:val="011A3C"/>
          <w:sz w:val="24"/>
          <w:szCs w:val="24"/>
          <w:lang w:val="en" w:eastAsia="en-AU"/>
        </w:rPr>
        <w:t xml:space="preserve">= </w:t>
      </w:r>
      <w:r w:rsidR="00C53D2A" w:rsidRPr="004D307F">
        <w:t>$</w:t>
      </w:r>
      <w:r w:rsidR="009A4CFA" w:rsidRPr="004D307F">
        <w:rPr>
          <w:rFonts w:ascii="VIC-Regular" w:eastAsia="Times New Roman" w:hAnsi="VIC-Regular" w:cs="Times New Roman"/>
          <w:color w:val="011A3C"/>
          <w:sz w:val="24"/>
          <w:szCs w:val="24"/>
          <w:lang w:val="en" w:eastAsia="en-AU"/>
        </w:rPr>
        <w:t>2</w:t>
      </w:r>
      <w:r w:rsidR="00C521AA" w:rsidRPr="004D307F">
        <w:rPr>
          <w:rFonts w:ascii="VIC-Regular" w:eastAsia="Times New Roman" w:hAnsi="VIC-Regular" w:cs="Times New Roman"/>
          <w:color w:val="011A3C"/>
          <w:sz w:val="24"/>
          <w:szCs w:val="24"/>
          <w:lang w:val="en" w:eastAsia="en-AU"/>
        </w:rPr>
        <w:t>7,018</w:t>
      </w:r>
    </w:p>
    <w:p w14:paraId="5EE61136" w14:textId="55FA2C1F" w:rsidR="00A46A99" w:rsidRPr="004D307F" w:rsidRDefault="004A334A">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Furlong Park School for Deaf Children rate: $</w:t>
      </w:r>
      <w:r w:rsidR="00C521AA" w:rsidRPr="004D307F">
        <w:rPr>
          <w:rFonts w:ascii="VIC-Regular" w:eastAsia="Times New Roman" w:hAnsi="VIC-Regular" w:cs="Times New Roman"/>
          <w:color w:val="011A3C"/>
          <w:sz w:val="24"/>
          <w:szCs w:val="24"/>
          <w:lang w:val="en" w:eastAsia="en-AU"/>
        </w:rPr>
        <w:t>33,035</w:t>
      </w:r>
      <w:r w:rsidR="00A46A99" w:rsidRPr="004D307F">
        <w:rPr>
          <w:rFonts w:ascii="VIC-Regular" w:eastAsia="Times New Roman" w:hAnsi="VIC-Regular" w:cs="Times New Roman"/>
          <w:color w:val="011A3C"/>
          <w:sz w:val="24"/>
          <w:szCs w:val="24"/>
          <w:lang w:val="en" w:eastAsia="en-AU"/>
        </w:rPr>
        <w:br w:type="page"/>
      </w:r>
    </w:p>
    <w:p w14:paraId="4FA69578" w14:textId="551A472D" w:rsidR="00731961" w:rsidRPr="004D307F" w:rsidRDefault="00731961" w:rsidP="00B566E7">
      <w:pPr>
        <w:pStyle w:val="Heading2"/>
      </w:pPr>
      <w:bookmarkStart w:id="14" w:name="_Toc106793746"/>
      <w:r w:rsidRPr="004D307F">
        <w:lastRenderedPageBreak/>
        <w:t>Principal Salary Adjustment (Reference 8)</w:t>
      </w:r>
      <w:bookmarkEnd w:id="14"/>
    </w:p>
    <w:p w14:paraId="328F46D7" w14:textId="22DAC12D" w:rsidR="00731961" w:rsidRPr="004D307F" w:rsidRDefault="00731961"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This item is included in the </w:t>
      </w:r>
      <w:r w:rsidR="001039D9" w:rsidRPr="004D307F">
        <w:rPr>
          <w:rFonts w:ascii="VIC-Regular" w:eastAsia="Times New Roman" w:hAnsi="VIC-Regular" w:cs="Times New Roman"/>
          <w:color w:val="011A3C"/>
          <w:sz w:val="24"/>
          <w:szCs w:val="24"/>
          <w:lang w:val="en" w:eastAsia="en-AU"/>
        </w:rPr>
        <w:t>Student Resource Package (</w:t>
      </w:r>
      <w:r w:rsidRPr="004D307F">
        <w:rPr>
          <w:rFonts w:ascii="VIC-Regular" w:eastAsia="Times New Roman" w:hAnsi="VIC-Regular" w:cs="Times New Roman"/>
          <w:color w:val="011A3C"/>
          <w:sz w:val="24"/>
          <w:szCs w:val="24"/>
          <w:lang w:val="en" w:eastAsia="en-AU"/>
        </w:rPr>
        <w:t>SRP</w:t>
      </w:r>
      <w:r w:rsidR="001039D9"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 for specialist schools. Its continuation will be subject to review</w:t>
      </w:r>
      <w:r w:rsidR="00157739" w:rsidRPr="004D307F">
        <w:rPr>
          <w:rFonts w:ascii="VIC-Regular" w:eastAsia="Times New Roman" w:hAnsi="VIC-Regular" w:cs="Times New Roman"/>
          <w:color w:val="011A3C"/>
          <w:sz w:val="24"/>
          <w:szCs w:val="24"/>
          <w:lang w:val="en" w:eastAsia="en-AU"/>
        </w:rPr>
        <w:t xml:space="preserve"> which is yet to be completed</w:t>
      </w:r>
      <w:r w:rsidRPr="004D307F">
        <w:rPr>
          <w:rFonts w:ascii="VIC-Regular" w:eastAsia="Times New Roman" w:hAnsi="VIC-Regular" w:cs="Times New Roman"/>
          <w:color w:val="011A3C"/>
          <w:sz w:val="24"/>
          <w:szCs w:val="24"/>
          <w:lang w:val="en" w:eastAsia="en-AU"/>
        </w:rPr>
        <w:t>.</w:t>
      </w:r>
      <w:r w:rsidR="009A4CFA" w:rsidRPr="004D307F">
        <w:rPr>
          <w:rFonts w:ascii="VIC-Regular" w:eastAsia="Times New Roman" w:hAnsi="VIC-Regular" w:cs="Times New Roman"/>
          <w:color w:val="011A3C"/>
          <w:sz w:val="24"/>
          <w:szCs w:val="24"/>
          <w:lang w:val="en" w:eastAsia="en-AU"/>
        </w:rPr>
        <w:t xml:space="preserve"> Changes associated with the review will be </w:t>
      </w:r>
      <w:r w:rsidR="00C53D2A" w:rsidRPr="004D307F">
        <w:rPr>
          <w:rFonts w:ascii="VIC-Regular" w:eastAsia="Times New Roman" w:hAnsi="VIC-Regular" w:cs="Times New Roman"/>
          <w:color w:val="011A3C"/>
          <w:sz w:val="24"/>
          <w:szCs w:val="24"/>
          <w:lang w:val="en" w:eastAsia="en-AU"/>
        </w:rPr>
        <w:t>implemented during</w:t>
      </w:r>
      <w:r w:rsidR="00A23F6B" w:rsidRPr="004D307F">
        <w:rPr>
          <w:rFonts w:ascii="VIC-Regular" w:eastAsia="Times New Roman" w:hAnsi="VIC-Regular" w:cs="Times New Roman"/>
          <w:color w:val="011A3C"/>
          <w:sz w:val="24"/>
          <w:szCs w:val="24"/>
          <w:lang w:val="en" w:eastAsia="en-AU"/>
        </w:rPr>
        <w:t xml:space="preserve"> 202</w:t>
      </w:r>
      <w:r w:rsidR="00157739" w:rsidRPr="004D307F">
        <w:rPr>
          <w:rFonts w:ascii="VIC-Regular" w:eastAsia="Times New Roman" w:hAnsi="VIC-Regular" w:cs="Times New Roman"/>
          <w:color w:val="011A3C"/>
          <w:sz w:val="24"/>
          <w:szCs w:val="24"/>
          <w:lang w:val="en" w:eastAsia="en-AU"/>
        </w:rPr>
        <w:t>3</w:t>
      </w:r>
      <w:r w:rsidR="00A23F6B" w:rsidRPr="004D307F">
        <w:rPr>
          <w:rFonts w:ascii="VIC-Regular" w:eastAsia="Times New Roman" w:hAnsi="VIC-Regular" w:cs="Times New Roman"/>
          <w:color w:val="011A3C"/>
          <w:sz w:val="24"/>
          <w:szCs w:val="24"/>
          <w:lang w:val="en" w:eastAsia="en-AU"/>
        </w:rPr>
        <w:t>.</w:t>
      </w:r>
    </w:p>
    <w:p w14:paraId="6C76BA64" w14:textId="77777777" w:rsidR="00731961" w:rsidRPr="004D307F" w:rsidRDefault="00731961">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br w:type="page"/>
      </w:r>
    </w:p>
    <w:p w14:paraId="0F281BDE" w14:textId="47689E10" w:rsidR="00017551" w:rsidRPr="004D307F" w:rsidRDefault="00017551" w:rsidP="00B566E7">
      <w:pPr>
        <w:pStyle w:val="Heading2"/>
      </w:pPr>
      <w:bookmarkStart w:id="15" w:name="_Toc106793747"/>
      <w:r w:rsidRPr="004D307F">
        <w:lastRenderedPageBreak/>
        <w:t>Language and Learning Disabilities Support Program (Reference 10)</w:t>
      </w:r>
      <w:bookmarkEnd w:id="15"/>
    </w:p>
    <w:p w14:paraId="10C1BC1D" w14:textId="77777777"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Language and Learning Disabilities Support Program provides schools with resources to support the delivery of teaching and learning programs for students with autism, dyslexia, language or other learning disabilities. Supports may include:</w:t>
      </w:r>
    </w:p>
    <w:p w14:paraId="735A5B4E" w14:textId="77777777" w:rsidR="00017551" w:rsidRPr="004D307F" w:rsidRDefault="00017551" w:rsidP="00F66851">
      <w:pPr>
        <w:numPr>
          <w:ilvl w:val="0"/>
          <w:numId w:val="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Teaching staff</w:t>
      </w:r>
    </w:p>
    <w:p w14:paraId="6C6DB712" w14:textId="77777777" w:rsidR="00017551" w:rsidRPr="004D307F" w:rsidRDefault="00017551" w:rsidP="00F66851">
      <w:pPr>
        <w:numPr>
          <w:ilvl w:val="0"/>
          <w:numId w:val="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Specialist education or allied health staff</w:t>
      </w:r>
    </w:p>
    <w:p w14:paraId="48151191" w14:textId="77777777" w:rsidR="00017551" w:rsidRPr="004D307F" w:rsidRDefault="00017551" w:rsidP="00F66851">
      <w:pPr>
        <w:numPr>
          <w:ilvl w:val="0"/>
          <w:numId w:val="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Consultancy or professional development</w:t>
      </w:r>
    </w:p>
    <w:p w14:paraId="6B4FD465" w14:textId="77777777" w:rsidR="00017551" w:rsidRPr="004D307F" w:rsidRDefault="00017551" w:rsidP="00F66851">
      <w:pPr>
        <w:numPr>
          <w:ilvl w:val="0"/>
          <w:numId w:val="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Specialist equipment or materials</w:t>
      </w:r>
    </w:p>
    <w:p w14:paraId="70941608" w14:textId="77777777" w:rsidR="00017551" w:rsidRPr="004D307F" w:rsidRDefault="00017551" w:rsidP="00F66851">
      <w:pPr>
        <w:numPr>
          <w:ilvl w:val="0"/>
          <w:numId w:val="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Education support staff</w:t>
      </w:r>
    </w:p>
    <w:p w14:paraId="7C1E2E1C" w14:textId="77777777"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quality of teaching has one of the largest impacts on student learning. Building teaching excellence is central to making schools more inclusive and improving outcomes for students with learning support needs. </w:t>
      </w:r>
    </w:p>
    <w:p w14:paraId="2CDBD618" w14:textId="77777777"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 delivering effective programs for students with disabilities and additional learning needs, school leaders and teachers should ensure their practice is:</w:t>
      </w:r>
    </w:p>
    <w:p w14:paraId="08B11C2E" w14:textId="77777777" w:rsidR="00017551" w:rsidRPr="004D307F" w:rsidRDefault="00017551" w:rsidP="00F66851">
      <w:pPr>
        <w:numPr>
          <w:ilvl w:val="0"/>
          <w:numId w:val="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guided by the </w:t>
      </w:r>
      <w:hyperlink r:id="rId17" w:history="1">
        <w:r w:rsidRPr="004D307F">
          <w:rPr>
            <w:rFonts w:ascii="VIC-Regular" w:eastAsia="Times New Roman" w:hAnsi="VIC-Regular" w:cs="Times New Roman"/>
            <w:color w:val="011A3C"/>
            <w:sz w:val="24"/>
            <w:szCs w:val="24"/>
            <w:lang w:val="en" w:eastAsia="en-AU"/>
          </w:rPr>
          <w:t>Victorian Curriculum, inclusive of Levels A-D and Foundation to 10</w:t>
        </w:r>
      </w:hyperlink>
    </w:p>
    <w:p w14:paraId="0D92D2CD" w14:textId="77777777" w:rsidR="00017551" w:rsidRPr="004D307F" w:rsidRDefault="00017551" w:rsidP="00F66851">
      <w:pPr>
        <w:numPr>
          <w:ilvl w:val="0"/>
          <w:numId w:val="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informed by </w:t>
      </w:r>
      <w:hyperlink r:id="rId18" w:history="1">
        <w:r w:rsidRPr="004D307F">
          <w:rPr>
            <w:rFonts w:ascii="VIC-Regular" w:eastAsia="Times New Roman" w:hAnsi="VIC-Regular" w:cs="Times New Roman"/>
            <w:color w:val="011A3C"/>
            <w:sz w:val="24"/>
            <w:szCs w:val="24"/>
            <w:lang w:val="en" w:eastAsia="en-AU"/>
          </w:rPr>
          <w:t>disability specific professional learning activities undertaken annually as part of teacher registration requirements</w:t>
        </w:r>
      </w:hyperlink>
    </w:p>
    <w:p w14:paraId="54ADBDE4" w14:textId="77777777" w:rsidR="00017551" w:rsidRPr="004D307F" w:rsidRDefault="00017551" w:rsidP="00F66851">
      <w:pPr>
        <w:numPr>
          <w:ilvl w:val="0"/>
          <w:numId w:val="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evidence based and planned, implemented and monitored in line with the </w:t>
      </w:r>
      <w:hyperlink r:id="rId19" w:history="1">
        <w:r w:rsidRPr="004D307F">
          <w:rPr>
            <w:rFonts w:ascii="VIC-Regular" w:eastAsia="Times New Roman" w:hAnsi="VIC-Regular" w:cs="Times New Roman"/>
            <w:color w:val="011A3C"/>
            <w:sz w:val="24"/>
            <w:szCs w:val="24"/>
            <w:lang w:val="en" w:eastAsia="en-AU"/>
          </w:rPr>
          <w:t>Framework for Improving Student Outcomes</w:t>
        </w:r>
      </w:hyperlink>
    </w:p>
    <w:p w14:paraId="285AAF3E" w14:textId="28D8FC0B"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 addition, school policy and practice should reflect collaboration between the school leaders and teachers, parent</w:t>
      </w:r>
      <w:r w:rsidR="00920576" w:rsidRPr="004D307F" w:rsidDel="00920576">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/carer(s), specialist education or allied health staff to develop agreed understandings and responses to students' needs, including students with autism, dyslexia, language or other learning disabilities.    </w:t>
      </w:r>
    </w:p>
    <w:p w14:paraId="3A01A814" w14:textId="3D31B14A"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Guidelines are available to assist schools in supporting students with disabilities and additional learning needs, </w:t>
      </w:r>
      <w:r w:rsidR="00920576" w:rsidRPr="004D307F">
        <w:rPr>
          <w:rFonts w:ascii="VIC-Regular" w:eastAsia="Times New Roman" w:hAnsi="VIC-Regular" w:cs="Times New Roman"/>
          <w:color w:val="011A3C"/>
          <w:sz w:val="24"/>
          <w:szCs w:val="24"/>
          <w:lang w:val="en" w:eastAsia="en-AU"/>
        </w:rPr>
        <w:t>refer to</w:t>
      </w:r>
      <w:r w:rsidRPr="004D307F">
        <w:rPr>
          <w:rFonts w:ascii="VIC-Regular" w:eastAsia="Times New Roman" w:hAnsi="VIC-Regular" w:cs="Times New Roman"/>
          <w:color w:val="011A3C"/>
          <w:sz w:val="24"/>
          <w:szCs w:val="24"/>
          <w:lang w:val="en" w:eastAsia="en-AU"/>
        </w:rPr>
        <w:t xml:space="preserve">: </w:t>
      </w:r>
      <w:hyperlink r:id="rId20" w:history="1">
        <w:r w:rsidRPr="004D307F">
          <w:rPr>
            <w:rFonts w:ascii="VIC-Regular" w:eastAsia="Times New Roman" w:hAnsi="VIC-Regular" w:cs="Times New Roman"/>
            <w:color w:val="011A3C"/>
            <w:sz w:val="24"/>
            <w:szCs w:val="24"/>
            <w:lang w:val="en" w:eastAsia="en-AU"/>
          </w:rPr>
          <w:t>Student Support Groups</w:t>
        </w:r>
      </w:hyperlink>
      <w:r w:rsidRPr="004D307F">
        <w:rPr>
          <w:rFonts w:ascii="VIC-Regular" w:eastAsia="Times New Roman" w:hAnsi="VIC-Regular" w:cs="Times New Roman"/>
          <w:color w:val="011A3C"/>
          <w:sz w:val="24"/>
          <w:szCs w:val="24"/>
          <w:lang w:val="en" w:eastAsia="en-AU"/>
        </w:rPr>
        <w:t>.</w:t>
      </w:r>
    </w:p>
    <w:p w14:paraId="6C99D6D6" w14:textId="58CF47FB"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For further information, </w:t>
      </w:r>
      <w:r w:rsidR="00920576" w:rsidRPr="004D307F">
        <w:rPr>
          <w:rFonts w:ascii="VIC-Regular" w:eastAsia="Times New Roman" w:hAnsi="VIC-Regular" w:cs="Times New Roman"/>
          <w:color w:val="011A3C"/>
          <w:sz w:val="24"/>
          <w:szCs w:val="24"/>
          <w:lang w:val="en" w:eastAsia="en-AU"/>
        </w:rPr>
        <w:t xml:space="preserve">refer to </w:t>
      </w:r>
      <w:hyperlink r:id="rId21" w:history="1">
        <w:r w:rsidRPr="004D307F">
          <w:rPr>
            <w:rFonts w:ascii="VIC-Regular" w:eastAsia="Times New Roman" w:hAnsi="VIC-Regular" w:cs="Times New Roman"/>
            <w:color w:val="011A3C"/>
            <w:sz w:val="24"/>
            <w:szCs w:val="24"/>
            <w:lang w:val="en" w:eastAsia="en-AU"/>
          </w:rPr>
          <w:t>Students with Disability</w:t>
        </w:r>
      </w:hyperlink>
      <w:r w:rsidRPr="004D307F">
        <w:rPr>
          <w:rFonts w:ascii="VIC-Regular" w:eastAsia="Times New Roman" w:hAnsi="VIC-Regular" w:cs="Times New Roman"/>
          <w:color w:val="011A3C"/>
          <w:sz w:val="24"/>
          <w:szCs w:val="24"/>
          <w:lang w:val="en" w:eastAsia="en-AU"/>
        </w:rPr>
        <w:t>.</w:t>
      </w:r>
    </w:p>
    <w:p w14:paraId="64D3CC32" w14:textId="68396D72"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Language and Learning Disabilities Support Program resources should not be targeted to students in receipt of supplementary funding through the Program for Students with Disabilities. </w:t>
      </w:r>
    </w:p>
    <w:p w14:paraId="7E289297" w14:textId="6FB02C76" w:rsidR="003357B4" w:rsidRPr="004D307F" w:rsidRDefault="003357B4"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Language and Learning Disabilities Support Program (LLDSP) funding allocations will be progressively replaced by</w:t>
      </w:r>
      <w:r w:rsidR="00B241D3"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Disability Inclusion</w:t>
      </w:r>
      <w:r w:rsidR="00B241D3" w:rsidRPr="004D307F">
        <w:rPr>
          <w:rFonts w:ascii="VIC-Regular" w:eastAsia="Times New Roman" w:hAnsi="VIC-Regular" w:cs="Times New Roman"/>
          <w:color w:val="011A3C"/>
          <w:sz w:val="24"/>
          <w:szCs w:val="24"/>
          <w:lang w:val="en" w:eastAsia="en-AU"/>
        </w:rPr>
        <w:t xml:space="preserve"> Tier 2 school-level</w:t>
      </w:r>
      <w:r w:rsidRPr="004D307F">
        <w:rPr>
          <w:rFonts w:ascii="VIC-Regular" w:eastAsia="Times New Roman" w:hAnsi="VIC-Regular" w:cs="Times New Roman"/>
          <w:color w:val="011A3C"/>
          <w:sz w:val="24"/>
          <w:szCs w:val="24"/>
          <w:lang w:val="en" w:eastAsia="en-AU"/>
        </w:rPr>
        <w:t xml:space="preserve"> funding</w:t>
      </w:r>
      <w:r w:rsidR="00B241D3"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 </w:t>
      </w:r>
      <w:r w:rsidR="00B241D3" w:rsidRPr="004D307F">
        <w:rPr>
          <w:rFonts w:ascii="VIC-Regular" w:eastAsia="Times New Roman" w:hAnsi="VIC-Regular" w:cs="Times New Roman"/>
          <w:color w:val="011A3C"/>
          <w:sz w:val="24"/>
          <w:szCs w:val="24"/>
          <w:lang w:val="en" w:eastAsia="en-AU"/>
        </w:rPr>
        <w:t xml:space="preserve">as the Disability Inclusion model is implemented in </w:t>
      </w:r>
      <w:r w:rsidR="00150D85" w:rsidRPr="004D307F">
        <w:rPr>
          <w:rFonts w:ascii="VIC-Regular" w:eastAsia="Times New Roman" w:hAnsi="VIC-Regular" w:cs="Times New Roman"/>
          <w:color w:val="011A3C"/>
          <w:sz w:val="24"/>
          <w:szCs w:val="24"/>
          <w:lang w:val="en" w:eastAsia="en-AU"/>
        </w:rPr>
        <w:t>schools.</w:t>
      </w:r>
    </w:p>
    <w:p w14:paraId="2C4D8F21" w14:textId="77777777" w:rsidR="00017551" w:rsidRPr="004D307F" w:rsidRDefault="00017551" w:rsidP="00017551">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4CF31AD3" w14:textId="77777777" w:rsidR="003357B4" w:rsidRPr="004D307F" w:rsidRDefault="003357B4"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through the Language and Learning Disabilities Support Program will continue to be available to schools until they transition to Disability Inclusion during the staged 5-year roll-out schedule between 2021 to 2025.</w:t>
      </w:r>
    </w:p>
    <w:p w14:paraId="3678AD38" w14:textId="274A5B4F" w:rsidR="00017551" w:rsidRPr="004D307F" w:rsidRDefault="003357B4"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Remaining s</w:t>
      </w:r>
      <w:r w:rsidR="00017551" w:rsidRPr="004D307F">
        <w:rPr>
          <w:rFonts w:ascii="VIC-Regular" w:eastAsia="Times New Roman" w:hAnsi="VIC-Regular" w:cs="Times New Roman"/>
          <w:color w:val="011A3C"/>
          <w:sz w:val="24"/>
          <w:szCs w:val="24"/>
          <w:lang w:val="en" w:eastAsia="en-AU"/>
        </w:rPr>
        <w:t xml:space="preserve">chools with the following campus types and enrolments are eligible for the </w:t>
      </w:r>
      <w:r w:rsidR="00920576" w:rsidRPr="004D307F">
        <w:rPr>
          <w:rFonts w:ascii="VIC-Regular" w:eastAsia="Times New Roman" w:hAnsi="VIC-Regular" w:cs="Times New Roman"/>
          <w:color w:val="011A3C"/>
          <w:sz w:val="24"/>
          <w:szCs w:val="24"/>
          <w:lang w:val="en" w:eastAsia="en-AU"/>
        </w:rPr>
        <w:t>L</w:t>
      </w:r>
      <w:r w:rsidR="00017551" w:rsidRPr="004D307F">
        <w:rPr>
          <w:rFonts w:ascii="VIC-Regular" w:eastAsia="Times New Roman" w:hAnsi="VIC-Regular" w:cs="Times New Roman"/>
          <w:color w:val="011A3C"/>
          <w:sz w:val="24"/>
          <w:szCs w:val="24"/>
          <w:lang w:val="en" w:eastAsia="en-AU"/>
        </w:rPr>
        <w:t xml:space="preserve">anguage and </w:t>
      </w:r>
      <w:r w:rsidR="00920576" w:rsidRPr="004D307F">
        <w:rPr>
          <w:rFonts w:ascii="VIC-Regular" w:eastAsia="Times New Roman" w:hAnsi="VIC-Regular" w:cs="Times New Roman"/>
          <w:color w:val="011A3C"/>
          <w:sz w:val="24"/>
          <w:szCs w:val="24"/>
          <w:lang w:val="en" w:eastAsia="en-AU"/>
        </w:rPr>
        <w:t>L</w:t>
      </w:r>
      <w:r w:rsidR="00017551" w:rsidRPr="004D307F">
        <w:rPr>
          <w:rFonts w:ascii="VIC-Regular" w:eastAsia="Times New Roman" w:hAnsi="VIC-Regular" w:cs="Times New Roman"/>
          <w:color w:val="011A3C"/>
          <w:sz w:val="24"/>
          <w:szCs w:val="24"/>
          <w:lang w:val="en" w:eastAsia="en-AU"/>
        </w:rPr>
        <w:t xml:space="preserve">earning </w:t>
      </w:r>
      <w:r w:rsidR="00920576" w:rsidRPr="004D307F">
        <w:rPr>
          <w:rFonts w:ascii="VIC-Regular" w:eastAsia="Times New Roman" w:hAnsi="VIC-Regular" w:cs="Times New Roman"/>
          <w:color w:val="011A3C"/>
          <w:sz w:val="24"/>
          <w:szCs w:val="24"/>
          <w:lang w:val="en" w:eastAsia="en-AU"/>
        </w:rPr>
        <w:t>D</w:t>
      </w:r>
      <w:r w:rsidR="00017551" w:rsidRPr="004D307F">
        <w:rPr>
          <w:rFonts w:ascii="VIC-Regular" w:eastAsia="Times New Roman" w:hAnsi="VIC-Regular" w:cs="Times New Roman"/>
          <w:color w:val="011A3C"/>
          <w:sz w:val="24"/>
          <w:szCs w:val="24"/>
          <w:lang w:val="en" w:eastAsia="en-AU"/>
        </w:rPr>
        <w:t xml:space="preserve">isabilities </w:t>
      </w:r>
      <w:r w:rsidR="00920576" w:rsidRPr="004D307F">
        <w:rPr>
          <w:rFonts w:ascii="VIC-Regular" w:eastAsia="Times New Roman" w:hAnsi="VIC-Regular" w:cs="Times New Roman"/>
          <w:color w:val="011A3C"/>
          <w:sz w:val="24"/>
          <w:szCs w:val="24"/>
          <w:lang w:val="en" w:eastAsia="en-AU"/>
        </w:rPr>
        <w:t>S</w:t>
      </w:r>
      <w:r w:rsidR="00017551" w:rsidRPr="004D307F">
        <w:rPr>
          <w:rFonts w:ascii="VIC-Regular" w:eastAsia="Times New Roman" w:hAnsi="VIC-Regular" w:cs="Times New Roman"/>
          <w:color w:val="011A3C"/>
          <w:sz w:val="24"/>
          <w:szCs w:val="24"/>
          <w:lang w:val="en" w:eastAsia="en-AU"/>
        </w:rPr>
        <w:t xml:space="preserve">upport </w:t>
      </w:r>
      <w:r w:rsidR="00920576" w:rsidRPr="004D307F">
        <w:rPr>
          <w:rFonts w:ascii="VIC-Regular" w:eastAsia="Times New Roman" w:hAnsi="VIC-Regular" w:cs="Times New Roman"/>
          <w:color w:val="011A3C"/>
          <w:sz w:val="24"/>
          <w:szCs w:val="24"/>
          <w:lang w:val="en" w:eastAsia="en-AU"/>
        </w:rPr>
        <w:t>P</w:t>
      </w:r>
      <w:r w:rsidR="00017551" w:rsidRPr="004D307F">
        <w:rPr>
          <w:rFonts w:ascii="VIC-Regular" w:eastAsia="Times New Roman" w:hAnsi="VIC-Regular" w:cs="Times New Roman"/>
          <w:color w:val="011A3C"/>
          <w:sz w:val="24"/>
          <w:szCs w:val="24"/>
          <w:lang w:val="en" w:eastAsia="en-AU"/>
        </w:rPr>
        <w:t>rogram funding at campus level.</w:t>
      </w:r>
    </w:p>
    <w:p w14:paraId="4E9A1B14" w14:textId="77777777" w:rsidR="00017551" w:rsidRPr="004D307F" w:rsidRDefault="00017551" w:rsidP="00F66851">
      <w:pPr>
        <w:numPr>
          <w:ilvl w:val="0"/>
          <w:numId w:val="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w:t>
      </w:r>
    </w:p>
    <w:p w14:paraId="090DB106" w14:textId="77777777" w:rsidR="00017551" w:rsidRPr="004D307F" w:rsidRDefault="00017551" w:rsidP="00F66851">
      <w:pPr>
        <w:numPr>
          <w:ilvl w:val="0"/>
          <w:numId w:val="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Secondary — Years 7 to 9 only</w:t>
      </w:r>
    </w:p>
    <w:p w14:paraId="71EC83D3" w14:textId="695CF692" w:rsidR="00317934" w:rsidRPr="004D307F" w:rsidRDefault="00017551" w:rsidP="00F66851">
      <w:pPr>
        <w:numPr>
          <w:ilvl w:val="0"/>
          <w:numId w:val="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Primary/Secondary </w:t>
      </w:r>
      <w:r w:rsidR="00317934" w:rsidRPr="004D307F">
        <w:rPr>
          <w:rFonts w:ascii="VIC-Regular" w:eastAsia="Times New Roman" w:hAnsi="VIC-Regular" w:cs="Times New Roman"/>
          <w:color w:val="011A3C"/>
          <w:sz w:val="24"/>
          <w:szCs w:val="24"/>
          <w:lang w:val="en" w:eastAsia="en-AU"/>
        </w:rPr>
        <w:t xml:space="preserve">Combined </w:t>
      </w:r>
      <w:r w:rsidRPr="004D307F">
        <w:rPr>
          <w:rFonts w:ascii="VIC-Regular" w:eastAsia="Times New Roman" w:hAnsi="VIC-Regular" w:cs="Times New Roman"/>
          <w:color w:val="011A3C"/>
          <w:sz w:val="24"/>
          <w:szCs w:val="24"/>
          <w:lang w:val="en" w:eastAsia="en-AU"/>
        </w:rPr>
        <w:t xml:space="preserve">— Years 7 to 9 only </w:t>
      </w:r>
    </w:p>
    <w:p w14:paraId="2E6C24B8" w14:textId="5549A56E" w:rsidR="00B52991" w:rsidRPr="004D307F" w:rsidRDefault="00B52991" w:rsidP="00F66851">
      <w:pPr>
        <w:numPr>
          <w:ilvl w:val="0"/>
          <w:numId w:val="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Community – Years 7 to 9 only</w:t>
      </w:r>
    </w:p>
    <w:p w14:paraId="672ADF73" w14:textId="3EC47A15" w:rsidR="005E41D9" w:rsidRPr="004D307F" w:rsidRDefault="005E41D9" w:rsidP="0031793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calculated at the Indicative, Confirmed and Revised budget cycles</w:t>
      </w:r>
      <w:r w:rsidR="003357B4" w:rsidRPr="004D307F">
        <w:rPr>
          <w:rFonts w:ascii="VIC-Regular" w:eastAsia="Times New Roman" w:hAnsi="VIC-Regular" w:cs="Times New Roman"/>
          <w:color w:val="011A3C"/>
          <w:sz w:val="24"/>
          <w:szCs w:val="24"/>
          <w:lang w:val="en" w:eastAsia="en-AU"/>
        </w:rPr>
        <w:t xml:space="preserve"> and </w:t>
      </w:r>
      <w:r w:rsidR="004E1F6F" w:rsidRPr="004D307F">
        <w:rPr>
          <w:rFonts w:ascii="VIC-Regular" w:eastAsia="Times New Roman" w:hAnsi="VIC-Regular" w:cs="Times New Roman"/>
          <w:color w:val="011A3C"/>
          <w:sz w:val="24"/>
          <w:szCs w:val="24"/>
          <w:lang w:val="en" w:eastAsia="en-AU"/>
        </w:rPr>
        <w:t xml:space="preserve">funding is </w:t>
      </w:r>
      <w:r w:rsidRPr="004D307F">
        <w:rPr>
          <w:rFonts w:ascii="VIC-Regular" w:eastAsia="Times New Roman" w:hAnsi="VIC-Regular" w:cs="Times New Roman"/>
          <w:color w:val="011A3C"/>
          <w:sz w:val="24"/>
          <w:szCs w:val="24"/>
          <w:lang w:val="en" w:eastAsia="en-AU"/>
        </w:rPr>
        <w:t>provided through credit funding</w:t>
      </w:r>
      <w:r w:rsidR="004E1F6F" w:rsidRPr="004D307F">
        <w:rPr>
          <w:rFonts w:ascii="VIC-Regular" w:eastAsia="Times New Roman" w:hAnsi="VIC-Regular" w:cs="Times New Roman"/>
          <w:color w:val="011A3C"/>
          <w:sz w:val="24"/>
          <w:szCs w:val="24"/>
          <w:lang w:val="en" w:eastAsia="en-AU"/>
        </w:rPr>
        <w:t>.</w:t>
      </w:r>
    </w:p>
    <w:p w14:paraId="4241747C" w14:textId="128C5DE9" w:rsidR="00E70EC6" w:rsidRPr="004D307F" w:rsidRDefault="00E70EC6" w:rsidP="0031793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 2022, schools that have funding allocated for Disability Inclusion (Ref 137) will no longer be eligible for this allocation regardless of school or campus type.</w:t>
      </w:r>
    </w:p>
    <w:p w14:paraId="3C89B210" w14:textId="3D296A67" w:rsidR="00017551" w:rsidRPr="004D307F" w:rsidRDefault="00017551" w:rsidP="00017551">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0980E443" w14:textId="1E1ECAAB"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allocation is calculated in two parts.  First, a weighted per student allocation based on the Stages of Schooling for Prep to 9 students. Second, a further allocation for </w:t>
      </w:r>
      <w:r w:rsidR="00CF1CCA" w:rsidRPr="004D307F">
        <w:rPr>
          <w:rFonts w:ascii="VIC-Regular" w:eastAsia="Times New Roman" w:hAnsi="VIC-Regular" w:cs="Times New Roman"/>
          <w:color w:val="011A3C"/>
          <w:sz w:val="24"/>
          <w:szCs w:val="24"/>
          <w:lang w:val="en" w:eastAsia="en-AU"/>
        </w:rPr>
        <w:t xml:space="preserve">campuses </w:t>
      </w:r>
      <w:r w:rsidRPr="004D307F">
        <w:rPr>
          <w:rFonts w:ascii="VIC-Regular" w:eastAsia="Times New Roman" w:hAnsi="VIC-Regular" w:cs="Times New Roman"/>
          <w:color w:val="011A3C"/>
          <w:sz w:val="24"/>
          <w:szCs w:val="24"/>
          <w:lang w:val="en" w:eastAsia="en-AU"/>
        </w:rPr>
        <w:t>with a Student Family Occupation (SFO) index above a density threshold of 0.4606.</w:t>
      </w:r>
    </w:p>
    <w:p w14:paraId="30C186A7" w14:textId="77777777"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Per Student Allocation (Part 1)</w:t>
      </w:r>
      <w:r w:rsidRPr="004D307F">
        <w:rPr>
          <w:rFonts w:ascii="VIC-Regular" w:eastAsia="Times New Roman" w:hAnsi="VIC-Regular" w:cs="Times New Roman"/>
          <w:color w:val="011A3C"/>
          <w:sz w:val="24"/>
          <w:szCs w:val="24"/>
          <w:lang w:val="en" w:eastAsia="en-AU"/>
        </w:rPr>
        <w:t xml:space="preserve"> = Base Allocation + (Stages of Schooling Enrolment x Stages of Schooling weighted Rate)</w:t>
      </w:r>
    </w:p>
    <w:p w14:paraId="0B5783DF" w14:textId="77777777"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SFO Allocation (Part 2 if applicable)</w:t>
      </w:r>
      <w:r w:rsidRPr="004D307F">
        <w:rPr>
          <w:rFonts w:ascii="VIC-Regular" w:eastAsia="Times New Roman" w:hAnsi="VIC-Regular" w:cs="Times New Roman"/>
          <w:color w:val="011A3C"/>
          <w:sz w:val="24"/>
          <w:szCs w:val="24"/>
          <w:lang w:val="en" w:eastAsia="en-AU"/>
        </w:rPr>
        <w:t xml:space="preserve"> = Stages of Schooling enrolment x Stages of schooling weighted SFO student rate x (School SFO Index – SFO threshold)</w:t>
      </w:r>
    </w:p>
    <w:p w14:paraId="376AB543" w14:textId="77777777"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16" w:name="_Hlk48116568"/>
      <w:r w:rsidRPr="004D307F">
        <w:rPr>
          <w:rFonts w:ascii="VIC-Regular" w:eastAsia="Times New Roman" w:hAnsi="VIC-Regular" w:cs="Times New Roman"/>
          <w:b/>
          <w:bCs/>
          <w:color w:val="011A3C"/>
          <w:sz w:val="24"/>
          <w:szCs w:val="24"/>
          <w:lang w:val="en" w:eastAsia="en-AU"/>
        </w:rPr>
        <w:t>Total Allocation</w:t>
      </w:r>
      <w:r w:rsidRPr="004D307F">
        <w:rPr>
          <w:rFonts w:ascii="VIC-Regular" w:eastAsia="Times New Roman" w:hAnsi="VIC-Regular" w:cs="Times New Roman"/>
          <w:color w:val="011A3C"/>
          <w:sz w:val="24"/>
          <w:szCs w:val="24"/>
          <w:lang w:val="en" w:eastAsia="en-AU"/>
        </w:rPr>
        <w:t xml:space="preserve"> = Per Student allocation + SFO Allocation</w:t>
      </w:r>
    </w:p>
    <w:bookmarkEnd w:id="16"/>
    <w:p w14:paraId="13B8AE79" w14:textId="1E51B47A"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Minimum Allocation for all primary and secondary </w:t>
      </w:r>
      <w:r w:rsidR="00CF1CCA" w:rsidRPr="004D307F">
        <w:rPr>
          <w:rFonts w:ascii="VIC-Regular" w:eastAsia="Times New Roman" w:hAnsi="VIC-Regular" w:cs="Times New Roman"/>
          <w:color w:val="011A3C"/>
          <w:sz w:val="24"/>
          <w:szCs w:val="24"/>
          <w:lang w:val="en" w:eastAsia="en-AU"/>
        </w:rPr>
        <w:t xml:space="preserve">campuses </w:t>
      </w:r>
      <w:r w:rsidRPr="004D307F">
        <w:rPr>
          <w:rFonts w:ascii="VIC-Regular" w:eastAsia="Times New Roman" w:hAnsi="VIC-Regular" w:cs="Times New Roman"/>
          <w:color w:val="011A3C"/>
          <w:sz w:val="24"/>
          <w:szCs w:val="24"/>
          <w:lang w:val="en" w:eastAsia="en-AU"/>
        </w:rPr>
        <w:t>= $5,000.00</w:t>
      </w:r>
    </w:p>
    <w:p w14:paraId="67F28D39" w14:textId="3616C8AB" w:rsidR="009D3396" w:rsidRPr="004D307F" w:rsidRDefault="009D3396" w:rsidP="009D3396">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Example:</w:t>
      </w:r>
      <w:r w:rsidR="00B77069"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 xml:space="preserve"> A </w:t>
      </w:r>
      <w:r w:rsidR="00B77069" w:rsidRPr="004D307F">
        <w:rPr>
          <w:rFonts w:ascii="VIC-Regular" w:eastAsia="Times New Roman" w:hAnsi="VIC-Regular" w:cs="Times New Roman"/>
          <w:color w:val="011A3C"/>
          <w:sz w:val="24"/>
          <w:szCs w:val="24"/>
          <w:lang w:val="en" w:eastAsia="en-AU"/>
        </w:rPr>
        <w:t xml:space="preserve">primary school with 21 prep </w:t>
      </w:r>
      <w:r w:rsidR="0085324B" w:rsidRPr="004D307F">
        <w:rPr>
          <w:rFonts w:ascii="VIC-Regular" w:eastAsia="Times New Roman" w:hAnsi="VIC-Regular" w:cs="Times New Roman"/>
          <w:color w:val="011A3C"/>
          <w:sz w:val="24"/>
          <w:szCs w:val="24"/>
          <w:lang w:val="en" w:eastAsia="en-AU"/>
        </w:rPr>
        <w:t>to</w:t>
      </w:r>
      <w:r w:rsidR="00B77069" w:rsidRPr="004D307F">
        <w:rPr>
          <w:rFonts w:ascii="VIC-Regular" w:eastAsia="Times New Roman" w:hAnsi="VIC-Regular" w:cs="Times New Roman"/>
          <w:color w:val="011A3C"/>
          <w:sz w:val="24"/>
          <w:szCs w:val="24"/>
          <w:lang w:val="en" w:eastAsia="en-AU"/>
        </w:rPr>
        <w:t xml:space="preserve"> </w:t>
      </w:r>
      <w:r w:rsidR="0085324B" w:rsidRPr="004D307F">
        <w:rPr>
          <w:rFonts w:ascii="VIC-Regular" w:eastAsia="Times New Roman" w:hAnsi="VIC-Regular" w:cs="Times New Roman"/>
          <w:color w:val="011A3C"/>
          <w:sz w:val="24"/>
          <w:szCs w:val="24"/>
          <w:lang w:val="en" w:eastAsia="en-AU"/>
        </w:rPr>
        <w:t>year</w:t>
      </w:r>
      <w:r w:rsidR="00B77069" w:rsidRPr="004D307F">
        <w:rPr>
          <w:rFonts w:ascii="VIC-Regular" w:eastAsia="Times New Roman" w:hAnsi="VIC-Regular" w:cs="Times New Roman"/>
          <w:color w:val="011A3C"/>
          <w:sz w:val="24"/>
          <w:szCs w:val="24"/>
          <w:lang w:val="en" w:eastAsia="en-AU"/>
        </w:rPr>
        <w:t xml:space="preserve"> 1 enrolments, 11 </w:t>
      </w:r>
      <w:r w:rsidR="0085324B" w:rsidRPr="004D307F">
        <w:rPr>
          <w:rFonts w:ascii="VIC-Regular" w:eastAsia="Times New Roman" w:hAnsi="VIC-Regular" w:cs="Times New Roman"/>
          <w:color w:val="011A3C"/>
          <w:sz w:val="24"/>
          <w:szCs w:val="24"/>
          <w:lang w:val="en" w:eastAsia="en-AU"/>
        </w:rPr>
        <w:t xml:space="preserve">year </w:t>
      </w:r>
      <w:r w:rsidR="00B77069" w:rsidRPr="004D307F">
        <w:rPr>
          <w:rFonts w:ascii="VIC-Regular" w:eastAsia="Times New Roman" w:hAnsi="VIC-Regular" w:cs="Times New Roman"/>
          <w:color w:val="011A3C"/>
          <w:sz w:val="24"/>
          <w:szCs w:val="24"/>
          <w:lang w:val="en" w:eastAsia="en-AU"/>
        </w:rPr>
        <w:t xml:space="preserve">2 enrolments, 50 </w:t>
      </w:r>
      <w:r w:rsidR="0085324B" w:rsidRPr="004D307F">
        <w:rPr>
          <w:rFonts w:ascii="VIC-Regular" w:eastAsia="Times New Roman" w:hAnsi="VIC-Regular" w:cs="Times New Roman"/>
          <w:color w:val="011A3C"/>
          <w:sz w:val="24"/>
          <w:szCs w:val="24"/>
          <w:lang w:val="en" w:eastAsia="en-AU"/>
        </w:rPr>
        <w:t xml:space="preserve">year </w:t>
      </w:r>
      <w:r w:rsidR="00B77069" w:rsidRPr="004D307F">
        <w:rPr>
          <w:rFonts w:ascii="VIC-Regular" w:eastAsia="Times New Roman" w:hAnsi="VIC-Regular" w:cs="Times New Roman"/>
          <w:color w:val="011A3C"/>
          <w:sz w:val="24"/>
          <w:szCs w:val="24"/>
          <w:lang w:val="en" w:eastAsia="en-AU"/>
        </w:rPr>
        <w:t>3</w:t>
      </w:r>
      <w:r w:rsidR="0085324B" w:rsidRPr="004D307F">
        <w:rPr>
          <w:rFonts w:ascii="VIC-Regular" w:eastAsia="Times New Roman" w:hAnsi="VIC-Regular" w:cs="Times New Roman"/>
          <w:color w:val="011A3C"/>
          <w:sz w:val="24"/>
          <w:szCs w:val="24"/>
          <w:lang w:val="en" w:eastAsia="en-AU"/>
        </w:rPr>
        <w:t xml:space="preserve"> to </w:t>
      </w:r>
      <w:r w:rsidR="00B77069" w:rsidRPr="004D307F">
        <w:rPr>
          <w:rFonts w:ascii="VIC-Regular" w:eastAsia="Times New Roman" w:hAnsi="VIC-Regular" w:cs="Times New Roman"/>
          <w:color w:val="011A3C"/>
          <w:sz w:val="24"/>
          <w:szCs w:val="24"/>
          <w:lang w:val="en" w:eastAsia="en-AU"/>
        </w:rPr>
        <w:t>6 enrolments and a</w:t>
      </w:r>
      <w:r w:rsidR="0085324B" w:rsidRPr="004D307F">
        <w:rPr>
          <w:rFonts w:ascii="VIC-Regular" w:eastAsia="Times New Roman" w:hAnsi="VIC-Regular" w:cs="Times New Roman"/>
          <w:color w:val="011A3C"/>
          <w:sz w:val="24"/>
          <w:szCs w:val="24"/>
          <w:lang w:val="en" w:eastAsia="en-AU"/>
        </w:rPr>
        <w:t xml:space="preserve"> school</w:t>
      </w:r>
      <w:r w:rsidR="00B77069" w:rsidRPr="004D307F">
        <w:rPr>
          <w:rFonts w:ascii="VIC-Regular" w:eastAsia="Times New Roman" w:hAnsi="VIC-Regular" w:cs="Times New Roman"/>
          <w:color w:val="011A3C"/>
          <w:sz w:val="24"/>
          <w:szCs w:val="24"/>
          <w:lang w:val="en" w:eastAsia="en-AU"/>
        </w:rPr>
        <w:t xml:space="preserve"> SFO density of </w:t>
      </w:r>
      <w:r w:rsidR="0085324B" w:rsidRPr="004D307F">
        <w:rPr>
          <w:rFonts w:ascii="VIC-Regular" w:eastAsia="Times New Roman" w:hAnsi="VIC-Regular" w:cs="Times New Roman"/>
          <w:color w:val="011A3C"/>
          <w:sz w:val="24"/>
          <w:szCs w:val="24"/>
          <w:lang w:val="en" w:eastAsia="en-AU"/>
        </w:rPr>
        <w:t>0</w:t>
      </w:r>
      <w:r w:rsidR="00B77069" w:rsidRPr="004D307F">
        <w:rPr>
          <w:rFonts w:ascii="VIC-Regular" w:eastAsia="Times New Roman" w:hAnsi="VIC-Regular" w:cs="Times New Roman"/>
          <w:color w:val="011A3C"/>
          <w:sz w:val="24"/>
          <w:szCs w:val="24"/>
          <w:lang w:val="en" w:eastAsia="en-AU"/>
        </w:rPr>
        <w:t xml:space="preserve">.5543 would </w:t>
      </w:r>
      <w:r w:rsidR="00953A7E" w:rsidRPr="004D307F">
        <w:rPr>
          <w:rFonts w:ascii="VIC-Regular" w:eastAsia="Times New Roman" w:hAnsi="VIC-Regular" w:cs="Times New Roman"/>
          <w:color w:val="011A3C"/>
          <w:sz w:val="24"/>
          <w:szCs w:val="24"/>
          <w:lang w:val="en" w:eastAsia="en-AU"/>
        </w:rPr>
        <w:t>calculate</w:t>
      </w:r>
      <w:r w:rsidR="00B77069" w:rsidRPr="004D307F">
        <w:rPr>
          <w:rFonts w:ascii="VIC-Regular" w:eastAsia="Times New Roman" w:hAnsi="VIC-Regular" w:cs="Times New Roman"/>
          <w:color w:val="011A3C"/>
          <w:sz w:val="24"/>
          <w:szCs w:val="24"/>
          <w:lang w:val="en" w:eastAsia="en-AU"/>
        </w:rPr>
        <w:t xml:space="preserve"> their funding as follows:</w:t>
      </w:r>
    </w:p>
    <w:p w14:paraId="5B28E033" w14:textId="3BE359D0" w:rsidR="00B77069" w:rsidRPr="004D307F" w:rsidRDefault="009D3396" w:rsidP="00B7706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b/>
          <w:bCs/>
          <w:lang w:val="en" w:eastAsia="en-AU"/>
        </w:rPr>
        <w:t xml:space="preserve">Part 1 </w:t>
      </w:r>
      <w:r w:rsidR="00B77069" w:rsidRPr="004D307F">
        <w:rPr>
          <w:b/>
          <w:bCs/>
          <w:lang w:val="en" w:eastAsia="en-AU"/>
        </w:rPr>
        <w:t>Student Allocation</w:t>
      </w:r>
      <w:r w:rsidRPr="004D307F">
        <w:rPr>
          <w:lang w:val="en" w:eastAsia="en-AU"/>
        </w:rPr>
        <w:t xml:space="preserve"> = </w:t>
      </w:r>
      <w:r w:rsidR="00B77069" w:rsidRPr="004D307F">
        <w:rPr>
          <w:rFonts w:ascii="VIC-Regular" w:eastAsia="Times New Roman" w:hAnsi="VIC-Regular" w:cs="Times New Roman"/>
          <w:color w:val="011A3C"/>
          <w:sz w:val="24"/>
          <w:szCs w:val="24"/>
          <w:lang w:val="en" w:eastAsia="en-AU"/>
        </w:rPr>
        <w:t>Base Allocation + (Prep</w:t>
      </w:r>
      <w:r w:rsidR="0085324B" w:rsidRPr="004D307F">
        <w:rPr>
          <w:rFonts w:ascii="VIC-Regular" w:eastAsia="Times New Roman" w:hAnsi="VIC-Regular" w:cs="Times New Roman"/>
          <w:color w:val="011A3C"/>
          <w:sz w:val="24"/>
          <w:szCs w:val="24"/>
          <w:lang w:val="en" w:eastAsia="en-AU"/>
        </w:rPr>
        <w:t xml:space="preserve"> to Y</w:t>
      </w:r>
      <w:r w:rsidR="00B77069" w:rsidRPr="004D307F">
        <w:rPr>
          <w:rFonts w:ascii="VIC-Regular" w:eastAsia="Times New Roman" w:hAnsi="VIC-Regular" w:cs="Times New Roman"/>
          <w:color w:val="011A3C"/>
          <w:sz w:val="24"/>
          <w:szCs w:val="24"/>
          <w:lang w:val="en" w:eastAsia="en-AU"/>
        </w:rPr>
        <w:t>1 Enrolment (21) x Prep</w:t>
      </w:r>
      <w:r w:rsidR="0085324B" w:rsidRPr="004D307F">
        <w:rPr>
          <w:rFonts w:ascii="VIC-Regular" w:eastAsia="Times New Roman" w:hAnsi="VIC-Regular" w:cs="Times New Roman"/>
          <w:color w:val="011A3C"/>
          <w:sz w:val="24"/>
          <w:szCs w:val="24"/>
          <w:lang w:val="en" w:eastAsia="en-AU"/>
        </w:rPr>
        <w:t xml:space="preserve"> t</w:t>
      </w:r>
      <w:r w:rsidR="0061396E" w:rsidRPr="004D307F">
        <w:rPr>
          <w:rFonts w:ascii="VIC-Regular" w:eastAsia="Times New Roman" w:hAnsi="VIC-Regular" w:cs="Times New Roman"/>
          <w:color w:val="011A3C"/>
          <w:sz w:val="24"/>
          <w:szCs w:val="24"/>
          <w:lang w:val="en" w:eastAsia="en-AU"/>
        </w:rPr>
        <w:t>o Y</w:t>
      </w:r>
      <w:r w:rsidR="00B77069" w:rsidRPr="004D307F">
        <w:rPr>
          <w:rFonts w:ascii="VIC-Regular" w:eastAsia="Times New Roman" w:hAnsi="VIC-Regular" w:cs="Times New Roman"/>
          <w:color w:val="011A3C"/>
          <w:sz w:val="24"/>
          <w:szCs w:val="24"/>
          <w:lang w:val="en" w:eastAsia="en-AU"/>
        </w:rPr>
        <w:t>1 weighted Rate) + (</w:t>
      </w:r>
      <w:r w:rsidR="0061396E" w:rsidRPr="004D307F">
        <w:rPr>
          <w:rFonts w:ascii="VIC-Regular" w:eastAsia="Times New Roman" w:hAnsi="VIC-Regular" w:cs="Times New Roman"/>
          <w:color w:val="011A3C"/>
          <w:sz w:val="24"/>
          <w:szCs w:val="24"/>
          <w:lang w:val="en" w:eastAsia="en-AU"/>
        </w:rPr>
        <w:t xml:space="preserve">Year </w:t>
      </w:r>
      <w:r w:rsidR="00B77069" w:rsidRPr="004D307F">
        <w:rPr>
          <w:rFonts w:ascii="VIC-Regular" w:eastAsia="Times New Roman" w:hAnsi="VIC-Regular" w:cs="Times New Roman"/>
          <w:color w:val="011A3C"/>
          <w:sz w:val="24"/>
          <w:szCs w:val="24"/>
          <w:lang w:val="en" w:eastAsia="en-AU"/>
        </w:rPr>
        <w:t xml:space="preserve">2 Enrolment (11) x </w:t>
      </w:r>
      <w:r w:rsidR="0061396E" w:rsidRPr="004D307F">
        <w:rPr>
          <w:rFonts w:ascii="VIC-Regular" w:eastAsia="Times New Roman" w:hAnsi="VIC-Regular" w:cs="Times New Roman"/>
          <w:color w:val="011A3C"/>
          <w:sz w:val="24"/>
          <w:szCs w:val="24"/>
          <w:lang w:val="en" w:eastAsia="en-AU"/>
        </w:rPr>
        <w:t xml:space="preserve">Year </w:t>
      </w:r>
      <w:r w:rsidR="00B77069" w:rsidRPr="004D307F">
        <w:rPr>
          <w:rFonts w:ascii="VIC-Regular" w:eastAsia="Times New Roman" w:hAnsi="VIC-Regular" w:cs="Times New Roman"/>
          <w:color w:val="011A3C"/>
          <w:sz w:val="24"/>
          <w:szCs w:val="24"/>
          <w:lang w:val="en" w:eastAsia="en-AU"/>
        </w:rPr>
        <w:t>2 weighted Rate) + (</w:t>
      </w:r>
      <w:r w:rsidR="0061396E" w:rsidRPr="004D307F">
        <w:rPr>
          <w:rFonts w:ascii="VIC-Regular" w:eastAsia="Times New Roman" w:hAnsi="VIC-Regular" w:cs="Times New Roman"/>
          <w:color w:val="011A3C"/>
          <w:sz w:val="24"/>
          <w:szCs w:val="24"/>
          <w:lang w:val="en" w:eastAsia="en-AU"/>
        </w:rPr>
        <w:t xml:space="preserve">Year </w:t>
      </w:r>
      <w:r w:rsidR="00B77069" w:rsidRPr="004D307F">
        <w:rPr>
          <w:rFonts w:ascii="VIC-Regular" w:eastAsia="Times New Roman" w:hAnsi="VIC-Regular" w:cs="Times New Roman"/>
          <w:color w:val="011A3C"/>
          <w:sz w:val="24"/>
          <w:szCs w:val="24"/>
          <w:lang w:val="en" w:eastAsia="en-AU"/>
        </w:rPr>
        <w:t>3</w:t>
      </w:r>
      <w:r w:rsidR="0061396E" w:rsidRPr="004D307F">
        <w:rPr>
          <w:rFonts w:ascii="VIC-Regular" w:eastAsia="Times New Roman" w:hAnsi="VIC-Regular" w:cs="Times New Roman"/>
          <w:color w:val="011A3C"/>
          <w:sz w:val="24"/>
          <w:szCs w:val="24"/>
          <w:lang w:val="en" w:eastAsia="en-AU"/>
        </w:rPr>
        <w:t xml:space="preserve"> to</w:t>
      </w:r>
      <w:r w:rsidR="00B77069" w:rsidRPr="004D307F">
        <w:rPr>
          <w:rFonts w:ascii="VIC-Regular" w:eastAsia="Times New Roman" w:hAnsi="VIC-Regular" w:cs="Times New Roman"/>
          <w:color w:val="011A3C"/>
          <w:sz w:val="24"/>
          <w:szCs w:val="24"/>
          <w:lang w:val="en" w:eastAsia="en-AU"/>
        </w:rPr>
        <w:t xml:space="preserve">6 Enrolment (50) x </w:t>
      </w:r>
      <w:r w:rsidR="0061396E" w:rsidRPr="004D307F">
        <w:rPr>
          <w:rFonts w:ascii="VIC-Regular" w:eastAsia="Times New Roman" w:hAnsi="VIC-Regular" w:cs="Times New Roman"/>
          <w:color w:val="011A3C"/>
          <w:sz w:val="24"/>
          <w:szCs w:val="24"/>
          <w:lang w:val="en" w:eastAsia="en-AU"/>
        </w:rPr>
        <w:t xml:space="preserve">Year </w:t>
      </w:r>
      <w:r w:rsidR="00B77069" w:rsidRPr="004D307F">
        <w:rPr>
          <w:rFonts w:ascii="VIC-Regular" w:eastAsia="Times New Roman" w:hAnsi="VIC-Regular" w:cs="Times New Roman"/>
          <w:color w:val="011A3C"/>
          <w:sz w:val="24"/>
          <w:szCs w:val="24"/>
          <w:lang w:val="en" w:eastAsia="en-AU"/>
        </w:rPr>
        <w:t>3</w:t>
      </w:r>
      <w:r w:rsidR="0061396E" w:rsidRPr="004D307F">
        <w:rPr>
          <w:rFonts w:ascii="VIC-Regular" w:eastAsia="Times New Roman" w:hAnsi="VIC-Regular" w:cs="Times New Roman"/>
          <w:color w:val="011A3C"/>
          <w:sz w:val="24"/>
          <w:szCs w:val="24"/>
          <w:lang w:val="en" w:eastAsia="en-AU"/>
        </w:rPr>
        <w:t xml:space="preserve"> to </w:t>
      </w:r>
      <w:r w:rsidR="00B77069" w:rsidRPr="004D307F">
        <w:rPr>
          <w:rFonts w:ascii="VIC-Regular" w:eastAsia="Times New Roman" w:hAnsi="VIC-Regular" w:cs="Times New Roman"/>
          <w:color w:val="011A3C"/>
          <w:sz w:val="24"/>
          <w:szCs w:val="24"/>
          <w:lang w:val="en" w:eastAsia="en-AU"/>
        </w:rPr>
        <w:t>6 weighted Rate)</w:t>
      </w:r>
    </w:p>
    <w:p w14:paraId="61CB3D55" w14:textId="60DDAD82" w:rsidR="00AF1F09" w:rsidRPr="004D307F" w:rsidRDefault="009D3396" w:rsidP="000D106B">
      <w:pPr>
        <w:rPr>
          <w:rFonts w:ascii="VIC-Regular" w:eastAsia="Times New Roman" w:hAnsi="VIC-Regular" w:cs="Times New Roman"/>
          <w:color w:val="011A3C"/>
          <w:sz w:val="24"/>
          <w:szCs w:val="24"/>
          <w:lang w:val="en" w:eastAsia="en-AU"/>
        </w:rPr>
      </w:pPr>
      <w:r w:rsidRPr="004D307F">
        <w:rPr>
          <w:b/>
          <w:bCs/>
          <w:lang w:val="en" w:eastAsia="en-AU"/>
        </w:rPr>
        <w:t xml:space="preserve">Part 2 </w:t>
      </w:r>
      <w:r w:rsidR="00B77069" w:rsidRPr="004D307F">
        <w:rPr>
          <w:b/>
          <w:bCs/>
          <w:lang w:val="en" w:eastAsia="en-AU"/>
        </w:rPr>
        <w:t>SFO Allocation</w:t>
      </w:r>
      <w:r w:rsidRPr="004D307F">
        <w:rPr>
          <w:lang w:val="en" w:eastAsia="en-AU"/>
        </w:rPr>
        <w:t xml:space="preserve"> = </w:t>
      </w:r>
      <w:r w:rsidR="00AF1F09" w:rsidRPr="004D307F">
        <w:rPr>
          <w:rFonts w:ascii="VIC-Regular" w:eastAsia="Times New Roman" w:hAnsi="VIC-Regular" w:cs="Times New Roman"/>
          <w:color w:val="011A3C"/>
          <w:sz w:val="24"/>
          <w:szCs w:val="24"/>
          <w:lang w:val="en" w:eastAsia="en-AU"/>
        </w:rPr>
        <w:t>(Prep</w:t>
      </w:r>
      <w:r w:rsidR="0061396E" w:rsidRPr="004D307F">
        <w:rPr>
          <w:rFonts w:ascii="VIC-Regular" w:eastAsia="Times New Roman" w:hAnsi="VIC-Regular" w:cs="Times New Roman"/>
          <w:color w:val="011A3C"/>
          <w:sz w:val="24"/>
          <w:szCs w:val="24"/>
          <w:lang w:val="en" w:eastAsia="en-AU"/>
        </w:rPr>
        <w:t xml:space="preserve"> to Y</w:t>
      </w:r>
      <w:r w:rsidR="00AF1F09" w:rsidRPr="004D307F">
        <w:rPr>
          <w:rFonts w:ascii="VIC-Regular" w:eastAsia="Times New Roman" w:hAnsi="VIC-Regular" w:cs="Times New Roman"/>
          <w:color w:val="011A3C"/>
          <w:sz w:val="24"/>
          <w:szCs w:val="24"/>
          <w:lang w:val="en" w:eastAsia="en-AU"/>
        </w:rPr>
        <w:t>1 Enrolment (21) x Prep</w:t>
      </w:r>
      <w:r w:rsidR="00337C31" w:rsidRPr="004D307F">
        <w:rPr>
          <w:rFonts w:ascii="VIC-Regular" w:eastAsia="Times New Roman" w:hAnsi="VIC-Regular" w:cs="Times New Roman"/>
          <w:color w:val="011A3C"/>
          <w:sz w:val="24"/>
          <w:szCs w:val="24"/>
          <w:lang w:val="en" w:eastAsia="en-AU"/>
        </w:rPr>
        <w:t xml:space="preserve"> </w:t>
      </w:r>
      <w:r w:rsidR="0061396E" w:rsidRPr="004D307F">
        <w:rPr>
          <w:rFonts w:ascii="VIC-Regular" w:eastAsia="Times New Roman" w:hAnsi="VIC-Regular" w:cs="Times New Roman"/>
          <w:color w:val="011A3C"/>
          <w:sz w:val="24"/>
          <w:szCs w:val="24"/>
          <w:lang w:val="en" w:eastAsia="en-AU"/>
        </w:rPr>
        <w:t>to Y</w:t>
      </w:r>
      <w:r w:rsidR="00AF1F09" w:rsidRPr="004D307F">
        <w:rPr>
          <w:rFonts w:ascii="VIC-Regular" w:eastAsia="Times New Roman" w:hAnsi="VIC-Regular" w:cs="Times New Roman"/>
          <w:color w:val="011A3C"/>
          <w:sz w:val="24"/>
          <w:szCs w:val="24"/>
          <w:lang w:val="en" w:eastAsia="en-AU"/>
        </w:rPr>
        <w:t>1 SFO weighted Rate) + (</w:t>
      </w:r>
      <w:r w:rsidR="0061396E" w:rsidRPr="004D307F">
        <w:rPr>
          <w:rFonts w:ascii="VIC-Regular" w:eastAsia="Times New Roman" w:hAnsi="VIC-Regular" w:cs="Times New Roman"/>
          <w:color w:val="011A3C"/>
          <w:sz w:val="24"/>
          <w:szCs w:val="24"/>
          <w:lang w:val="en" w:eastAsia="en-AU"/>
        </w:rPr>
        <w:t xml:space="preserve">Year </w:t>
      </w:r>
      <w:r w:rsidR="00AF1F09" w:rsidRPr="004D307F">
        <w:rPr>
          <w:rFonts w:ascii="VIC-Regular" w:eastAsia="Times New Roman" w:hAnsi="VIC-Regular" w:cs="Times New Roman"/>
          <w:color w:val="011A3C"/>
          <w:sz w:val="24"/>
          <w:szCs w:val="24"/>
          <w:lang w:val="en" w:eastAsia="en-AU"/>
        </w:rPr>
        <w:t xml:space="preserve">2 Enrolment (11) x </w:t>
      </w:r>
      <w:r w:rsidR="0061396E" w:rsidRPr="004D307F">
        <w:rPr>
          <w:rFonts w:ascii="VIC-Regular" w:eastAsia="Times New Roman" w:hAnsi="VIC-Regular" w:cs="Times New Roman"/>
          <w:color w:val="011A3C"/>
          <w:sz w:val="24"/>
          <w:szCs w:val="24"/>
          <w:lang w:val="en" w:eastAsia="en-AU"/>
        </w:rPr>
        <w:t xml:space="preserve">Year </w:t>
      </w:r>
      <w:r w:rsidR="00AF1F09" w:rsidRPr="004D307F">
        <w:rPr>
          <w:rFonts w:ascii="VIC-Regular" w:eastAsia="Times New Roman" w:hAnsi="VIC-Regular" w:cs="Times New Roman"/>
          <w:color w:val="011A3C"/>
          <w:sz w:val="24"/>
          <w:szCs w:val="24"/>
          <w:lang w:val="en" w:eastAsia="en-AU"/>
        </w:rPr>
        <w:t>2 SFO weighted Rate) + (</w:t>
      </w:r>
      <w:r w:rsidR="0061396E" w:rsidRPr="004D307F">
        <w:rPr>
          <w:rFonts w:ascii="VIC-Regular" w:eastAsia="Times New Roman" w:hAnsi="VIC-Regular" w:cs="Times New Roman"/>
          <w:color w:val="011A3C"/>
          <w:sz w:val="24"/>
          <w:szCs w:val="24"/>
          <w:lang w:val="en" w:eastAsia="en-AU"/>
        </w:rPr>
        <w:t xml:space="preserve">Year </w:t>
      </w:r>
      <w:r w:rsidR="00AF1F09" w:rsidRPr="004D307F">
        <w:rPr>
          <w:rFonts w:ascii="VIC-Regular" w:eastAsia="Times New Roman" w:hAnsi="VIC-Regular" w:cs="Times New Roman"/>
          <w:color w:val="011A3C"/>
          <w:sz w:val="24"/>
          <w:szCs w:val="24"/>
          <w:lang w:val="en" w:eastAsia="en-AU"/>
        </w:rPr>
        <w:t>3</w:t>
      </w:r>
      <w:r w:rsidR="0061396E" w:rsidRPr="004D307F">
        <w:rPr>
          <w:rFonts w:ascii="VIC-Regular" w:eastAsia="Times New Roman" w:hAnsi="VIC-Regular" w:cs="Times New Roman"/>
          <w:color w:val="011A3C"/>
          <w:sz w:val="24"/>
          <w:szCs w:val="24"/>
          <w:lang w:val="en" w:eastAsia="en-AU"/>
        </w:rPr>
        <w:t xml:space="preserve"> to </w:t>
      </w:r>
      <w:r w:rsidR="00AF1F09" w:rsidRPr="004D307F">
        <w:rPr>
          <w:rFonts w:ascii="VIC-Regular" w:eastAsia="Times New Roman" w:hAnsi="VIC-Regular" w:cs="Times New Roman"/>
          <w:color w:val="011A3C"/>
          <w:sz w:val="24"/>
          <w:szCs w:val="24"/>
          <w:lang w:val="en" w:eastAsia="en-AU"/>
        </w:rPr>
        <w:t xml:space="preserve">6 Enrolment (50) x </w:t>
      </w:r>
      <w:r w:rsidR="0061396E" w:rsidRPr="004D307F">
        <w:rPr>
          <w:rFonts w:ascii="VIC-Regular" w:eastAsia="Times New Roman" w:hAnsi="VIC-Regular" w:cs="Times New Roman"/>
          <w:color w:val="011A3C"/>
          <w:sz w:val="24"/>
          <w:szCs w:val="24"/>
          <w:lang w:val="en" w:eastAsia="en-AU"/>
        </w:rPr>
        <w:t xml:space="preserve">Year </w:t>
      </w:r>
      <w:r w:rsidR="00AF1F09" w:rsidRPr="004D307F">
        <w:rPr>
          <w:rFonts w:ascii="VIC-Regular" w:eastAsia="Times New Roman" w:hAnsi="VIC-Regular" w:cs="Times New Roman"/>
          <w:color w:val="011A3C"/>
          <w:sz w:val="24"/>
          <w:szCs w:val="24"/>
          <w:lang w:val="en" w:eastAsia="en-AU"/>
        </w:rPr>
        <w:t>3</w:t>
      </w:r>
      <w:r w:rsidR="0061396E" w:rsidRPr="004D307F">
        <w:rPr>
          <w:rFonts w:ascii="VIC-Regular" w:eastAsia="Times New Roman" w:hAnsi="VIC-Regular" w:cs="Times New Roman"/>
          <w:color w:val="011A3C"/>
          <w:sz w:val="24"/>
          <w:szCs w:val="24"/>
          <w:lang w:val="en" w:eastAsia="en-AU"/>
        </w:rPr>
        <w:t xml:space="preserve"> to </w:t>
      </w:r>
      <w:r w:rsidR="00AF1F09" w:rsidRPr="004D307F">
        <w:rPr>
          <w:rFonts w:ascii="VIC-Regular" w:eastAsia="Times New Roman" w:hAnsi="VIC-Regular" w:cs="Times New Roman"/>
          <w:color w:val="011A3C"/>
          <w:sz w:val="24"/>
          <w:szCs w:val="24"/>
          <w:lang w:val="en" w:eastAsia="en-AU"/>
        </w:rPr>
        <w:t>6 SFO weighted Rate)</w:t>
      </w:r>
      <w:r w:rsidR="00953A7E" w:rsidRPr="004D307F">
        <w:rPr>
          <w:rFonts w:ascii="VIC-Regular" w:eastAsia="Times New Roman" w:hAnsi="VIC-Regular" w:cs="Times New Roman"/>
          <w:color w:val="011A3C"/>
          <w:sz w:val="24"/>
          <w:szCs w:val="24"/>
          <w:lang w:val="en" w:eastAsia="en-AU"/>
        </w:rPr>
        <w:t xml:space="preserve"> x</w:t>
      </w:r>
      <w:r w:rsidR="00AF1F09" w:rsidRPr="004D307F">
        <w:rPr>
          <w:rFonts w:ascii="VIC-Regular" w:eastAsia="Times New Roman" w:hAnsi="VIC-Regular" w:cs="Times New Roman"/>
          <w:color w:val="011A3C"/>
          <w:sz w:val="24"/>
          <w:szCs w:val="24"/>
          <w:lang w:val="en" w:eastAsia="en-AU"/>
        </w:rPr>
        <w:t xml:space="preserve"> (School SFO Index (</w:t>
      </w:r>
      <w:r w:rsidR="00953A7E" w:rsidRPr="004D307F">
        <w:rPr>
          <w:rFonts w:ascii="VIC-Regular" w:eastAsia="Times New Roman" w:hAnsi="VIC-Regular" w:cs="Times New Roman"/>
          <w:color w:val="011A3C"/>
          <w:sz w:val="24"/>
          <w:szCs w:val="24"/>
          <w:lang w:val="en" w:eastAsia="en-AU"/>
        </w:rPr>
        <w:t>0</w:t>
      </w:r>
      <w:r w:rsidR="00AF1F09" w:rsidRPr="004D307F">
        <w:rPr>
          <w:rFonts w:ascii="VIC-Regular" w:eastAsia="Times New Roman" w:hAnsi="VIC-Regular" w:cs="Times New Roman"/>
          <w:color w:val="011A3C"/>
          <w:sz w:val="24"/>
          <w:szCs w:val="24"/>
          <w:lang w:val="en" w:eastAsia="en-AU"/>
        </w:rPr>
        <w:t xml:space="preserve">.5543) – SFO </w:t>
      </w:r>
      <w:r w:rsidR="0061396E" w:rsidRPr="004D307F">
        <w:rPr>
          <w:rFonts w:ascii="VIC-Regular" w:eastAsia="Times New Roman" w:hAnsi="VIC-Regular" w:cs="Times New Roman"/>
          <w:color w:val="011A3C"/>
          <w:sz w:val="24"/>
          <w:szCs w:val="24"/>
          <w:lang w:val="en" w:eastAsia="en-AU"/>
        </w:rPr>
        <w:t xml:space="preserve">density </w:t>
      </w:r>
      <w:r w:rsidR="00AF1F09" w:rsidRPr="004D307F">
        <w:rPr>
          <w:rFonts w:ascii="VIC-Regular" w:eastAsia="Times New Roman" w:hAnsi="VIC-Regular" w:cs="Times New Roman"/>
          <w:color w:val="011A3C"/>
          <w:sz w:val="24"/>
          <w:szCs w:val="24"/>
          <w:lang w:val="en" w:eastAsia="en-AU"/>
        </w:rPr>
        <w:t>threshold)</w:t>
      </w:r>
    </w:p>
    <w:p w14:paraId="6CCB0661" w14:textId="33563C14" w:rsidR="00B77069" w:rsidRPr="004D307F" w:rsidRDefault="00AF1F09"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T</w:t>
      </w:r>
      <w:r w:rsidR="00B77069" w:rsidRPr="004D307F">
        <w:rPr>
          <w:rFonts w:ascii="VIC-Regular" w:eastAsia="Times New Roman" w:hAnsi="VIC-Regular" w:cs="Times New Roman"/>
          <w:b/>
          <w:bCs/>
          <w:color w:val="011A3C"/>
          <w:sz w:val="24"/>
          <w:szCs w:val="24"/>
          <w:lang w:val="en" w:eastAsia="en-AU"/>
        </w:rPr>
        <w:t>otal Allocation</w:t>
      </w:r>
      <w:r w:rsidR="00B77069" w:rsidRPr="004D307F">
        <w:rPr>
          <w:rFonts w:ascii="VIC-Regular" w:eastAsia="Times New Roman" w:hAnsi="VIC-Regular" w:cs="Times New Roman"/>
          <w:color w:val="011A3C"/>
          <w:sz w:val="24"/>
          <w:szCs w:val="24"/>
          <w:lang w:val="en" w:eastAsia="en-AU"/>
        </w:rPr>
        <w:t xml:space="preserve"> = Student allocation</w:t>
      </w:r>
      <w:r w:rsidR="0061396E" w:rsidRPr="004D307F">
        <w:rPr>
          <w:rFonts w:ascii="VIC-Regular" w:eastAsia="Times New Roman" w:hAnsi="VIC-Regular" w:cs="Times New Roman"/>
          <w:color w:val="011A3C"/>
          <w:sz w:val="24"/>
          <w:szCs w:val="24"/>
          <w:lang w:val="en" w:eastAsia="en-AU"/>
        </w:rPr>
        <w:t xml:space="preserve"> (part 1)</w:t>
      </w:r>
      <w:r w:rsidR="00B77069" w:rsidRPr="004D307F">
        <w:rPr>
          <w:rFonts w:ascii="VIC-Regular" w:eastAsia="Times New Roman" w:hAnsi="VIC-Regular" w:cs="Times New Roman"/>
          <w:color w:val="011A3C"/>
          <w:sz w:val="24"/>
          <w:szCs w:val="24"/>
          <w:lang w:val="en" w:eastAsia="en-AU"/>
        </w:rPr>
        <w:t xml:space="preserve"> + SFO Allocation</w:t>
      </w:r>
      <w:r w:rsidR="0061396E" w:rsidRPr="004D307F">
        <w:rPr>
          <w:rFonts w:ascii="VIC-Regular" w:eastAsia="Times New Roman" w:hAnsi="VIC-Regular" w:cs="Times New Roman"/>
          <w:color w:val="011A3C"/>
          <w:sz w:val="24"/>
          <w:szCs w:val="24"/>
          <w:lang w:val="en" w:eastAsia="en-AU"/>
        </w:rPr>
        <w:t xml:space="preserve"> (part 2) a</w:t>
      </w:r>
      <w:r w:rsidR="00557615" w:rsidRPr="004D307F">
        <w:rPr>
          <w:rFonts w:ascii="VIC-Regular" w:eastAsia="Times New Roman" w:hAnsi="VIC-Regular" w:cs="Times New Roman"/>
          <w:color w:val="011A3C"/>
          <w:sz w:val="24"/>
          <w:szCs w:val="24"/>
          <w:lang w:val="en" w:eastAsia="en-AU"/>
        </w:rPr>
        <w:t xml:space="preserve"> minimum allocation </w:t>
      </w:r>
      <w:r w:rsidR="0061396E" w:rsidRPr="004D307F">
        <w:rPr>
          <w:rFonts w:ascii="VIC-Regular" w:eastAsia="Times New Roman" w:hAnsi="VIC-Regular" w:cs="Times New Roman"/>
          <w:color w:val="011A3C"/>
          <w:sz w:val="24"/>
          <w:szCs w:val="24"/>
          <w:lang w:val="en" w:eastAsia="en-AU"/>
        </w:rPr>
        <w:t xml:space="preserve">is </w:t>
      </w:r>
      <w:r w:rsidR="00337C31" w:rsidRPr="004D307F">
        <w:rPr>
          <w:rFonts w:ascii="VIC-Regular" w:eastAsia="Times New Roman" w:hAnsi="VIC-Regular" w:cs="Times New Roman"/>
          <w:color w:val="011A3C"/>
          <w:sz w:val="24"/>
          <w:szCs w:val="24"/>
          <w:lang w:val="en" w:eastAsia="en-AU"/>
        </w:rPr>
        <w:t>provided if</w:t>
      </w:r>
      <w:r w:rsidR="0061396E" w:rsidRPr="004D307F">
        <w:rPr>
          <w:rFonts w:ascii="VIC-Regular" w:eastAsia="Times New Roman" w:hAnsi="VIC-Regular" w:cs="Times New Roman"/>
          <w:color w:val="011A3C"/>
          <w:sz w:val="24"/>
          <w:szCs w:val="24"/>
          <w:lang w:val="en" w:eastAsia="en-AU"/>
        </w:rPr>
        <w:t xml:space="preserve"> parts 1 and 2 do not generate the minimum funding of $5,000.</w:t>
      </w:r>
    </w:p>
    <w:p w14:paraId="2F0A1759" w14:textId="2DFB64CD" w:rsidR="00017551" w:rsidRPr="004D307F" w:rsidRDefault="00017551" w:rsidP="00017551">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w:t>
      </w:r>
      <w:r w:rsidR="003357B4" w:rsidRPr="004D307F">
        <w:rPr>
          <w:rFonts w:ascii="VIC-Bold" w:eastAsia="Times New Roman" w:hAnsi="VIC-Bold" w:cs="Times New Roman"/>
          <w:b/>
          <w:bCs/>
          <w:color w:val="011A3C"/>
          <w:sz w:val="27"/>
          <w:szCs w:val="27"/>
          <w:lang w:val="en" w:eastAsia="en-A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1"/>
        <w:gridCol w:w="1032"/>
        <w:gridCol w:w="2911"/>
        <w:gridCol w:w="2962"/>
      </w:tblGrid>
      <w:tr w:rsidR="00017551" w:rsidRPr="004D307F" w14:paraId="6C86C548" w14:textId="77777777" w:rsidTr="00124D27">
        <w:trPr>
          <w:tblHeader/>
        </w:trPr>
        <w:tc>
          <w:tcPr>
            <w:tcW w:w="0" w:type="auto"/>
            <w:hideMark/>
          </w:tcPr>
          <w:p w14:paraId="312E7E6F" w14:textId="77777777" w:rsidR="00017551" w:rsidRPr="004D307F" w:rsidRDefault="00017551" w:rsidP="00017551">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Student Rates</w:t>
            </w:r>
          </w:p>
        </w:tc>
        <w:tc>
          <w:tcPr>
            <w:tcW w:w="0" w:type="auto"/>
            <w:hideMark/>
          </w:tcPr>
          <w:p w14:paraId="5FB53EA4" w14:textId="77777777" w:rsidR="00017551" w:rsidRPr="004D307F" w:rsidRDefault="00017551" w:rsidP="00017551">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Weighting</w:t>
            </w:r>
          </w:p>
        </w:tc>
        <w:tc>
          <w:tcPr>
            <w:tcW w:w="0" w:type="auto"/>
            <w:hideMark/>
          </w:tcPr>
          <w:p w14:paraId="4730FD02" w14:textId="77777777" w:rsidR="00017551" w:rsidRPr="004D307F" w:rsidRDefault="00017551" w:rsidP="00ED5B56">
            <w:pPr>
              <w:spacing w:before="100" w:beforeAutospacing="1" w:after="100" w:afterAutospacing="1"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Weighted per student rate ($)</w:t>
            </w:r>
          </w:p>
          <w:p w14:paraId="3D6710FD" w14:textId="77777777" w:rsidR="00017551" w:rsidRPr="004D307F" w:rsidRDefault="00017551" w:rsidP="00ED5B56">
            <w:pPr>
              <w:spacing w:before="100" w:beforeAutospacing="1" w:after="100" w:afterAutospacing="1"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(Part 1)</w:t>
            </w:r>
          </w:p>
        </w:tc>
        <w:tc>
          <w:tcPr>
            <w:tcW w:w="0" w:type="auto"/>
            <w:hideMark/>
          </w:tcPr>
          <w:p w14:paraId="36039CE4" w14:textId="77777777" w:rsidR="00017551" w:rsidRPr="004D307F" w:rsidRDefault="00017551" w:rsidP="00ED5B56">
            <w:pPr>
              <w:spacing w:before="100" w:beforeAutospacing="1" w:after="100" w:afterAutospacing="1"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Weighted SFO student rate ($)</w:t>
            </w:r>
          </w:p>
          <w:p w14:paraId="43A6AEA5" w14:textId="77777777" w:rsidR="00017551" w:rsidRPr="004D307F" w:rsidRDefault="00017551" w:rsidP="00ED5B56">
            <w:pPr>
              <w:spacing w:before="100" w:beforeAutospacing="1" w:after="100" w:afterAutospacing="1"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(Part 2, if applicable)</w:t>
            </w:r>
          </w:p>
        </w:tc>
      </w:tr>
      <w:tr w:rsidR="00017551" w:rsidRPr="004D307F" w14:paraId="4EE4952E" w14:textId="77777777" w:rsidTr="00124D27">
        <w:tc>
          <w:tcPr>
            <w:tcW w:w="0" w:type="auto"/>
            <w:hideMark/>
          </w:tcPr>
          <w:p w14:paraId="094B5717" w14:textId="77777777" w:rsidR="00017551" w:rsidRPr="004D307F" w:rsidRDefault="00017551" w:rsidP="0001755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Prep-1</w:t>
            </w:r>
          </w:p>
        </w:tc>
        <w:tc>
          <w:tcPr>
            <w:tcW w:w="0" w:type="auto"/>
            <w:hideMark/>
          </w:tcPr>
          <w:p w14:paraId="2A58D19E" w14:textId="77777777" w:rsidR="00017551" w:rsidRPr="004D307F" w:rsidRDefault="0001755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1.1750</w:t>
            </w:r>
          </w:p>
        </w:tc>
        <w:tc>
          <w:tcPr>
            <w:tcW w:w="0" w:type="auto"/>
            <w:hideMark/>
          </w:tcPr>
          <w:p w14:paraId="2C6E6015" w14:textId="79AB44FE" w:rsidR="00017551" w:rsidRPr="004D307F"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41.09</w:t>
            </w:r>
          </w:p>
        </w:tc>
        <w:tc>
          <w:tcPr>
            <w:tcW w:w="0" w:type="auto"/>
            <w:hideMark/>
          </w:tcPr>
          <w:p w14:paraId="2168DC9F" w14:textId="3A82C992" w:rsidR="00017551" w:rsidRPr="004D307F"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784.39</w:t>
            </w:r>
          </w:p>
        </w:tc>
      </w:tr>
      <w:tr w:rsidR="00017551" w:rsidRPr="004D307F" w14:paraId="18E5D519" w14:textId="77777777" w:rsidTr="00124D27">
        <w:tc>
          <w:tcPr>
            <w:tcW w:w="0" w:type="auto"/>
            <w:hideMark/>
          </w:tcPr>
          <w:p w14:paraId="323BE240" w14:textId="77777777" w:rsidR="00017551" w:rsidRPr="004D307F" w:rsidRDefault="00017551" w:rsidP="0001755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Year 2</w:t>
            </w:r>
          </w:p>
        </w:tc>
        <w:tc>
          <w:tcPr>
            <w:tcW w:w="0" w:type="auto"/>
            <w:hideMark/>
          </w:tcPr>
          <w:p w14:paraId="3E63713D" w14:textId="77777777" w:rsidR="00017551" w:rsidRPr="004D307F" w:rsidRDefault="0001755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1.0910</w:t>
            </w:r>
          </w:p>
        </w:tc>
        <w:tc>
          <w:tcPr>
            <w:tcW w:w="0" w:type="auto"/>
            <w:hideMark/>
          </w:tcPr>
          <w:p w14:paraId="07FC0FA6" w14:textId="467BC546" w:rsidR="00017551" w:rsidRPr="004D307F"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38.15</w:t>
            </w:r>
          </w:p>
        </w:tc>
        <w:tc>
          <w:tcPr>
            <w:tcW w:w="0" w:type="auto"/>
            <w:hideMark/>
          </w:tcPr>
          <w:p w14:paraId="6BF108A7" w14:textId="154BE31A" w:rsidR="00017551" w:rsidRPr="004D307F"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728.32</w:t>
            </w:r>
          </w:p>
        </w:tc>
      </w:tr>
      <w:tr w:rsidR="00017551" w:rsidRPr="004D307F" w14:paraId="7D6ECD01" w14:textId="77777777" w:rsidTr="00124D27">
        <w:tc>
          <w:tcPr>
            <w:tcW w:w="0" w:type="auto"/>
            <w:hideMark/>
          </w:tcPr>
          <w:p w14:paraId="442CDF3F" w14:textId="77777777" w:rsidR="00017551" w:rsidRPr="004D307F" w:rsidRDefault="00017551" w:rsidP="0001755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Years 3-6 (Base rates)</w:t>
            </w:r>
          </w:p>
        </w:tc>
        <w:tc>
          <w:tcPr>
            <w:tcW w:w="0" w:type="auto"/>
            <w:hideMark/>
          </w:tcPr>
          <w:p w14:paraId="087D5273" w14:textId="77777777" w:rsidR="00017551" w:rsidRPr="004D307F" w:rsidRDefault="0001755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1.0000</w:t>
            </w:r>
          </w:p>
        </w:tc>
        <w:tc>
          <w:tcPr>
            <w:tcW w:w="0" w:type="auto"/>
            <w:hideMark/>
          </w:tcPr>
          <w:p w14:paraId="4AD0C218" w14:textId="1B5419AA" w:rsidR="00017551" w:rsidRPr="004D307F"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34.97</w:t>
            </w:r>
          </w:p>
        </w:tc>
        <w:tc>
          <w:tcPr>
            <w:tcW w:w="0" w:type="auto"/>
            <w:hideMark/>
          </w:tcPr>
          <w:p w14:paraId="45B2F506" w14:textId="04695199" w:rsidR="00017551" w:rsidRPr="004D307F"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667.57</w:t>
            </w:r>
          </w:p>
        </w:tc>
      </w:tr>
      <w:tr w:rsidR="00017551" w:rsidRPr="004D307F" w14:paraId="0F8CC413" w14:textId="77777777" w:rsidTr="00124D27">
        <w:tc>
          <w:tcPr>
            <w:tcW w:w="0" w:type="auto"/>
            <w:hideMark/>
          </w:tcPr>
          <w:p w14:paraId="1EBB99CC" w14:textId="77777777" w:rsidR="00017551" w:rsidRPr="004D307F" w:rsidRDefault="00017551" w:rsidP="0001755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Years 7-9</w:t>
            </w:r>
          </w:p>
        </w:tc>
        <w:tc>
          <w:tcPr>
            <w:tcW w:w="0" w:type="auto"/>
            <w:hideMark/>
          </w:tcPr>
          <w:p w14:paraId="1E07F975" w14:textId="77777777" w:rsidR="00017551" w:rsidRPr="004D307F" w:rsidRDefault="0001755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1.3051</w:t>
            </w:r>
          </w:p>
        </w:tc>
        <w:tc>
          <w:tcPr>
            <w:tcW w:w="0" w:type="auto"/>
            <w:hideMark/>
          </w:tcPr>
          <w:p w14:paraId="32F9C8E2" w14:textId="576C0EF5" w:rsidR="00017551" w:rsidRPr="004D307F"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45.64</w:t>
            </w:r>
          </w:p>
        </w:tc>
        <w:tc>
          <w:tcPr>
            <w:tcW w:w="0" w:type="auto"/>
            <w:hideMark/>
          </w:tcPr>
          <w:p w14:paraId="339C559A" w14:textId="6786A591" w:rsidR="00017551" w:rsidRPr="004D307F"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871.25</w:t>
            </w:r>
          </w:p>
        </w:tc>
      </w:tr>
    </w:tbl>
    <w:p w14:paraId="264AB930" w14:textId="77777777" w:rsidR="00017551" w:rsidRPr="004D307F" w:rsidRDefault="00017551" w:rsidP="00F66851">
      <w:pPr>
        <w:numPr>
          <w:ilvl w:val="0"/>
          <w:numId w:val="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SFO Threshold 0.4606</w:t>
      </w:r>
    </w:p>
    <w:p w14:paraId="1BAF2754" w14:textId="2D1AC2C7" w:rsidR="00017551" w:rsidRPr="004D307F" w:rsidRDefault="00017551" w:rsidP="00F66851">
      <w:pPr>
        <w:numPr>
          <w:ilvl w:val="0"/>
          <w:numId w:val="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Guaranteed Minimum $5</w:t>
      </w:r>
      <w:r w:rsidR="00B473C1"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000</w:t>
      </w:r>
    </w:p>
    <w:p w14:paraId="7DF222FB" w14:textId="3E60CFB4" w:rsidR="00F7405B" w:rsidRPr="00992D99" w:rsidRDefault="00017551" w:rsidP="004D307F">
      <w:pPr>
        <w:numPr>
          <w:ilvl w:val="0"/>
          <w:numId w:val="9"/>
        </w:numPr>
        <w:spacing w:before="100" w:beforeAutospacing="1" w:after="100" w:afterAutospacing="1" w:line="360" w:lineRule="atLeast"/>
        <w:rPr>
          <w:rFonts w:ascii="VIC-Bold" w:eastAsia="Times New Roman" w:hAnsi="VIC-Bold" w:cs="Times New Roman"/>
          <w:color w:val="011A3C"/>
          <w:sz w:val="36"/>
          <w:szCs w:val="36"/>
          <w:lang w:val="en" w:eastAsia="en-AU"/>
        </w:rPr>
      </w:pPr>
      <w:r w:rsidRPr="004D307F">
        <w:rPr>
          <w:rFonts w:ascii="VIC-Regular" w:eastAsia="Times New Roman" w:hAnsi="VIC-Regular" w:cs="Times New Roman"/>
          <w:color w:val="011A3C"/>
          <w:sz w:val="24"/>
          <w:szCs w:val="24"/>
          <w:lang w:val="en" w:eastAsia="en-AU"/>
        </w:rPr>
        <w:t>Base Allocation $3</w:t>
      </w:r>
      <w:r w:rsidR="00B473C1"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000</w:t>
      </w:r>
    </w:p>
    <w:p w14:paraId="230D0F26" w14:textId="470AE7B7" w:rsidR="00CA3357" w:rsidRDefault="00CA3357">
      <w:pPr>
        <w:rPr>
          <w:rFonts w:ascii="VIC-Bold" w:eastAsia="Times New Roman" w:hAnsi="VIC-Bold" w:cs="Times New Roman"/>
          <w:color w:val="011A3C"/>
          <w:sz w:val="36"/>
          <w:szCs w:val="36"/>
          <w:lang w:val="en" w:eastAsia="en-AU"/>
        </w:rPr>
      </w:pPr>
      <w:r>
        <w:rPr>
          <w:rFonts w:ascii="VIC-Bold" w:eastAsia="Times New Roman" w:hAnsi="VIC-Bold" w:cs="Times New Roman"/>
          <w:color w:val="011A3C"/>
          <w:sz w:val="36"/>
          <w:szCs w:val="36"/>
          <w:lang w:val="en" w:eastAsia="en-AU"/>
        </w:rPr>
        <w:br w:type="page"/>
      </w:r>
    </w:p>
    <w:p w14:paraId="11C5C54B" w14:textId="64FFE9EF" w:rsidR="009B668A" w:rsidRPr="004D307F" w:rsidRDefault="00C95606" w:rsidP="00B566E7">
      <w:pPr>
        <w:pStyle w:val="Heading2"/>
      </w:pPr>
      <w:bookmarkStart w:id="17" w:name="_Toc106793748"/>
      <w:r w:rsidRPr="004D307F">
        <w:lastRenderedPageBreak/>
        <w:t>M</w:t>
      </w:r>
      <w:r w:rsidR="009B668A" w:rsidRPr="004D307F">
        <w:t>ental Health</w:t>
      </w:r>
      <w:r w:rsidR="00AA54CC" w:rsidRPr="004D307F">
        <w:t xml:space="preserve"> Practi</w:t>
      </w:r>
      <w:r w:rsidR="00920576" w:rsidRPr="004D307F">
        <w:t>ti</w:t>
      </w:r>
      <w:r w:rsidR="00AA54CC" w:rsidRPr="004D307F">
        <w:t>oners</w:t>
      </w:r>
      <w:r w:rsidR="009B668A" w:rsidRPr="004D307F">
        <w:t xml:space="preserve"> (Reference 119)</w:t>
      </w:r>
      <w:bookmarkEnd w:id="17"/>
    </w:p>
    <w:p w14:paraId="6B2E7CB3" w14:textId="2056C5F2" w:rsidR="009B668A" w:rsidRPr="004D307F" w:rsidRDefault="009B668A"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Mental Health Practitioners (MHP) initiative provide</w:t>
      </w:r>
      <w:r w:rsidR="00400DB6" w:rsidRPr="004D307F">
        <w:rPr>
          <w:rFonts w:ascii="VIC-Regular" w:eastAsia="Times New Roman" w:hAnsi="VIC-Regular" w:cs="Times New Roman"/>
          <w:color w:val="011A3C"/>
          <w:sz w:val="24"/>
          <w:szCs w:val="24"/>
          <w:lang w:val="en" w:eastAsia="en-AU"/>
        </w:rPr>
        <w:t>s</w:t>
      </w:r>
      <w:r w:rsidRPr="004D307F">
        <w:rPr>
          <w:rFonts w:ascii="VIC-Regular" w:eastAsia="Times New Roman" w:hAnsi="VIC-Regular" w:cs="Times New Roman"/>
          <w:color w:val="011A3C"/>
          <w:sz w:val="24"/>
          <w:szCs w:val="24"/>
          <w:lang w:val="en" w:eastAsia="en-AU"/>
        </w:rPr>
        <w:t xml:space="preserve"> funding to government school campuses with secondary enrolments to employ a mental health practitioner (mental health nurse, occupational therapist, psychologist or social worker) for between one and five days a week.</w:t>
      </w:r>
    </w:p>
    <w:p w14:paraId="7172D08B" w14:textId="6185322C" w:rsidR="009B668A" w:rsidRPr="004D307F"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Mental health practitioners provide direct counselling support to students and other early intervention and whole-school health promotion activities, as well as coordinating support for students with complex needs.</w:t>
      </w:r>
    </w:p>
    <w:p w14:paraId="564D426B" w14:textId="5D5A5765" w:rsidR="00D836DB" w:rsidRPr="004D307F" w:rsidRDefault="00D836DB"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further information on the rollout of the MHP initiative, refer to Mental health practitioners in secondary schools in the Department’s Mental Health Toolkit.</w:t>
      </w:r>
    </w:p>
    <w:p w14:paraId="5CB74587" w14:textId="30F5C0EC" w:rsidR="009B668A" w:rsidRPr="004D307F" w:rsidRDefault="001039D9"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Student Resource Package (</w:t>
      </w:r>
      <w:r w:rsidR="009B668A" w:rsidRPr="004D307F">
        <w:rPr>
          <w:rFonts w:ascii="VIC-Regular" w:eastAsia="Times New Roman" w:hAnsi="VIC-Regular" w:cs="Times New Roman"/>
          <w:color w:val="011A3C"/>
          <w:sz w:val="24"/>
          <w:szCs w:val="24"/>
          <w:lang w:val="en" w:eastAsia="en-AU"/>
        </w:rPr>
        <w:t>SRP</w:t>
      </w:r>
      <w:r w:rsidRPr="004D307F">
        <w:rPr>
          <w:rFonts w:ascii="VIC-Regular" w:eastAsia="Times New Roman" w:hAnsi="VIC-Regular" w:cs="Times New Roman"/>
          <w:color w:val="011A3C"/>
          <w:sz w:val="24"/>
          <w:szCs w:val="24"/>
          <w:lang w:val="en" w:eastAsia="en-AU"/>
        </w:rPr>
        <w:t>)</w:t>
      </w:r>
      <w:r w:rsidR="009B668A" w:rsidRPr="004D307F">
        <w:rPr>
          <w:rFonts w:ascii="VIC-Regular" w:eastAsia="Times New Roman" w:hAnsi="VIC-Regular" w:cs="Times New Roman"/>
          <w:color w:val="011A3C"/>
          <w:sz w:val="24"/>
          <w:szCs w:val="24"/>
          <w:lang w:val="en" w:eastAsia="en-AU"/>
        </w:rPr>
        <w:t xml:space="preserve"> funding </w:t>
      </w:r>
      <w:r w:rsidR="00400DB6" w:rsidRPr="004D307F">
        <w:rPr>
          <w:rFonts w:ascii="VIC-Regular" w:eastAsia="Times New Roman" w:hAnsi="VIC-Regular" w:cs="Times New Roman"/>
          <w:color w:val="011A3C"/>
          <w:sz w:val="24"/>
          <w:szCs w:val="24"/>
          <w:lang w:val="en" w:eastAsia="en-AU"/>
        </w:rPr>
        <w:t>is</w:t>
      </w:r>
      <w:r w:rsidR="009B668A" w:rsidRPr="004D307F">
        <w:rPr>
          <w:rFonts w:ascii="VIC-Regular" w:eastAsia="Times New Roman" w:hAnsi="VIC-Regular" w:cs="Times New Roman"/>
          <w:color w:val="011A3C"/>
          <w:sz w:val="24"/>
          <w:szCs w:val="24"/>
          <w:lang w:val="en" w:eastAsia="en-AU"/>
        </w:rPr>
        <w:t xml:space="preserve"> provided to cover the salary of an ongoing school-based mental health practitioner. Participating schools will receive between a minimum of 0.2 FTE and a maximum of 1.0 FTE, depending on their secondary student enrolments.</w:t>
      </w:r>
    </w:p>
    <w:p w14:paraId="754E91C5" w14:textId="7D9E1620" w:rsidR="009B668A" w:rsidRPr="004D307F"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FTE allocations will be fixed from the time of entry into the MHP initiative until the rollout period is complete. After the rollout period ends, FTE allocations will be reviewed and adjustments may be made. The first rollout period concludes in 2022.</w:t>
      </w:r>
    </w:p>
    <w:p w14:paraId="2B861B15" w14:textId="77777777" w:rsidR="00DF78FB" w:rsidRPr="004D307F" w:rsidRDefault="00DF78FB" w:rsidP="00DF78FB">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This funding is provided for the Mental Health Practitioners initiative only and allocated funding must be spent for this purpose. Prior to spending any accrued unused funding, schools should engage with their Area-based Mental Health Coordinator and refer to the MHP initiative School Implementation Guide.</w:t>
      </w:r>
    </w:p>
    <w:p w14:paraId="623B20C9" w14:textId="77777777" w:rsidR="009B668A" w:rsidRPr="004D307F" w:rsidRDefault="009B668A" w:rsidP="00B61E94">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2C79778C" w14:textId="7C7F1516" w:rsidR="00BC3588" w:rsidRPr="004D307F" w:rsidRDefault="009B668A" w:rsidP="009B668A">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w:t>
      </w:r>
      <w:r w:rsidR="00400DB6" w:rsidRPr="004D307F">
        <w:rPr>
          <w:rFonts w:ascii="VIC-Regular" w:eastAsia="Times New Roman" w:hAnsi="VIC-Regular" w:cs="Times New Roman"/>
          <w:color w:val="011A3C"/>
          <w:sz w:val="24"/>
          <w:szCs w:val="24"/>
          <w:lang w:val="en" w:eastAsia="en-AU"/>
        </w:rPr>
        <w:t>has been</w:t>
      </w:r>
      <w:r w:rsidRPr="004D307F">
        <w:rPr>
          <w:rFonts w:ascii="VIC-Regular" w:eastAsia="Times New Roman" w:hAnsi="VIC-Regular" w:cs="Times New Roman"/>
          <w:color w:val="011A3C"/>
          <w:sz w:val="24"/>
          <w:szCs w:val="24"/>
          <w:lang w:val="en" w:eastAsia="en-AU"/>
        </w:rPr>
        <w:t xml:space="preserve"> progressively rolled out to </w:t>
      </w:r>
      <w:r w:rsidR="004E1F6F" w:rsidRPr="004D307F">
        <w:rPr>
          <w:rFonts w:ascii="VIC-Regular" w:eastAsia="Times New Roman" w:hAnsi="VIC-Regular" w:cs="Times New Roman"/>
          <w:color w:val="011A3C"/>
          <w:sz w:val="24"/>
          <w:szCs w:val="24"/>
          <w:lang w:val="en" w:eastAsia="en-AU"/>
        </w:rPr>
        <w:t xml:space="preserve">Secondary and Primary / Secondary Combined </w:t>
      </w:r>
      <w:r w:rsidRPr="004D307F">
        <w:rPr>
          <w:rFonts w:ascii="VIC-Regular" w:eastAsia="Times New Roman" w:hAnsi="VIC-Regular" w:cs="Times New Roman"/>
          <w:color w:val="011A3C"/>
          <w:sz w:val="24"/>
          <w:szCs w:val="24"/>
          <w:lang w:val="en" w:eastAsia="en-AU"/>
        </w:rPr>
        <w:t>campuses with secondary enrolments according to an Area-based implementation model from 2019 to 202</w:t>
      </w:r>
      <w:r w:rsidR="00400DB6" w:rsidRPr="004D307F">
        <w:rPr>
          <w:rFonts w:ascii="VIC-Regular" w:eastAsia="Times New Roman" w:hAnsi="VIC-Regular" w:cs="Times New Roman"/>
          <w:color w:val="011A3C"/>
          <w:sz w:val="24"/>
          <w:szCs w:val="24"/>
          <w:lang w:val="en" w:eastAsia="en-AU"/>
        </w:rPr>
        <w:t>1</w:t>
      </w:r>
      <w:r w:rsidRPr="004D307F">
        <w:rPr>
          <w:rFonts w:ascii="VIC-Regular" w:eastAsia="Times New Roman" w:hAnsi="VIC-Regular" w:cs="Times New Roman"/>
          <w:color w:val="011A3C"/>
          <w:sz w:val="24"/>
          <w:szCs w:val="24"/>
          <w:lang w:val="en" w:eastAsia="en-AU"/>
        </w:rPr>
        <w:t>.</w:t>
      </w:r>
      <w:r w:rsidR="00B046EE" w:rsidRPr="004D307F">
        <w:rPr>
          <w:rFonts w:ascii="VIC-Regular" w:eastAsia="Times New Roman" w:hAnsi="VIC-Regular" w:cs="Times New Roman"/>
          <w:color w:val="011A3C"/>
          <w:sz w:val="24"/>
          <w:szCs w:val="24"/>
          <w:lang w:val="en" w:eastAsia="en-AU"/>
        </w:rPr>
        <w:t xml:space="preserve"> </w:t>
      </w:r>
      <w:r w:rsidR="00B63F2C" w:rsidRPr="004D307F">
        <w:rPr>
          <w:rFonts w:ascii="VIC-Regular" w:eastAsia="Times New Roman" w:hAnsi="VIC-Regular" w:cs="Times New Roman"/>
          <w:color w:val="011A3C"/>
          <w:sz w:val="24"/>
          <w:szCs w:val="24"/>
          <w:lang w:val="en" w:eastAsia="en-AU"/>
        </w:rPr>
        <w:t>F</w:t>
      </w:r>
      <w:r w:rsidR="007A6795" w:rsidRPr="004D307F">
        <w:rPr>
          <w:rFonts w:ascii="VIC-Regular" w:eastAsia="Times New Roman" w:hAnsi="VIC-Regular" w:cs="Times New Roman"/>
          <w:color w:val="011A3C"/>
          <w:sz w:val="24"/>
          <w:szCs w:val="24"/>
          <w:lang w:val="en" w:eastAsia="en-AU"/>
        </w:rPr>
        <w:t>unding is allocated as credit and cash</w:t>
      </w:r>
      <w:r w:rsidR="00B046EE" w:rsidRPr="004D307F">
        <w:rPr>
          <w:rFonts w:ascii="VIC-Regular" w:eastAsia="Times New Roman" w:hAnsi="VIC-Regular" w:cs="Times New Roman"/>
          <w:color w:val="011A3C"/>
          <w:sz w:val="24"/>
          <w:szCs w:val="24"/>
          <w:lang w:val="en" w:eastAsia="en-AU"/>
        </w:rPr>
        <w:t>.</w:t>
      </w:r>
    </w:p>
    <w:p w14:paraId="40AE3ADB" w14:textId="77777777" w:rsidR="00C53D2A" w:rsidRPr="004D307F" w:rsidRDefault="00C53D2A" w:rsidP="009B668A">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p>
    <w:p w14:paraId="02C574AA" w14:textId="62533086" w:rsidR="009B668A" w:rsidRPr="004D307F" w:rsidRDefault="009B668A" w:rsidP="009B668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6C195AAC" w14:textId="429C8ACE" w:rsidR="009B668A" w:rsidRPr="004D307F"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Campus FTE Allocation (Part 1)</w:t>
      </w:r>
      <w:r w:rsidRPr="004D307F">
        <w:rPr>
          <w:rFonts w:ascii="VIC-Regular" w:eastAsia="Times New Roman" w:hAnsi="VIC-Regular" w:cs="Times New Roman"/>
          <w:color w:val="011A3C"/>
          <w:sz w:val="24"/>
          <w:szCs w:val="24"/>
          <w:lang w:val="en" w:eastAsia="en-AU"/>
        </w:rPr>
        <w:t xml:space="preserve"> = Secondary Enrolments * 0.0008119</w:t>
      </w:r>
      <w:r w:rsidR="004E099D" w:rsidRPr="004D307F">
        <w:rPr>
          <w:rFonts w:ascii="VIC-Regular" w:eastAsia="Times New Roman" w:hAnsi="VIC-Regular" w:cs="Times New Roman"/>
          <w:color w:val="011A3C"/>
          <w:sz w:val="24"/>
          <w:szCs w:val="24"/>
          <w:lang w:val="en" w:eastAsia="en-AU"/>
        </w:rPr>
        <w:t xml:space="preserve"> </w:t>
      </w:r>
    </w:p>
    <w:p w14:paraId="23B86C2E" w14:textId="6D32F792" w:rsidR="009B668A" w:rsidRPr="004D307F"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Funding Calculation (Part 2)</w:t>
      </w:r>
      <w:r w:rsidRPr="004D307F">
        <w:rPr>
          <w:rFonts w:ascii="VIC-Regular" w:eastAsia="Times New Roman" w:hAnsi="VIC-Regular" w:cs="Times New Roman"/>
          <w:color w:val="011A3C"/>
          <w:sz w:val="24"/>
          <w:szCs w:val="24"/>
          <w:lang w:val="en" w:eastAsia="en-AU"/>
        </w:rPr>
        <w:t xml:space="preserve"> = Campus FTE Allocation</w:t>
      </w:r>
      <w:r w:rsidR="004E099D" w:rsidRPr="004D307F">
        <w:rPr>
          <w:rFonts w:ascii="VIC-Regular" w:eastAsia="Times New Roman" w:hAnsi="VIC-Regular" w:cs="Times New Roman"/>
          <w:color w:val="011A3C"/>
          <w:sz w:val="24"/>
          <w:szCs w:val="24"/>
          <w:lang w:val="en" w:eastAsia="en-AU"/>
        </w:rPr>
        <w:t xml:space="preserve"> (rounded to 1 decimal)</w:t>
      </w:r>
      <w:r w:rsidRPr="004D307F">
        <w:rPr>
          <w:rFonts w:ascii="VIC-Regular" w:eastAsia="Times New Roman" w:hAnsi="VIC-Regular" w:cs="Times New Roman"/>
          <w:color w:val="011A3C"/>
          <w:sz w:val="24"/>
          <w:szCs w:val="24"/>
          <w:lang w:val="en" w:eastAsia="en-AU"/>
        </w:rPr>
        <w:t xml:space="preserve"> * Rate</w:t>
      </w:r>
    </w:p>
    <w:p w14:paraId="219B837E" w14:textId="77777777" w:rsidR="009B668A" w:rsidRPr="004D307F" w:rsidRDefault="009B668A" w:rsidP="009B668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w:t>
      </w:r>
    </w:p>
    <w:p w14:paraId="66102BA6" w14:textId="457FE07D" w:rsidR="009B668A" w:rsidRPr="004D307F"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 xml:space="preserve">Rate </w:t>
      </w:r>
      <w:r w:rsidR="00C53D2A" w:rsidRPr="004D307F">
        <w:rPr>
          <w:rFonts w:ascii="VIC-Regular" w:eastAsia="Times New Roman" w:hAnsi="VIC-Regular" w:cs="Times New Roman"/>
          <w:color w:val="011A3C"/>
          <w:sz w:val="24"/>
          <w:szCs w:val="24"/>
          <w:lang w:val="en" w:eastAsia="en-AU"/>
        </w:rPr>
        <w:t>= $</w:t>
      </w:r>
      <w:r w:rsidR="00400982" w:rsidRPr="004D307F">
        <w:rPr>
          <w:rFonts w:ascii="VIC-Regular" w:eastAsia="Times New Roman" w:hAnsi="VIC-Regular" w:cs="Times New Roman"/>
          <w:color w:val="011A3C"/>
          <w:sz w:val="24"/>
          <w:szCs w:val="24"/>
          <w:lang w:val="en" w:eastAsia="en-AU"/>
        </w:rPr>
        <w:t>109,138.46</w:t>
      </w:r>
      <w:r w:rsidR="0024684E"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w:t>
      </w:r>
      <w:r w:rsidR="00FC074C" w:rsidRPr="004D307F">
        <w:rPr>
          <w:rFonts w:ascii="VIC-Regular" w:eastAsia="Times New Roman" w:hAnsi="VIC-Regular" w:cs="Times New Roman"/>
          <w:color w:val="011A3C"/>
          <w:sz w:val="24"/>
          <w:szCs w:val="24"/>
          <w:lang w:val="en" w:eastAsia="en-AU"/>
        </w:rPr>
        <w:t>M</w:t>
      </w:r>
      <w:r w:rsidRPr="004D307F">
        <w:rPr>
          <w:rFonts w:ascii="VIC-Regular" w:eastAsia="Times New Roman" w:hAnsi="VIC-Regular" w:cs="Times New Roman"/>
          <w:color w:val="011A3C"/>
          <w:sz w:val="24"/>
          <w:szCs w:val="24"/>
          <w:lang w:val="en" w:eastAsia="en-AU"/>
        </w:rPr>
        <w:t>idpoint of an Education Support, Level 1 Range 4, position including school SRP on costs)</w:t>
      </w:r>
    </w:p>
    <w:p w14:paraId="2B6F0E41" w14:textId="5E82A19D" w:rsidR="00AD16F0" w:rsidRPr="004D307F" w:rsidRDefault="00AD16F0"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579AFFD9" w14:textId="70561394" w:rsidR="00AD16F0" w:rsidRPr="004D307F" w:rsidRDefault="000D106B" w:rsidP="006A5663">
      <w:pPr>
        <w:spacing w:before="100" w:beforeAutospacing="1" w:after="100" w:afterAutospacing="1" w:line="360" w:lineRule="atLeast"/>
        <w:rPr>
          <w:rStyle w:val="Hyperlink"/>
        </w:rPr>
      </w:pPr>
      <w:r w:rsidRPr="004D307F">
        <w:rPr>
          <w:rStyle w:val="Hyperlink"/>
        </w:rPr>
        <w:br w:type="page"/>
      </w:r>
    </w:p>
    <w:p w14:paraId="26FB9095" w14:textId="2E6AE323" w:rsidR="00ED4312" w:rsidRPr="004D307F" w:rsidRDefault="00ED4312" w:rsidP="000F3581">
      <w:pPr>
        <w:pStyle w:val="Heading1"/>
      </w:pPr>
      <w:bookmarkStart w:id="18" w:name="_Toc106793749"/>
      <w:r w:rsidRPr="004D307F">
        <w:lastRenderedPageBreak/>
        <w:t>Equity Funding (Student Based Funding)</w:t>
      </w:r>
      <w:bookmarkEnd w:id="18"/>
    </w:p>
    <w:p w14:paraId="43E8830D" w14:textId="77777777" w:rsidR="004923E8" w:rsidRPr="004D307F" w:rsidRDefault="004923E8" w:rsidP="004D307F">
      <w:pPr>
        <w:spacing w:before="100" w:beforeAutospacing="1" w:after="100" w:afterAutospacing="1" w:line="312" w:lineRule="atLeast"/>
        <w:outlineLvl w:val="1"/>
        <w:rPr>
          <w:rFonts w:ascii="VIC" w:eastAsia="Times New Roman" w:hAnsi="VIC" w:cs="Times New Roman"/>
          <w:b/>
          <w:bCs/>
          <w:color w:val="011A3C"/>
          <w:sz w:val="36"/>
          <w:szCs w:val="36"/>
          <w:lang w:val="en" w:eastAsia="en-AU"/>
        </w:rPr>
      </w:pPr>
      <w:r w:rsidRPr="004D307F">
        <w:rPr>
          <w:rFonts w:ascii="VIC" w:eastAsia="Times New Roman" w:hAnsi="VIC" w:cs="Times New Roman"/>
          <w:b/>
          <w:bCs/>
          <w:color w:val="011A3C"/>
          <w:sz w:val="36"/>
          <w:szCs w:val="36"/>
          <w:lang w:val="en" w:eastAsia="en-AU"/>
        </w:rPr>
        <w:t>Policy</w:t>
      </w:r>
    </w:p>
    <w:p w14:paraId="49F856AC" w14:textId="77777777" w:rsidR="004923E8" w:rsidRPr="004D307F" w:rsidRDefault="004923E8" w:rsidP="00A92C40">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policy</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provides information about how funding is allocated to schools through the Student Resource Package (SRP) for additional learning needs.</w:t>
      </w:r>
    </w:p>
    <w:p w14:paraId="5721F33A" w14:textId="77777777" w:rsidR="004923E8" w:rsidRPr="004D307F" w:rsidRDefault="004923E8" w:rsidP="004D307F">
      <w:pPr>
        <w:spacing w:before="100" w:beforeAutospacing="1" w:after="100" w:afterAutospacing="1" w:line="312" w:lineRule="atLeast"/>
        <w:outlineLvl w:val="1"/>
        <w:rPr>
          <w:rFonts w:ascii="VIC" w:eastAsia="Times New Roman" w:hAnsi="VIC" w:cs="Times New Roman"/>
          <w:b/>
          <w:bCs/>
          <w:color w:val="011A3C"/>
          <w:sz w:val="36"/>
          <w:szCs w:val="36"/>
          <w:lang w:val="en" w:eastAsia="en-AU"/>
        </w:rPr>
      </w:pPr>
      <w:r w:rsidRPr="004D307F">
        <w:rPr>
          <w:rFonts w:ascii="VIC" w:eastAsia="Times New Roman" w:hAnsi="VIC" w:cs="Times New Roman"/>
          <w:b/>
          <w:bCs/>
          <w:color w:val="011A3C"/>
          <w:sz w:val="36"/>
          <w:szCs w:val="36"/>
          <w:lang w:val="en" w:eastAsia="en-AU"/>
        </w:rPr>
        <w:t>Details</w:t>
      </w:r>
    </w:p>
    <w:p w14:paraId="4C7CE3BE" w14:textId="46B15770" w:rsidR="004923E8" w:rsidRPr="004D307F" w:rsidRDefault="004923E8" w:rsidP="00A92C40">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Equity funding is one of two types of </w:t>
      </w:r>
      <w:r w:rsidR="00A92C40" w:rsidRPr="004D307F">
        <w:rPr>
          <w:rFonts w:ascii="VIC" w:eastAsia="Times New Roman" w:hAnsi="VIC" w:cs="Times New Roman"/>
          <w:color w:val="011A3C"/>
          <w:sz w:val="24"/>
          <w:szCs w:val="24"/>
          <w:lang w:val="en" w:eastAsia="en-AU"/>
        </w:rPr>
        <w:t>student-based</w:t>
      </w:r>
      <w:r w:rsidRPr="004D307F">
        <w:rPr>
          <w:rFonts w:ascii="VIC" w:eastAsia="Times New Roman" w:hAnsi="VIC" w:cs="Times New Roman"/>
          <w:color w:val="011A3C"/>
          <w:sz w:val="24"/>
          <w:szCs w:val="24"/>
          <w:lang w:val="en" w:eastAsia="en-AU"/>
        </w:rPr>
        <w:t xml:space="preserve"> funding. The other type of student based funding is</w:t>
      </w:r>
      <w:r w:rsidRPr="004D307F">
        <w:rPr>
          <w:rFonts w:ascii="Calibri" w:eastAsia="Times New Roman" w:hAnsi="Calibri" w:cs="Calibri" w:hint="eastAsia"/>
          <w:color w:val="011A3C"/>
          <w:sz w:val="24"/>
          <w:szCs w:val="24"/>
          <w:lang w:val="en" w:eastAsia="en-AU"/>
        </w:rPr>
        <w:t> </w:t>
      </w:r>
      <w:hyperlink r:id="rId22" w:history="1">
        <w:r w:rsidRPr="004D307F">
          <w:rPr>
            <w:rStyle w:val="Hyperlink"/>
            <w:rFonts w:ascii="VIC" w:eastAsia="Times New Roman" w:hAnsi="VIC" w:cs="Times New Roman"/>
            <w:sz w:val="24"/>
            <w:szCs w:val="24"/>
            <w:lang w:val="en" w:eastAsia="en-AU"/>
          </w:rPr>
          <w:t>Core Student Learning Allocation Funding.</w:t>
        </w:r>
      </w:hyperlink>
    </w:p>
    <w:p w14:paraId="6E39CA89" w14:textId="77777777" w:rsidR="004923E8" w:rsidRPr="004D307F" w:rsidRDefault="004923E8" w:rsidP="00A92C40">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Student based funding represents the main funding source for all schools and comprises approximately 90% of the total SRP provided to schools.</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This funding is designed to cover core teaching and learning, leadership, teaching support, professional development, relief teaching, payroll tax and superannuation costs for the school.</w:t>
      </w:r>
      <w:r w:rsidRPr="004D307F">
        <w:rPr>
          <w:rFonts w:ascii="Calibri" w:eastAsia="Times New Roman" w:hAnsi="Calibri" w:cs="Calibri" w:hint="eastAsia"/>
          <w:color w:val="011A3C"/>
          <w:sz w:val="24"/>
          <w:szCs w:val="24"/>
          <w:lang w:val="en" w:eastAsia="en-AU"/>
        </w:rPr>
        <w:t> </w:t>
      </w:r>
    </w:p>
    <w:p w14:paraId="3A1BD3CB" w14:textId="77777777" w:rsidR="004923E8" w:rsidRPr="004D307F" w:rsidRDefault="004923E8" w:rsidP="004923E8">
      <w:pPr>
        <w:pStyle w:val="NormalWeb"/>
        <w:rPr>
          <w:rFonts w:ascii="VIC" w:hAnsi="VIC"/>
          <w:color w:val="011A3C"/>
          <w:lang w:val="en"/>
        </w:rPr>
      </w:pPr>
      <w:r w:rsidRPr="004D307F">
        <w:rPr>
          <w:rFonts w:ascii="VIC" w:hAnsi="VIC"/>
          <w:color w:val="011A3C"/>
          <w:lang w:val="en"/>
        </w:rPr>
        <w:t>The SRP provides equity funding where additional funding is required to compensate for additional learning needs. The specific types of Equity funding are listed below.</w:t>
      </w:r>
    </w:p>
    <w:p w14:paraId="5898ED7C" w14:textId="77777777" w:rsidR="004923E8" w:rsidRPr="004D307F" w:rsidRDefault="004923E8" w:rsidP="004923E8">
      <w:pPr>
        <w:pStyle w:val="NormalWeb"/>
        <w:rPr>
          <w:rFonts w:ascii="VIC" w:hAnsi="VIC"/>
          <w:color w:val="011A3C"/>
        </w:rPr>
      </w:pPr>
      <w:r w:rsidRPr="004D307F">
        <w:rPr>
          <w:rFonts w:ascii="VIC" w:hAnsi="VIC"/>
          <w:color w:val="011A3C"/>
        </w:rPr>
        <w:t>The</w:t>
      </w:r>
      <w:r w:rsidRPr="004D307F">
        <w:rPr>
          <w:rFonts w:ascii="Calibri" w:hAnsi="Calibri" w:cs="Calibri"/>
          <w:color w:val="011A3C"/>
        </w:rPr>
        <w:t> </w:t>
      </w:r>
      <w:hyperlink r:id="rId23" w:history="1">
        <w:r w:rsidRPr="004D307F">
          <w:rPr>
            <w:rStyle w:val="Hyperlink"/>
            <w:rFonts w:ascii="VIC" w:eastAsiaTheme="minorHAnsi" w:hAnsi="VIC" w:cstheme="minorBidi"/>
            <w:sz w:val="22"/>
            <w:szCs w:val="22"/>
            <w:lang w:val="en"/>
          </w:rPr>
          <w:t>Guidance tab</w:t>
        </w:r>
      </w:hyperlink>
      <w:r w:rsidRPr="004D307F">
        <w:rPr>
          <w:rFonts w:ascii="Calibri" w:hAnsi="Calibri" w:cs="Calibri"/>
          <w:color w:val="011A3C"/>
        </w:rPr>
        <w:t> </w:t>
      </w:r>
      <w:r w:rsidRPr="004D307F">
        <w:rPr>
          <w:rFonts w:ascii="VIC" w:eastAsiaTheme="minorHAnsi" w:hAnsi="VIC" w:cstheme="minorBidi"/>
          <w:color w:val="011A3C"/>
          <w:sz w:val="22"/>
          <w:szCs w:val="22"/>
          <w:lang w:eastAsia="en-US"/>
        </w:rPr>
        <w:t>provides information about each of the specific types of equity funding:</w:t>
      </w:r>
    </w:p>
    <w:p w14:paraId="7DDB869C" w14:textId="77777777" w:rsidR="004923E8" w:rsidRPr="004D307F" w:rsidRDefault="004923E8" w:rsidP="004923E8">
      <w:pPr>
        <w:pStyle w:val="Heading3"/>
        <w:spacing w:line="288" w:lineRule="atLeast"/>
        <w:rPr>
          <w:rFonts w:ascii="VIC" w:hAnsi="VIC"/>
          <w:color w:val="011A3C"/>
        </w:rPr>
      </w:pPr>
      <w:r w:rsidRPr="004D307F">
        <w:rPr>
          <w:rStyle w:val="Strong"/>
          <w:rFonts w:ascii="VIC" w:hAnsi="VIC"/>
          <w:color w:val="011A3C"/>
        </w:rPr>
        <w:t>Education State (Including additional Gonski)</w:t>
      </w:r>
      <w:r w:rsidRPr="004D307F">
        <w:rPr>
          <w:rStyle w:val="Strong"/>
          <w:rFonts w:ascii="Calibri" w:hAnsi="Calibri" w:cs="Calibri" w:hint="eastAsia"/>
          <w:color w:val="011A3C"/>
        </w:rPr>
        <w:t> </w:t>
      </w:r>
    </w:p>
    <w:p w14:paraId="69C80355" w14:textId="77777777" w:rsidR="004923E8" w:rsidRPr="004D307F" w:rsidRDefault="004923E8" w:rsidP="00ED0863">
      <w:pPr>
        <w:numPr>
          <w:ilvl w:val="0"/>
          <w:numId w:val="149"/>
        </w:numPr>
        <w:spacing w:before="100" w:beforeAutospacing="1" w:after="100" w:afterAutospacing="1" w:line="240" w:lineRule="auto"/>
        <w:rPr>
          <w:rFonts w:ascii="VIC" w:hAnsi="VIC"/>
          <w:color w:val="011A3C"/>
        </w:rPr>
      </w:pPr>
      <w:r w:rsidRPr="004D307F">
        <w:rPr>
          <w:rFonts w:ascii="VIC" w:hAnsi="VIC"/>
          <w:color w:val="011A3C"/>
        </w:rPr>
        <w:t>Equity (Social Disadvantage)</w:t>
      </w:r>
    </w:p>
    <w:p w14:paraId="3934CD0A" w14:textId="77777777" w:rsidR="004923E8" w:rsidRPr="004D307F" w:rsidRDefault="004923E8" w:rsidP="00ED0863">
      <w:pPr>
        <w:numPr>
          <w:ilvl w:val="0"/>
          <w:numId w:val="149"/>
        </w:numPr>
        <w:spacing w:before="100" w:beforeAutospacing="1" w:after="100" w:afterAutospacing="1" w:line="240" w:lineRule="auto"/>
        <w:rPr>
          <w:rFonts w:ascii="VIC" w:hAnsi="VIC"/>
          <w:color w:val="011A3C"/>
        </w:rPr>
      </w:pPr>
      <w:r w:rsidRPr="004D307F">
        <w:rPr>
          <w:rFonts w:ascii="VIC" w:hAnsi="VIC"/>
          <w:color w:val="011A3C"/>
        </w:rPr>
        <w:t>Equity (Catch</w:t>
      </w:r>
      <w:r w:rsidRPr="004D307F">
        <w:rPr>
          <w:rFonts w:ascii="Calibri" w:hAnsi="Calibri" w:cs="Calibri"/>
          <w:color w:val="011A3C"/>
        </w:rPr>
        <w:t> </w:t>
      </w:r>
      <w:r w:rsidRPr="004D307F">
        <w:rPr>
          <w:rFonts w:ascii="VIC" w:hAnsi="VIC"/>
          <w:color w:val="011A3C"/>
        </w:rPr>
        <w:t>Up)</w:t>
      </w:r>
    </w:p>
    <w:p w14:paraId="39AAC775" w14:textId="77777777" w:rsidR="004923E8" w:rsidRPr="004D307F" w:rsidRDefault="004923E8" w:rsidP="004923E8">
      <w:pPr>
        <w:pStyle w:val="Heading3"/>
        <w:spacing w:line="288" w:lineRule="atLeast"/>
        <w:rPr>
          <w:rFonts w:ascii="VIC" w:hAnsi="VIC"/>
          <w:color w:val="011A3C"/>
        </w:rPr>
      </w:pPr>
      <w:r w:rsidRPr="004D307F">
        <w:rPr>
          <w:rStyle w:val="Strong"/>
          <w:rFonts w:ascii="VIC" w:hAnsi="VIC"/>
          <w:color w:val="011A3C"/>
        </w:rPr>
        <w:t>Other Equity</w:t>
      </w:r>
    </w:p>
    <w:p w14:paraId="67B2B0A3" w14:textId="77777777" w:rsidR="004923E8" w:rsidRPr="004D307F" w:rsidRDefault="004923E8" w:rsidP="00ED0863">
      <w:pPr>
        <w:numPr>
          <w:ilvl w:val="0"/>
          <w:numId w:val="150"/>
        </w:numPr>
        <w:spacing w:before="100" w:beforeAutospacing="1" w:after="100" w:afterAutospacing="1" w:line="240" w:lineRule="auto"/>
        <w:rPr>
          <w:rFonts w:ascii="VIC" w:hAnsi="VIC"/>
          <w:color w:val="011A3C"/>
        </w:rPr>
      </w:pPr>
      <w:r w:rsidRPr="004D307F">
        <w:rPr>
          <w:rFonts w:ascii="VIC" w:hAnsi="VIC"/>
          <w:color w:val="011A3C"/>
        </w:rPr>
        <w:t>Mobility</w:t>
      </w:r>
    </w:p>
    <w:p w14:paraId="4D2F54F3" w14:textId="77777777" w:rsidR="004923E8" w:rsidRPr="004D307F" w:rsidRDefault="004923E8" w:rsidP="004923E8">
      <w:pPr>
        <w:pStyle w:val="Heading3"/>
        <w:spacing w:line="288" w:lineRule="atLeast"/>
        <w:rPr>
          <w:rFonts w:ascii="VIC" w:hAnsi="VIC"/>
          <w:color w:val="011A3C"/>
        </w:rPr>
      </w:pPr>
      <w:r w:rsidRPr="004D307F">
        <w:rPr>
          <w:rStyle w:val="Strong"/>
          <w:rFonts w:ascii="VIC" w:hAnsi="VIC"/>
          <w:color w:val="011A3C"/>
        </w:rPr>
        <w:t>Programs for Students with Disabilities</w:t>
      </w:r>
    </w:p>
    <w:p w14:paraId="2BDAD229" w14:textId="4B519FE4" w:rsidR="004923E8" w:rsidRPr="004D307F" w:rsidRDefault="004923E8" w:rsidP="00ED0863">
      <w:pPr>
        <w:numPr>
          <w:ilvl w:val="0"/>
          <w:numId w:val="151"/>
        </w:numPr>
        <w:spacing w:before="100" w:beforeAutospacing="1" w:after="100" w:afterAutospacing="1" w:line="240" w:lineRule="auto"/>
        <w:rPr>
          <w:rFonts w:ascii="VIC" w:hAnsi="VIC"/>
          <w:color w:val="011A3C"/>
        </w:rPr>
      </w:pPr>
      <w:r w:rsidRPr="004D307F">
        <w:rPr>
          <w:rFonts w:ascii="VIC" w:hAnsi="VIC"/>
          <w:color w:val="011A3C"/>
        </w:rPr>
        <w:t>Program for Students with Disabilities Levels 1-6</w:t>
      </w:r>
    </w:p>
    <w:p w14:paraId="04BD273F" w14:textId="77777777" w:rsidR="004923E8" w:rsidRPr="004D307F" w:rsidRDefault="004923E8" w:rsidP="00ED0863">
      <w:pPr>
        <w:numPr>
          <w:ilvl w:val="0"/>
          <w:numId w:val="151"/>
        </w:numPr>
        <w:spacing w:before="100" w:beforeAutospacing="1" w:after="100" w:afterAutospacing="1" w:line="240" w:lineRule="auto"/>
        <w:rPr>
          <w:rFonts w:ascii="VIC" w:hAnsi="VIC"/>
          <w:color w:val="011A3C"/>
        </w:rPr>
      </w:pPr>
      <w:r w:rsidRPr="004D307F">
        <w:rPr>
          <w:rFonts w:ascii="VIC" w:hAnsi="VIC"/>
          <w:color w:val="011A3C"/>
        </w:rPr>
        <w:t>Program for Students with Disabilities —</w:t>
      </w:r>
      <w:r w:rsidRPr="004D307F">
        <w:rPr>
          <w:rFonts w:ascii="Calibri" w:hAnsi="Calibri" w:cs="Calibri"/>
          <w:color w:val="011A3C"/>
        </w:rPr>
        <w:t> </w:t>
      </w:r>
      <w:r w:rsidRPr="004D307F">
        <w:rPr>
          <w:rFonts w:ascii="VIC" w:hAnsi="VIC"/>
          <w:color w:val="011A3C"/>
        </w:rPr>
        <w:t>Transition Support Funding</w:t>
      </w:r>
    </w:p>
    <w:p w14:paraId="67973FC6" w14:textId="77777777" w:rsidR="004923E8" w:rsidRPr="004D307F" w:rsidRDefault="004923E8" w:rsidP="00ED0863">
      <w:pPr>
        <w:numPr>
          <w:ilvl w:val="0"/>
          <w:numId w:val="151"/>
        </w:numPr>
        <w:spacing w:before="100" w:beforeAutospacing="1" w:after="100" w:afterAutospacing="1" w:line="240" w:lineRule="auto"/>
        <w:rPr>
          <w:rFonts w:ascii="VIC" w:hAnsi="VIC"/>
          <w:color w:val="011A3C"/>
        </w:rPr>
      </w:pPr>
      <w:r w:rsidRPr="004D307F">
        <w:rPr>
          <w:rFonts w:ascii="VIC" w:hAnsi="VIC"/>
          <w:color w:val="011A3C"/>
        </w:rPr>
        <w:t>Special School Complexity</w:t>
      </w:r>
    </w:p>
    <w:p w14:paraId="30768F5C" w14:textId="77777777" w:rsidR="004923E8" w:rsidRPr="004D307F" w:rsidRDefault="004923E8" w:rsidP="00ED0863">
      <w:pPr>
        <w:numPr>
          <w:ilvl w:val="0"/>
          <w:numId w:val="151"/>
        </w:numPr>
        <w:spacing w:before="100" w:beforeAutospacing="1" w:after="100" w:afterAutospacing="1" w:line="240" w:lineRule="auto"/>
        <w:rPr>
          <w:rFonts w:ascii="VIC" w:hAnsi="VIC"/>
          <w:color w:val="011A3C"/>
        </w:rPr>
      </w:pPr>
      <w:r w:rsidRPr="004D307F">
        <w:rPr>
          <w:rFonts w:ascii="VIC" w:hAnsi="VIC"/>
          <w:color w:val="011A3C"/>
        </w:rPr>
        <w:t>Interpreter Staff Salaries</w:t>
      </w:r>
    </w:p>
    <w:p w14:paraId="4F667CA3" w14:textId="77777777" w:rsidR="004923E8" w:rsidRPr="004D307F" w:rsidRDefault="004923E8" w:rsidP="00ED0863">
      <w:pPr>
        <w:numPr>
          <w:ilvl w:val="0"/>
          <w:numId w:val="151"/>
        </w:numPr>
        <w:spacing w:before="100" w:beforeAutospacing="1" w:after="100" w:afterAutospacing="1" w:line="240" w:lineRule="auto"/>
        <w:rPr>
          <w:rFonts w:ascii="VIC" w:hAnsi="VIC"/>
          <w:color w:val="011A3C"/>
        </w:rPr>
      </w:pPr>
      <w:r w:rsidRPr="004D307F">
        <w:rPr>
          <w:rFonts w:ascii="VIC" w:hAnsi="VIC"/>
          <w:color w:val="011A3C"/>
        </w:rPr>
        <w:t>Medical Intervention Support</w:t>
      </w:r>
    </w:p>
    <w:p w14:paraId="29C8463E" w14:textId="5D0DA170" w:rsidR="004923E8" w:rsidRPr="004D307F" w:rsidRDefault="004923E8" w:rsidP="00ED0863">
      <w:pPr>
        <w:numPr>
          <w:ilvl w:val="0"/>
          <w:numId w:val="151"/>
        </w:numPr>
        <w:spacing w:before="100" w:beforeAutospacing="1" w:after="100" w:afterAutospacing="1" w:line="240" w:lineRule="auto"/>
        <w:rPr>
          <w:rFonts w:ascii="VIC" w:hAnsi="VIC"/>
          <w:color w:val="011A3C"/>
        </w:rPr>
      </w:pPr>
      <w:r w:rsidRPr="004D307F">
        <w:rPr>
          <w:rFonts w:ascii="VIC" w:hAnsi="VIC"/>
          <w:color w:val="011A3C"/>
        </w:rPr>
        <w:t>Special School Transport Administrative Cost</w:t>
      </w:r>
    </w:p>
    <w:p w14:paraId="033B87E0" w14:textId="77777777" w:rsidR="004923E8" w:rsidRPr="004D307F" w:rsidRDefault="004923E8" w:rsidP="004923E8">
      <w:pPr>
        <w:rPr>
          <w:rFonts w:ascii="VIC" w:hAnsi="VIC"/>
        </w:rPr>
      </w:pPr>
      <w:r w:rsidRPr="004D307F">
        <w:rPr>
          <w:rStyle w:val="Strong"/>
          <w:rFonts w:ascii="VIC" w:hAnsi="VIC"/>
          <w:color w:val="011A3C"/>
        </w:rPr>
        <w:t>English as an Additional Language</w:t>
      </w:r>
    </w:p>
    <w:p w14:paraId="1DD85D91" w14:textId="77777777" w:rsidR="004923E8" w:rsidRPr="004D307F" w:rsidRDefault="004923E8" w:rsidP="00ED0863">
      <w:pPr>
        <w:numPr>
          <w:ilvl w:val="0"/>
          <w:numId w:val="151"/>
        </w:numPr>
        <w:spacing w:before="100" w:beforeAutospacing="1" w:after="100" w:afterAutospacing="1" w:line="240" w:lineRule="auto"/>
        <w:rPr>
          <w:rFonts w:ascii="VIC" w:hAnsi="VIC"/>
          <w:color w:val="011A3C"/>
        </w:rPr>
      </w:pPr>
      <w:r w:rsidRPr="004D307F">
        <w:rPr>
          <w:rFonts w:ascii="VIC" w:hAnsi="VIC"/>
          <w:color w:val="011A3C"/>
        </w:rPr>
        <w:lastRenderedPageBreak/>
        <w:t>EAL Program Funding</w:t>
      </w:r>
    </w:p>
    <w:p w14:paraId="108A3835" w14:textId="77777777" w:rsidR="004923E8" w:rsidRPr="004D307F" w:rsidRDefault="004923E8" w:rsidP="00ED0863">
      <w:pPr>
        <w:numPr>
          <w:ilvl w:val="0"/>
          <w:numId w:val="151"/>
        </w:numPr>
        <w:spacing w:before="100" w:beforeAutospacing="1" w:after="100" w:afterAutospacing="1" w:line="240" w:lineRule="auto"/>
        <w:rPr>
          <w:rFonts w:ascii="VIC" w:hAnsi="VIC"/>
          <w:color w:val="011A3C"/>
        </w:rPr>
      </w:pPr>
      <w:r w:rsidRPr="004D307F">
        <w:rPr>
          <w:rFonts w:ascii="VIC" w:hAnsi="VIC"/>
          <w:color w:val="011A3C"/>
        </w:rPr>
        <w:t>EAL Contingency Funding</w:t>
      </w:r>
    </w:p>
    <w:p w14:paraId="4386459A" w14:textId="77777777" w:rsidR="0012059E" w:rsidRPr="004D307F" w:rsidRDefault="004923E8" w:rsidP="0012059E">
      <w:pPr>
        <w:rPr>
          <w:rStyle w:val="Strong"/>
          <w:rFonts w:ascii="VIC" w:hAnsi="VIC"/>
          <w:color w:val="011A3C"/>
        </w:rPr>
      </w:pPr>
      <w:r w:rsidRPr="004D307F">
        <w:rPr>
          <w:rStyle w:val="Strong"/>
          <w:rFonts w:ascii="VIC" w:hAnsi="VIC"/>
          <w:color w:val="011A3C"/>
        </w:rPr>
        <w:t>Disability Inclusion</w:t>
      </w:r>
    </w:p>
    <w:p w14:paraId="219AFA09" w14:textId="5A7072C0" w:rsidR="004923E8" w:rsidRPr="004D307F" w:rsidRDefault="0012059E" w:rsidP="004923E8">
      <w:pPr>
        <w:spacing w:before="100" w:beforeAutospacing="1" w:after="100" w:afterAutospacing="1" w:line="240" w:lineRule="auto"/>
        <w:rPr>
          <w:rFonts w:ascii="VIC" w:hAnsi="VIC" w:cstheme="minorHAnsi"/>
          <w:color w:val="011A3C"/>
        </w:rPr>
      </w:pPr>
      <w:bookmarkStart w:id="19" w:name="_Hlk99872727"/>
      <w:r w:rsidRPr="004D307F">
        <w:rPr>
          <w:rFonts w:ascii="VIC" w:hAnsi="VIC" w:cstheme="minorHAnsi"/>
          <w:color w:val="011A3C"/>
        </w:rPr>
        <w:t>A</w:t>
      </w:r>
      <w:r w:rsidR="004923E8" w:rsidRPr="004D307F">
        <w:rPr>
          <w:rFonts w:ascii="VIC" w:hAnsi="VIC" w:cstheme="minorHAnsi"/>
          <w:color w:val="011A3C"/>
        </w:rPr>
        <w:t>pplicable to schools in Bayside Peninsula, Barwon</w:t>
      </w:r>
      <w:r w:rsidR="008C6E3C" w:rsidRPr="004D307F">
        <w:rPr>
          <w:rFonts w:ascii="VIC" w:hAnsi="VIC" w:cstheme="minorHAnsi"/>
          <w:color w:val="011A3C"/>
        </w:rPr>
        <w:t xml:space="preserve">, Central Highlands </w:t>
      </w:r>
      <w:r w:rsidR="004923E8" w:rsidRPr="004D307F">
        <w:rPr>
          <w:rFonts w:ascii="VIC" w:hAnsi="VIC" w:cstheme="minorHAnsi"/>
          <w:color w:val="011A3C"/>
        </w:rPr>
        <w:t xml:space="preserve">Loddon Campaspe </w:t>
      </w:r>
      <w:r w:rsidR="008C6E3C" w:rsidRPr="004D307F">
        <w:rPr>
          <w:rFonts w:ascii="VIC" w:hAnsi="VIC" w:cstheme="minorHAnsi"/>
          <w:color w:val="011A3C"/>
        </w:rPr>
        <w:t xml:space="preserve">Mallee and Outer Eastern Melbourne </w:t>
      </w:r>
      <w:r w:rsidR="004923E8" w:rsidRPr="004D307F">
        <w:rPr>
          <w:rFonts w:ascii="VIC" w:hAnsi="VIC" w:cstheme="minorHAnsi"/>
          <w:color w:val="011A3C"/>
        </w:rPr>
        <w:t xml:space="preserve">Areas, </w:t>
      </w:r>
      <w:r w:rsidR="008C6E3C" w:rsidRPr="004D307F">
        <w:rPr>
          <w:rFonts w:ascii="VIC" w:hAnsi="VIC" w:cstheme="minorHAnsi"/>
          <w:color w:val="011A3C"/>
        </w:rPr>
        <w:t xml:space="preserve">as well as 7 specified </w:t>
      </w:r>
      <w:hyperlink r:id="rId24" w:tgtFrame="_blank" w:history="1">
        <w:r w:rsidR="004923E8" w:rsidRPr="004D307F">
          <w:rPr>
            <w:rStyle w:val="Hyperlink"/>
            <w:rFonts w:ascii="VIC" w:eastAsia="Times New Roman" w:hAnsi="VIC" w:cstheme="minorHAnsi"/>
            <w:lang w:val="en" w:eastAsia="en-AU"/>
          </w:rPr>
          <w:t>supported inclusion</w:t>
        </w:r>
        <w:r w:rsidR="004923E8" w:rsidRPr="004D307F">
          <w:rPr>
            <w:rStyle w:val="Hyperlink"/>
            <w:rFonts w:ascii="Calibri" w:eastAsia="Times New Roman" w:hAnsi="Calibri" w:cs="Calibri"/>
            <w:lang w:val="en" w:eastAsia="en-AU"/>
          </w:rPr>
          <w:t> </w:t>
        </w:r>
        <w:r w:rsidR="004923E8" w:rsidRPr="004D307F">
          <w:rPr>
            <w:rStyle w:val="Hyperlink"/>
            <w:rFonts w:ascii="VIC" w:eastAsia="Times New Roman" w:hAnsi="VIC" w:cstheme="minorHAnsi"/>
            <w:lang w:val="en" w:eastAsia="en-AU"/>
          </w:rPr>
          <w:t>schools</w:t>
        </w:r>
      </w:hyperlink>
      <w:r w:rsidR="004923E8" w:rsidRPr="004D307F">
        <w:rPr>
          <w:rFonts w:ascii="Calibri" w:hAnsi="Calibri" w:cs="Calibri" w:hint="eastAsia"/>
          <w:color w:val="011A3C"/>
        </w:rPr>
        <w:t> </w:t>
      </w:r>
      <w:r w:rsidR="004923E8" w:rsidRPr="004D307F">
        <w:rPr>
          <w:rFonts w:ascii="VIC" w:hAnsi="VIC" w:cstheme="minorHAnsi"/>
          <w:color w:val="011A3C"/>
        </w:rPr>
        <w:t xml:space="preserve">in </w:t>
      </w:r>
      <w:r w:rsidR="008C6E3C" w:rsidRPr="004D307F">
        <w:rPr>
          <w:rFonts w:ascii="VIC" w:hAnsi="VIC" w:cstheme="minorHAnsi"/>
          <w:color w:val="011A3C"/>
        </w:rPr>
        <w:t>2022</w:t>
      </w:r>
      <w:r w:rsidR="004923E8" w:rsidRPr="004D307F">
        <w:rPr>
          <w:rFonts w:ascii="VIC" w:hAnsi="VIC" w:cstheme="minorHAnsi"/>
          <w:color w:val="011A3C"/>
        </w:rPr>
        <w:t xml:space="preserve">. </w:t>
      </w:r>
    </w:p>
    <w:bookmarkEnd w:id="19"/>
    <w:p w14:paraId="5176E843" w14:textId="2BE9EDAF" w:rsidR="004923E8" w:rsidRPr="004D307F" w:rsidRDefault="004923E8" w:rsidP="00ED0863">
      <w:pPr>
        <w:pStyle w:val="ListParagraph"/>
        <w:numPr>
          <w:ilvl w:val="0"/>
          <w:numId w:val="147"/>
        </w:numPr>
        <w:spacing w:before="100" w:beforeAutospacing="1" w:after="100" w:afterAutospacing="1" w:line="240" w:lineRule="auto"/>
        <w:rPr>
          <w:rFonts w:ascii="VIC" w:hAnsi="VIC"/>
          <w:color w:val="011A3C"/>
        </w:rPr>
      </w:pPr>
      <w:r w:rsidRPr="004D307F">
        <w:rPr>
          <w:rFonts w:ascii="VIC" w:hAnsi="VIC"/>
          <w:color w:val="011A3C"/>
        </w:rPr>
        <w:t xml:space="preserve">Tier 2 School level </w:t>
      </w:r>
      <w:r w:rsidR="002A4A14" w:rsidRPr="004D307F">
        <w:rPr>
          <w:rFonts w:ascii="VIC" w:hAnsi="VIC"/>
          <w:color w:val="011A3C"/>
        </w:rPr>
        <w:t>f</w:t>
      </w:r>
      <w:r w:rsidRPr="004D307F">
        <w:rPr>
          <w:rFonts w:ascii="VIC" w:hAnsi="VIC"/>
          <w:color w:val="011A3C"/>
        </w:rPr>
        <w:t xml:space="preserve">unding </w:t>
      </w:r>
    </w:p>
    <w:p w14:paraId="59B926A2" w14:textId="73AEC7CD" w:rsidR="004923E8" w:rsidRPr="004D307F" w:rsidRDefault="004923E8" w:rsidP="00ED0863">
      <w:pPr>
        <w:pStyle w:val="ListParagraph"/>
        <w:numPr>
          <w:ilvl w:val="0"/>
          <w:numId w:val="147"/>
        </w:numPr>
        <w:spacing w:before="100" w:beforeAutospacing="1" w:after="100" w:afterAutospacing="1" w:line="240" w:lineRule="auto"/>
        <w:rPr>
          <w:rFonts w:ascii="VIC" w:hAnsi="VIC"/>
          <w:color w:val="011A3C"/>
        </w:rPr>
      </w:pPr>
      <w:r w:rsidRPr="004D307F">
        <w:rPr>
          <w:rFonts w:ascii="VIC" w:hAnsi="VIC"/>
          <w:color w:val="011A3C"/>
        </w:rPr>
        <w:t xml:space="preserve">Tier 3 Student level </w:t>
      </w:r>
      <w:r w:rsidR="002A4A14" w:rsidRPr="004D307F">
        <w:rPr>
          <w:rFonts w:ascii="VIC" w:hAnsi="VIC"/>
          <w:color w:val="011A3C"/>
        </w:rPr>
        <w:t>funding</w:t>
      </w:r>
    </w:p>
    <w:p w14:paraId="2F0BFBF4" w14:textId="77777777" w:rsidR="004923E8" w:rsidRPr="004D307F" w:rsidRDefault="004923E8" w:rsidP="004923E8">
      <w:pPr>
        <w:pStyle w:val="NormalWeb"/>
        <w:rPr>
          <w:rFonts w:ascii="VIC" w:eastAsiaTheme="minorHAnsi" w:hAnsi="VIC" w:cstheme="minorBidi"/>
          <w:color w:val="011A3C"/>
          <w:sz w:val="22"/>
          <w:szCs w:val="22"/>
          <w:lang w:eastAsia="en-US"/>
        </w:rPr>
      </w:pPr>
      <w:r w:rsidRPr="004D307F">
        <w:rPr>
          <w:rFonts w:ascii="VIC" w:eastAsiaTheme="minorHAnsi" w:hAnsi="VIC" w:cstheme="minorBidi"/>
          <w:color w:val="011A3C"/>
          <w:sz w:val="22"/>
          <w:szCs w:val="22"/>
          <w:lang w:eastAsia="en-US"/>
        </w:rPr>
        <w:t>Not all types of funding are available to all schools. Funding is assessed according to school and student need.</w:t>
      </w:r>
    </w:p>
    <w:p w14:paraId="79CD9714" w14:textId="77777777" w:rsidR="004923E8" w:rsidRPr="004D307F" w:rsidRDefault="004923E8" w:rsidP="004923E8">
      <w:pPr>
        <w:pStyle w:val="NormalWeb"/>
        <w:rPr>
          <w:rFonts w:ascii="VIC" w:eastAsiaTheme="minorHAnsi" w:hAnsi="VIC" w:cstheme="minorBidi"/>
          <w:color w:val="011A3C"/>
          <w:sz w:val="22"/>
          <w:szCs w:val="22"/>
          <w:lang w:eastAsia="en-US"/>
        </w:rPr>
      </w:pPr>
      <w:r w:rsidRPr="004D307F">
        <w:rPr>
          <w:rFonts w:ascii="VIC" w:eastAsiaTheme="minorHAnsi" w:hAnsi="VIC" w:cstheme="minorBidi"/>
          <w:color w:val="011A3C"/>
          <w:sz w:val="22"/>
          <w:szCs w:val="22"/>
          <w:lang w:eastAsia="en-US"/>
        </w:rPr>
        <w:t>Schools are expected to use SRP funds for the purpose for which it was allocated.</w:t>
      </w:r>
    </w:p>
    <w:p w14:paraId="5F29D97E" w14:textId="77777777" w:rsidR="004923E8" w:rsidRPr="004D307F" w:rsidRDefault="004923E8" w:rsidP="004923E8">
      <w:pPr>
        <w:pStyle w:val="NormalWeb"/>
        <w:rPr>
          <w:rFonts w:ascii="VIC" w:eastAsiaTheme="minorHAnsi" w:hAnsi="VIC" w:cstheme="minorBidi"/>
          <w:color w:val="011A3C"/>
          <w:sz w:val="22"/>
          <w:szCs w:val="22"/>
          <w:lang w:eastAsia="en-US"/>
        </w:rPr>
      </w:pPr>
      <w:r w:rsidRPr="004D307F">
        <w:rPr>
          <w:rFonts w:ascii="VIC" w:eastAsiaTheme="minorHAnsi" w:hAnsi="VIC" w:cstheme="minorBidi"/>
          <w:color w:val="011A3C"/>
          <w:sz w:val="22"/>
          <w:szCs w:val="22"/>
          <w:lang w:eastAsia="en-US"/>
        </w:rPr>
        <w:t>For more general information on the SRP, please refer to the</w:t>
      </w:r>
      <w:r w:rsidRPr="004D307F">
        <w:rPr>
          <w:rFonts w:ascii="Calibri" w:eastAsiaTheme="minorHAnsi" w:hAnsi="Calibri" w:cs="Calibri"/>
          <w:color w:val="011A3C"/>
          <w:sz w:val="22"/>
          <w:szCs w:val="22"/>
          <w:lang w:eastAsia="en-US"/>
        </w:rPr>
        <w:t> </w:t>
      </w:r>
      <w:hyperlink r:id="rId25" w:history="1">
        <w:r w:rsidRPr="004D307F">
          <w:rPr>
            <w:rFonts w:ascii="VIC" w:eastAsiaTheme="minorHAnsi" w:hAnsi="VIC" w:cstheme="minorBidi"/>
            <w:color w:val="011A3C"/>
            <w:sz w:val="22"/>
            <w:szCs w:val="22"/>
            <w:lang w:eastAsia="en-US"/>
          </w:rPr>
          <w:t>Student Resource Package —</w:t>
        </w:r>
        <w:r w:rsidRPr="004D307F">
          <w:rPr>
            <w:rFonts w:ascii="Calibri" w:eastAsiaTheme="minorHAnsi" w:hAnsi="Calibri" w:cs="Calibri"/>
            <w:color w:val="011A3C"/>
            <w:sz w:val="22"/>
            <w:szCs w:val="22"/>
            <w:lang w:eastAsia="en-US"/>
          </w:rPr>
          <w:t> </w:t>
        </w:r>
        <w:r w:rsidRPr="004D307F">
          <w:rPr>
            <w:rFonts w:ascii="VIC" w:eastAsiaTheme="minorHAnsi" w:hAnsi="VIC" w:cstheme="minorBidi"/>
            <w:color w:val="011A3C"/>
            <w:sz w:val="22"/>
            <w:szCs w:val="22"/>
            <w:lang w:eastAsia="en-US"/>
          </w:rPr>
          <w:t>Overview page</w:t>
        </w:r>
      </w:hyperlink>
      <w:r w:rsidRPr="004D307F">
        <w:rPr>
          <w:rFonts w:ascii="VIC" w:eastAsiaTheme="minorHAnsi" w:hAnsi="VIC" w:cstheme="minorBidi"/>
          <w:color w:val="011A3C"/>
          <w:sz w:val="22"/>
          <w:szCs w:val="22"/>
          <w:lang w:eastAsia="en-US"/>
        </w:rPr>
        <w:t>.</w:t>
      </w:r>
    </w:p>
    <w:p w14:paraId="6389A118" w14:textId="77777777" w:rsidR="004923E8" w:rsidRPr="004D307F" w:rsidRDefault="004923E8" w:rsidP="00C116FE">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Related policies</w:t>
      </w:r>
    </w:p>
    <w:p w14:paraId="31F60C42" w14:textId="77777777" w:rsidR="004923E8" w:rsidRPr="004D307F" w:rsidRDefault="004923E8"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r w:rsidRPr="004D307F">
        <w:rPr>
          <w:rStyle w:val="Hyperlink"/>
          <w:rFonts w:ascii="VIC" w:eastAsia="Times New Roman" w:hAnsi="VIC" w:cs="Times New Roman"/>
          <w:sz w:val="24"/>
          <w:szCs w:val="24"/>
          <w:lang w:val="en" w:eastAsia="en-AU"/>
        </w:rPr>
        <w:t>Disability Inclusion Funding and Support</w:t>
      </w:r>
    </w:p>
    <w:p w14:paraId="47410117" w14:textId="77777777" w:rsidR="004923E8" w:rsidRPr="004D307F" w:rsidRDefault="00901FCB"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hyperlink r:id="rId26" w:history="1">
        <w:r w:rsidR="004923E8" w:rsidRPr="004D307F">
          <w:rPr>
            <w:rStyle w:val="Hyperlink"/>
            <w:rFonts w:ascii="VIC" w:eastAsia="Times New Roman" w:hAnsi="VIC" w:cs="Times New Roman"/>
            <w:sz w:val="24"/>
            <w:szCs w:val="24"/>
            <w:lang w:val="en" w:eastAsia="en-AU"/>
          </w:rPr>
          <w:t>EAL — Support and Funding</w:t>
        </w:r>
      </w:hyperlink>
    </w:p>
    <w:p w14:paraId="23D3A347" w14:textId="77777777" w:rsidR="004923E8" w:rsidRPr="004D307F" w:rsidRDefault="00901FCB"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hyperlink r:id="rId27" w:history="1">
        <w:r w:rsidR="004923E8" w:rsidRPr="004D307F">
          <w:rPr>
            <w:rStyle w:val="Hyperlink"/>
            <w:rFonts w:ascii="VIC" w:eastAsia="Times New Roman" w:hAnsi="VIC" w:cs="Times New Roman"/>
            <w:sz w:val="24"/>
            <w:szCs w:val="24"/>
            <w:lang w:val="en" w:eastAsia="en-AU"/>
          </w:rPr>
          <w:t>Finance Manual — Financial Management for Schools</w:t>
        </w:r>
      </w:hyperlink>
    </w:p>
    <w:p w14:paraId="092B9F0E" w14:textId="77777777" w:rsidR="004923E8" w:rsidRPr="004D307F" w:rsidRDefault="00901FCB"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hyperlink r:id="rId28" w:history="1">
        <w:r w:rsidR="004923E8" w:rsidRPr="004D307F">
          <w:rPr>
            <w:rStyle w:val="Hyperlink"/>
            <w:rFonts w:ascii="VIC" w:eastAsia="Times New Roman" w:hAnsi="VIC" w:cs="Times New Roman"/>
            <w:sz w:val="24"/>
            <w:szCs w:val="24"/>
            <w:lang w:val="en" w:eastAsia="en-AU"/>
          </w:rPr>
          <w:t>Framework for Improving School Outcomes</w:t>
        </w:r>
      </w:hyperlink>
    </w:p>
    <w:p w14:paraId="6981A1C4" w14:textId="77777777" w:rsidR="004923E8" w:rsidRPr="004D307F" w:rsidRDefault="00901FCB"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hyperlink r:id="rId29" w:history="1">
        <w:r w:rsidR="004923E8" w:rsidRPr="004D307F">
          <w:rPr>
            <w:rStyle w:val="Hyperlink"/>
            <w:rFonts w:ascii="VIC" w:eastAsia="Times New Roman" w:hAnsi="VIC" w:cs="Times New Roman"/>
            <w:sz w:val="24"/>
            <w:szCs w:val="24"/>
            <w:lang w:val="en" w:eastAsia="en-AU"/>
          </w:rPr>
          <w:t>Student Enrolment Census</w:t>
        </w:r>
      </w:hyperlink>
    </w:p>
    <w:p w14:paraId="2D27D98F" w14:textId="77777777" w:rsidR="004923E8" w:rsidRPr="004D307F" w:rsidRDefault="00901FCB"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hyperlink r:id="rId30" w:history="1">
        <w:r w:rsidR="004923E8" w:rsidRPr="004D307F">
          <w:rPr>
            <w:rStyle w:val="Hyperlink"/>
            <w:rFonts w:ascii="VIC" w:eastAsia="Times New Roman" w:hAnsi="VIC" w:cs="Times New Roman"/>
            <w:sz w:val="24"/>
            <w:szCs w:val="24"/>
            <w:lang w:val="en" w:eastAsia="en-AU"/>
          </w:rPr>
          <w:t>Student Resource Package — Overview</w:t>
        </w:r>
      </w:hyperlink>
    </w:p>
    <w:p w14:paraId="6CD2185D" w14:textId="77777777" w:rsidR="004923E8" w:rsidRPr="004D307F" w:rsidRDefault="00901FCB"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hyperlink r:id="rId31" w:history="1">
        <w:r w:rsidR="004923E8" w:rsidRPr="004D307F">
          <w:rPr>
            <w:rStyle w:val="Hyperlink"/>
            <w:rFonts w:ascii="VIC" w:eastAsia="Times New Roman" w:hAnsi="VIC" w:cs="Times New Roman"/>
            <w:sz w:val="24"/>
            <w:szCs w:val="24"/>
            <w:lang w:val="en" w:eastAsia="en-AU"/>
          </w:rPr>
          <w:t>Student Resource Package — Core Student Learning Allocation funding (Student Based Funding)</w:t>
        </w:r>
      </w:hyperlink>
    </w:p>
    <w:p w14:paraId="52FDAAAF" w14:textId="77777777" w:rsidR="004923E8" w:rsidRPr="004D307F" w:rsidRDefault="00901FCB"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hyperlink r:id="rId32" w:history="1">
        <w:r w:rsidR="004923E8" w:rsidRPr="004D307F">
          <w:rPr>
            <w:rStyle w:val="Hyperlink"/>
            <w:rFonts w:ascii="VIC" w:eastAsia="Times New Roman" w:hAnsi="VIC" w:cs="Times New Roman"/>
            <w:sz w:val="24"/>
            <w:szCs w:val="24"/>
            <w:lang w:val="en" w:eastAsia="en-AU"/>
          </w:rPr>
          <w:t>Student Resource Package — Managing the Budget</w:t>
        </w:r>
      </w:hyperlink>
    </w:p>
    <w:p w14:paraId="6889E200" w14:textId="77777777" w:rsidR="004923E8" w:rsidRPr="004D307F" w:rsidRDefault="00901FCB"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hyperlink r:id="rId33" w:history="1">
        <w:r w:rsidR="004923E8" w:rsidRPr="004D307F">
          <w:rPr>
            <w:rStyle w:val="Hyperlink"/>
            <w:rFonts w:ascii="VIC" w:eastAsia="Times New Roman" w:hAnsi="VIC" w:cs="Times New Roman"/>
            <w:sz w:val="24"/>
            <w:szCs w:val="24"/>
            <w:lang w:val="en" w:eastAsia="en-AU"/>
          </w:rPr>
          <w:t>Student Resource Package — School Infrastructure</w:t>
        </w:r>
      </w:hyperlink>
    </w:p>
    <w:p w14:paraId="0CAFFF75" w14:textId="77777777" w:rsidR="004923E8" w:rsidRPr="004D307F" w:rsidRDefault="00901FCB"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hyperlink r:id="rId34" w:history="1">
        <w:r w:rsidR="004923E8" w:rsidRPr="004D307F">
          <w:rPr>
            <w:rStyle w:val="Hyperlink"/>
            <w:rFonts w:ascii="VIC" w:eastAsia="Times New Roman" w:hAnsi="VIC" w:cs="Times New Roman"/>
            <w:sz w:val="24"/>
            <w:szCs w:val="24"/>
            <w:lang w:val="en" w:eastAsia="en-AU"/>
          </w:rPr>
          <w:t>Student Resource Package — School Specific Programs</w:t>
        </w:r>
      </w:hyperlink>
    </w:p>
    <w:p w14:paraId="56E7DCBB" w14:textId="77777777" w:rsidR="004923E8" w:rsidRPr="004D307F" w:rsidRDefault="00901FCB"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hyperlink r:id="rId35" w:history="1">
        <w:r w:rsidR="004923E8" w:rsidRPr="004D307F">
          <w:rPr>
            <w:rStyle w:val="Hyperlink"/>
            <w:rFonts w:ascii="VIC" w:eastAsia="Times New Roman" w:hAnsi="VIC" w:cs="Times New Roman"/>
            <w:sz w:val="24"/>
            <w:szCs w:val="24"/>
            <w:lang w:val="en" w:eastAsia="en-AU"/>
          </w:rPr>
          <w:t>Student Resource Package — Targeted Initiatives</w:t>
        </w:r>
      </w:hyperlink>
    </w:p>
    <w:p w14:paraId="180BD8BD" w14:textId="77777777" w:rsidR="004923E8" w:rsidRPr="004D307F" w:rsidRDefault="00901FCB"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hyperlink r:id="rId36" w:history="1">
        <w:r w:rsidR="004923E8" w:rsidRPr="004D307F">
          <w:rPr>
            <w:rStyle w:val="Hyperlink"/>
            <w:rFonts w:ascii="VIC" w:eastAsia="Times New Roman" w:hAnsi="VIC" w:cs="Times New Roman"/>
            <w:sz w:val="24"/>
            <w:szCs w:val="24"/>
            <w:lang w:val="en" w:eastAsia="en-AU"/>
          </w:rPr>
          <w:t>Students with Disability</w:t>
        </w:r>
      </w:hyperlink>
    </w:p>
    <w:p w14:paraId="1986863B" w14:textId="77777777" w:rsidR="004923E8" w:rsidRPr="004D307F" w:rsidRDefault="004923E8" w:rsidP="004D307F">
      <w:pPr>
        <w:spacing w:before="100" w:beforeAutospacing="1" w:after="100" w:afterAutospacing="1" w:line="312" w:lineRule="atLeast"/>
        <w:outlineLvl w:val="1"/>
        <w:rPr>
          <w:rFonts w:ascii="VIC" w:eastAsia="Times New Roman" w:hAnsi="VIC" w:cs="Times New Roman"/>
          <w:b/>
          <w:bCs/>
          <w:color w:val="011A3C"/>
          <w:sz w:val="36"/>
          <w:szCs w:val="36"/>
          <w:lang w:val="en" w:eastAsia="en-AU"/>
        </w:rPr>
      </w:pPr>
      <w:r w:rsidRPr="004D307F">
        <w:rPr>
          <w:rFonts w:ascii="VIC" w:eastAsia="Times New Roman" w:hAnsi="VIC" w:cs="Times New Roman"/>
          <w:b/>
          <w:bCs/>
          <w:color w:val="011A3C"/>
          <w:sz w:val="36"/>
          <w:szCs w:val="36"/>
          <w:lang w:val="en" w:eastAsia="en-AU"/>
        </w:rPr>
        <w:t>Contacts</w:t>
      </w:r>
    </w:p>
    <w:p w14:paraId="58D8486B" w14:textId="77777777" w:rsidR="004923E8" w:rsidRPr="004D307F" w:rsidRDefault="004923E8" w:rsidP="006D6E02">
      <w:pPr>
        <w:pStyle w:val="NormalWeb"/>
        <w:rPr>
          <w:rFonts w:ascii="VIC" w:hAnsi="VIC"/>
          <w:color w:val="011A3C"/>
        </w:rPr>
      </w:pPr>
      <w:r w:rsidRPr="004D307F">
        <w:rPr>
          <w:rStyle w:val="Strong"/>
          <w:rFonts w:ascii="VIC" w:hAnsi="VIC"/>
          <w:color w:val="011A3C"/>
        </w:rPr>
        <w:t>SRP Support</w:t>
      </w:r>
      <w:r w:rsidRPr="004D307F">
        <w:rPr>
          <w:rFonts w:ascii="VIC" w:hAnsi="VIC"/>
          <w:color w:val="011A3C"/>
        </w:rPr>
        <w:br/>
      </w:r>
      <w:r w:rsidRPr="004D307F">
        <w:rPr>
          <w:rFonts w:ascii="VIC" w:eastAsiaTheme="minorHAnsi" w:hAnsi="VIC" w:cstheme="minorBidi"/>
          <w:color w:val="011A3C"/>
          <w:sz w:val="22"/>
          <w:szCs w:val="22"/>
          <w:lang w:eastAsia="en-US"/>
        </w:rPr>
        <w:t>Phone:</w:t>
      </w:r>
      <w:r w:rsidRPr="004D307F">
        <w:rPr>
          <w:rFonts w:ascii="Calibri" w:eastAsiaTheme="minorHAnsi" w:hAnsi="Calibri" w:cs="Calibri"/>
          <w:color w:val="011A3C"/>
          <w:sz w:val="22"/>
          <w:szCs w:val="22"/>
          <w:lang w:eastAsia="en-US"/>
        </w:rPr>
        <w:t> </w:t>
      </w:r>
      <w:hyperlink r:id="rId37" w:history="1">
        <w:r w:rsidRPr="004D307F">
          <w:rPr>
            <w:rStyle w:val="rpl-text-label"/>
            <w:rFonts w:ascii="VIC" w:hAnsi="VIC"/>
            <w:color w:val="1855BF"/>
          </w:rPr>
          <w:t>1800 641 943</w:t>
        </w:r>
      </w:hyperlink>
      <w:r w:rsidRPr="004D307F">
        <w:rPr>
          <w:rFonts w:ascii="VIC" w:hAnsi="VIC"/>
          <w:color w:val="011A3C"/>
        </w:rPr>
        <w:br/>
      </w:r>
      <w:r w:rsidRPr="004D307F">
        <w:rPr>
          <w:rFonts w:ascii="VIC" w:eastAsiaTheme="minorHAnsi" w:hAnsi="VIC" w:cstheme="minorBidi"/>
          <w:color w:val="011A3C"/>
          <w:sz w:val="22"/>
          <w:szCs w:val="22"/>
          <w:lang w:eastAsia="en-US"/>
        </w:rPr>
        <w:t>Email:</w:t>
      </w:r>
      <w:r w:rsidRPr="004D307F">
        <w:rPr>
          <w:rFonts w:ascii="Calibri" w:hAnsi="Calibri" w:cs="Calibri"/>
          <w:color w:val="011A3C"/>
        </w:rPr>
        <w:t> </w:t>
      </w:r>
      <w:hyperlink r:id="rId38" w:history="1">
        <w:r w:rsidRPr="004D307F">
          <w:rPr>
            <w:rStyle w:val="rpl-text-label"/>
            <w:rFonts w:ascii="VIC" w:hAnsi="VIC"/>
            <w:color w:val="1855BF"/>
          </w:rPr>
          <w:t>studentresourcepackage@education.vic.gov.au</w:t>
        </w:r>
      </w:hyperlink>
    </w:p>
    <w:p w14:paraId="7C5F198B" w14:textId="77777777" w:rsidR="004923E8" w:rsidRPr="004D307F" w:rsidRDefault="004923E8" w:rsidP="004923E8">
      <w:pPr>
        <w:pStyle w:val="NormalWeb"/>
        <w:rPr>
          <w:rFonts w:ascii="VIC" w:hAnsi="VIC"/>
          <w:color w:val="011A3C"/>
        </w:rPr>
      </w:pPr>
      <w:r w:rsidRPr="004D307F">
        <w:rPr>
          <w:rStyle w:val="Strong"/>
          <w:rFonts w:ascii="VIC" w:hAnsi="VIC"/>
          <w:color w:val="011A3C"/>
        </w:rPr>
        <w:t>Contact details</w:t>
      </w:r>
      <w:r w:rsidRPr="004D307F">
        <w:rPr>
          <w:rFonts w:ascii="VIC" w:hAnsi="VIC"/>
          <w:color w:val="011A3C"/>
        </w:rPr>
        <w:t>:</w:t>
      </w:r>
      <w:r w:rsidRPr="004D307F">
        <w:rPr>
          <w:rFonts w:ascii="Calibri" w:hAnsi="Calibri" w:cs="Calibri"/>
          <w:color w:val="011A3C"/>
        </w:rPr>
        <w:t> </w:t>
      </w:r>
      <w:hyperlink r:id="rId39" w:tgtFrame="_blank" w:history="1">
        <w:r w:rsidRPr="004D307F">
          <w:rPr>
            <w:rStyle w:val="rpl-text-label"/>
            <w:rFonts w:ascii="VIC" w:hAnsi="VIC"/>
            <w:color w:val="1855BF"/>
          </w:rPr>
          <w:t>Services Portal (Service Request SRP</w:t>
        </w:r>
        <w:r w:rsidRPr="004D307F">
          <w:rPr>
            <w:rStyle w:val="rpl-text-label"/>
            <w:rFonts w:ascii="Calibri" w:hAnsi="Calibri" w:cs="Calibri"/>
            <w:color w:val="1855BF"/>
          </w:rPr>
          <w:t> </w:t>
        </w:r>
        <w:r w:rsidRPr="004D307F">
          <w:rPr>
            <w:rStyle w:val="rpl-text-icongroup"/>
            <w:rFonts w:ascii="VIC" w:hAnsi="VIC"/>
            <w:color w:val="1855BF"/>
          </w:rPr>
          <w:t>Option)</w:t>
        </w:r>
      </w:hyperlink>
      <w:r w:rsidRPr="004D307F">
        <w:rPr>
          <w:rFonts w:ascii="Calibri" w:hAnsi="Calibri" w:cs="Calibri"/>
          <w:color w:val="011A3C"/>
        </w:rPr>
        <w:t> </w:t>
      </w:r>
      <w:hyperlink r:id="rId40" w:history="1">
        <w:r w:rsidRPr="004D307F">
          <w:rPr>
            <w:rStyle w:val="rpl-text-label"/>
            <w:rFonts w:ascii="VIC" w:hAnsi="VIC"/>
            <w:color w:val="1855BF"/>
          </w:rPr>
          <w:t>1800 641 943</w:t>
        </w:r>
      </w:hyperlink>
    </w:p>
    <w:p w14:paraId="6763E02E" w14:textId="77777777" w:rsidR="004923E8" w:rsidRPr="004D307F" w:rsidRDefault="004923E8" w:rsidP="004923E8">
      <w:pPr>
        <w:pStyle w:val="NormalWeb"/>
        <w:rPr>
          <w:rFonts w:ascii="VIC" w:hAnsi="VIC"/>
          <w:color w:val="011A3C"/>
        </w:rPr>
      </w:pPr>
      <w:r w:rsidRPr="004D307F">
        <w:rPr>
          <w:rStyle w:val="Strong"/>
          <w:rFonts w:ascii="VIC" w:hAnsi="VIC"/>
          <w:color w:val="011A3C"/>
        </w:rPr>
        <w:lastRenderedPageBreak/>
        <w:t>For queries regarding the PSD</w:t>
      </w:r>
      <w:r w:rsidRPr="004D307F">
        <w:rPr>
          <w:rFonts w:ascii="VIC" w:hAnsi="VIC"/>
          <w:color w:val="011A3C"/>
        </w:rPr>
        <w:t>:</w:t>
      </w:r>
      <w:r w:rsidRPr="004D307F">
        <w:rPr>
          <w:rFonts w:ascii="Calibri" w:hAnsi="Calibri" w:cs="Calibri"/>
          <w:color w:val="011A3C"/>
        </w:rPr>
        <w:t> </w:t>
      </w:r>
      <w:hyperlink r:id="rId41" w:tgtFrame="_blank" w:history="1">
        <w:r w:rsidRPr="004D307F">
          <w:rPr>
            <w:rStyle w:val="rpl-text-label"/>
            <w:rFonts w:ascii="VIC" w:hAnsi="VIC"/>
            <w:color w:val="1855BF"/>
          </w:rPr>
          <w:t>Services</w:t>
        </w:r>
        <w:r w:rsidRPr="004D307F">
          <w:rPr>
            <w:rStyle w:val="rpl-text-label"/>
            <w:rFonts w:ascii="Calibri" w:hAnsi="Calibri" w:cs="Calibri"/>
            <w:color w:val="1855BF"/>
          </w:rPr>
          <w:t> </w:t>
        </w:r>
        <w:r w:rsidRPr="004D307F">
          <w:rPr>
            <w:rStyle w:val="rpl-text-icongroup"/>
            <w:rFonts w:ascii="VIC" w:hAnsi="VIC"/>
            <w:color w:val="1855BF"/>
          </w:rPr>
          <w:t>Portal</w:t>
        </w:r>
      </w:hyperlink>
      <w:r w:rsidRPr="004D307F">
        <w:rPr>
          <w:rFonts w:ascii="Calibri" w:hAnsi="Calibri" w:cs="Calibri"/>
          <w:color w:val="011A3C"/>
        </w:rPr>
        <w:t> </w:t>
      </w:r>
      <w:r w:rsidRPr="004D307F">
        <w:rPr>
          <w:rFonts w:ascii="VIC" w:eastAsiaTheme="minorHAnsi" w:hAnsi="VIC" w:cstheme="minorBidi"/>
          <w:color w:val="011A3C"/>
          <w:sz w:val="22"/>
          <w:szCs w:val="22"/>
          <w:lang w:eastAsia="en-US"/>
        </w:rPr>
        <w:t>(‘log a request’ and select ‘PSDMS’)</w:t>
      </w:r>
    </w:p>
    <w:p w14:paraId="7D9C3A1F" w14:textId="77777777" w:rsidR="004923E8" w:rsidRPr="004D307F" w:rsidRDefault="004923E8" w:rsidP="004923E8">
      <w:pPr>
        <w:pStyle w:val="NormalWeb"/>
        <w:rPr>
          <w:rStyle w:val="rpl-text-label"/>
          <w:rFonts w:ascii="VIC" w:hAnsi="VIC"/>
          <w:color w:val="1855BF"/>
        </w:rPr>
      </w:pPr>
      <w:r w:rsidRPr="004D307F">
        <w:rPr>
          <w:rStyle w:val="Strong"/>
          <w:rFonts w:ascii="VIC" w:hAnsi="VIC"/>
          <w:color w:val="011A3C"/>
        </w:rPr>
        <w:t>For queries regarding EAL</w:t>
      </w:r>
      <w:r w:rsidRPr="004D307F">
        <w:rPr>
          <w:rFonts w:ascii="VIC" w:hAnsi="VIC"/>
          <w:color w:val="011A3C"/>
        </w:rPr>
        <w:t>:</w:t>
      </w:r>
      <w:r w:rsidRPr="004D307F">
        <w:rPr>
          <w:rFonts w:ascii="VIC" w:hAnsi="VIC"/>
          <w:color w:val="011A3C"/>
        </w:rPr>
        <w:br/>
        <w:t>Phone:</w:t>
      </w:r>
      <w:r w:rsidRPr="004D307F">
        <w:rPr>
          <w:rFonts w:ascii="Calibri" w:hAnsi="Calibri" w:cs="Calibri"/>
          <w:color w:val="011A3C"/>
        </w:rPr>
        <w:t> </w:t>
      </w:r>
      <w:hyperlink r:id="rId42" w:history="1">
        <w:r w:rsidRPr="004D307F">
          <w:rPr>
            <w:rStyle w:val="rpl-text-label"/>
            <w:rFonts w:ascii="VIC" w:hAnsi="VIC"/>
            <w:color w:val="1855BF"/>
          </w:rPr>
          <w:t>03 7022 1111</w:t>
        </w:r>
      </w:hyperlink>
      <w:r w:rsidRPr="004D307F">
        <w:rPr>
          <w:rFonts w:ascii="VIC" w:hAnsi="VIC"/>
          <w:color w:val="011A3C"/>
        </w:rPr>
        <w:br/>
        <w:t>Email:</w:t>
      </w:r>
      <w:r w:rsidRPr="004D307F">
        <w:rPr>
          <w:rFonts w:ascii="Calibri" w:hAnsi="Calibri" w:cs="Calibri"/>
          <w:color w:val="011A3C"/>
        </w:rPr>
        <w:t> </w:t>
      </w:r>
      <w:hyperlink r:id="rId43" w:history="1">
        <w:r w:rsidRPr="004D307F">
          <w:rPr>
            <w:rStyle w:val="rpl-text-label"/>
            <w:rFonts w:ascii="VIC" w:hAnsi="VIC"/>
            <w:color w:val="1855BF"/>
          </w:rPr>
          <w:t>eal@education.vic.gov.au</w:t>
        </w:r>
      </w:hyperlink>
    </w:p>
    <w:p w14:paraId="70B40B90" w14:textId="3139F640" w:rsidR="00ED4312" w:rsidRPr="004D307F" w:rsidRDefault="00ED4312" w:rsidP="000D106B">
      <w:pPr>
        <w:rPr>
          <w:rFonts w:ascii="VIC" w:eastAsia="Times New Roman" w:hAnsi="VIC" w:cs="Times New Roman"/>
          <w:color w:val="011A3C"/>
          <w:sz w:val="24"/>
          <w:szCs w:val="24"/>
          <w:lang w:val="en" w:eastAsia="en-AU"/>
        </w:rPr>
      </w:pPr>
      <w:r w:rsidRPr="004D307F">
        <w:rPr>
          <w:rFonts w:ascii="VIC" w:hAnsi="VIC"/>
          <w:color w:val="011A3C"/>
          <w:lang w:val="en"/>
        </w:rPr>
        <w:br w:type="page"/>
      </w:r>
    </w:p>
    <w:p w14:paraId="78D3554F" w14:textId="281A2414" w:rsidR="00AD16F0" w:rsidRPr="004D307F" w:rsidRDefault="00AD16F0" w:rsidP="00B566E7">
      <w:pPr>
        <w:pStyle w:val="Heading2"/>
      </w:pPr>
      <w:bookmarkStart w:id="20" w:name="_Toc106793750"/>
      <w:r w:rsidRPr="004D307F">
        <w:lastRenderedPageBreak/>
        <w:t>Equity (Social Disadvantage) (Reference 11)</w:t>
      </w:r>
      <w:bookmarkEnd w:id="20"/>
    </w:p>
    <w:p w14:paraId="5E7CAAF0"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for Equity (Social Disadvantage) provides an individual loading for students from disadvantaged backgrounds that will increase with the density of disadvantage at the school. Social disadvantage can often place students well behind their peers when entering the education system. Increased funding for schools has proven to raise educational outcomes, particularly for these students. Schools will use Social Disadvantage funding to deliver tailored educational programs that meet the needs of this cohort of students.</w:t>
      </w:r>
    </w:p>
    <w:p w14:paraId="6FB6A11C" w14:textId="262F48AE"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Equity (Social Disadvantage) loading allocates funding based on parental occupation, parental education and the level of concentration of disadvantage in a school. Students with the highest level of need will be targeted with the most funding to ensure schools have the resources to support them. The loading is need based, </w:t>
      </w:r>
      <w:r w:rsidR="00C53D2A" w:rsidRPr="004D307F">
        <w:rPr>
          <w:rFonts w:ascii="VIC-Regular" w:eastAsia="Times New Roman" w:hAnsi="VIC-Regular" w:cs="Times New Roman"/>
          <w:color w:val="011A3C"/>
          <w:sz w:val="24"/>
          <w:szCs w:val="24"/>
          <w:lang w:val="en" w:eastAsia="en-AU"/>
        </w:rPr>
        <w:t>however,</w:t>
      </w:r>
      <w:r w:rsidRPr="004D307F">
        <w:rPr>
          <w:rFonts w:ascii="VIC-Regular" w:eastAsia="Times New Roman" w:hAnsi="VIC-Regular" w:cs="Times New Roman"/>
          <w:color w:val="011A3C"/>
          <w:sz w:val="24"/>
          <w:szCs w:val="24"/>
          <w:lang w:val="en" w:eastAsia="en-AU"/>
        </w:rPr>
        <w:t xml:space="preserve"> to increase year on year stability for schools, a floor on negative funding changes and a weighted rolling average is applied to this loading.</w:t>
      </w:r>
    </w:p>
    <w:p w14:paraId="4C4FACE7"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While having similarities to the former Student Family Occupation (SFO) index, the Equity (Social Disadvantage) funding contains some important differences:</w:t>
      </w:r>
    </w:p>
    <w:p w14:paraId="27A8EBF7" w14:textId="77777777" w:rsidR="00AD16F0" w:rsidRPr="004D307F" w:rsidRDefault="00AD16F0" w:rsidP="00ED0863">
      <w:pPr>
        <w:numPr>
          <w:ilvl w:val="0"/>
          <w:numId w:val="1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Social Disadvantage utilises both the Student Family Education (SFE) and SFO index, further strengthening the targeting of existing and new equity funding.</w:t>
      </w:r>
    </w:p>
    <w:p w14:paraId="1671389A" w14:textId="77777777" w:rsidR="00AD16F0" w:rsidRPr="004D307F" w:rsidRDefault="00AD16F0" w:rsidP="00ED0863">
      <w:pPr>
        <w:numPr>
          <w:ilvl w:val="0"/>
          <w:numId w:val="1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median threshold previously used under the SFO for equity no longer exists.</w:t>
      </w:r>
    </w:p>
    <w:p w14:paraId="10952592" w14:textId="77777777" w:rsidR="00AD16F0" w:rsidRPr="004D307F" w:rsidRDefault="00AD16F0" w:rsidP="00ED0863">
      <w:pPr>
        <w:numPr>
          <w:ilvl w:val="0"/>
          <w:numId w:val="1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All students identified with high needs will be provided with funding.</w:t>
      </w:r>
    </w:p>
    <w:p w14:paraId="44CEF94D" w14:textId="77777777" w:rsidR="00AD16F0" w:rsidRPr="004D307F"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Eligibility</w:t>
      </w:r>
    </w:p>
    <w:p w14:paraId="533EDFB4" w14:textId="46203259" w:rsidR="00AD16F0" w:rsidRPr="004D307F" w:rsidRDefault="00AD16F0" w:rsidP="00ED0863">
      <w:pPr>
        <w:numPr>
          <w:ilvl w:val="0"/>
          <w:numId w:val="1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All School types are eligible, students identified with high needs will be provided with funding at </w:t>
      </w:r>
      <w:r w:rsidR="00EC143E" w:rsidRPr="004D307F">
        <w:rPr>
          <w:rFonts w:ascii="VIC-Regular" w:eastAsia="Times New Roman" w:hAnsi="VIC-Regular" w:cs="Times New Roman"/>
          <w:color w:val="011A3C"/>
          <w:sz w:val="24"/>
          <w:szCs w:val="24"/>
          <w:lang w:val="en" w:eastAsia="en-AU"/>
        </w:rPr>
        <w:t xml:space="preserve">school </w:t>
      </w:r>
      <w:r w:rsidR="00C53D2A" w:rsidRPr="004D307F">
        <w:rPr>
          <w:rFonts w:ascii="VIC-Regular" w:eastAsia="Times New Roman" w:hAnsi="VIC-Regular" w:cs="Times New Roman"/>
          <w:color w:val="011A3C"/>
          <w:sz w:val="24"/>
          <w:szCs w:val="24"/>
          <w:lang w:val="en" w:eastAsia="en-AU"/>
        </w:rPr>
        <w:t>level. *</w:t>
      </w:r>
    </w:p>
    <w:p w14:paraId="0FD86462" w14:textId="17A8B4DE" w:rsidR="00EC143E" w:rsidRPr="004D307F" w:rsidRDefault="00EC143E" w:rsidP="000E2834">
      <w:pPr>
        <w:pStyle w:val="ListParagraph"/>
        <w:spacing w:before="100" w:beforeAutospacing="1" w:after="100" w:afterAutospacing="1" w:line="360" w:lineRule="atLeast"/>
        <w:ind w:left="0"/>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will be calculated at the Indicative budget cycle</w:t>
      </w:r>
      <w:r w:rsidR="00FB4A51" w:rsidRPr="004D307F">
        <w:rPr>
          <w:rFonts w:ascii="VIC-Regular" w:eastAsia="Times New Roman" w:hAnsi="VIC-Regular" w:cs="Times New Roman"/>
          <w:color w:val="011A3C"/>
          <w:sz w:val="24"/>
          <w:szCs w:val="24"/>
          <w:lang w:val="en" w:eastAsia="en-AU"/>
        </w:rPr>
        <w:t xml:space="preserve"> only</w:t>
      </w:r>
      <w:r w:rsidRPr="004D307F">
        <w:rPr>
          <w:rFonts w:ascii="VIC-Regular" w:eastAsia="Times New Roman" w:hAnsi="VIC-Regular" w:cs="Times New Roman"/>
          <w:color w:val="011A3C"/>
          <w:sz w:val="24"/>
          <w:szCs w:val="24"/>
          <w:lang w:val="en" w:eastAsia="en-AU"/>
        </w:rPr>
        <w:t>, schools are provided with cash and credit funding.</w:t>
      </w:r>
    </w:p>
    <w:p w14:paraId="0CBC6621" w14:textId="6291D655" w:rsidR="00AD16F0" w:rsidRPr="004D307F" w:rsidRDefault="00AD16F0" w:rsidP="00AF025A">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How social disadvantage is identified</w:t>
      </w:r>
    </w:p>
    <w:p w14:paraId="32A6CA51"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level of Social Disadvantage is measured through the student’s Student Family Occupation and Education (SFOE), which is a combination of their SFO and SFE categories. The matrix below in Table 1 depicts the possible SFOE categories a student may have. These categories are used to determine which students come from disadvantaged backgrounds and the Social Disadvantage loading they would attract. There are two levels of Social Disadvantage loadings available, depending on the student’s level of need: </w:t>
      </w:r>
    </w:p>
    <w:p w14:paraId="43AC6675"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lastRenderedPageBreak/>
        <w:t>Level 1</w:t>
      </w:r>
      <w:r w:rsidRPr="004D307F">
        <w:rPr>
          <w:rFonts w:ascii="VIC-Regular" w:eastAsia="Times New Roman" w:hAnsi="VIC-Regular" w:cs="Times New Roman"/>
          <w:color w:val="011A3C"/>
          <w:sz w:val="24"/>
          <w:szCs w:val="24"/>
          <w:lang w:val="en" w:eastAsia="en-AU"/>
        </w:rPr>
        <w:t>: For students with parents who are unemployed with below diploma level education or have lower skilled jobs with very low or low education</w:t>
      </w:r>
    </w:p>
    <w:p w14:paraId="47E378F6"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Level 2</w:t>
      </w:r>
      <w:r w:rsidRPr="004D307F">
        <w:rPr>
          <w:rFonts w:ascii="VIC-Regular" w:eastAsia="Times New Roman" w:hAnsi="VIC-Regular" w:cs="Times New Roman"/>
          <w:color w:val="011A3C"/>
          <w:sz w:val="24"/>
          <w:szCs w:val="24"/>
          <w:lang w:val="en" w:eastAsia="en-AU"/>
        </w:rPr>
        <w:t>: For students with parents who have various combinations of medium and low skilled jobs and education levels, or are unemployed with a diploma level education</w:t>
      </w:r>
    </w:p>
    <w:p w14:paraId="7CA442C4" w14:textId="77777777" w:rsidR="00AD16F0" w:rsidRPr="004D307F"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Table 1</w:t>
      </w:r>
    </w:p>
    <w:p w14:paraId="44A24B65" w14:textId="12DAB920"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letters</w:t>
      </w:r>
      <w:r w:rsidR="000E2834" w:rsidRPr="004D307F">
        <w:rPr>
          <w:rFonts w:ascii="VIC-Regular" w:eastAsia="Times New Roman" w:hAnsi="VIC-Regular" w:cs="Times New Roman"/>
          <w:color w:val="011A3C"/>
          <w:sz w:val="24"/>
          <w:szCs w:val="24"/>
          <w:lang w:val="en" w:eastAsia="en-AU"/>
        </w:rPr>
        <w:t xml:space="preserve"> (A to U)</w:t>
      </w:r>
      <w:r w:rsidRPr="004D307F">
        <w:rPr>
          <w:rFonts w:ascii="VIC-Regular" w:eastAsia="Times New Roman" w:hAnsi="VIC-Regular" w:cs="Times New Roman"/>
          <w:color w:val="011A3C"/>
          <w:sz w:val="24"/>
          <w:szCs w:val="24"/>
          <w:lang w:val="en" w:eastAsia="en-AU"/>
        </w:rPr>
        <w:t xml:space="preserve"> in the </w:t>
      </w:r>
      <w:r w:rsidR="00992D19" w:rsidRPr="004D307F">
        <w:rPr>
          <w:rFonts w:ascii="VIC-Regular" w:eastAsia="Times New Roman" w:hAnsi="VIC-Regular" w:cs="Times New Roman"/>
          <w:color w:val="011A3C"/>
          <w:sz w:val="24"/>
          <w:szCs w:val="24"/>
          <w:lang w:val="en" w:eastAsia="en-AU"/>
        </w:rPr>
        <w:t>far-right</w:t>
      </w:r>
      <w:r w:rsidRPr="004D307F">
        <w:rPr>
          <w:rFonts w:ascii="VIC-Regular" w:eastAsia="Times New Roman" w:hAnsi="VIC-Regular" w:cs="Times New Roman"/>
          <w:color w:val="011A3C"/>
          <w:sz w:val="24"/>
          <w:szCs w:val="24"/>
          <w:lang w:val="en" w:eastAsia="en-AU"/>
        </w:rPr>
        <w:t xml:space="preserve"> columns reference SFO categories</w:t>
      </w:r>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66"/>
        <w:gridCol w:w="4838"/>
        <w:gridCol w:w="363"/>
        <w:gridCol w:w="343"/>
        <w:gridCol w:w="337"/>
        <w:gridCol w:w="380"/>
        <w:gridCol w:w="395"/>
        <w:gridCol w:w="393"/>
      </w:tblGrid>
      <w:tr w:rsidR="00124D27" w:rsidRPr="004D307F" w14:paraId="4EF03356" w14:textId="77777777" w:rsidTr="000E2834">
        <w:trPr>
          <w:trHeight w:val="275"/>
          <w:tblHeader/>
        </w:trPr>
        <w:tc>
          <w:tcPr>
            <w:tcW w:w="0" w:type="auto"/>
            <w:hideMark/>
          </w:tcPr>
          <w:p w14:paraId="213334A4" w14:textId="77777777" w:rsidR="00124D27" w:rsidRPr="004D307F" w:rsidRDefault="00124D27"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CASES21 Code</w:t>
            </w:r>
          </w:p>
        </w:tc>
        <w:tc>
          <w:tcPr>
            <w:tcW w:w="0" w:type="auto"/>
            <w:hideMark/>
          </w:tcPr>
          <w:p w14:paraId="44772DFA" w14:textId="77777777" w:rsidR="00124D27" w:rsidRPr="004D307F" w:rsidRDefault="00124D27"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Education Category</w:t>
            </w:r>
          </w:p>
        </w:tc>
        <w:tc>
          <w:tcPr>
            <w:tcW w:w="0" w:type="auto"/>
            <w:gridSpan w:val="6"/>
            <w:hideMark/>
          </w:tcPr>
          <w:p w14:paraId="74E6A260" w14:textId="1CF55EC9" w:rsidR="00124D27" w:rsidRPr="004D307F" w:rsidRDefault="00124D27" w:rsidP="00124D27">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SFO Category</w:t>
            </w:r>
          </w:p>
        </w:tc>
      </w:tr>
      <w:tr w:rsidR="00AD16F0" w:rsidRPr="004D307F" w14:paraId="269767A4" w14:textId="77777777" w:rsidTr="000E2834">
        <w:trPr>
          <w:trHeight w:val="344"/>
        </w:trPr>
        <w:tc>
          <w:tcPr>
            <w:tcW w:w="0" w:type="auto"/>
            <w:hideMark/>
          </w:tcPr>
          <w:p w14:paraId="6FEE4AD2" w14:textId="77777777" w:rsidR="00AD16F0" w:rsidRPr="004D307F" w:rsidRDefault="00AD16F0" w:rsidP="00AD16F0">
            <w:pPr>
              <w:spacing w:after="0" w:line="240" w:lineRule="atLeast"/>
              <w:rPr>
                <w:rFonts w:ascii="Times New Roman" w:eastAsia="Times New Roman" w:hAnsi="Times New Roman" w:cs="Times New Roman"/>
                <w:color w:val="323E4F" w:themeColor="text2" w:themeShade="BF"/>
                <w:sz w:val="20"/>
                <w:szCs w:val="20"/>
                <w:lang w:eastAsia="en-AU"/>
              </w:rPr>
            </w:pPr>
          </w:p>
        </w:tc>
        <w:tc>
          <w:tcPr>
            <w:tcW w:w="0" w:type="auto"/>
            <w:hideMark/>
          </w:tcPr>
          <w:p w14:paraId="23B95FAA" w14:textId="77777777" w:rsidR="00AD16F0" w:rsidRPr="004D307F" w:rsidRDefault="00AD16F0" w:rsidP="00AD16F0">
            <w:pPr>
              <w:spacing w:after="0" w:line="360" w:lineRule="atLeast"/>
              <w:rPr>
                <w:rFonts w:ascii="Times New Roman" w:eastAsia="Times New Roman" w:hAnsi="Times New Roman" w:cs="Times New Roman"/>
                <w:color w:val="323E4F" w:themeColor="text2" w:themeShade="BF"/>
                <w:sz w:val="20"/>
                <w:szCs w:val="20"/>
                <w:lang w:eastAsia="en-AU"/>
              </w:rPr>
            </w:pPr>
          </w:p>
        </w:tc>
        <w:tc>
          <w:tcPr>
            <w:tcW w:w="0" w:type="auto"/>
            <w:hideMark/>
          </w:tcPr>
          <w:p w14:paraId="1997BC86"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A</w:t>
            </w:r>
          </w:p>
        </w:tc>
        <w:tc>
          <w:tcPr>
            <w:tcW w:w="0" w:type="auto"/>
            <w:hideMark/>
          </w:tcPr>
          <w:p w14:paraId="6D282A42"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B</w:t>
            </w:r>
          </w:p>
        </w:tc>
        <w:tc>
          <w:tcPr>
            <w:tcW w:w="0" w:type="auto"/>
            <w:hideMark/>
          </w:tcPr>
          <w:p w14:paraId="38EA0E0D"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C</w:t>
            </w:r>
          </w:p>
        </w:tc>
        <w:tc>
          <w:tcPr>
            <w:tcW w:w="0" w:type="auto"/>
            <w:hideMark/>
          </w:tcPr>
          <w:p w14:paraId="0629EE1B"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D</w:t>
            </w:r>
          </w:p>
        </w:tc>
        <w:tc>
          <w:tcPr>
            <w:tcW w:w="0" w:type="auto"/>
            <w:hideMark/>
          </w:tcPr>
          <w:p w14:paraId="11A02C12"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N</w:t>
            </w:r>
          </w:p>
        </w:tc>
        <w:tc>
          <w:tcPr>
            <w:tcW w:w="0" w:type="auto"/>
            <w:hideMark/>
          </w:tcPr>
          <w:p w14:paraId="48C77319"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U</w:t>
            </w:r>
          </w:p>
        </w:tc>
      </w:tr>
      <w:tr w:rsidR="00AD16F0" w:rsidRPr="004D307F" w14:paraId="3AAD9EFF" w14:textId="77777777" w:rsidTr="000E2834">
        <w:trPr>
          <w:trHeight w:val="344"/>
        </w:trPr>
        <w:tc>
          <w:tcPr>
            <w:tcW w:w="0" w:type="auto"/>
            <w:hideMark/>
          </w:tcPr>
          <w:p w14:paraId="196FC517"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6FE8B3E8"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SFE Not Stated/Unknown</w:t>
            </w:r>
          </w:p>
        </w:tc>
        <w:tc>
          <w:tcPr>
            <w:tcW w:w="0" w:type="auto"/>
            <w:hideMark/>
          </w:tcPr>
          <w:p w14:paraId="4D4AC018"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47B83973"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0180DDBA"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47C6E018"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338FC30D"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2D3A8FDB"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r>
      <w:tr w:rsidR="00AD16F0" w:rsidRPr="004D307F" w14:paraId="5E241894" w14:textId="77777777" w:rsidTr="000E2834">
        <w:trPr>
          <w:trHeight w:val="344"/>
        </w:trPr>
        <w:tc>
          <w:tcPr>
            <w:tcW w:w="0" w:type="auto"/>
            <w:hideMark/>
          </w:tcPr>
          <w:p w14:paraId="31B97FB1"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w:t>
            </w:r>
          </w:p>
        </w:tc>
        <w:tc>
          <w:tcPr>
            <w:tcW w:w="0" w:type="auto"/>
            <w:hideMark/>
          </w:tcPr>
          <w:p w14:paraId="34648816"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SFE Yr 9 or below</w:t>
            </w:r>
          </w:p>
        </w:tc>
        <w:tc>
          <w:tcPr>
            <w:tcW w:w="0" w:type="auto"/>
            <w:hideMark/>
          </w:tcPr>
          <w:p w14:paraId="0FC58538"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279464ED"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02F098B1"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2</w:t>
            </w:r>
          </w:p>
        </w:tc>
        <w:tc>
          <w:tcPr>
            <w:tcW w:w="0" w:type="auto"/>
            <w:hideMark/>
          </w:tcPr>
          <w:p w14:paraId="631E6171"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1</w:t>
            </w:r>
          </w:p>
        </w:tc>
        <w:tc>
          <w:tcPr>
            <w:tcW w:w="0" w:type="auto"/>
            <w:hideMark/>
          </w:tcPr>
          <w:p w14:paraId="1F8D0D2A"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1</w:t>
            </w:r>
          </w:p>
        </w:tc>
        <w:tc>
          <w:tcPr>
            <w:tcW w:w="0" w:type="auto"/>
            <w:hideMark/>
          </w:tcPr>
          <w:p w14:paraId="013EB7F6"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r>
      <w:tr w:rsidR="00AD16F0" w:rsidRPr="004D307F" w14:paraId="3430E808" w14:textId="77777777" w:rsidTr="000E2834">
        <w:trPr>
          <w:trHeight w:val="344"/>
        </w:trPr>
        <w:tc>
          <w:tcPr>
            <w:tcW w:w="0" w:type="auto"/>
            <w:hideMark/>
          </w:tcPr>
          <w:p w14:paraId="29CFD928"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w:t>
            </w:r>
          </w:p>
        </w:tc>
        <w:tc>
          <w:tcPr>
            <w:tcW w:w="0" w:type="auto"/>
            <w:hideMark/>
          </w:tcPr>
          <w:p w14:paraId="25CAAE59"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SFE Yr 10 or equivalent</w:t>
            </w:r>
          </w:p>
        </w:tc>
        <w:tc>
          <w:tcPr>
            <w:tcW w:w="0" w:type="auto"/>
            <w:hideMark/>
          </w:tcPr>
          <w:p w14:paraId="6B8F4580"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726A300A"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6EC1E93D"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2</w:t>
            </w:r>
          </w:p>
        </w:tc>
        <w:tc>
          <w:tcPr>
            <w:tcW w:w="0" w:type="auto"/>
            <w:hideMark/>
          </w:tcPr>
          <w:p w14:paraId="201DC1DF"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1</w:t>
            </w:r>
          </w:p>
        </w:tc>
        <w:tc>
          <w:tcPr>
            <w:tcW w:w="0" w:type="auto"/>
            <w:hideMark/>
          </w:tcPr>
          <w:p w14:paraId="30A35377"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1</w:t>
            </w:r>
          </w:p>
        </w:tc>
        <w:tc>
          <w:tcPr>
            <w:tcW w:w="0" w:type="auto"/>
            <w:hideMark/>
          </w:tcPr>
          <w:p w14:paraId="04C5D2B4"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r>
      <w:tr w:rsidR="00AD16F0" w:rsidRPr="004D307F" w14:paraId="37456050" w14:textId="77777777" w:rsidTr="000E2834">
        <w:trPr>
          <w:trHeight w:val="344"/>
        </w:trPr>
        <w:tc>
          <w:tcPr>
            <w:tcW w:w="0" w:type="auto"/>
            <w:hideMark/>
          </w:tcPr>
          <w:p w14:paraId="53424DED"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w:t>
            </w:r>
          </w:p>
        </w:tc>
        <w:tc>
          <w:tcPr>
            <w:tcW w:w="0" w:type="auto"/>
            <w:hideMark/>
          </w:tcPr>
          <w:p w14:paraId="31B460D4"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SFE Yr 11 or equivalent</w:t>
            </w:r>
          </w:p>
        </w:tc>
        <w:tc>
          <w:tcPr>
            <w:tcW w:w="0" w:type="auto"/>
            <w:hideMark/>
          </w:tcPr>
          <w:p w14:paraId="6FF375C9"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69FA98E0"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4DC7C921"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2</w:t>
            </w:r>
          </w:p>
        </w:tc>
        <w:tc>
          <w:tcPr>
            <w:tcW w:w="0" w:type="auto"/>
            <w:hideMark/>
          </w:tcPr>
          <w:p w14:paraId="047BC538"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2</w:t>
            </w:r>
          </w:p>
        </w:tc>
        <w:tc>
          <w:tcPr>
            <w:tcW w:w="0" w:type="auto"/>
            <w:hideMark/>
          </w:tcPr>
          <w:p w14:paraId="1B499ABC"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1</w:t>
            </w:r>
          </w:p>
        </w:tc>
        <w:tc>
          <w:tcPr>
            <w:tcW w:w="0" w:type="auto"/>
            <w:hideMark/>
          </w:tcPr>
          <w:p w14:paraId="71C1EA45"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r>
      <w:tr w:rsidR="00AD16F0" w:rsidRPr="004D307F" w14:paraId="41C4DDDB" w14:textId="77777777" w:rsidTr="000E2834">
        <w:trPr>
          <w:trHeight w:val="344"/>
        </w:trPr>
        <w:tc>
          <w:tcPr>
            <w:tcW w:w="0" w:type="auto"/>
            <w:hideMark/>
          </w:tcPr>
          <w:p w14:paraId="7B8CB1A7"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w:t>
            </w:r>
          </w:p>
        </w:tc>
        <w:tc>
          <w:tcPr>
            <w:tcW w:w="0" w:type="auto"/>
            <w:hideMark/>
          </w:tcPr>
          <w:p w14:paraId="5F8856A4"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SFE Yr 12 or equivalent</w:t>
            </w:r>
          </w:p>
        </w:tc>
        <w:tc>
          <w:tcPr>
            <w:tcW w:w="0" w:type="auto"/>
            <w:hideMark/>
          </w:tcPr>
          <w:p w14:paraId="0C70BEE7"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5C5857EB"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4431AE75"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40FEA169"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2</w:t>
            </w:r>
          </w:p>
        </w:tc>
        <w:tc>
          <w:tcPr>
            <w:tcW w:w="0" w:type="auto"/>
            <w:hideMark/>
          </w:tcPr>
          <w:p w14:paraId="038309FF"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1</w:t>
            </w:r>
          </w:p>
        </w:tc>
        <w:tc>
          <w:tcPr>
            <w:tcW w:w="0" w:type="auto"/>
            <w:hideMark/>
          </w:tcPr>
          <w:p w14:paraId="55232EBD"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r>
      <w:tr w:rsidR="00AD16F0" w:rsidRPr="004D307F" w14:paraId="1E072772" w14:textId="77777777" w:rsidTr="000E2834">
        <w:trPr>
          <w:trHeight w:val="344"/>
        </w:trPr>
        <w:tc>
          <w:tcPr>
            <w:tcW w:w="0" w:type="auto"/>
            <w:hideMark/>
          </w:tcPr>
          <w:p w14:paraId="387FE231"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w:t>
            </w:r>
          </w:p>
        </w:tc>
        <w:tc>
          <w:tcPr>
            <w:tcW w:w="0" w:type="auto"/>
            <w:hideMark/>
          </w:tcPr>
          <w:p w14:paraId="1D153E28"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SFE Certificate I to IV</w:t>
            </w:r>
          </w:p>
        </w:tc>
        <w:tc>
          <w:tcPr>
            <w:tcW w:w="0" w:type="auto"/>
            <w:hideMark/>
          </w:tcPr>
          <w:p w14:paraId="52FE3B87"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7E3E9051"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4133714E"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6D8E9D2B"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2</w:t>
            </w:r>
          </w:p>
        </w:tc>
        <w:tc>
          <w:tcPr>
            <w:tcW w:w="0" w:type="auto"/>
            <w:hideMark/>
          </w:tcPr>
          <w:p w14:paraId="133060AD"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1</w:t>
            </w:r>
          </w:p>
        </w:tc>
        <w:tc>
          <w:tcPr>
            <w:tcW w:w="0" w:type="auto"/>
            <w:hideMark/>
          </w:tcPr>
          <w:p w14:paraId="41F98F9C"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r>
      <w:tr w:rsidR="00AD16F0" w:rsidRPr="004D307F" w14:paraId="03FAA323" w14:textId="77777777" w:rsidTr="000E2834">
        <w:trPr>
          <w:trHeight w:val="344"/>
        </w:trPr>
        <w:tc>
          <w:tcPr>
            <w:tcW w:w="0" w:type="auto"/>
            <w:hideMark/>
          </w:tcPr>
          <w:p w14:paraId="1380F6BD"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w:t>
            </w:r>
          </w:p>
        </w:tc>
        <w:tc>
          <w:tcPr>
            <w:tcW w:w="0" w:type="auto"/>
            <w:hideMark/>
          </w:tcPr>
          <w:p w14:paraId="55867E96"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SFE Advanced Dip/Diploma</w:t>
            </w:r>
          </w:p>
        </w:tc>
        <w:tc>
          <w:tcPr>
            <w:tcW w:w="0" w:type="auto"/>
            <w:hideMark/>
          </w:tcPr>
          <w:p w14:paraId="23B316BD"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287C06C3"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391C1FDC"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06FF1D88"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041C9F62"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2</w:t>
            </w:r>
          </w:p>
        </w:tc>
        <w:tc>
          <w:tcPr>
            <w:tcW w:w="0" w:type="auto"/>
            <w:hideMark/>
          </w:tcPr>
          <w:p w14:paraId="591B3630"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r>
      <w:tr w:rsidR="00AD16F0" w:rsidRPr="004D307F" w14:paraId="01EAA570" w14:textId="77777777" w:rsidTr="000E2834">
        <w:trPr>
          <w:trHeight w:val="344"/>
        </w:trPr>
        <w:tc>
          <w:tcPr>
            <w:tcW w:w="0" w:type="auto"/>
            <w:hideMark/>
          </w:tcPr>
          <w:p w14:paraId="41512512"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w:t>
            </w:r>
          </w:p>
        </w:tc>
        <w:tc>
          <w:tcPr>
            <w:tcW w:w="0" w:type="auto"/>
            <w:hideMark/>
          </w:tcPr>
          <w:p w14:paraId="6107F595"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SFE Bachelor degree or above</w:t>
            </w:r>
          </w:p>
        </w:tc>
        <w:tc>
          <w:tcPr>
            <w:tcW w:w="0" w:type="auto"/>
            <w:hideMark/>
          </w:tcPr>
          <w:p w14:paraId="0965515D"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0EEF1669"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053B6169"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5214B383"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7F379588"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127086A8"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r>
    </w:tbl>
    <w:p w14:paraId="21D97B54"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density of need according to each school’s new SFOE index will further weight the Social Disadvantage loadings.</w:t>
      </w:r>
    </w:p>
    <w:p w14:paraId="2F5CFD7E"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To calculate the SFO index, the parent’s occupation is categorised and weighted according to the categories found in Table 2 below. Data regarding occupational categories is collected each year as part of the August census</w:t>
      </w:r>
    </w:p>
    <w:p w14:paraId="1D758931" w14:textId="77777777" w:rsidR="00AD16F0" w:rsidRPr="004D307F"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Table 2</w:t>
      </w: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5"/>
        <w:gridCol w:w="7080"/>
        <w:gridCol w:w="1649"/>
      </w:tblGrid>
      <w:tr w:rsidR="00AD16F0" w:rsidRPr="004D307F" w14:paraId="22C6F4D3" w14:textId="77777777" w:rsidTr="000E2834">
        <w:trPr>
          <w:tblHeader/>
        </w:trPr>
        <w:tc>
          <w:tcPr>
            <w:tcW w:w="0" w:type="auto"/>
            <w:hideMark/>
          </w:tcPr>
          <w:p w14:paraId="411CDC0A" w14:textId="77777777" w:rsidR="00AD16F0" w:rsidRPr="004D307F" w:rsidRDefault="00AD16F0" w:rsidP="000E28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Category</w:t>
            </w:r>
          </w:p>
        </w:tc>
        <w:tc>
          <w:tcPr>
            <w:tcW w:w="0" w:type="auto"/>
            <w:hideMark/>
          </w:tcPr>
          <w:p w14:paraId="0B32512A"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Occupation Grouping</w:t>
            </w:r>
          </w:p>
        </w:tc>
        <w:tc>
          <w:tcPr>
            <w:tcW w:w="856" w:type="pct"/>
            <w:hideMark/>
          </w:tcPr>
          <w:p w14:paraId="24607075" w14:textId="77777777" w:rsidR="00AD16F0" w:rsidRPr="004D307F" w:rsidRDefault="00AD16F0" w:rsidP="000E28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Weighting</w:t>
            </w:r>
          </w:p>
        </w:tc>
      </w:tr>
      <w:tr w:rsidR="00AD16F0" w:rsidRPr="004D307F" w14:paraId="20B03929" w14:textId="77777777" w:rsidTr="000E2834">
        <w:tc>
          <w:tcPr>
            <w:tcW w:w="0" w:type="auto"/>
            <w:hideMark/>
          </w:tcPr>
          <w:p w14:paraId="45AAFE98"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A</w:t>
            </w:r>
          </w:p>
        </w:tc>
        <w:tc>
          <w:tcPr>
            <w:tcW w:w="0" w:type="auto"/>
            <w:hideMark/>
          </w:tcPr>
          <w:p w14:paraId="4BF5F30C"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Senior management in large business organisation, government administration and defence, and qualified professionals</w:t>
            </w:r>
          </w:p>
        </w:tc>
        <w:tc>
          <w:tcPr>
            <w:tcW w:w="856" w:type="pct"/>
            <w:hideMark/>
          </w:tcPr>
          <w:p w14:paraId="3579E76E"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0.00</w:t>
            </w:r>
          </w:p>
        </w:tc>
      </w:tr>
      <w:tr w:rsidR="00AD16F0" w:rsidRPr="004D307F" w14:paraId="4E55E16C" w14:textId="77777777" w:rsidTr="000E2834">
        <w:tc>
          <w:tcPr>
            <w:tcW w:w="0" w:type="auto"/>
            <w:hideMark/>
          </w:tcPr>
          <w:p w14:paraId="238D9756"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B</w:t>
            </w:r>
          </w:p>
        </w:tc>
        <w:tc>
          <w:tcPr>
            <w:tcW w:w="0" w:type="auto"/>
            <w:hideMark/>
          </w:tcPr>
          <w:p w14:paraId="09F395FD"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Other business managers, arts/media/sports persons and associate professionals</w:t>
            </w:r>
          </w:p>
        </w:tc>
        <w:tc>
          <w:tcPr>
            <w:tcW w:w="856" w:type="pct"/>
            <w:hideMark/>
          </w:tcPr>
          <w:p w14:paraId="60CDB2EC"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0.25</w:t>
            </w:r>
          </w:p>
        </w:tc>
      </w:tr>
      <w:tr w:rsidR="00AD16F0" w:rsidRPr="004D307F" w14:paraId="58D1EDF8" w14:textId="77777777" w:rsidTr="000E2834">
        <w:tc>
          <w:tcPr>
            <w:tcW w:w="0" w:type="auto"/>
            <w:hideMark/>
          </w:tcPr>
          <w:p w14:paraId="4FB5D655"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C</w:t>
            </w:r>
          </w:p>
        </w:tc>
        <w:tc>
          <w:tcPr>
            <w:tcW w:w="0" w:type="auto"/>
            <w:hideMark/>
          </w:tcPr>
          <w:p w14:paraId="0DEC5C84"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Tradesmen/women, skilled office, sales and service staff</w:t>
            </w:r>
          </w:p>
        </w:tc>
        <w:tc>
          <w:tcPr>
            <w:tcW w:w="856" w:type="pct"/>
            <w:hideMark/>
          </w:tcPr>
          <w:p w14:paraId="3FA5DB11"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0.50</w:t>
            </w:r>
          </w:p>
        </w:tc>
      </w:tr>
      <w:tr w:rsidR="00AD16F0" w:rsidRPr="004D307F" w14:paraId="30C2DE6E" w14:textId="77777777" w:rsidTr="000E2834">
        <w:tc>
          <w:tcPr>
            <w:tcW w:w="0" w:type="auto"/>
            <w:hideMark/>
          </w:tcPr>
          <w:p w14:paraId="08A33849"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D</w:t>
            </w:r>
          </w:p>
        </w:tc>
        <w:tc>
          <w:tcPr>
            <w:tcW w:w="0" w:type="auto"/>
            <w:hideMark/>
          </w:tcPr>
          <w:p w14:paraId="78B2FF4A"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Machine operators, hospitality staff, assistants, labourers and related workers</w:t>
            </w:r>
          </w:p>
        </w:tc>
        <w:tc>
          <w:tcPr>
            <w:tcW w:w="856" w:type="pct"/>
            <w:hideMark/>
          </w:tcPr>
          <w:p w14:paraId="05F8B19F"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0.75</w:t>
            </w:r>
          </w:p>
        </w:tc>
      </w:tr>
      <w:tr w:rsidR="00AD16F0" w:rsidRPr="004D307F" w14:paraId="365A89AF" w14:textId="77777777" w:rsidTr="000E2834">
        <w:tc>
          <w:tcPr>
            <w:tcW w:w="0" w:type="auto"/>
            <w:hideMark/>
          </w:tcPr>
          <w:p w14:paraId="3EDBE83E"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N</w:t>
            </w:r>
          </w:p>
        </w:tc>
        <w:tc>
          <w:tcPr>
            <w:tcW w:w="0" w:type="auto"/>
            <w:hideMark/>
          </w:tcPr>
          <w:p w14:paraId="15697AE7"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Unemployed &amp; pensioners (for 12 months or longer)</w:t>
            </w:r>
          </w:p>
        </w:tc>
        <w:tc>
          <w:tcPr>
            <w:tcW w:w="856" w:type="pct"/>
            <w:hideMark/>
          </w:tcPr>
          <w:p w14:paraId="0A9CA45F"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1.00</w:t>
            </w:r>
          </w:p>
        </w:tc>
      </w:tr>
    </w:tbl>
    <w:p w14:paraId="4A60C8C1" w14:textId="16AC38AD"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 xml:space="preserve">Data recorded in the August census as “unknown” is </w:t>
      </w:r>
      <w:r w:rsidR="000E2834" w:rsidRPr="004D307F">
        <w:rPr>
          <w:rFonts w:ascii="VIC-Regular" w:eastAsia="Times New Roman" w:hAnsi="VIC-Regular" w:cs="Times New Roman"/>
          <w:color w:val="011A3C"/>
          <w:sz w:val="24"/>
          <w:szCs w:val="24"/>
          <w:lang w:val="en" w:eastAsia="en-AU"/>
        </w:rPr>
        <w:t xml:space="preserve">allocated to </w:t>
      </w:r>
      <w:r w:rsidRPr="004D307F">
        <w:rPr>
          <w:rFonts w:ascii="VIC-Regular" w:eastAsia="Times New Roman" w:hAnsi="VIC-Regular" w:cs="Times New Roman"/>
          <w:color w:val="011A3C"/>
          <w:sz w:val="24"/>
          <w:szCs w:val="24"/>
          <w:lang w:val="en" w:eastAsia="en-AU"/>
        </w:rPr>
        <w:t xml:space="preserve">the SFO density </w:t>
      </w:r>
      <w:r w:rsidR="00113120" w:rsidRPr="004D307F">
        <w:rPr>
          <w:rFonts w:ascii="VIC-Regular" w:eastAsia="Times New Roman" w:hAnsi="VIC-Regular" w:cs="Times New Roman"/>
          <w:color w:val="011A3C"/>
          <w:sz w:val="24"/>
          <w:szCs w:val="24"/>
          <w:lang w:val="en" w:eastAsia="en-AU"/>
        </w:rPr>
        <w:t>category as ‘</w:t>
      </w:r>
      <w:r w:rsidRPr="004D307F">
        <w:rPr>
          <w:rFonts w:ascii="VIC-Regular" w:eastAsia="Times New Roman" w:hAnsi="VIC-Regular" w:cs="Times New Roman"/>
          <w:color w:val="011A3C"/>
          <w:sz w:val="24"/>
          <w:szCs w:val="24"/>
          <w:lang w:val="en" w:eastAsia="en-AU"/>
        </w:rPr>
        <w:t>Occupation Group A</w:t>
      </w:r>
      <w:r w:rsidR="00113120"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 and attracts a zero weighting.</w:t>
      </w:r>
    </w:p>
    <w:p w14:paraId="7E026735" w14:textId="680710BF"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detailed categorisation of SFO occupational categories</w:t>
      </w:r>
      <w:r w:rsidR="00D836DB" w:rsidRPr="004D307F">
        <w:rPr>
          <w:rFonts w:ascii="VIC-Regular" w:eastAsia="Times New Roman" w:hAnsi="VIC-Regular" w:cs="Times New Roman"/>
          <w:color w:val="011A3C"/>
          <w:sz w:val="24"/>
          <w:szCs w:val="24"/>
          <w:lang w:val="en" w:eastAsia="en-AU"/>
        </w:rPr>
        <w:t>, refer to the</w:t>
      </w:r>
      <w:r w:rsidRPr="004D307F">
        <w:rPr>
          <w:rFonts w:ascii="VIC-Regular" w:eastAsia="Times New Roman" w:hAnsi="VIC-Regular" w:cs="Times New Roman"/>
          <w:color w:val="011A3C"/>
          <w:sz w:val="24"/>
          <w:szCs w:val="24"/>
          <w:lang w:val="en" w:eastAsia="en-AU"/>
        </w:rPr>
        <w:t xml:space="preserve"> link below:</w:t>
      </w:r>
    </w:p>
    <w:p w14:paraId="3D3E46F4" w14:textId="77777777" w:rsidR="00AD16F0" w:rsidRPr="004D307F" w:rsidRDefault="00901FCB"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44" w:history="1">
        <w:r w:rsidR="00AD16F0" w:rsidRPr="004D307F">
          <w:rPr>
            <w:rFonts w:ascii="VIC-Regular" w:eastAsia="Times New Roman" w:hAnsi="VIC-Regular" w:cs="Times New Roman"/>
            <w:color w:val="011A3C"/>
            <w:sz w:val="24"/>
            <w:szCs w:val="24"/>
            <w:lang w:val="en" w:eastAsia="en-AU"/>
          </w:rPr>
          <w:t>SFO.aspx</w:t>
        </w:r>
      </w:hyperlink>
    </w:p>
    <w:p w14:paraId="1934CB4C" w14:textId="77777777" w:rsidR="00AD16F0" w:rsidRPr="004D307F" w:rsidRDefault="00AD16F0" w:rsidP="00C53D2A">
      <w:pPr>
        <w:rPr>
          <w:b/>
          <w:bCs/>
          <w:lang w:val="en" w:eastAsia="en-AU"/>
        </w:rPr>
      </w:pPr>
      <w:r w:rsidRPr="004D307F">
        <w:rPr>
          <w:b/>
          <w:bCs/>
          <w:lang w:val="en" w:eastAsia="en-AU"/>
        </w:rPr>
        <w:t>SFO, SFO and SFOE index calculation</w:t>
      </w:r>
    </w:p>
    <w:p w14:paraId="1967CF1F"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SFO index is then calculated using the method below: </w:t>
      </w:r>
      <w:r w:rsidRPr="004D307F">
        <w:rPr>
          <w:rFonts w:ascii="VIC-Regular" w:eastAsia="Times New Roman" w:hAnsi="VIC-Regular" w:cs="Times New Roman"/>
          <w:color w:val="011A3C"/>
          <w:sz w:val="24"/>
          <w:szCs w:val="24"/>
          <w:lang w:val="en" w:eastAsia="en-AU"/>
        </w:rPr>
        <w:br/>
      </w:r>
      <w:r w:rsidRPr="004D307F">
        <w:rPr>
          <w:rFonts w:ascii="VIC-Regular" w:eastAsia="Times New Roman" w:hAnsi="VIC-Regular" w:cs="Times New Roman"/>
          <w:color w:val="011A3C"/>
          <w:sz w:val="24"/>
          <w:szCs w:val="24"/>
          <w:lang w:val="en" w:eastAsia="en-AU"/>
        </w:rPr>
        <w:br/>
      </w:r>
      <w:r w:rsidRPr="004D307F">
        <w:rPr>
          <w:rFonts w:ascii="VIC-Regular" w:eastAsia="Times New Roman" w:hAnsi="VIC-Regular" w:cs="Times New Roman"/>
          <w:b/>
          <w:bCs/>
          <w:color w:val="011A3C"/>
          <w:sz w:val="24"/>
          <w:szCs w:val="24"/>
          <w:lang w:val="en" w:eastAsia="en-AU"/>
        </w:rPr>
        <w:t>SFO calculation =</w:t>
      </w:r>
      <w:r w:rsidRPr="004D307F">
        <w:rPr>
          <w:rFonts w:ascii="VIC-Regular" w:eastAsia="Times New Roman" w:hAnsi="VIC-Regular" w:cs="Times New Roman"/>
          <w:color w:val="011A3C"/>
          <w:sz w:val="24"/>
          <w:szCs w:val="24"/>
          <w:lang w:val="en" w:eastAsia="en-AU"/>
        </w:rPr>
        <w:t xml:space="preserve"> (number of students x weighting for each occupational category) / total number of students based on the occupational groupings and weightings in Table 2</w:t>
      </w:r>
    </w:p>
    <w:p w14:paraId="3E8187B1"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To calculate the SFE index, the parent’s educational qualification is categorised and weighted according to the categories found in Table 3 below. Data regarding educational qualification is collected annually as part of the August census.</w:t>
      </w:r>
    </w:p>
    <w:p w14:paraId="0A3F6A52" w14:textId="77777777" w:rsidR="00AD16F0" w:rsidRPr="004D307F"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Table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53"/>
        <w:gridCol w:w="5485"/>
        <w:gridCol w:w="1478"/>
      </w:tblGrid>
      <w:tr w:rsidR="00AD16F0" w:rsidRPr="004D307F" w14:paraId="0FCD0208" w14:textId="77777777" w:rsidTr="00080034">
        <w:trPr>
          <w:tblHeader/>
        </w:trPr>
        <w:tc>
          <w:tcPr>
            <w:tcW w:w="0" w:type="auto"/>
            <w:hideMark/>
          </w:tcPr>
          <w:p w14:paraId="3DDE772C"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CASES21 Code</w:t>
            </w:r>
          </w:p>
        </w:tc>
        <w:tc>
          <w:tcPr>
            <w:tcW w:w="0" w:type="auto"/>
            <w:hideMark/>
          </w:tcPr>
          <w:p w14:paraId="1A8EB358"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Qualification Grouping</w:t>
            </w:r>
          </w:p>
        </w:tc>
        <w:tc>
          <w:tcPr>
            <w:tcW w:w="0" w:type="auto"/>
            <w:hideMark/>
          </w:tcPr>
          <w:p w14:paraId="6F830112"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Weighting</w:t>
            </w:r>
          </w:p>
        </w:tc>
      </w:tr>
      <w:tr w:rsidR="00AD16F0" w:rsidRPr="004D307F" w14:paraId="71D9A649" w14:textId="77777777" w:rsidTr="00080034">
        <w:tc>
          <w:tcPr>
            <w:tcW w:w="0" w:type="auto"/>
            <w:hideMark/>
          </w:tcPr>
          <w:p w14:paraId="46D3B55D"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42E17D10"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Not stated/Unknown</w:t>
            </w:r>
          </w:p>
        </w:tc>
        <w:tc>
          <w:tcPr>
            <w:tcW w:w="0" w:type="auto"/>
            <w:hideMark/>
          </w:tcPr>
          <w:p w14:paraId="5F87A534"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0.00</w:t>
            </w:r>
          </w:p>
        </w:tc>
      </w:tr>
      <w:tr w:rsidR="00AD16F0" w:rsidRPr="004D307F" w14:paraId="62361FF4" w14:textId="77777777" w:rsidTr="00080034">
        <w:tc>
          <w:tcPr>
            <w:tcW w:w="0" w:type="auto"/>
            <w:hideMark/>
          </w:tcPr>
          <w:p w14:paraId="45CD3C06"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w:t>
            </w:r>
          </w:p>
        </w:tc>
        <w:tc>
          <w:tcPr>
            <w:tcW w:w="0" w:type="auto"/>
            <w:hideMark/>
          </w:tcPr>
          <w:p w14:paraId="6D84959B"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Bachelor degree or above</w:t>
            </w:r>
          </w:p>
        </w:tc>
        <w:tc>
          <w:tcPr>
            <w:tcW w:w="0" w:type="auto"/>
            <w:hideMark/>
          </w:tcPr>
          <w:p w14:paraId="126C5CF0"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0.00</w:t>
            </w:r>
          </w:p>
        </w:tc>
      </w:tr>
      <w:tr w:rsidR="00AD16F0" w:rsidRPr="004D307F" w14:paraId="61C3873E" w14:textId="77777777" w:rsidTr="00080034">
        <w:tc>
          <w:tcPr>
            <w:tcW w:w="0" w:type="auto"/>
            <w:hideMark/>
          </w:tcPr>
          <w:p w14:paraId="5174B964"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w:t>
            </w:r>
          </w:p>
        </w:tc>
        <w:tc>
          <w:tcPr>
            <w:tcW w:w="0" w:type="auto"/>
            <w:hideMark/>
          </w:tcPr>
          <w:p w14:paraId="05F924CC"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Advanced diploma/Diploma</w:t>
            </w:r>
          </w:p>
        </w:tc>
        <w:tc>
          <w:tcPr>
            <w:tcW w:w="0" w:type="auto"/>
            <w:hideMark/>
          </w:tcPr>
          <w:p w14:paraId="42055610"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0.40</w:t>
            </w:r>
          </w:p>
        </w:tc>
      </w:tr>
      <w:tr w:rsidR="00AD16F0" w:rsidRPr="004D307F" w14:paraId="1947C446" w14:textId="77777777" w:rsidTr="00080034">
        <w:tc>
          <w:tcPr>
            <w:tcW w:w="0" w:type="auto"/>
            <w:hideMark/>
          </w:tcPr>
          <w:p w14:paraId="252830CA"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w:t>
            </w:r>
          </w:p>
        </w:tc>
        <w:tc>
          <w:tcPr>
            <w:tcW w:w="0" w:type="auto"/>
            <w:hideMark/>
          </w:tcPr>
          <w:p w14:paraId="11E47201"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Certificate I to IV (inc. trade certificate)</w:t>
            </w:r>
          </w:p>
        </w:tc>
        <w:tc>
          <w:tcPr>
            <w:tcW w:w="0" w:type="auto"/>
            <w:hideMark/>
          </w:tcPr>
          <w:p w14:paraId="03F641D2"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0.50</w:t>
            </w:r>
          </w:p>
        </w:tc>
      </w:tr>
      <w:tr w:rsidR="00AD16F0" w:rsidRPr="004D307F" w14:paraId="72867884" w14:textId="77777777" w:rsidTr="00080034">
        <w:tc>
          <w:tcPr>
            <w:tcW w:w="0" w:type="auto"/>
            <w:hideMark/>
          </w:tcPr>
          <w:p w14:paraId="714160A2"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w:t>
            </w:r>
          </w:p>
        </w:tc>
        <w:tc>
          <w:tcPr>
            <w:tcW w:w="0" w:type="auto"/>
            <w:hideMark/>
          </w:tcPr>
          <w:p w14:paraId="74251152"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Year 12 or equivalent</w:t>
            </w:r>
          </w:p>
        </w:tc>
        <w:tc>
          <w:tcPr>
            <w:tcW w:w="0" w:type="auto"/>
            <w:hideMark/>
          </w:tcPr>
          <w:p w14:paraId="4D167B56"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0.40</w:t>
            </w:r>
          </w:p>
        </w:tc>
      </w:tr>
      <w:tr w:rsidR="00AD16F0" w:rsidRPr="004D307F" w14:paraId="06FAA619" w14:textId="77777777" w:rsidTr="00080034">
        <w:tc>
          <w:tcPr>
            <w:tcW w:w="0" w:type="auto"/>
            <w:hideMark/>
          </w:tcPr>
          <w:p w14:paraId="2BCA5DD6"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w:t>
            </w:r>
          </w:p>
        </w:tc>
        <w:tc>
          <w:tcPr>
            <w:tcW w:w="0" w:type="auto"/>
            <w:hideMark/>
          </w:tcPr>
          <w:p w14:paraId="0D7E9437"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Year 11 or equivalent</w:t>
            </w:r>
          </w:p>
        </w:tc>
        <w:tc>
          <w:tcPr>
            <w:tcW w:w="0" w:type="auto"/>
            <w:hideMark/>
          </w:tcPr>
          <w:p w14:paraId="4C08C1AB"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0.70</w:t>
            </w:r>
          </w:p>
        </w:tc>
      </w:tr>
      <w:tr w:rsidR="00AD16F0" w:rsidRPr="004D307F" w14:paraId="4A507812" w14:textId="77777777" w:rsidTr="00080034">
        <w:tc>
          <w:tcPr>
            <w:tcW w:w="0" w:type="auto"/>
            <w:hideMark/>
          </w:tcPr>
          <w:p w14:paraId="58C2D2EA"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w:t>
            </w:r>
          </w:p>
        </w:tc>
        <w:tc>
          <w:tcPr>
            <w:tcW w:w="0" w:type="auto"/>
            <w:hideMark/>
          </w:tcPr>
          <w:p w14:paraId="45223FF0"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Year 10 or equivalent</w:t>
            </w:r>
          </w:p>
        </w:tc>
        <w:tc>
          <w:tcPr>
            <w:tcW w:w="0" w:type="auto"/>
            <w:hideMark/>
          </w:tcPr>
          <w:p w14:paraId="4DFBA75D"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0.90</w:t>
            </w:r>
          </w:p>
        </w:tc>
      </w:tr>
      <w:tr w:rsidR="00AD16F0" w:rsidRPr="004D307F" w14:paraId="3FD6984C" w14:textId="77777777" w:rsidTr="00080034">
        <w:tc>
          <w:tcPr>
            <w:tcW w:w="0" w:type="auto"/>
            <w:hideMark/>
          </w:tcPr>
          <w:p w14:paraId="0C1B29DA"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w:t>
            </w:r>
          </w:p>
        </w:tc>
        <w:tc>
          <w:tcPr>
            <w:tcW w:w="0" w:type="auto"/>
            <w:hideMark/>
          </w:tcPr>
          <w:p w14:paraId="09214579"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Year 9 or equivalent or below</w:t>
            </w:r>
          </w:p>
        </w:tc>
        <w:tc>
          <w:tcPr>
            <w:tcW w:w="0" w:type="auto"/>
            <w:hideMark/>
          </w:tcPr>
          <w:p w14:paraId="5C72EC0D"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1.00</w:t>
            </w:r>
          </w:p>
        </w:tc>
      </w:tr>
    </w:tbl>
    <w:p w14:paraId="269D72D4"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NOTE: CASES21 Code 8 is No non-school qualification and defaults to the highest year of school completion.</w:t>
      </w:r>
    </w:p>
    <w:p w14:paraId="014AF2FB"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SFE index is then calculated using the method below: </w:t>
      </w:r>
    </w:p>
    <w:p w14:paraId="335830FF"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SFE calculation = (number of students x weighting for each educational category) / total number of students</w:t>
      </w:r>
    </w:p>
    <w:p w14:paraId="595C67C0"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To determine the SFOE index with the SFO and SFE indices, the following calculation is used:</w:t>
      </w:r>
    </w:p>
    <w:p w14:paraId="4905102C"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SFOE calculation =</w:t>
      </w:r>
      <w:r w:rsidRPr="004D307F">
        <w:rPr>
          <w:rFonts w:ascii="VIC-Regular" w:eastAsia="Times New Roman" w:hAnsi="VIC-Regular" w:cs="Times New Roman"/>
          <w:color w:val="011A3C"/>
          <w:sz w:val="24"/>
          <w:szCs w:val="24"/>
          <w:lang w:val="en" w:eastAsia="en-AU"/>
        </w:rPr>
        <w:t xml:space="preserve"> (SFO index + SFE index) / 2</w:t>
      </w:r>
    </w:p>
    <w:p w14:paraId="624A3ADA"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Example: If a school has an SFO of 0.6342 and an SFE of 0.6156, the SFOE index would be 0.6249.</w:t>
      </w:r>
    </w:p>
    <w:p w14:paraId="54C0B95A" w14:textId="77777777" w:rsidR="00AD16F0" w:rsidRPr="004D307F" w:rsidRDefault="00AD16F0" w:rsidP="00AD16F0">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4D307F">
        <w:rPr>
          <w:rFonts w:ascii="VIC-Bold" w:eastAsia="Times New Roman" w:hAnsi="VIC-Bold" w:cs="Times New Roman"/>
          <w:color w:val="011A3C"/>
          <w:sz w:val="27"/>
          <w:szCs w:val="27"/>
          <w:lang w:val="en" w:eastAsia="en-AU"/>
        </w:rPr>
        <w:t>How social disadvantage funding is calculated</w:t>
      </w:r>
    </w:p>
    <w:p w14:paraId="00938AB7"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Social Disadvantage funding is allocated to schools based on the number of eligible students. Measures are applied to provide more stability in funding while reflecting the need profile of current and more recent student cohorts. A weighted rolling average based on the current year and two years preceding will be used to determine the inputs that Social Disadvantage funding allocations are based on. The weightings are 70 per cent of the current year, 20 per cent of the prior year, and 10 per cent of the year before that will be applied to the campus SFOE index and the number of eligible Level 1 and 2 students.</w:t>
      </w:r>
    </w:p>
    <w:p w14:paraId="373D39DD"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To determine how much Social Disadvantage funding a school will receive, the following method is used (weighted accordingly for the current year and the two previous years): </w:t>
      </w:r>
    </w:p>
    <w:p w14:paraId="42E1B3A5" w14:textId="77777777" w:rsidR="00AD16F0" w:rsidRPr="004D307F" w:rsidRDefault="00AD16F0" w:rsidP="00ED0863">
      <w:pPr>
        <w:numPr>
          <w:ilvl w:val="0"/>
          <w:numId w:val="2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school’s SFOE will be used to calculate the rate of Social Disadvantage loading each student will attract. Where a school’s SFOE is at or below the Minimum SFOE Threshold, the minimum rate of each loading will be applied and, where it is at or above the Maximum SFOE Threshold, each student attracts the Maximum Rate for their loading. (Thresholds and rates can be found in Table 4). </w:t>
      </w:r>
    </w:p>
    <w:p w14:paraId="67B59682" w14:textId="77777777" w:rsidR="00AD16F0" w:rsidRPr="004D307F" w:rsidRDefault="00AD16F0" w:rsidP="00ED0863">
      <w:pPr>
        <w:numPr>
          <w:ilvl w:val="0"/>
          <w:numId w:val="2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schools with an SFOE between the Minimum SFOE threshold and the Maximum SFOE threshold, the rate will be tapered based on their SFOE index. To determine the taper, the following calculation is used:</w:t>
      </w:r>
    </w:p>
    <w:p w14:paraId="3C5BE3B3"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((Campus' SFOE – Minimum SFOE Threshold) / (Maximum SFOE Threshold-Minimum SFOE Threshold))</w:t>
      </w:r>
    </w:p>
    <w:p w14:paraId="2C3B2824"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This is then applied to each loading rate by:</w:t>
      </w:r>
    </w:p>
    <w:p w14:paraId="747FA5F2"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Min Funding Rate + (Taper x (Max Funding Rate – Min Funding Rate))</w:t>
      </w:r>
    </w:p>
    <w:p w14:paraId="600E2FF2" w14:textId="77777777" w:rsidR="00AD16F0" w:rsidRPr="004D307F" w:rsidRDefault="00AD16F0" w:rsidP="00ED0863">
      <w:pPr>
        <w:numPr>
          <w:ilvl w:val="0"/>
          <w:numId w:val="2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Once the Social Disadvantage loading rates are determined for the school, it is multiplied by the number of enrolled students eligible for either the level 1 loading or level 2 loading, respectively. The enrolment is based on the students recorded in the August census of the preceding year.</w:t>
      </w:r>
    </w:p>
    <w:p w14:paraId="1B523AA5" w14:textId="77777777" w:rsidR="00AD16F0" w:rsidRPr="004D307F" w:rsidRDefault="00AD16F0" w:rsidP="00ED0863">
      <w:pPr>
        <w:numPr>
          <w:ilvl w:val="0"/>
          <w:numId w:val="2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school’s overall Social Disadvantage funding is calculated by combining both the total level 1 and level 2 loadings their students are eligible for. </w:t>
      </w:r>
    </w:p>
    <w:p w14:paraId="3CA09CB7" w14:textId="77777777" w:rsidR="00AD16F0" w:rsidRPr="004D307F" w:rsidRDefault="00AD16F0" w:rsidP="00ED0863">
      <w:pPr>
        <w:numPr>
          <w:ilvl w:val="0"/>
          <w:numId w:val="2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To further reduce negative funding variability, a $90,000 floor on negative funding changes is applied to a school’s Social Disadvantage funding allocation from one year </w:t>
      </w:r>
      <w:r w:rsidRPr="004D307F">
        <w:rPr>
          <w:rFonts w:ascii="VIC-Regular" w:eastAsia="Times New Roman" w:hAnsi="VIC-Regular" w:cs="Times New Roman"/>
          <w:color w:val="011A3C"/>
          <w:sz w:val="24"/>
          <w:szCs w:val="24"/>
          <w:lang w:val="en" w:eastAsia="en-AU"/>
        </w:rPr>
        <w:lastRenderedPageBreak/>
        <w:t>to the next. This means that a school’s Social Disadvantage funding allocation will not reduce by more than $90,000 year on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10"/>
        <w:gridCol w:w="1072"/>
        <w:gridCol w:w="1072"/>
        <w:gridCol w:w="1072"/>
        <w:gridCol w:w="1072"/>
        <w:gridCol w:w="1072"/>
        <w:gridCol w:w="1073"/>
        <w:gridCol w:w="1073"/>
      </w:tblGrid>
      <w:tr w:rsidR="00AD16F0" w:rsidRPr="004D307F" w14:paraId="034B5224" w14:textId="77777777" w:rsidTr="00113120">
        <w:trPr>
          <w:tblHeader/>
        </w:trPr>
        <w:tc>
          <w:tcPr>
            <w:tcW w:w="500" w:type="pct"/>
            <w:gridSpan w:val="8"/>
            <w:vAlign w:val="center"/>
            <w:hideMark/>
          </w:tcPr>
          <w:p w14:paraId="78A8EAF9" w14:textId="77777777" w:rsidR="00AD16F0" w:rsidRPr="004D307F" w:rsidRDefault="00AD16F0" w:rsidP="00AD16F0">
            <w:pPr>
              <w:spacing w:before="100" w:beforeAutospacing="1" w:after="100" w:afterAutospacing="1" w:line="288" w:lineRule="atLeast"/>
              <w:textAlignment w:val="top"/>
              <w:outlineLvl w:val="3"/>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b/>
                <w:bCs/>
                <w:color w:val="323E4F" w:themeColor="text2" w:themeShade="BF"/>
                <w:sz w:val="24"/>
                <w:szCs w:val="24"/>
                <w:lang w:eastAsia="en-AU"/>
              </w:rPr>
              <w:t>Example</w:t>
            </w:r>
            <w:r w:rsidRPr="004D307F">
              <w:rPr>
                <w:rFonts w:ascii="VIC-Bold" w:eastAsia="Times New Roman" w:hAnsi="VIC-Bold" w:cs="Times New Roman"/>
                <w:color w:val="323E4F" w:themeColor="text2" w:themeShade="BF"/>
                <w:sz w:val="24"/>
                <w:szCs w:val="24"/>
                <w:lang w:eastAsia="en-AU"/>
              </w:rPr>
              <w:t xml:space="preserve"> - Social Disadvantage funding for a primary school with the following SFOE and enrolment numbers over three years:</w:t>
            </w:r>
          </w:p>
        </w:tc>
      </w:tr>
      <w:tr w:rsidR="00124D27" w:rsidRPr="004D307F" w14:paraId="1257E45A" w14:textId="77777777" w:rsidTr="00113120">
        <w:trPr>
          <w:tblHeader/>
        </w:trPr>
        <w:tc>
          <w:tcPr>
            <w:tcW w:w="705" w:type="pct"/>
            <w:hideMark/>
          </w:tcPr>
          <w:p w14:paraId="7B9ACFF8" w14:textId="77777777" w:rsidR="00AD16F0" w:rsidRPr="004D307F" w:rsidRDefault="00AD16F0" w:rsidP="00AD16F0">
            <w:pPr>
              <w:spacing w:after="0" w:line="240" w:lineRule="auto"/>
              <w:rPr>
                <w:rFonts w:ascii="Times New Roman" w:eastAsia="Times New Roman" w:hAnsi="Times New Roman" w:cs="Times New Roman"/>
                <w:color w:val="323E4F" w:themeColor="text2" w:themeShade="BF"/>
                <w:sz w:val="24"/>
                <w:szCs w:val="24"/>
                <w:lang w:eastAsia="en-AU"/>
              </w:rPr>
            </w:pPr>
          </w:p>
        </w:tc>
        <w:tc>
          <w:tcPr>
            <w:tcW w:w="500" w:type="pct"/>
            <w:vAlign w:val="center"/>
            <w:hideMark/>
          </w:tcPr>
          <w:p w14:paraId="7D295354" w14:textId="77777777" w:rsidR="00AD16F0" w:rsidRPr="004D307F"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2020 Actual</w:t>
            </w:r>
          </w:p>
        </w:tc>
        <w:tc>
          <w:tcPr>
            <w:tcW w:w="500" w:type="pct"/>
            <w:vAlign w:val="center"/>
            <w:hideMark/>
          </w:tcPr>
          <w:p w14:paraId="356EC68F" w14:textId="77777777" w:rsidR="00AD16F0" w:rsidRPr="004D307F"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2019 Actual</w:t>
            </w:r>
          </w:p>
        </w:tc>
        <w:tc>
          <w:tcPr>
            <w:tcW w:w="500" w:type="pct"/>
            <w:vAlign w:val="center"/>
            <w:hideMark/>
          </w:tcPr>
          <w:p w14:paraId="75C43E54" w14:textId="77777777" w:rsidR="00AD16F0" w:rsidRPr="004D307F"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2018 Actual</w:t>
            </w:r>
          </w:p>
        </w:tc>
        <w:tc>
          <w:tcPr>
            <w:tcW w:w="500" w:type="pct"/>
            <w:vAlign w:val="center"/>
            <w:hideMark/>
          </w:tcPr>
          <w:p w14:paraId="04980951" w14:textId="77777777" w:rsidR="00AD16F0" w:rsidRPr="004D307F"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2020 Weighted (70%)</w:t>
            </w:r>
          </w:p>
        </w:tc>
        <w:tc>
          <w:tcPr>
            <w:tcW w:w="500" w:type="pct"/>
            <w:vAlign w:val="center"/>
            <w:hideMark/>
          </w:tcPr>
          <w:p w14:paraId="57AA1203" w14:textId="77777777" w:rsidR="00AD16F0" w:rsidRPr="004D307F"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2019 Weighted (20%)</w:t>
            </w:r>
          </w:p>
        </w:tc>
        <w:tc>
          <w:tcPr>
            <w:tcW w:w="500" w:type="pct"/>
            <w:vAlign w:val="center"/>
            <w:hideMark/>
          </w:tcPr>
          <w:p w14:paraId="3281CFA9" w14:textId="77777777" w:rsidR="00AD16F0" w:rsidRPr="004D307F"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2018 Weighted (10%)</w:t>
            </w:r>
          </w:p>
        </w:tc>
        <w:tc>
          <w:tcPr>
            <w:tcW w:w="500" w:type="pct"/>
            <w:vAlign w:val="center"/>
            <w:hideMark/>
          </w:tcPr>
          <w:p w14:paraId="390866AE" w14:textId="77777777" w:rsidR="00AD16F0" w:rsidRPr="004D307F"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Weighted Average</w:t>
            </w:r>
          </w:p>
        </w:tc>
      </w:tr>
      <w:tr w:rsidR="00124D27" w:rsidRPr="004D307F" w14:paraId="674B9DF9" w14:textId="77777777" w:rsidTr="00113120">
        <w:tc>
          <w:tcPr>
            <w:tcW w:w="705" w:type="pct"/>
            <w:hideMark/>
          </w:tcPr>
          <w:p w14:paraId="50DFFA94" w14:textId="77777777" w:rsidR="00AD16F0" w:rsidRPr="004D307F" w:rsidRDefault="00AD16F0" w:rsidP="004D307F">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SFOE</w:t>
            </w:r>
          </w:p>
        </w:tc>
        <w:tc>
          <w:tcPr>
            <w:tcW w:w="500" w:type="pct"/>
            <w:vAlign w:val="center"/>
            <w:hideMark/>
          </w:tcPr>
          <w:p w14:paraId="3B9CEE36"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0.6021</w:t>
            </w:r>
          </w:p>
        </w:tc>
        <w:tc>
          <w:tcPr>
            <w:tcW w:w="500" w:type="pct"/>
            <w:vAlign w:val="center"/>
            <w:hideMark/>
          </w:tcPr>
          <w:p w14:paraId="0E6B5D6B"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0.5313</w:t>
            </w:r>
          </w:p>
        </w:tc>
        <w:tc>
          <w:tcPr>
            <w:tcW w:w="500" w:type="pct"/>
            <w:vAlign w:val="center"/>
            <w:hideMark/>
          </w:tcPr>
          <w:p w14:paraId="47EB9681"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0.5189</w:t>
            </w:r>
          </w:p>
        </w:tc>
        <w:tc>
          <w:tcPr>
            <w:tcW w:w="500" w:type="pct"/>
            <w:vAlign w:val="center"/>
            <w:hideMark/>
          </w:tcPr>
          <w:p w14:paraId="33F9BB64"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0.4215</w:t>
            </w:r>
          </w:p>
        </w:tc>
        <w:tc>
          <w:tcPr>
            <w:tcW w:w="500" w:type="pct"/>
            <w:vAlign w:val="center"/>
            <w:hideMark/>
          </w:tcPr>
          <w:p w14:paraId="0E96ADB8"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0.1063</w:t>
            </w:r>
          </w:p>
        </w:tc>
        <w:tc>
          <w:tcPr>
            <w:tcW w:w="500" w:type="pct"/>
            <w:vAlign w:val="center"/>
            <w:hideMark/>
          </w:tcPr>
          <w:p w14:paraId="45931CC6"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0.0519</w:t>
            </w:r>
          </w:p>
        </w:tc>
        <w:tc>
          <w:tcPr>
            <w:tcW w:w="500" w:type="pct"/>
            <w:vAlign w:val="center"/>
            <w:hideMark/>
          </w:tcPr>
          <w:p w14:paraId="37C3A2DC"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0.5797</w:t>
            </w:r>
          </w:p>
        </w:tc>
      </w:tr>
      <w:tr w:rsidR="00124D27" w:rsidRPr="004D307F" w14:paraId="5AD3BADF" w14:textId="77777777" w:rsidTr="00113120">
        <w:tc>
          <w:tcPr>
            <w:tcW w:w="705" w:type="pct"/>
            <w:hideMark/>
          </w:tcPr>
          <w:p w14:paraId="5AF8414E" w14:textId="77777777" w:rsidR="00AD16F0" w:rsidRPr="004D307F" w:rsidRDefault="00AD16F0" w:rsidP="004D307F">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Level 1</w:t>
            </w:r>
          </w:p>
        </w:tc>
        <w:tc>
          <w:tcPr>
            <w:tcW w:w="500" w:type="pct"/>
            <w:vAlign w:val="center"/>
            <w:hideMark/>
          </w:tcPr>
          <w:p w14:paraId="00EE441A"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166</w:t>
            </w:r>
          </w:p>
        </w:tc>
        <w:tc>
          <w:tcPr>
            <w:tcW w:w="500" w:type="pct"/>
            <w:vAlign w:val="center"/>
            <w:hideMark/>
          </w:tcPr>
          <w:p w14:paraId="4FB74919"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174</w:t>
            </w:r>
          </w:p>
        </w:tc>
        <w:tc>
          <w:tcPr>
            <w:tcW w:w="500" w:type="pct"/>
            <w:vAlign w:val="center"/>
            <w:hideMark/>
          </w:tcPr>
          <w:p w14:paraId="457C3201"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160</w:t>
            </w:r>
          </w:p>
        </w:tc>
        <w:tc>
          <w:tcPr>
            <w:tcW w:w="500" w:type="pct"/>
            <w:vAlign w:val="center"/>
            <w:hideMark/>
          </w:tcPr>
          <w:p w14:paraId="48972136"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116.2</w:t>
            </w:r>
          </w:p>
        </w:tc>
        <w:tc>
          <w:tcPr>
            <w:tcW w:w="500" w:type="pct"/>
            <w:vAlign w:val="center"/>
            <w:hideMark/>
          </w:tcPr>
          <w:p w14:paraId="68E1EE14"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34.8</w:t>
            </w:r>
          </w:p>
        </w:tc>
        <w:tc>
          <w:tcPr>
            <w:tcW w:w="500" w:type="pct"/>
            <w:vAlign w:val="center"/>
            <w:hideMark/>
          </w:tcPr>
          <w:p w14:paraId="3E7770D3"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16</w:t>
            </w:r>
          </w:p>
        </w:tc>
        <w:tc>
          <w:tcPr>
            <w:tcW w:w="500" w:type="pct"/>
            <w:vAlign w:val="center"/>
            <w:hideMark/>
          </w:tcPr>
          <w:p w14:paraId="0730164A"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167</w:t>
            </w:r>
          </w:p>
        </w:tc>
      </w:tr>
      <w:tr w:rsidR="00124D27" w:rsidRPr="004D307F" w14:paraId="6CE60405" w14:textId="77777777" w:rsidTr="00113120">
        <w:tc>
          <w:tcPr>
            <w:tcW w:w="705" w:type="pct"/>
            <w:hideMark/>
          </w:tcPr>
          <w:p w14:paraId="07B4DA60" w14:textId="77777777" w:rsidR="00AD16F0" w:rsidRPr="004D307F" w:rsidRDefault="00AD16F0" w:rsidP="004D307F">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Level 2</w:t>
            </w:r>
          </w:p>
        </w:tc>
        <w:tc>
          <w:tcPr>
            <w:tcW w:w="500" w:type="pct"/>
            <w:vAlign w:val="center"/>
            <w:hideMark/>
          </w:tcPr>
          <w:p w14:paraId="402A54CA"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118</w:t>
            </w:r>
          </w:p>
        </w:tc>
        <w:tc>
          <w:tcPr>
            <w:tcW w:w="500" w:type="pct"/>
            <w:vAlign w:val="center"/>
            <w:hideMark/>
          </w:tcPr>
          <w:p w14:paraId="3303A0E6"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140</w:t>
            </w:r>
          </w:p>
        </w:tc>
        <w:tc>
          <w:tcPr>
            <w:tcW w:w="500" w:type="pct"/>
            <w:vAlign w:val="center"/>
            <w:hideMark/>
          </w:tcPr>
          <w:p w14:paraId="2D407764"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144</w:t>
            </w:r>
          </w:p>
        </w:tc>
        <w:tc>
          <w:tcPr>
            <w:tcW w:w="500" w:type="pct"/>
            <w:vAlign w:val="center"/>
            <w:hideMark/>
          </w:tcPr>
          <w:p w14:paraId="1D30F705"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82.6</w:t>
            </w:r>
          </w:p>
        </w:tc>
        <w:tc>
          <w:tcPr>
            <w:tcW w:w="500" w:type="pct"/>
            <w:vAlign w:val="center"/>
            <w:hideMark/>
          </w:tcPr>
          <w:p w14:paraId="7A813D6D"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28</w:t>
            </w:r>
          </w:p>
        </w:tc>
        <w:tc>
          <w:tcPr>
            <w:tcW w:w="500" w:type="pct"/>
            <w:vAlign w:val="center"/>
            <w:hideMark/>
          </w:tcPr>
          <w:p w14:paraId="4B1E6ACB"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14.4</w:t>
            </w:r>
          </w:p>
        </w:tc>
        <w:tc>
          <w:tcPr>
            <w:tcW w:w="500" w:type="pct"/>
            <w:vAlign w:val="center"/>
            <w:hideMark/>
          </w:tcPr>
          <w:p w14:paraId="68F3D2AC"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125</w:t>
            </w:r>
          </w:p>
        </w:tc>
      </w:tr>
    </w:tbl>
    <w:p w14:paraId="4F353777" w14:textId="1DC08067" w:rsidR="00AD16F0" w:rsidRPr="004D307F" w:rsidRDefault="00AD16F0" w:rsidP="00AD16F0">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4D307F">
        <w:rPr>
          <w:rFonts w:ascii="VIC-Regular" w:eastAsia="Times New Roman" w:hAnsi="VIC-Regular" w:cs="Times New Roman"/>
          <w:b/>
          <w:bCs/>
          <w:color w:val="011A3C"/>
          <w:sz w:val="24"/>
          <w:szCs w:val="24"/>
          <w:lang w:val="en" w:eastAsia="en-AU"/>
        </w:rPr>
        <w:t xml:space="preserve">Example of Loading </w:t>
      </w:r>
      <w:r w:rsidR="00C53D2A" w:rsidRPr="004D307F">
        <w:rPr>
          <w:rFonts w:ascii="VIC-Regular" w:eastAsia="Times New Roman" w:hAnsi="VIC-Regular" w:cs="Times New Roman"/>
          <w:b/>
          <w:bCs/>
          <w:color w:val="011A3C"/>
          <w:sz w:val="24"/>
          <w:szCs w:val="24"/>
          <w:lang w:val="en" w:eastAsia="en-AU"/>
        </w:rPr>
        <w:t>calculations for</w:t>
      </w:r>
      <w:r w:rsidR="00E70DB3" w:rsidRPr="004D307F">
        <w:rPr>
          <w:rFonts w:ascii="VIC-Regular" w:eastAsia="Times New Roman" w:hAnsi="VIC-Regular" w:cs="Times New Roman"/>
          <w:b/>
          <w:bCs/>
          <w:color w:val="011A3C"/>
          <w:sz w:val="24"/>
          <w:szCs w:val="24"/>
          <w:lang w:val="en" w:eastAsia="en-AU"/>
        </w:rPr>
        <w:t xml:space="preserve"> a primary school </w:t>
      </w:r>
      <w:r w:rsidRPr="004D307F">
        <w:rPr>
          <w:rFonts w:ascii="VIC-Regular" w:eastAsia="Times New Roman" w:hAnsi="VIC-Regular" w:cs="Times New Roman"/>
          <w:b/>
          <w:bCs/>
          <w:color w:val="011A3C"/>
          <w:sz w:val="24"/>
          <w:szCs w:val="24"/>
          <w:lang w:val="en" w:eastAsia="en-AU"/>
        </w:rPr>
        <w:t>(excluding the floor):</w:t>
      </w:r>
    </w:p>
    <w:p w14:paraId="479DAF9D" w14:textId="6CBBDD4D"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w:t>
      </w:r>
      <w:bookmarkStart w:id="21" w:name="_Hlk50714244"/>
      <w:bookmarkStart w:id="22" w:name="_Hlk50720787"/>
      <w:r w:rsidRPr="004D307F">
        <w:rPr>
          <w:rFonts w:ascii="VIC-Regular" w:eastAsia="Times New Roman" w:hAnsi="VIC-Regular" w:cs="Times New Roman"/>
          <w:color w:val="011A3C"/>
          <w:sz w:val="24"/>
          <w:szCs w:val="24"/>
          <w:lang w:val="en" w:eastAsia="en-AU"/>
        </w:rPr>
        <w:t>Level 1 student: ($</w:t>
      </w:r>
      <w:r w:rsidR="00276061" w:rsidRPr="004D307F">
        <w:rPr>
          <w:rFonts w:ascii="VIC-Regular" w:eastAsia="Times New Roman" w:hAnsi="VIC-Regular" w:cs="Times New Roman"/>
          <w:color w:val="011A3C"/>
          <w:sz w:val="24"/>
          <w:szCs w:val="24"/>
          <w:lang w:val="en" w:eastAsia="en-AU"/>
        </w:rPr>
        <w:t>968</w:t>
      </w:r>
      <w:r w:rsidRPr="004D307F">
        <w:rPr>
          <w:rFonts w:ascii="VIC-Regular" w:eastAsia="Times New Roman" w:hAnsi="VIC-Regular" w:cs="Times New Roman"/>
          <w:color w:val="011A3C"/>
          <w:sz w:val="24"/>
          <w:szCs w:val="24"/>
          <w:lang w:val="en" w:eastAsia="en-AU"/>
        </w:rPr>
        <w:t xml:space="preserve"> + ((0.5797 – 0.36</w:t>
      </w:r>
      <w:r w:rsidR="00276061" w:rsidRPr="004D307F">
        <w:rPr>
          <w:rFonts w:ascii="VIC-Regular" w:eastAsia="Times New Roman" w:hAnsi="VIC-Regular" w:cs="Times New Roman"/>
          <w:color w:val="011A3C"/>
          <w:sz w:val="24"/>
          <w:szCs w:val="24"/>
          <w:lang w:val="en" w:eastAsia="en-AU"/>
        </w:rPr>
        <w:t>12</w:t>
      </w:r>
      <w:r w:rsidRPr="004D307F">
        <w:rPr>
          <w:rFonts w:ascii="VIC-Regular" w:eastAsia="Times New Roman" w:hAnsi="VIC-Regular" w:cs="Times New Roman"/>
          <w:color w:val="011A3C"/>
          <w:sz w:val="24"/>
          <w:szCs w:val="24"/>
          <w:lang w:val="en" w:eastAsia="en-AU"/>
        </w:rPr>
        <w:t>) / (0.6192 – 0.36</w:t>
      </w:r>
      <w:r w:rsidR="00276061" w:rsidRPr="004D307F">
        <w:rPr>
          <w:rFonts w:ascii="VIC-Regular" w:eastAsia="Times New Roman" w:hAnsi="VIC-Regular" w:cs="Times New Roman"/>
          <w:color w:val="011A3C"/>
          <w:sz w:val="24"/>
          <w:szCs w:val="24"/>
          <w:lang w:val="en" w:eastAsia="en-AU"/>
        </w:rPr>
        <w:t>12</w:t>
      </w:r>
      <w:r w:rsidRPr="004D307F">
        <w:rPr>
          <w:rFonts w:ascii="VIC-Regular" w:eastAsia="Times New Roman" w:hAnsi="VIC-Regular" w:cs="Times New Roman"/>
          <w:color w:val="011A3C"/>
          <w:sz w:val="24"/>
          <w:szCs w:val="24"/>
          <w:lang w:val="en" w:eastAsia="en-AU"/>
        </w:rPr>
        <w:t>)) * ($</w:t>
      </w:r>
      <w:r w:rsidR="00276061" w:rsidRPr="004D307F">
        <w:rPr>
          <w:rFonts w:ascii="VIC-Regular" w:eastAsia="Times New Roman" w:hAnsi="VIC-Regular" w:cs="Times New Roman"/>
          <w:color w:val="011A3C"/>
          <w:sz w:val="24"/>
          <w:szCs w:val="24"/>
          <w:lang w:val="en" w:eastAsia="en-AU"/>
        </w:rPr>
        <w:t>5241</w:t>
      </w:r>
      <w:r w:rsidRPr="004D307F">
        <w:rPr>
          <w:rFonts w:ascii="VIC-Regular" w:eastAsia="Times New Roman" w:hAnsi="VIC-Regular" w:cs="Times New Roman"/>
          <w:color w:val="011A3C"/>
          <w:sz w:val="24"/>
          <w:szCs w:val="24"/>
          <w:lang w:val="en" w:eastAsia="en-AU"/>
        </w:rPr>
        <w:t xml:space="preserve"> – $</w:t>
      </w:r>
      <w:r w:rsidR="00276061" w:rsidRPr="004D307F">
        <w:rPr>
          <w:rFonts w:ascii="VIC-Regular" w:eastAsia="Times New Roman" w:hAnsi="VIC-Regular" w:cs="Times New Roman"/>
          <w:color w:val="011A3C"/>
          <w:sz w:val="24"/>
          <w:szCs w:val="24"/>
          <w:lang w:val="en" w:eastAsia="en-AU"/>
        </w:rPr>
        <w:t>968</w:t>
      </w:r>
      <w:r w:rsidRPr="004D307F">
        <w:rPr>
          <w:rFonts w:ascii="VIC-Regular" w:eastAsia="Times New Roman" w:hAnsi="VIC-Regular" w:cs="Times New Roman"/>
          <w:color w:val="011A3C"/>
          <w:sz w:val="24"/>
          <w:szCs w:val="24"/>
          <w:lang w:val="en" w:eastAsia="en-AU"/>
        </w:rPr>
        <w:t xml:space="preserve">)) * 167 enrolment </w:t>
      </w:r>
      <w:r w:rsidR="00C53D2A" w:rsidRPr="004D307F">
        <w:rPr>
          <w:rFonts w:ascii="VIC-Regular" w:eastAsia="Times New Roman" w:hAnsi="VIC-Regular" w:cs="Times New Roman"/>
          <w:color w:val="011A3C"/>
          <w:sz w:val="24"/>
          <w:szCs w:val="24"/>
          <w:lang w:val="en" w:eastAsia="en-AU"/>
        </w:rPr>
        <w:t>= $</w:t>
      </w:r>
      <w:r w:rsidR="002F13F4" w:rsidRPr="004D307F">
        <w:rPr>
          <w:rFonts w:ascii="VIC-Regular" w:eastAsia="Times New Roman" w:hAnsi="VIC-Regular" w:cs="Times New Roman"/>
          <w:color w:val="011A3C"/>
          <w:sz w:val="24"/>
          <w:szCs w:val="24"/>
          <w:lang w:val="en" w:eastAsia="en-AU"/>
        </w:rPr>
        <w:t>765,996</w:t>
      </w:r>
    </w:p>
    <w:p w14:paraId="1EFED2ED" w14:textId="0ED0A630" w:rsidR="00A12061" w:rsidRPr="004D307F" w:rsidRDefault="00AD16F0" w:rsidP="00AD16F0">
      <w:pPr>
        <w:spacing w:before="100" w:beforeAutospacing="1" w:after="100" w:afterAutospacing="1" w:line="288" w:lineRule="atLeast"/>
        <w:outlineLvl w:val="3"/>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Level 2 student: ($4</w:t>
      </w:r>
      <w:r w:rsidR="00276061" w:rsidRPr="004D307F">
        <w:rPr>
          <w:rFonts w:ascii="VIC-Regular" w:eastAsia="Times New Roman" w:hAnsi="VIC-Regular" w:cs="Times New Roman"/>
          <w:color w:val="011A3C"/>
          <w:sz w:val="24"/>
          <w:szCs w:val="24"/>
          <w:lang w:val="en" w:eastAsia="en-AU"/>
        </w:rPr>
        <w:t>84</w:t>
      </w:r>
      <w:r w:rsidRPr="004D307F">
        <w:rPr>
          <w:rFonts w:ascii="VIC-Regular" w:eastAsia="Times New Roman" w:hAnsi="VIC-Regular" w:cs="Times New Roman"/>
          <w:color w:val="011A3C"/>
          <w:sz w:val="24"/>
          <w:szCs w:val="24"/>
          <w:lang w:val="en" w:eastAsia="en-AU"/>
        </w:rPr>
        <w:t xml:space="preserve"> + ((0.5797 – 0.36</w:t>
      </w:r>
      <w:r w:rsidR="00276061" w:rsidRPr="004D307F">
        <w:rPr>
          <w:rFonts w:ascii="VIC-Regular" w:eastAsia="Times New Roman" w:hAnsi="VIC-Regular" w:cs="Times New Roman"/>
          <w:color w:val="011A3C"/>
          <w:sz w:val="24"/>
          <w:szCs w:val="24"/>
          <w:lang w:val="en" w:eastAsia="en-AU"/>
        </w:rPr>
        <w:t>12</w:t>
      </w:r>
      <w:r w:rsidRPr="004D307F">
        <w:rPr>
          <w:rFonts w:ascii="VIC-Regular" w:eastAsia="Times New Roman" w:hAnsi="VIC-Regular" w:cs="Times New Roman"/>
          <w:color w:val="011A3C"/>
          <w:sz w:val="24"/>
          <w:szCs w:val="24"/>
          <w:lang w:val="en" w:eastAsia="en-AU"/>
        </w:rPr>
        <w:t>) / (0.6192 – 0.36</w:t>
      </w:r>
      <w:r w:rsidR="00276061" w:rsidRPr="004D307F">
        <w:rPr>
          <w:rFonts w:ascii="VIC-Regular" w:eastAsia="Times New Roman" w:hAnsi="VIC-Regular" w:cs="Times New Roman"/>
          <w:color w:val="011A3C"/>
          <w:sz w:val="24"/>
          <w:szCs w:val="24"/>
          <w:lang w:val="en" w:eastAsia="en-AU"/>
        </w:rPr>
        <w:t>12</w:t>
      </w:r>
      <w:r w:rsidRPr="004D307F">
        <w:rPr>
          <w:rFonts w:ascii="VIC-Regular" w:eastAsia="Times New Roman" w:hAnsi="VIC-Regular" w:cs="Times New Roman"/>
          <w:color w:val="011A3C"/>
          <w:sz w:val="24"/>
          <w:szCs w:val="24"/>
          <w:lang w:val="en" w:eastAsia="en-AU"/>
        </w:rPr>
        <w:t>)) * ($</w:t>
      </w:r>
      <w:r w:rsidR="00276061" w:rsidRPr="004D307F">
        <w:rPr>
          <w:rFonts w:ascii="VIC-Regular" w:eastAsia="Times New Roman" w:hAnsi="VIC-Regular" w:cs="Times New Roman"/>
          <w:color w:val="011A3C"/>
          <w:sz w:val="24"/>
          <w:szCs w:val="24"/>
          <w:lang w:val="en" w:eastAsia="en-AU"/>
        </w:rPr>
        <w:t>2622</w:t>
      </w:r>
      <w:r w:rsidRPr="004D307F">
        <w:rPr>
          <w:rFonts w:ascii="VIC-Regular" w:eastAsia="Times New Roman" w:hAnsi="VIC-Regular" w:cs="Times New Roman"/>
          <w:color w:val="011A3C"/>
          <w:sz w:val="24"/>
          <w:szCs w:val="24"/>
          <w:lang w:val="en" w:eastAsia="en-AU"/>
        </w:rPr>
        <w:t>– $4</w:t>
      </w:r>
      <w:r w:rsidR="00276061" w:rsidRPr="004D307F">
        <w:rPr>
          <w:rFonts w:ascii="VIC-Regular" w:eastAsia="Times New Roman" w:hAnsi="VIC-Regular" w:cs="Times New Roman"/>
          <w:color w:val="011A3C"/>
          <w:sz w:val="24"/>
          <w:szCs w:val="24"/>
          <w:lang w:val="en" w:eastAsia="en-AU"/>
        </w:rPr>
        <w:t>84</w:t>
      </w:r>
      <w:r w:rsidRPr="004D307F">
        <w:rPr>
          <w:rFonts w:ascii="VIC-Regular" w:eastAsia="Times New Roman" w:hAnsi="VIC-Regular" w:cs="Times New Roman"/>
          <w:color w:val="011A3C"/>
          <w:sz w:val="24"/>
          <w:szCs w:val="24"/>
          <w:lang w:val="en" w:eastAsia="en-AU"/>
        </w:rPr>
        <w:t xml:space="preserve">)) * 125 enrolment </w:t>
      </w:r>
      <w:r w:rsidR="00C53D2A" w:rsidRPr="004D307F">
        <w:rPr>
          <w:rFonts w:ascii="VIC-Regular" w:eastAsia="Times New Roman" w:hAnsi="VIC-Regular" w:cs="Times New Roman"/>
          <w:color w:val="011A3C"/>
          <w:sz w:val="24"/>
          <w:szCs w:val="24"/>
          <w:lang w:val="en" w:eastAsia="en-AU"/>
        </w:rPr>
        <w:t>= $</w:t>
      </w:r>
      <w:r w:rsidR="002F13F4" w:rsidRPr="004D307F">
        <w:rPr>
          <w:rFonts w:ascii="VIC-Regular" w:eastAsia="Times New Roman" w:hAnsi="VIC-Regular" w:cs="Times New Roman"/>
          <w:color w:val="011A3C"/>
          <w:sz w:val="24"/>
          <w:szCs w:val="24"/>
          <w:lang w:val="en" w:eastAsia="en-AU"/>
        </w:rPr>
        <w:t>286,834</w:t>
      </w:r>
      <w:bookmarkEnd w:id="21"/>
      <w:r w:rsidRPr="004D307F">
        <w:rPr>
          <w:rFonts w:ascii="VIC-Regular" w:eastAsia="Times New Roman" w:hAnsi="VIC-Regular" w:cs="Times New Roman"/>
          <w:color w:val="011A3C"/>
          <w:sz w:val="24"/>
          <w:szCs w:val="24"/>
          <w:lang w:val="en" w:eastAsia="en-AU"/>
        </w:rPr>
        <w:t xml:space="preserve">• Total Social Disadvantage funding: </w:t>
      </w:r>
      <w:r w:rsidR="00E70DB3" w:rsidRPr="004D307F">
        <w:rPr>
          <w:rFonts w:ascii="VIC-Regular" w:eastAsia="Times New Roman" w:hAnsi="VIC-Regular" w:cs="Times New Roman"/>
          <w:color w:val="011A3C"/>
          <w:sz w:val="24"/>
          <w:szCs w:val="24"/>
          <w:lang w:val="en" w:eastAsia="en-AU"/>
        </w:rPr>
        <w:t>$</w:t>
      </w:r>
      <w:r w:rsidR="007106F7" w:rsidRPr="004D307F">
        <w:rPr>
          <w:rFonts w:ascii="VIC-Regular" w:eastAsia="Times New Roman" w:hAnsi="VIC-Regular" w:cs="Times New Roman"/>
          <w:color w:val="011A3C"/>
          <w:sz w:val="24"/>
          <w:szCs w:val="24"/>
          <w:lang w:val="en" w:eastAsia="en-AU"/>
        </w:rPr>
        <w:t>765,996</w:t>
      </w:r>
      <w:r w:rsidR="00E70DB3"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 xml:space="preserve">+ </w:t>
      </w:r>
      <w:r w:rsidR="00E70DB3" w:rsidRPr="004D307F">
        <w:rPr>
          <w:rFonts w:ascii="VIC-Regular" w:eastAsia="Times New Roman" w:hAnsi="VIC-Regular" w:cs="Times New Roman"/>
          <w:color w:val="011A3C"/>
          <w:sz w:val="24"/>
          <w:szCs w:val="24"/>
          <w:lang w:val="en" w:eastAsia="en-AU"/>
        </w:rPr>
        <w:t>$</w:t>
      </w:r>
      <w:r w:rsidR="007106F7" w:rsidRPr="004D307F">
        <w:rPr>
          <w:rFonts w:ascii="VIC-Regular" w:eastAsia="Times New Roman" w:hAnsi="VIC-Regular" w:cs="Times New Roman"/>
          <w:color w:val="011A3C"/>
          <w:sz w:val="24"/>
          <w:szCs w:val="24"/>
          <w:lang w:val="en" w:eastAsia="en-AU"/>
        </w:rPr>
        <w:t>286,834</w:t>
      </w:r>
      <w:r w:rsidR="00E70DB3"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 xml:space="preserve">= </w:t>
      </w:r>
      <w:r w:rsidR="00E70DB3" w:rsidRPr="004D307F">
        <w:rPr>
          <w:rFonts w:ascii="VIC-Regular" w:eastAsia="Times New Roman" w:hAnsi="VIC-Regular" w:cs="Times New Roman"/>
          <w:color w:val="011A3C"/>
          <w:sz w:val="24"/>
          <w:szCs w:val="24"/>
          <w:lang w:val="en" w:eastAsia="en-AU"/>
        </w:rPr>
        <w:t xml:space="preserve"> </w:t>
      </w:r>
      <w:r w:rsidR="002F13F4" w:rsidRPr="004D307F">
        <w:rPr>
          <w:rFonts w:ascii="VIC-Regular" w:eastAsia="Times New Roman" w:hAnsi="VIC-Regular" w:cs="Times New Roman"/>
          <w:color w:val="011A3C"/>
          <w:sz w:val="24"/>
          <w:szCs w:val="24"/>
          <w:lang w:val="en" w:eastAsia="en-AU"/>
        </w:rPr>
        <w:t>$1,052,8</w:t>
      </w:r>
      <w:r w:rsidR="007106F7" w:rsidRPr="004D307F">
        <w:rPr>
          <w:rFonts w:ascii="VIC-Regular" w:eastAsia="Times New Roman" w:hAnsi="VIC-Regular" w:cs="Times New Roman"/>
          <w:color w:val="011A3C"/>
          <w:sz w:val="24"/>
          <w:szCs w:val="24"/>
          <w:lang w:val="en" w:eastAsia="en-AU"/>
        </w:rPr>
        <w:t>30</w:t>
      </w:r>
      <w:bookmarkEnd w:id="22"/>
    </w:p>
    <w:p w14:paraId="6204CCF4" w14:textId="553CF7E4" w:rsidR="00AD16F0" w:rsidRPr="004D307F"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Table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1"/>
        <w:gridCol w:w="1048"/>
        <w:gridCol w:w="1289"/>
        <w:gridCol w:w="1333"/>
        <w:gridCol w:w="1371"/>
        <w:gridCol w:w="1333"/>
        <w:gridCol w:w="1371"/>
      </w:tblGrid>
      <w:tr w:rsidR="00AD16F0" w:rsidRPr="004D307F" w14:paraId="65190952" w14:textId="77777777" w:rsidTr="00080034">
        <w:trPr>
          <w:tblHeader/>
        </w:trPr>
        <w:tc>
          <w:tcPr>
            <w:tcW w:w="705" w:type="pct"/>
            <w:hideMark/>
          </w:tcPr>
          <w:p w14:paraId="6D37A6B2" w14:textId="77777777" w:rsidR="00AD16F0" w:rsidRPr="004D307F" w:rsidRDefault="00AD16F0" w:rsidP="00AD16F0">
            <w:pPr>
              <w:spacing w:after="0" w:line="240" w:lineRule="auto"/>
              <w:rPr>
                <w:rFonts w:ascii="Times New Roman" w:eastAsia="Times New Roman" w:hAnsi="Times New Roman" w:cs="Times New Roman"/>
                <w:color w:val="323E4F" w:themeColor="text2" w:themeShade="BF"/>
                <w:sz w:val="24"/>
                <w:szCs w:val="24"/>
                <w:lang w:val="en" w:eastAsia="en-AU"/>
              </w:rPr>
            </w:pPr>
          </w:p>
        </w:tc>
        <w:tc>
          <w:tcPr>
            <w:tcW w:w="581" w:type="pct"/>
            <w:hideMark/>
          </w:tcPr>
          <w:p w14:paraId="0B02F6C0"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Minimum SFOE Threshold</w:t>
            </w:r>
          </w:p>
        </w:tc>
        <w:tc>
          <w:tcPr>
            <w:tcW w:w="0" w:type="auto"/>
            <w:hideMark/>
          </w:tcPr>
          <w:p w14:paraId="0BC0CF70"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Maximum SFOE Threshold</w:t>
            </w:r>
          </w:p>
        </w:tc>
        <w:tc>
          <w:tcPr>
            <w:tcW w:w="0" w:type="auto"/>
            <w:hideMark/>
          </w:tcPr>
          <w:p w14:paraId="7EE2AB30"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Level 1 Student Minimum Rate</w:t>
            </w:r>
          </w:p>
        </w:tc>
        <w:tc>
          <w:tcPr>
            <w:tcW w:w="0" w:type="auto"/>
            <w:hideMark/>
          </w:tcPr>
          <w:p w14:paraId="58CE56C8"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Level 1 Student Maximum Rate</w:t>
            </w:r>
          </w:p>
        </w:tc>
        <w:tc>
          <w:tcPr>
            <w:tcW w:w="0" w:type="auto"/>
            <w:hideMark/>
          </w:tcPr>
          <w:p w14:paraId="7EE42AB7"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Level 2 Student Minimum Rate</w:t>
            </w:r>
          </w:p>
        </w:tc>
        <w:tc>
          <w:tcPr>
            <w:tcW w:w="0" w:type="auto"/>
            <w:hideMark/>
          </w:tcPr>
          <w:p w14:paraId="1247BC8C"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Level 2 Student Maximum Rate</w:t>
            </w:r>
          </w:p>
        </w:tc>
      </w:tr>
      <w:tr w:rsidR="00AD16F0" w:rsidRPr="004D307F" w14:paraId="10724C14" w14:textId="77777777" w:rsidTr="00080034">
        <w:tc>
          <w:tcPr>
            <w:tcW w:w="705" w:type="pct"/>
            <w:hideMark/>
          </w:tcPr>
          <w:p w14:paraId="0C876D0D"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Primary</w:t>
            </w:r>
          </w:p>
        </w:tc>
        <w:tc>
          <w:tcPr>
            <w:tcW w:w="581" w:type="pct"/>
            <w:hideMark/>
          </w:tcPr>
          <w:p w14:paraId="426F5288" w14:textId="06ED6A45"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0.3612</w:t>
            </w:r>
          </w:p>
        </w:tc>
        <w:tc>
          <w:tcPr>
            <w:tcW w:w="0" w:type="auto"/>
            <w:hideMark/>
          </w:tcPr>
          <w:p w14:paraId="43BDF7D5" w14:textId="77777777" w:rsidR="00AD16F0" w:rsidRPr="004D307F" w:rsidRDefault="00AD16F0"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0.6192</w:t>
            </w:r>
          </w:p>
        </w:tc>
        <w:tc>
          <w:tcPr>
            <w:tcW w:w="0" w:type="auto"/>
            <w:hideMark/>
          </w:tcPr>
          <w:p w14:paraId="69D98AB5" w14:textId="79AED94D"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$9</w:t>
            </w:r>
            <w:r w:rsidR="00F14857" w:rsidRPr="004D307F">
              <w:rPr>
                <w:rFonts w:ascii="VIC-Regular" w:eastAsia="Times New Roman" w:hAnsi="VIC-Regular" w:cs="Times New Roman"/>
                <w:color w:val="323E4F" w:themeColor="text2" w:themeShade="BF"/>
                <w:sz w:val="24"/>
                <w:szCs w:val="24"/>
                <w:lang w:eastAsia="en-AU"/>
              </w:rPr>
              <w:t>74</w:t>
            </w:r>
          </w:p>
        </w:tc>
        <w:tc>
          <w:tcPr>
            <w:tcW w:w="0" w:type="auto"/>
            <w:hideMark/>
          </w:tcPr>
          <w:p w14:paraId="59AB23E9" w14:textId="43D369D1" w:rsidR="00AD16F0" w:rsidRPr="004D307F" w:rsidRDefault="00C43BE1"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w:t>
            </w:r>
            <w:r w:rsidR="00A82D75" w:rsidRPr="004D307F">
              <w:rPr>
                <w:rFonts w:ascii="VIC-Regular" w:eastAsia="Times New Roman" w:hAnsi="VIC-Regular" w:cs="Times New Roman"/>
                <w:color w:val="323E4F" w:themeColor="text2" w:themeShade="BF"/>
                <w:sz w:val="24"/>
                <w:szCs w:val="24"/>
                <w:lang w:eastAsia="en-AU"/>
              </w:rPr>
              <w:t>5,2</w:t>
            </w:r>
            <w:r w:rsidR="00F14857" w:rsidRPr="004D307F">
              <w:rPr>
                <w:rFonts w:ascii="VIC-Regular" w:eastAsia="Times New Roman" w:hAnsi="VIC-Regular" w:cs="Times New Roman"/>
                <w:color w:val="323E4F" w:themeColor="text2" w:themeShade="BF"/>
                <w:sz w:val="24"/>
                <w:szCs w:val="24"/>
                <w:lang w:eastAsia="en-AU"/>
              </w:rPr>
              <w:t>72</w:t>
            </w:r>
          </w:p>
        </w:tc>
        <w:tc>
          <w:tcPr>
            <w:tcW w:w="0" w:type="auto"/>
            <w:hideMark/>
          </w:tcPr>
          <w:p w14:paraId="158D798A" w14:textId="208F4C45"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$48</w:t>
            </w:r>
            <w:r w:rsidR="00F14857" w:rsidRPr="004D307F">
              <w:rPr>
                <w:rFonts w:ascii="VIC-Regular" w:eastAsia="Times New Roman" w:hAnsi="VIC-Regular" w:cs="Times New Roman"/>
                <w:color w:val="323E4F" w:themeColor="text2" w:themeShade="BF"/>
                <w:sz w:val="24"/>
                <w:szCs w:val="24"/>
                <w:lang w:eastAsia="en-AU"/>
              </w:rPr>
              <w:t>7</w:t>
            </w:r>
          </w:p>
        </w:tc>
        <w:tc>
          <w:tcPr>
            <w:tcW w:w="0" w:type="auto"/>
            <w:hideMark/>
          </w:tcPr>
          <w:p w14:paraId="6F7C5914" w14:textId="346DC8A3" w:rsidR="00AD16F0" w:rsidRPr="004D307F" w:rsidRDefault="00337C31"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$2,6</w:t>
            </w:r>
            <w:r w:rsidR="00F14857" w:rsidRPr="004D307F">
              <w:rPr>
                <w:rFonts w:ascii="VIC-Regular" w:eastAsia="Times New Roman" w:hAnsi="VIC-Regular" w:cs="Times New Roman"/>
                <w:color w:val="323E4F" w:themeColor="text2" w:themeShade="BF"/>
                <w:sz w:val="24"/>
                <w:szCs w:val="24"/>
                <w:lang w:eastAsia="en-AU"/>
              </w:rPr>
              <w:t>37</w:t>
            </w:r>
          </w:p>
        </w:tc>
      </w:tr>
      <w:tr w:rsidR="00AD16F0" w:rsidRPr="004D307F" w14:paraId="455A4776" w14:textId="77777777" w:rsidTr="00080034">
        <w:tc>
          <w:tcPr>
            <w:tcW w:w="705" w:type="pct"/>
            <w:hideMark/>
          </w:tcPr>
          <w:p w14:paraId="0BDD5FD4"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Secondary</w:t>
            </w:r>
          </w:p>
        </w:tc>
        <w:tc>
          <w:tcPr>
            <w:tcW w:w="581" w:type="pct"/>
            <w:hideMark/>
          </w:tcPr>
          <w:p w14:paraId="46B20335" w14:textId="204ADCC3"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0.3612</w:t>
            </w:r>
          </w:p>
        </w:tc>
        <w:tc>
          <w:tcPr>
            <w:tcW w:w="0" w:type="auto"/>
            <w:hideMark/>
          </w:tcPr>
          <w:p w14:paraId="3631F520" w14:textId="77777777" w:rsidR="00AD16F0" w:rsidRPr="004D307F" w:rsidRDefault="00AD16F0"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0.6192</w:t>
            </w:r>
          </w:p>
        </w:tc>
        <w:tc>
          <w:tcPr>
            <w:tcW w:w="0" w:type="auto"/>
            <w:hideMark/>
          </w:tcPr>
          <w:p w14:paraId="3595A38B" w14:textId="72B6D952"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$86</w:t>
            </w:r>
            <w:r w:rsidR="00F14857" w:rsidRPr="004D307F">
              <w:rPr>
                <w:rFonts w:ascii="VIC-Regular" w:eastAsia="Times New Roman" w:hAnsi="VIC-Regular" w:cs="Times New Roman"/>
                <w:color w:val="323E4F" w:themeColor="text2" w:themeShade="BF"/>
                <w:sz w:val="24"/>
                <w:szCs w:val="24"/>
                <w:lang w:eastAsia="en-AU"/>
              </w:rPr>
              <w:t>7</w:t>
            </w:r>
          </w:p>
        </w:tc>
        <w:tc>
          <w:tcPr>
            <w:tcW w:w="0" w:type="auto"/>
            <w:hideMark/>
          </w:tcPr>
          <w:p w14:paraId="48AFD9F2" w14:textId="6BBC2343"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$4,6</w:t>
            </w:r>
            <w:r w:rsidR="00F14857" w:rsidRPr="004D307F">
              <w:rPr>
                <w:rFonts w:ascii="VIC-Regular" w:eastAsia="Times New Roman" w:hAnsi="VIC-Regular" w:cs="Times New Roman"/>
                <w:color w:val="323E4F" w:themeColor="text2" w:themeShade="BF"/>
                <w:sz w:val="24"/>
                <w:szCs w:val="24"/>
                <w:lang w:eastAsia="en-AU"/>
              </w:rPr>
              <w:t>81</w:t>
            </w:r>
          </w:p>
        </w:tc>
        <w:tc>
          <w:tcPr>
            <w:tcW w:w="0" w:type="auto"/>
            <w:hideMark/>
          </w:tcPr>
          <w:p w14:paraId="1D48F993" w14:textId="2BA1A093"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$43</w:t>
            </w:r>
            <w:r w:rsidR="00F14857" w:rsidRPr="004D307F">
              <w:rPr>
                <w:rFonts w:ascii="VIC-Regular" w:eastAsia="Times New Roman" w:hAnsi="VIC-Regular" w:cs="Times New Roman"/>
                <w:color w:val="323E4F" w:themeColor="text2" w:themeShade="BF"/>
                <w:sz w:val="24"/>
                <w:szCs w:val="24"/>
                <w:lang w:eastAsia="en-AU"/>
              </w:rPr>
              <w:t>4</w:t>
            </w:r>
          </w:p>
        </w:tc>
        <w:tc>
          <w:tcPr>
            <w:tcW w:w="0" w:type="auto"/>
            <w:hideMark/>
          </w:tcPr>
          <w:p w14:paraId="139B3C05" w14:textId="7299FC25"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$2,3</w:t>
            </w:r>
            <w:r w:rsidR="00F14857" w:rsidRPr="004D307F">
              <w:rPr>
                <w:rFonts w:ascii="VIC-Regular" w:eastAsia="Times New Roman" w:hAnsi="VIC-Regular" w:cs="Times New Roman"/>
                <w:color w:val="323E4F" w:themeColor="text2" w:themeShade="BF"/>
                <w:sz w:val="24"/>
                <w:szCs w:val="24"/>
                <w:lang w:eastAsia="en-AU"/>
              </w:rPr>
              <w:t>40</w:t>
            </w:r>
          </w:p>
        </w:tc>
      </w:tr>
      <w:tr w:rsidR="00AD16F0" w:rsidRPr="004D307F" w14:paraId="151B1C73" w14:textId="77777777" w:rsidTr="00080034">
        <w:tc>
          <w:tcPr>
            <w:tcW w:w="705" w:type="pct"/>
            <w:hideMark/>
          </w:tcPr>
          <w:p w14:paraId="337443D3"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Special</w:t>
            </w:r>
          </w:p>
        </w:tc>
        <w:tc>
          <w:tcPr>
            <w:tcW w:w="581" w:type="pct"/>
            <w:hideMark/>
          </w:tcPr>
          <w:p w14:paraId="0E5AB3D9" w14:textId="03DDF3C0" w:rsidR="00AD16F0" w:rsidRPr="004D307F" w:rsidRDefault="00276061"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0.5040</w:t>
            </w:r>
          </w:p>
        </w:tc>
        <w:tc>
          <w:tcPr>
            <w:tcW w:w="0" w:type="auto"/>
            <w:hideMark/>
          </w:tcPr>
          <w:p w14:paraId="48B2362B" w14:textId="77777777" w:rsidR="00AD16F0" w:rsidRPr="004D307F" w:rsidRDefault="00AD16F0"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0.7336</w:t>
            </w:r>
          </w:p>
        </w:tc>
        <w:tc>
          <w:tcPr>
            <w:tcW w:w="0" w:type="auto"/>
            <w:hideMark/>
          </w:tcPr>
          <w:p w14:paraId="77D4DB25" w14:textId="186B01FE"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$9</w:t>
            </w:r>
            <w:r w:rsidR="00F14857" w:rsidRPr="004D307F">
              <w:rPr>
                <w:rFonts w:ascii="VIC-Regular" w:eastAsia="Times New Roman" w:hAnsi="VIC-Regular" w:cs="Times New Roman"/>
                <w:color w:val="323E4F" w:themeColor="text2" w:themeShade="BF"/>
                <w:sz w:val="24"/>
                <w:szCs w:val="24"/>
                <w:lang w:eastAsia="en-AU"/>
              </w:rPr>
              <w:t>74</w:t>
            </w:r>
          </w:p>
        </w:tc>
        <w:tc>
          <w:tcPr>
            <w:tcW w:w="0" w:type="auto"/>
            <w:hideMark/>
          </w:tcPr>
          <w:p w14:paraId="3BE81E3E" w14:textId="5C382C23"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$5,2</w:t>
            </w:r>
            <w:r w:rsidR="00F14857" w:rsidRPr="004D307F">
              <w:rPr>
                <w:rFonts w:ascii="VIC-Regular" w:eastAsia="Times New Roman" w:hAnsi="VIC-Regular" w:cs="Times New Roman"/>
                <w:color w:val="323E4F" w:themeColor="text2" w:themeShade="BF"/>
                <w:sz w:val="24"/>
                <w:szCs w:val="24"/>
                <w:lang w:eastAsia="en-AU"/>
              </w:rPr>
              <w:t>72</w:t>
            </w:r>
          </w:p>
        </w:tc>
        <w:tc>
          <w:tcPr>
            <w:tcW w:w="0" w:type="auto"/>
            <w:hideMark/>
          </w:tcPr>
          <w:p w14:paraId="52DCF77B" w14:textId="720223C3"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w:t>
            </w:r>
            <w:r w:rsidR="00F14857" w:rsidRPr="004D307F">
              <w:rPr>
                <w:rFonts w:ascii="VIC-Regular" w:eastAsia="Times New Roman" w:hAnsi="VIC-Regular" w:cs="Times New Roman"/>
                <w:color w:val="323E4F" w:themeColor="text2" w:themeShade="BF"/>
                <w:sz w:val="24"/>
                <w:szCs w:val="24"/>
                <w:lang w:eastAsia="en-AU"/>
              </w:rPr>
              <w:t>87</w:t>
            </w:r>
          </w:p>
        </w:tc>
        <w:tc>
          <w:tcPr>
            <w:tcW w:w="0" w:type="auto"/>
            <w:hideMark/>
          </w:tcPr>
          <w:p w14:paraId="020F040D" w14:textId="5722E301"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$2,6</w:t>
            </w:r>
            <w:r w:rsidR="00F14857" w:rsidRPr="004D307F">
              <w:rPr>
                <w:rFonts w:ascii="VIC-Regular" w:eastAsia="Times New Roman" w:hAnsi="VIC-Regular" w:cs="Times New Roman"/>
                <w:color w:val="323E4F" w:themeColor="text2" w:themeShade="BF"/>
                <w:sz w:val="24"/>
                <w:szCs w:val="24"/>
                <w:lang w:eastAsia="en-AU"/>
              </w:rPr>
              <w:t>37</w:t>
            </w:r>
          </w:p>
        </w:tc>
      </w:tr>
      <w:tr w:rsidR="00AD16F0" w:rsidRPr="004D307F" w14:paraId="3DF81935" w14:textId="77777777" w:rsidTr="00080034">
        <w:tc>
          <w:tcPr>
            <w:tcW w:w="705" w:type="pct"/>
            <w:hideMark/>
          </w:tcPr>
          <w:p w14:paraId="4C1F2452"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Language</w:t>
            </w:r>
          </w:p>
        </w:tc>
        <w:tc>
          <w:tcPr>
            <w:tcW w:w="581" w:type="pct"/>
            <w:hideMark/>
          </w:tcPr>
          <w:p w14:paraId="61C145A3" w14:textId="1DEABCFD"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0.3612</w:t>
            </w:r>
          </w:p>
        </w:tc>
        <w:tc>
          <w:tcPr>
            <w:tcW w:w="0" w:type="auto"/>
            <w:hideMark/>
          </w:tcPr>
          <w:p w14:paraId="4E9974FA" w14:textId="77777777" w:rsidR="00AD16F0" w:rsidRPr="004D307F" w:rsidRDefault="00AD16F0"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0.6192</w:t>
            </w:r>
          </w:p>
        </w:tc>
        <w:tc>
          <w:tcPr>
            <w:tcW w:w="0" w:type="auto"/>
            <w:hideMark/>
          </w:tcPr>
          <w:p w14:paraId="702970D6" w14:textId="706B7E3E"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$9</w:t>
            </w:r>
            <w:r w:rsidR="00272111" w:rsidRPr="004D307F">
              <w:rPr>
                <w:rFonts w:ascii="VIC-Regular" w:eastAsia="Times New Roman" w:hAnsi="VIC-Regular" w:cs="Times New Roman"/>
                <w:color w:val="323E4F" w:themeColor="text2" w:themeShade="BF"/>
                <w:sz w:val="24"/>
                <w:szCs w:val="24"/>
                <w:lang w:eastAsia="en-AU"/>
              </w:rPr>
              <w:t>74</w:t>
            </w:r>
          </w:p>
        </w:tc>
        <w:tc>
          <w:tcPr>
            <w:tcW w:w="0" w:type="auto"/>
            <w:hideMark/>
          </w:tcPr>
          <w:p w14:paraId="00DAAFAB" w14:textId="66D70B67"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$5,2</w:t>
            </w:r>
            <w:r w:rsidR="00272111" w:rsidRPr="004D307F">
              <w:rPr>
                <w:rFonts w:ascii="VIC-Regular" w:eastAsia="Times New Roman" w:hAnsi="VIC-Regular" w:cs="Times New Roman"/>
                <w:color w:val="323E4F" w:themeColor="text2" w:themeShade="BF"/>
                <w:sz w:val="24"/>
                <w:szCs w:val="24"/>
                <w:lang w:eastAsia="en-AU"/>
              </w:rPr>
              <w:t>72</w:t>
            </w:r>
          </w:p>
        </w:tc>
        <w:tc>
          <w:tcPr>
            <w:tcW w:w="0" w:type="auto"/>
            <w:hideMark/>
          </w:tcPr>
          <w:p w14:paraId="6091D237" w14:textId="62DD6A6C"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$48</w:t>
            </w:r>
            <w:r w:rsidR="00272111" w:rsidRPr="004D307F">
              <w:rPr>
                <w:rFonts w:ascii="VIC-Regular" w:eastAsia="Times New Roman" w:hAnsi="VIC-Regular" w:cs="Times New Roman"/>
                <w:color w:val="323E4F" w:themeColor="text2" w:themeShade="BF"/>
                <w:sz w:val="24"/>
                <w:szCs w:val="24"/>
                <w:lang w:eastAsia="en-AU"/>
              </w:rPr>
              <w:t>7</w:t>
            </w:r>
          </w:p>
        </w:tc>
        <w:tc>
          <w:tcPr>
            <w:tcW w:w="0" w:type="auto"/>
            <w:hideMark/>
          </w:tcPr>
          <w:p w14:paraId="553A706E" w14:textId="6348A2AD"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$2,6</w:t>
            </w:r>
            <w:r w:rsidR="00272111" w:rsidRPr="004D307F">
              <w:rPr>
                <w:rFonts w:ascii="VIC-Regular" w:eastAsia="Times New Roman" w:hAnsi="VIC-Regular" w:cs="Times New Roman"/>
                <w:color w:val="323E4F" w:themeColor="text2" w:themeShade="BF"/>
                <w:sz w:val="24"/>
                <w:szCs w:val="24"/>
                <w:lang w:eastAsia="en-AU"/>
              </w:rPr>
              <w:t>37</w:t>
            </w:r>
          </w:p>
        </w:tc>
      </w:tr>
    </w:tbl>
    <w:p w14:paraId="71EBD9A5" w14:textId="6083B7E9"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minimum funding allocation = $5</w:t>
      </w:r>
      <w:r w:rsidR="00113120"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000</w:t>
      </w:r>
    </w:p>
    <w:p w14:paraId="00099584" w14:textId="3744ADED"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enrolment is based on the numbers of Level 1 and 2 students recorded in annually in the August census of the preceding year. </w:t>
      </w:r>
      <w:bookmarkStart w:id="23" w:name="_Hlk94698274"/>
      <w:r w:rsidRPr="004D307F">
        <w:rPr>
          <w:rFonts w:ascii="VIC-Regular" w:eastAsia="Times New Roman" w:hAnsi="VIC-Regular" w:cs="Times New Roman"/>
          <w:color w:val="011A3C"/>
          <w:sz w:val="24"/>
          <w:szCs w:val="24"/>
          <w:lang w:val="en" w:eastAsia="en-AU"/>
        </w:rPr>
        <w:t xml:space="preserve">Data for </w:t>
      </w:r>
      <w:r w:rsidR="00EC0EB3" w:rsidRPr="004D307F">
        <w:rPr>
          <w:rFonts w:ascii="VIC-Regular" w:eastAsia="Times New Roman" w:hAnsi="VIC-Regular" w:cs="Times New Roman"/>
          <w:color w:val="011A3C"/>
          <w:sz w:val="24"/>
          <w:szCs w:val="24"/>
          <w:lang w:val="en" w:eastAsia="en-AU"/>
        </w:rPr>
        <w:t xml:space="preserve">2022 </w:t>
      </w:r>
      <w:r w:rsidRPr="004D307F">
        <w:rPr>
          <w:rFonts w:ascii="VIC-Regular" w:eastAsia="Times New Roman" w:hAnsi="VIC-Regular" w:cs="Times New Roman"/>
          <w:color w:val="011A3C"/>
          <w:sz w:val="24"/>
          <w:szCs w:val="24"/>
          <w:lang w:val="en" w:eastAsia="en-AU"/>
        </w:rPr>
        <w:t xml:space="preserve">is calculated using August </w:t>
      </w:r>
      <w:r w:rsidR="00EC0EB3" w:rsidRPr="004D307F">
        <w:rPr>
          <w:rFonts w:ascii="VIC-Regular" w:eastAsia="Times New Roman" w:hAnsi="VIC-Regular" w:cs="Times New Roman"/>
          <w:color w:val="011A3C"/>
          <w:sz w:val="24"/>
          <w:szCs w:val="24"/>
          <w:lang w:val="en" w:eastAsia="en-AU"/>
        </w:rPr>
        <w:t xml:space="preserve">2021 </w:t>
      </w:r>
      <w:r w:rsidRPr="004D307F">
        <w:rPr>
          <w:rFonts w:ascii="VIC-Regular" w:eastAsia="Times New Roman" w:hAnsi="VIC-Regular" w:cs="Times New Roman"/>
          <w:color w:val="011A3C"/>
          <w:sz w:val="24"/>
          <w:szCs w:val="24"/>
          <w:lang w:val="en" w:eastAsia="en-AU"/>
        </w:rPr>
        <w:t xml:space="preserve">census data submitted by schools and is not adjusted for the </w:t>
      </w:r>
      <w:r w:rsidR="00EC0EB3" w:rsidRPr="004D307F">
        <w:rPr>
          <w:rFonts w:ascii="VIC-Regular" w:eastAsia="Times New Roman" w:hAnsi="VIC-Regular" w:cs="Times New Roman"/>
          <w:color w:val="011A3C"/>
          <w:sz w:val="24"/>
          <w:szCs w:val="24"/>
          <w:lang w:val="en" w:eastAsia="en-AU"/>
        </w:rPr>
        <w:t xml:space="preserve">2022 </w:t>
      </w:r>
      <w:r w:rsidRPr="004D307F">
        <w:rPr>
          <w:rFonts w:ascii="VIC-Regular" w:eastAsia="Times New Roman" w:hAnsi="VIC-Regular" w:cs="Times New Roman"/>
          <w:color w:val="011A3C"/>
          <w:sz w:val="24"/>
          <w:szCs w:val="24"/>
          <w:lang w:val="en" w:eastAsia="en-AU"/>
        </w:rPr>
        <w:t>calendar year. The rolling weighted average also relies on August census data from the two periods prior (</w:t>
      </w:r>
      <w:r w:rsidR="00EC0EB3" w:rsidRPr="004D307F">
        <w:rPr>
          <w:rFonts w:ascii="VIC-Regular" w:eastAsia="Times New Roman" w:hAnsi="VIC-Regular" w:cs="Times New Roman"/>
          <w:color w:val="011A3C"/>
          <w:sz w:val="24"/>
          <w:szCs w:val="24"/>
          <w:lang w:val="en" w:eastAsia="en-AU"/>
        </w:rPr>
        <w:t xml:space="preserve">2020 </w:t>
      </w:r>
      <w:r w:rsidRPr="004D307F">
        <w:rPr>
          <w:rFonts w:ascii="VIC-Regular" w:eastAsia="Times New Roman" w:hAnsi="VIC-Regular" w:cs="Times New Roman"/>
          <w:color w:val="011A3C"/>
          <w:sz w:val="24"/>
          <w:szCs w:val="24"/>
          <w:lang w:val="en" w:eastAsia="en-AU"/>
        </w:rPr>
        <w:t xml:space="preserve">and </w:t>
      </w:r>
      <w:r w:rsidR="00EC0EB3" w:rsidRPr="004D307F">
        <w:rPr>
          <w:rFonts w:ascii="VIC-Regular" w:eastAsia="Times New Roman" w:hAnsi="VIC-Regular" w:cs="Times New Roman"/>
          <w:color w:val="011A3C"/>
          <w:sz w:val="24"/>
          <w:szCs w:val="24"/>
          <w:lang w:val="en" w:eastAsia="en-AU"/>
        </w:rPr>
        <w:t>2019</w:t>
      </w:r>
      <w:r w:rsidRPr="004D307F">
        <w:rPr>
          <w:rFonts w:ascii="VIC-Regular" w:eastAsia="Times New Roman" w:hAnsi="VIC-Regular" w:cs="Times New Roman"/>
          <w:color w:val="011A3C"/>
          <w:sz w:val="24"/>
          <w:szCs w:val="24"/>
          <w:lang w:val="en" w:eastAsia="en-AU"/>
        </w:rPr>
        <w:t>).</w:t>
      </w:r>
    </w:p>
    <w:bookmarkEnd w:id="23"/>
    <w:p w14:paraId="0AB9A520" w14:textId="7F9FB7DB" w:rsidR="00AD16F0" w:rsidRPr="004D307F" w:rsidRDefault="00AD16F0" w:rsidP="00AD16F0">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4D307F">
        <w:rPr>
          <w:rFonts w:ascii="VIC-Bold" w:eastAsia="Times New Roman" w:hAnsi="VIC-Bold" w:cs="Times New Roman"/>
          <w:color w:val="011A3C"/>
          <w:sz w:val="27"/>
          <w:szCs w:val="27"/>
          <w:lang w:val="en" w:eastAsia="en-AU"/>
        </w:rPr>
        <w:t xml:space="preserve">Equity (social disadvantage) funding displayed in the </w:t>
      </w:r>
      <w:r w:rsidR="001039D9" w:rsidRPr="004D307F">
        <w:rPr>
          <w:rFonts w:ascii="VIC-Bold" w:eastAsia="Times New Roman" w:hAnsi="VIC-Bold" w:cs="Times New Roman"/>
          <w:color w:val="011A3C"/>
          <w:sz w:val="27"/>
          <w:szCs w:val="27"/>
          <w:lang w:val="en" w:eastAsia="en-AU"/>
        </w:rPr>
        <w:t>Student Resource Package (</w:t>
      </w:r>
      <w:r w:rsidRPr="004D307F">
        <w:rPr>
          <w:rFonts w:ascii="VIC-Bold" w:eastAsia="Times New Roman" w:hAnsi="VIC-Bold" w:cs="Times New Roman"/>
          <w:color w:val="011A3C"/>
          <w:sz w:val="27"/>
          <w:szCs w:val="27"/>
          <w:lang w:val="en" w:eastAsia="en-AU"/>
        </w:rPr>
        <w:t>SRP</w:t>
      </w:r>
      <w:r w:rsidR="001039D9" w:rsidRPr="004D307F">
        <w:rPr>
          <w:rFonts w:ascii="VIC-Bold" w:eastAsia="Times New Roman" w:hAnsi="VIC-Bold" w:cs="Times New Roman"/>
          <w:color w:val="011A3C"/>
          <w:sz w:val="27"/>
          <w:szCs w:val="27"/>
          <w:lang w:val="en" w:eastAsia="en-AU"/>
        </w:rPr>
        <w:t>)</w:t>
      </w:r>
      <w:r w:rsidRPr="004D307F">
        <w:rPr>
          <w:rFonts w:ascii="VIC-Bold" w:eastAsia="Times New Roman" w:hAnsi="VIC-Bold" w:cs="Times New Roman"/>
          <w:color w:val="011A3C"/>
          <w:sz w:val="27"/>
          <w:szCs w:val="27"/>
          <w:lang w:val="en" w:eastAsia="en-AU"/>
        </w:rPr>
        <w:t xml:space="preserve"> reports</w:t>
      </w:r>
    </w:p>
    <w:p w14:paraId="1E079E37" w14:textId="48291B4D" w:rsidR="00AD16F0" w:rsidRPr="004D307F" w:rsidRDefault="00AD16F0"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 xml:space="preserve">Funding calculated through the Equity (Social Disadvantage) formula is displayed in the SRP reports under the section entitled Education State (Including Additional Gonski). </w:t>
      </w:r>
    </w:p>
    <w:p w14:paraId="254D71B4" w14:textId="1FF2E2D3" w:rsidR="00AD16F0" w:rsidRPr="004D307F" w:rsidRDefault="00C05DD4" w:rsidP="00AD16F0">
      <w:pPr>
        <w:rPr>
          <w:sz w:val="20"/>
          <w:szCs w:val="20"/>
        </w:rPr>
      </w:pPr>
      <w:r w:rsidRPr="004D307F">
        <w:rPr>
          <w:rFonts w:ascii="VIC-Regular" w:eastAsia="Times New Roman" w:hAnsi="VIC-Regular" w:cs="Times New Roman"/>
          <w:color w:val="011A3C"/>
          <w:sz w:val="20"/>
          <w:szCs w:val="20"/>
          <w:lang w:val="en" w:eastAsia="en-AU"/>
        </w:rPr>
        <w:t>*The equity calculation for Parkville College is undertaken outside the standard formulation outlined in this section.</w:t>
      </w:r>
      <w:r w:rsidRPr="004D307F">
        <w:rPr>
          <w:sz w:val="20"/>
          <w:szCs w:val="20"/>
        </w:rPr>
        <w:t xml:space="preserve"> </w:t>
      </w:r>
      <w:r w:rsidR="00AD16F0" w:rsidRPr="004D307F">
        <w:rPr>
          <w:sz w:val="20"/>
          <w:szCs w:val="20"/>
        </w:rPr>
        <w:br w:type="page"/>
      </w:r>
    </w:p>
    <w:p w14:paraId="270FBFDD" w14:textId="4FABF694" w:rsidR="00AD16F0" w:rsidRPr="004D307F" w:rsidRDefault="00AD16F0" w:rsidP="00B566E7">
      <w:pPr>
        <w:pStyle w:val="Heading2"/>
      </w:pPr>
      <w:bookmarkStart w:id="24" w:name="_Toc106793751"/>
      <w:r w:rsidRPr="004D307F">
        <w:lastRenderedPageBreak/>
        <w:t>Equity (Catch Up) (Reference 12)</w:t>
      </w:r>
      <w:bookmarkEnd w:id="24"/>
    </w:p>
    <w:p w14:paraId="224040FA" w14:textId="617D2B42"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Equity (Catch Up) funding will target students who enter secondary schools and are at risk of educational failure. Secondary students who did not meet the national minimum standards in the National Assessment Program — Literacy and Numeracy (NAPLAN) in Year 5 (Reading) will each attract the </w:t>
      </w:r>
      <w:r w:rsidR="00992D19" w:rsidRPr="004D307F">
        <w:rPr>
          <w:rFonts w:ascii="VIC-Regular" w:eastAsia="Times New Roman" w:hAnsi="VIC-Regular" w:cs="Times New Roman"/>
          <w:color w:val="011A3C"/>
          <w:sz w:val="24"/>
          <w:szCs w:val="24"/>
          <w:lang w:val="en" w:eastAsia="en-AU"/>
        </w:rPr>
        <w:t>catch-up</w:t>
      </w:r>
      <w:r w:rsidRPr="004D307F">
        <w:rPr>
          <w:rFonts w:ascii="VIC-Regular" w:eastAsia="Times New Roman" w:hAnsi="VIC-Regular" w:cs="Times New Roman"/>
          <w:color w:val="011A3C"/>
          <w:sz w:val="24"/>
          <w:szCs w:val="24"/>
          <w:lang w:val="en" w:eastAsia="en-AU"/>
        </w:rPr>
        <w:t xml:space="preserve"> loading. This catch up loading is not affected by the school’s or student’s level of disadvantage and is based only of the academic achievement of the student. </w:t>
      </w:r>
    </w:p>
    <w:p w14:paraId="1609796F"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This catch up loading will be allocated according to the number of enrolled students who have not met the agreed NAPLAN national minimum standard in Year 5. The annual payment will continue for the student’s entire secondary school education. The funding will allow secondary schools to invest in proven interventions, such as one-on-one numeracy support or targeting teaching coaching to assist students to catch up academically. </w:t>
      </w:r>
    </w:p>
    <w:p w14:paraId="04845D29" w14:textId="77777777"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Identifying eligible students</w:t>
      </w:r>
    </w:p>
    <w:p w14:paraId="64F6AC75"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Students enrolled in government secondary schools are identified via their NAPLAN results at Year 5 using their Victorian School Number (VSN). The number of students is aggregated at a school/campus level to provide a total number of students per school/campus.</w:t>
      </w:r>
    </w:p>
    <w:p w14:paraId="6642F80B" w14:textId="5D6865E3"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25" w:name="_Hlk81822417"/>
      <w:r w:rsidRPr="004D307F">
        <w:rPr>
          <w:rFonts w:ascii="VIC-Regular" w:eastAsia="Times New Roman" w:hAnsi="VIC-Regular" w:cs="Times New Roman"/>
          <w:color w:val="011A3C"/>
          <w:sz w:val="24"/>
          <w:szCs w:val="24"/>
          <w:lang w:val="en" w:eastAsia="en-AU"/>
        </w:rPr>
        <w:t xml:space="preserve">An update of student movements using updated NAPLAN data </w:t>
      </w:r>
      <w:r w:rsidR="001E1E44" w:rsidRPr="004D307F">
        <w:rPr>
          <w:rFonts w:ascii="VIC-Regular" w:eastAsia="Times New Roman" w:hAnsi="VIC-Regular" w:cs="Times New Roman"/>
          <w:color w:val="011A3C"/>
          <w:sz w:val="24"/>
          <w:szCs w:val="24"/>
          <w:lang w:val="en" w:eastAsia="en-AU"/>
        </w:rPr>
        <w:t xml:space="preserve">is </w:t>
      </w:r>
      <w:r w:rsidRPr="004D307F">
        <w:rPr>
          <w:rFonts w:ascii="VIC-Regular" w:eastAsia="Times New Roman" w:hAnsi="VIC-Regular" w:cs="Times New Roman"/>
          <w:color w:val="011A3C"/>
          <w:sz w:val="24"/>
          <w:szCs w:val="24"/>
          <w:lang w:val="en" w:eastAsia="en-AU"/>
        </w:rPr>
        <w:t xml:space="preserve">applied </w:t>
      </w:r>
      <w:r w:rsidR="00150D85" w:rsidRPr="004D307F">
        <w:rPr>
          <w:rFonts w:ascii="VIC-Regular" w:eastAsia="Times New Roman" w:hAnsi="VIC-Regular" w:cs="Times New Roman"/>
          <w:color w:val="011A3C"/>
          <w:sz w:val="24"/>
          <w:szCs w:val="24"/>
          <w:lang w:val="en" w:eastAsia="en-AU"/>
        </w:rPr>
        <w:t>annually during the</w:t>
      </w:r>
      <w:r w:rsidR="001E1E44"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Confirmed SRP release.</w:t>
      </w:r>
    </w:p>
    <w:bookmarkEnd w:id="25"/>
    <w:p w14:paraId="32329B48" w14:textId="77777777"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Year level match to NAPLAN results</w:t>
      </w:r>
    </w:p>
    <w:p w14:paraId="7E026763" w14:textId="658E21BB" w:rsidR="001E1E44" w:rsidRPr="004D307F" w:rsidRDefault="001E1E44" w:rsidP="004D307F">
      <w:pPr>
        <w:spacing w:after="100" w:afterAutospacing="1" w:line="360" w:lineRule="atLeast"/>
        <w:rPr>
          <w:rFonts w:ascii="Arial" w:hAnsi="Arial" w:cs="Arial"/>
          <w:color w:val="0070C0"/>
          <w:lang w:eastAsia="en-AU"/>
        </w:rPr>
      </w:pPr>
      <w:r w:rsidRPr="004D307F">
        <w:rPr>
          <w:rFonts w:ascii="VIC-Regular" w:eastAsia="Times New Roman" w:hAnsi="VIC-Regular" w:cs="Times New Roman"/>
          <w:color w:val="011A3C"/>
          <w:sz w:val="24"/>
          <w:szCs w:val="24"/>
          <w:lang w:val="en" w:eastAsia="en-AU"/>
        </w:rPr>
        <w:t>In most cases, a student’s Year 5 NAPLAN result will be used to determine their eligibility for Catch</w:t>
      </w:r>
      <w:r w:rsidR="006870DA">
        <w:rPr>
          <w:rFonts w:ascii="VIC-Regular" w:eastAsia="Times New Roman" w:hAnsi="VIC-Regular" w:cs="Times New Roman"/>
          <w:color w:val="011A3C"/>
          <w:sz w:val="24"/>
          <w:szCs w:val="24"/>
          <w:lang w:val="en" w:eastAsia="en-AU"/>
        </w:rPr>
        <w:t xml:space="preserve"> </w:t>
      </w:r>
      <w:r w:rsidR="00E54AA9">
        <w:rPr>
          <w:rFonts w:ascii="VIC-Regular" w:eastAsia="Times New Roman" w:hAnsi="VIC-Regular" w:cs="Times New Roman"/>
          <w:color w:val="011A3C"/>
          <w:sz w:val="24"/>
          <w:szCs w:val="24"/>
          <w:lang w:val="en" w:eastAsia="en-AU"/>
        </w:rPr>
        <w:t>U</w:t>
      </w:r>
      <w:r w:rsidRPr="004D307F">
        <w:rPr>
          <w:rFonts w:ascii="VIC-Regular" w:eastAsia="Times New Roman" w:hAnsi="VIC-Regular" w:cs="Times New Roman"/>
          <w:color w:val="011A3C"/>
          <w:sz w:val="24"/>
          <w:szCs w:val="24"/>
          <w:lang w:val="en" w:eastAsia="en-AU"/>
        </w:rPr>
        <w:t>p loading.</w:t>
      </w:r>
      <w:r w:rsidRPr="004D307F">
        <w:rPr>
          <w:rFonts w:ascii="Calibri" w:eastAsia="Times New Roman" w:hAnsi="Calibri" w:cs="Calibri"/>
          <w:color w:val="011A3C"/>
          <w:sz w:val="24"/>
          <w:szCs w:val="24"/>
          <w:lang w:val="en" w:eastAsia="en-AU"/>
        </w:rPr>
        <w:t> </w:t>
      </w:r>
      <w:r w:rsidRPr="004D307F">
        <w:rPr>
          <w:rFonts w:ascii="VIC-Regular" w:eastAsia="Times New Roman" w:hAnsi="VIC-Regular" w:cs="Times New Roman"/>
          <w:color w:val="011A3C"/>
          <w:sz w:val="24"/>
          <w:szCs w:val="24"/>
          <w:lang w:val="en" w:eastAsia="en-AU"/>
        </w:rPr>
        <w:t>The number of eligible FTE enrolments at each campus are determined by matching the current year Feb</w:t>
      </w:r>
      <w:r w:rsidR="00E54AA9">
        <w:rPr>
          <w:rFonts w:ascii="VIC-Regular" w:eastAsia="Times New Roman" w:hAnsi="VIC-Regular" w:cs="Times New Roman"/>
          <w:color w:val="011A3C"/>
          <w:sz w:val="24"/>
          <w:szCs w:val="24"/>
          <w:lang w:val="en" w:eastAsia="en-AU"/>
        </w:rPr>
        <w:t>ruary</w:t>
      </w:r>
      <w:r w:rsidRPr="004D307F">
        <w:rPr>
          <w:rFonts w:ascii="VIC-Regular" w:eastAsia="Times New Roman" w:hAnsi="VIC-Regular" w:cs="Times New Roman"/>
          <w:color w:val="011A3C"/>
          <w:sz w:val="24"/>
          <w:szCs w:val="24"/>
          <w:lang w:val="en" w:eastAsia="en-AU"/>
        </w:rPr>
        <w:t xml:space="preserve"> census enrolment records to their corresponding NAPLAN Catch</w:t>
      </w:r>
      <w:r w:rsidR="006870DA">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Up record (as per the table below for 2022 Catch</w:t>
      </w:r>
      <w:r w:rsidR="006870DA">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Up)</w:t>
      </w:r>
      <w:r w:rsidR="00A966AD">
        <w:rPr>
          <w:rFonts w:ascii="VIC-Regular" w:eastAsia="Times New Roman" w:hAnsi="VIC-Regular" w:cs="Times New Roman"/>
          <w:color w:val="011A3C"/>
          <w:sz w:val="24"/>
          <w:szCs w:val="24"/>
          <w:lang w:val="en" w:eastAsia="en-AU"/>
        </w:rPr>
        <w:t>.</w:t>
      </w:r>
    </w:p>
    <w:p w14:paraId="23B9CD9E" w14:textId="2AE99D03" w:rsidR="001E1E44" w:rsidRPr="004D307F" w:rsidRDefault="001E1E44" w:rsidP="004D307F">
      <w:pPr>
        <w:spacing w:before="100" w:beforeAutospacing="1" w:after="100" w:afterAutospacing="1" w:line="288" w:lineRule="atLeast"/>
        <w:outlineLvl w:val="3"/>
        <w:rPr>
          <w:rFonts w:ascii="Arial" w:hAnsi="Arial" w:cs="Arial"/>
          <w:color w:val="0070C0"/>
          <w:lang w:eastAsia="en-AU"/>
        </w:rPr>
      </w:pPr>
      <w:r w:rsidRPr="004D307F">
        <w:rPr>
          <w:rFonts w:ascii="VIC-Bold" w:eastAsia="Times New Roman" w:hAnsi="VIC-Bold" w:cs="Times New Roman"/>
          <w:b/>
          <w:bCs/>
          <w:color w:val="011A3C"/>
          <w:sz w:val="24"/>
          <w:szCs w:val="24"/>
          <w:lang w:val="en" w:eastAsia="en-AU"/>
        </w:rPr>
        <w:t>2022 funded year</w:t>
      </w:r>
    </w:p>
    <w:tbl>
      <w:tblPr>
        <w:tblW w:w="0" w:type="auto"/>
        <w:tblInd w:w="-118" w:type="dxa"/>
        <w:tblCellMar>
          <w:left w:w="0" w:type="dxa"/>
          <w:right w:w="0" w:type="dxa"/>
        </w:tblCellMar>
        <w:tblLook w:val="04A0" w:firstRow="1" w:lastRow="0" w:firstColumn="1" w:lastColumn="0" w:noHBand="0" w:noVBand="1"/>
      </w:tblPr>
      <w:tblGrid>
        <w:gridCol w:w="2091"/>
        <w:gridCol w:w="1163"/>
        <w:gridCol w:w="1163"/>
        <w:gridCol w:w="1163"/>
        <w:gridCol w:w="1163"/>
        <w:gridCol w:w="1163"/>
        <w:gridCol w:w="1218"/>
      </w:tblGrid>
      <w:tr w:rsidR="000F3581" w:rsidRPr="004D307F" w14:paraId="638AF594" w14:textId="77777777" w:rsidTr="00B61E94">
        <w:trPr>
          <w:trHeight w:val="397"/>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11DBE6" w14:textId="77777777" w:rsidR="001E1E44" w:rsidRPr="004D307F" w:rsidRDefault="001E1E44" w:rsidP="004D307F">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Year 7</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2DD48F" w14:textId="77777777" w:rsidR="001E1E44" w:rsidRPr="004D307F" w:rsidRDefault="001E1E44" w:rsidP="004D307F">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Year 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4028CD" w14:textId="77777777" w:rsidR="001E1E44" w:rsidRPr="004D307F" w:rsidRDefault="001E1E44" w:rsidP="004D307F">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Year 9</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69F274" w14:textId="77777777" w:rsidR="001E1E44" w:rsidRPr="004D307F" w:rsidRDefault="001E1E44" w:rsidP="004D307F">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Year 10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87058A" w14:textId="77777777" w:rsidR="001E1E44" w:rsidRPr="004D307F" w:rsidRDefault="001E1E44" w:rsidP="004D307F">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Year 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EC37DC" w14:textId="77777777" w:rsidR="001E1E44" w:rsidRPr="004D307F" w:rsidRDefault="001E1E44" w:rsidP="004D307F">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Year 12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27934A" w14:textId="77777777" w:rsidR="001E1E44" w:rsidRPr="004D307F" w:rsidRDefault="001E1E44" w:rsidP="004D307F">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UnGraded</w:t>
            </w:r>
          </w:p>
        </w:tc>
      </w:tr>
      <w:tr w:rsidR="000F3581" w:rsidRPr="004D307F" w14:paraId="6302B2C4" w14:textId="77777777" w:rsidTr="00B61E94">
        <w:trPr>
          <w:trHeight w:val="39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C606EA" w14:textId="77777777" w:rsidR="001E1E44" w:rsidRPr="004D307F" w:rsidRDefault="001E1E44" w:rsidP="004D307F">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2020 yr5 (estimated)*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0427C2" w14:textId="673BFEF8" w:rsidR="001E1E44" w:rsidRPr="004D307F" w:rsidRDefault="001E1E44"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 xml:space="preserve">2019 </w:t>
            </w:r>
            <w:r w:rsidR="00E54AA9">
              <w:rPr>
                <w:rFonts w:ascii="VIC-Regular" w:eastAsia="Times New Roman" w:hAnsi="VIC-Regular" w:cs="Times New Roman"/>
                <w:color w:val="323E4F" w:themeColor="text2" w:themeShade="BF"/>
                <w:sz w:val="24"/>
                <w:szCs w:val="24"/>
                <w:lang w:eastAsia="en-AU"/>
              </w:rPr>
              <w:t xml:space="preserve">Year </w:t>
            </w:r>
            <w:r w:rsidRPr="004D307F">
              <w:rPr>
                <w:rFonts w:ascii="VIC-Regular" w:eastAsia="Times New Roman" w:hAnsi="VIC-Regular" w:cs="Times New Roman"/>
                <w:color w:val="323E4F" w:themeColor="text2" w:themeShade="BF"/>
                <w:sz w:val="24"/>
                <w:szCs w:val="24"/>
                <w:lang w:eastAsia="en-AU"/>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7614C5" w14:textId="2C0ECB3C" w:rsidR="001E1E44" w:rsidRPr="004D307F" w:rsidRDefault="001E1E44"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 xml:space="preserve">2018 </w:t>
            </w:r>
            <w:r w:rsidR="00E54AA9">
              <w:rPr>
                <w:rFonts w:ascii="VIC-Regular" w:eastAsia="Times New Roman" w:hAnsi="VIC-Regular" w:cs="Times New Roman"/>
                <w:color w:val="323E4F" w:themeColor="text2" w:themeShade="BF"/>
                <w:sz w:val="24"/>
                <w:szCs w:val="24"/>
                <w:lang w:eastAsia="en-AU"/>
              </w:rPr>
              <w:t xml:space="preserve">Year </w:t>
            </w:r>
            <w:r w:rsidR="00E54AA9" w:rsidRPr="004D307F">
              <w:rPr>
                <w:rFonts w:ascii="VIC-Regular" w:eastAsia="Times New Roman" w:hAnsi="VIC-Regular" w:cs="Times New Roman"/>
                <w:color w:val="323E4F" w:themeColor="text2" w:themeShade="BF"/>
                <w:sz w:val="24"/>
                <w:szCs w:val="24"/>
                <w:lang w:eastAsia="en-AU"/>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7947E" w14:textId="2769A92D" w:rsidR="001E1E44" w:rsidRPr="004D307F" w:rsidRDefault="001E1E44"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 xml:space="preserve">2017 </w:t>
            </w:r>
            <w:r w:rsidR="00E54AA9">
              <w:rPr>
                <w:rFonts w:ascii="VIC-Regular" w:eastAsia="Times New Roman" w:hAnsi="VIC-Regular" w:cs="Times New Roman"/>
                <w:color w:val="323E4F" w:themeColor="text2" w:themeShade="BF"/>
                <w:sz w:val="24"/>
                <w:szCs w:val="24"/>
                <w:lang w:eastAsia="en-AU"/>
              </w:rPr>
              <w:t xml:space="preserve">Year </w:t>
            </w:r>
            <w:r w:rsidR="00E54AA9" w:rsidRPr="004D307F">
              <w:rPr>
                <w:rFonts w:ascii="VIC-Regular" w:eastAsia="Times New Roman" w:hAnsi="VIC-Regular" w:cs="Times New Roman"/>
                <w:color w:val="323E4F" w:themeColor="text2" w:themeShade="BF"/>
                <w:sz w:val="24"/>
                <w:szCs w:val="24"/>
                <w:lang w:eastAsia="en-AU"/>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89830" w14:textId="5FD9C185" w:rsidR="001E1E44" w:rsidRPr="004D307F" w:rsidRDefault="001E1E44"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 xml:space="preserve">2016 </w:t>
            </w:r>
            <w:r w:rsidR="00E54AA9">
              <w:rPr>
                <w:rFonts w:ascii="VIC-Regular" w:eastAsia="Times New Roman" w:hAnsi="VIC-Regular" w:cs="Times New Roman"/>
                <w:color w:val="323E4F" w:themeColor="text2" w:themeShade="BF"/>
                <w:sz w:val="24"/>
                <w:szCs w:val="24"/>
                <w:lang w:eastAsia="en-AU"/>
              </w:rPr>
              <w:t xml:space="preserve">Year </w:t>
            </w:r>
            <w:r w:rsidR="00E54AA9" w:rsidRPr="004D307F">
              <w:rPr>
                <w:rFonts w:ascii="VIC-Regular" w:eastAsia="Times New Roman" w:hAnsi="VIC-Regular" w:cs="Times New Roman"/>
                <w:color w:val="323E4F" w:themeColor="text2" w:themeShade="BF"/>
                <w:sz w:val="24"/>
                <w:szCs w:val="24"/>
                <w:lang w:eastAsia="en-AU"/>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3514A" w14:textId="5A2949CB" w:rsidR="001E1E44" w:rsidRPr="004D307F" w:rsidRDefault="001E1E44"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 xml:space="preserve">2015 </w:t>
            </w:r>
            <w:r w:rsidR="00E54AA9">
              <w:rPr>
                <w:rFonts w:ascii="VIC-Regular" w:eastAsia="Times New Roman" w:hAnsi="VIC-Regular" w:cs="Times New Roman"/>
                <w:color w:val="323E4F" w:themeColor="text2" w:themeShade="BF"/>
                <w:sz w:val="24"/>
                <w:szCs w:val="24"/>
                <w:lang w:eastAsia="en-AU"/>
              </w:rPr>
              <w:t xml:space="preserve">Year </w:t>
            </w:r>
            <w:r w:rsidR="00E54AA9" w:rsidRPr="004D307F">
              <w:rPr>
                <w:rFonts w:ascii="VIC-Regular" w:eastAsia="Times New Roman" w:hAnsi="VIC-Regular" w:cs="Times New Roman"/>
                <w:color w:val="323E4F" w:themeColor="text2" w:themeShade="BF"/>
                <w:sz w:val="24"/>
                <w:szCs w:val="24"/>
                <w:lang w:eastAsia="en-AU"/>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2546D" w14:textId="77777777" w:rsidR="001E1E44" w:rsidRPr="004D307F" w:rsidRDefault="001E1E44"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Year 5</w:t>
            </w:r>
          </w:p>
        </w:tc>
      </w:tr>
    </w:tbl>
    <w:p w14:paraId="2C2D6DD6" w14:textId="77777777" w:rsidR="001E1E44" w:rsidRPr="004D307F" w:rsidRDefault="001E1E44" w:rsidP="001E1E44">
      <w:pPr>
        <w:rPr>
          <w:rFonts w:ascii="Arial" w:hAnsi="Arial" w:cs="Arial"/>
          <w:color w:val="0070C0"/>
          <w:lang w:eastAsia="en-AU"/>
        </w:rPr>
      </w:pPr>
    </w:p>
    <w:p w14:paraId="65DB7ECF" w14:textId="2312E763" w:rsidR="001E1E44" w:rsidRPr="004D307F" w:rsidRDefault="001E1E44" w:rsidP="001E1E44">
      <w:pPr>
        <w:rPr>
          <w:rFonts w:ascii="VIC-Regular" w:eastAsia="Times New Roman" w:hAnsi="VIC-Regular" w:cs="Times New Roman"/>
          <w:color w:val="011A3C"/>
          <w:sz w:val="20"/>
          <w:szCs w:val="20"/>
          <w:lang w:val="en" w:eastAsia="en-AU"/>
        </w:rPr>
      </w:pPr>
      <w:r w:rsidRPr="004D307F">
        <w:rPr>
          <w:rFonts w:ascii="VIC-Regular" w:eastAsia="Times New Roman" w:hAnsi="VIC-Regular" w:cs="Times New Roman"/>
          <w:color w:val="011A3C"/>
          <w:sz w:val="20"/>
          <w:szCs w:val="20"/>
          <w:lang w:val="en" w:eastAsia="en-AU"/>
        </w:rPr>
        <w:t xml:space="preserve">* </w:t>
      </w:r>
      <w:r w:rsidR="00150D85" w:rsidRPr="004D307F">
        <w:rPr>
          <w:rFonts w:ascii="VIC-Regular" w:eastAsia="Times New Roman" w:hAnsi="VIC-Regular" w:cs="Times New Roman"/>
          <w:color w:val="011A3C"/>
          <w:sz w:val="20"/>
          <w:szCs w:val="20"/>
          <w:lang w:val="en" w:eastAsia="en-AU"/>
        </w:rPr>
        <w:t>As t</w:t>
      </w:r>
      <w:r w:rsidRPr="004D307F">
        <w:rPr>
          <w:rFonts w:ascii="VIC-Regular" w:eastAsia="Times New Roman" w:hAnsi="VIC-Regular" w:cs="Times New Roman"/>
          <w:color w:val="011A3C"/>
          <w:sz w:val="20"/>
          <w:szCs w:val="20"/>
          <w:lang w:val="en" w:eastAsia="en-AU"/>
        </w:rPr>
        <w:t xml:space="preserve">here were no NAPLAN assessments </w:t>
      </w:r>
      <w:r w:rsidR="00150D85" w:rsidRPr="004D307F">
        <w:rPr>
          <w:rFonts w:ascii="VIC-Regular" w:eastAsia="Times New Roman" w:hAnsi="VIC-Regular" w:cs="Times New Roman"/>
          <w:color w:val="011A3C"/>
          <w:sz w:val="20"/>
          <w:szCs w:val="20"/>
          <w:lang w:val="en" w:eastAsia="en-AU"/>
        </w:rPr>
        <w:t>during</w:t>
      </w:r>
      <w:r w:rsidRPr="004D307F">
        <w:rPr>
          <w:rFonts w:ascii="VIC-Regular" w:eastAsia="Times New Roman" w:hAnsi="VIC-Regular" w:cs="Times New Roman"/>
          <w:color w:val="011A3C"/>
          <w:sz w:val="20"/>
          <w:szCs w:val="20"/>
          <w:lang w:val="en" w:eastAsia="en-AU"/>
        </w:rPr>
        <w:t xml:space="preserve"> 2020. In the absence of 2020 NAPLAN data, the number of eligible year 7 catch</w:t>
      </w:r>
      <w:r w:rsidR="006870DA">
        <w:rPr>
          <w:rFonts w:ascii="VIC-Regular" w:eastAsia="Times New Roman" w:hAnsi="VIC-Regular" w:cs="Times New Roman"/>
          <w:color w:val="011A3C"/>
          <w:sz w:val="20"/>
          <w:szCs w:val="20"/>
          <w:lang w:val="en" w:eastAsia="en-AU"/>
        </w:rPr>
        <w:t xml:space="preserve"> </w:t>
      </w:r>
      <w:r w:rsidRPr="004D307F">
        <w:rPr>
          <w:rFonts w:ascii="VIC-Regular" w:eastAsia="Times New Roman" w:hAnsi="VIC-Regular" w:cs="Times New Roman"/>
          <w:color w:val="011A3C"/>
          <w:sz w:val="20"/>
          <w:szCs w:val="20"/>
          <w:lang w:val="en" w:eastAsia="en-AU"/>
        </w:rPr>
        <w:t>up students for each campus ha</w:t>
      </w:r>
      <w:r w:rsidR="00150D85" w:rsidRPr="004D307F">
        <w:rPr>
          <w:rFonts w:ascii="VIC-Regular" w:eastAsia="Times New Roman" w:hAnsi="VIC-Regular" w:cs="Times New Roman"/>
          <w:color w:val="011A3C"/>
          <w:sz w:val="20"/>
          <w:szCs w:val="20"/>
          <w:lang w:val="en" w:eastAsia="en-AU"/>
        </w:rPr>
        <w:t>s</w:t>
      </w:r>
      <w:r w:rsidRPr="004D307F">
        <w:rPr>
          <w:rFonts w:ascii="VIC-Regular" w:eastAsia="Times New Roman" w:hAnsi="VIC-Regular" w:cs="Times New Roman"/>
          <w:color w:val="011A3C"/>
          <w:sz w:val="20"/>
          <w:szCs w:val="20"/>
          <w:lang w:val="en" w:eastAsia="en-AU"/>
        </w:rPr>
        <w:t xml:space="preserve"> been estimated by averaging Catch</w:t>
      </w:r>
      <w:r w:rsidR="006870DA">
        <w:rPr>
          <w:rFonts w:ascii="VIC-Regular" w:eastAsia="Times New Roman" w:hAnsi="VIC-Regular" w:cs="Times New Roman"/>
          <w:color w:val="011A3C"/>
          <w:sz w:val="20"/>
          <w:szCs w:val="20"/>
          <w:lang w:val="en" w:eastAsia="en-AU"/>
        </w:rPr>
        <w:t xml:space="preserve"> </w:t>
      </w:r>
      <w:r w:rsidRPr="004D307F">
        <w:rPr>
          <w:rFonts w:ascii="VIC-Regular" w:eastAsia="Times New Roman" w:hAnsi="VIC-Regular" w:cs="Times New Roman"/>
          <w:color w:val="011A3C"/>
          <w:sz w:val="20"/>
          <w:szCs w:val="20"/>
          <w:lang w:val="en" w:eastAsia="en-AU"/>
        </w:rPr>
        <w:t>Up enrolments for the past 4 years (2018</w:t>
      </w:r>
      <w:r w:rsidR="00A77971">
        <w:rPr>
          <w:rFonts w:ascii="VIC-Regular" w:eastAsia="Times New Roman" w:hAnsi="VIC-Regular" w:cs="Times New Roman"/>
          <w:color w:val="011A3C"/>
          <w:sz w:val="20"/>
          <w:szCs w:val="20"/>
          <w:lang w:val="en" w:eastAsia="en-AU"/>
        </w:rPr>
        <w:t xml:space="preserve"> to 20</w:t>
      </w:r>
      <w:r w:rsidRPr="004D307F">
        <w:rPr>
          <w:rFonts w:ascii="VIC-Regular" w:eastAsia="Times New Roman" w:hAnsi="VIC-Regular" w:cs="Times New Roman"/>
          <w:color w:val="011A3C"/>
          <w:sz w:val="20"/>
          <w:szCs w:val="20"/>
          <w:lang w:val="en" w:eastAsia="en-AU"/>
        </w:rPr>
        <w:t>21).</w:t>
      </w:r>
    </w:p>
    <w:p w14:paraId="2702A5D4" w14:textId="1E9885BF"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lastRenderedPageBreak/>
        <w:t>Catch up loading and students funded under the Program for Students with Disability (PSD)</w:t>
      </w:r>
    </w:p>
    <w:p w14:paraId="2BA06CDD" w14:textId="2B48115A"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Program for Students with Disabilities (PSD) is a targeted supplementary funding program for Victorian government schools. It provides resources to schools for a defined population of students with disabilities, with moderate to severe needs. In recognition of the financial support these students receive, eligible PSD funded students attending mainstream schools will be eligible for a reduced catch up </w:t>
      </w:r>
      <w:r w:rsidR="00AF025A" w:rsidRPr="004D307F">
        <w:rPr>
          <w:rFonts w:ascii="VIC-Regular" w:eastAsia="Times New Roman" w:hAnsi="VIC-Regular" w:cs="Times New Roman"/>
          <w:color w:val="011A3C"/>
          <w:sz w:val="24"/>
          <w:szCs w:val="24"/>
          <w:lang w:val="en" w:eastAsia="en-AU"/>
        </w:rPr>
        <w:t xml:space="preserve">loading </w:t>
      </w:r>
      <w:r w:rsidR="00AF025A" w:rsidRPr="004D307F">
        <w:t>$</w:t>
      </w:r>
      <w:r w:rsidR="00FB4A51" w:rsidRPr="004D307F">
        <w:rPr>
          <w:rFonts w:ascii="VIC-Regular" w:eastAsia="Times New Roman" w:hAnsi="VIC-Regular" w:cs="Times New Roman"/>
          <w:color w:val="011A3C"/>
          <w:sz w:val="24"/>
          <w:szCs w:val="24"/>
          <w:lang w:val="en" w:eastAsia="en-AU"/>
        </w:rPr>
        <w:t>1,1</w:t>
      </w:r>
      <w:r w:rsidR="00272111" w:rsidRPr="004D307F">
        <w:rPr>
          <w:rFonts w:ascii="VIC-Regular" w:eastAsia="Times New Roman" w:hAnsi="VIC-Regular" w:cs="Times New Roman"/>
          <w:color w:val="011A3C"/>
          <w:sz w:val="24"/>
          <w:szCs w:val="24"/>
          <w:lang w:val="en" w:eastAsia="en-AU"/>
        </w:rPr>
        <w:t xml:space="preserve">50 </w:t>
      </w:r>
      <w:r w:rsidRPr="004D307F">
        <w:rPr>
          <w:rFonts w:ascii="VIC-Regular" w:eastAsia="Times New Roman" w:hAnsi="VIC-Regular" w:cs="Times New Roman"/>
          <w:color w:val="011A3C"/>
          <w:sz w:val="24"/>
          <w:szCs w:val="24"/>
          <w:lang w:val="en" w:eastAsia="en-AU"/>
        </w:rPr>
        <w:t>in 202</w:t>
      </w:r>
      <w:r w:rsidR="00272111" w:rsidRPr="004D307F">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Students from specialist schools will not receive catch up loading.</w:t>
      </w:r>
    </w:p>
    <w:p w14:paraId="447D32A0" w14:textId="0866052B"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There is comprehensive review of the PSD underway to investigate how to improve the way the PSD supports students with disabilities. Following the conclusion of the PSD review, the </w:t>
      </w:r>
      <w:r w:rsidR="00C53D2A" w:rsidRPr="004D307F">
        <w:rPr>
          <w:rFonts w:ascii="VIC-Regular" w:eastAsia="Times New Roman" w:hAnsi="VIC-Regular" w:cs="Times New Roman"/>
          <w:color w:val="011A3C"/>
          <w:sz w:val="24"/>
          <w:szCs w:val="24"/>
          <w:lang w:val="en" w:eastAsia="en-AU"/>
        </w:rPr>
        <w:t>catch-up</w:t>
      </w:r>
      <w:r w:rsidRPr="004D307F">
        <w:rPr>
          <w:rFonts w:ascii="VIC-Regular" w:eastAsia="Times New Roman" w:hAnsi="VIC-Regular" w:cs="Times New Roman"/>
          <w:color w:val="011A3C"/>
          <w:sz w:val="24"/>
          <w:szCs w:val="24"/>
          <w:lang w:val="en" w:eastAsia="en-AU"/>
        </w:rPr>
        <w:t xml:space="preserve"> loading approach for PSD students will be reassessed. </w:t>
      </w:r>
    </w:p>
    <w:p w14:paraId="120C03E3" w14:textId="77777777"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Withdrawn/absent students</w:t>
      </w:r>
    </w:p>
    <w:p w14:paraId="71FDD42F"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Students who were absent from NAPLAN are given a rating on the likelihood they achieved below the national minimum standard in NAPLAN Reading. These values are provided by the Victorian Curriculum Assessment Authority and are based on a methodology used by the Australian Curriculum, Assessment and Reporting Authority to impute NAPLAN values for absent students. This does not include exempt PSD and EAL students. </w:t>
      </w:r>
    </w:p>
    <w:p w14:paraId="31C1FC2C" w14:textId="6C521303"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Where a student is absent, they will be eligible for a portion of the </w:t>
      </w:r>
      <w:r w:rsidR="00AF025A" w:rsidRPr="004D307F">
        <w:rPr>
          <w:rFonts w:ascii="VIC-Regular" w:eastAsia="Times New Roman" w:hAnsi="VIC-Regular" w:cs="Times New Roman"/>
          <w:color w:val="011A3C"/>
          <w:sz w:val="24"/>
          <w:szCs w:val="24"/>
          <w:lang w:val="en" w:eastAsia="en-AU"/>
        </w:rPr>
        <w:t>catch-up</w:t>
      </w:r>
      <w:r w:rsidRPr="004D307F">
        <w:rPr>
          <w:rFonts w:ascii="VIC-Regular" w:eastAsia="Times New Roman" w:hAnsi="VIC-Regular" w:cs="Times New Roman"/>
          <w:color w:val="011A3C"/>
          <w:sz w:val="24"/>
          <w:szCs w:val="24"/>
          <w:lang w:val="en" w:eastAsia="en-AU"/>
        </w:rPr>
        <w:t xml:space="preserve"> loading based on the rating they receive in relation to their likelihood of being below the national minimum standard at Year 5. </w:t>
      </w:r>
    </w:p>
    <w:p w14:paraId="79F3E971" w14:textId="1735ACC5" w:rsidR="00AD16F0" w:rsidRPr="004D307F" w:rsidRDefault="00CA2F05"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Students who are recorded as withdrawn because their </w:t>
      </w:r>
      <w:r w:rsidR="00C53D2A" w:rsidRPr="004D307F">
        <w:rPr>
          <w:rFonts w:ascii="VIC-Regular" w:eastAsia="Times New Roman" w:hAnsi="VIC-Regular" w:cs="Times New Roman"/>
          <w:color w:val="011A3C"/>
          <w:sz w:val="24"/>
          <w:szCs w:val="24"/>
          <w:lang w:val="en" w:eastAsia="en-AU"/>
        </w:rPr>
        <w:t>p</w:t>
      </w:r>
      <w:r w:rsidR="00AD16F0" w:rsidRPr="004D307F">
        <w:rPr>
          <w:rFonts w:ascii="VIC-Regular" w:eastAsia="Times New Roman" w:hAnsi="VIC-Regular" w:cs="Times New Roman"/>
          <w:color w:val="011A3C"/>
          <w:sz w:val="24"/>
          <w:szCs w:val="24"/>
          <w:lang w:val="en" w:eastAsia="en-AU"/>
        </w:rPr>
        <w:t xml:space="preserve">arents have made a decision for their child not to sit Year 5 NAPLAN will not be eligible for the </w:t>
      </w:r>
      <w:r w:rsidR="00992D19" w:rsidRPr="004D307F">
        <w:rPr>
          <w:rFonts w:ascii="VIC-Regular" w:eastAsia="Times New Roman" w:hAnsi="VIC-Regular" w:cs="Times New Roman"/>
          <w:color w:val="011A3C"/>
          <w:sz w:val="24"/>
          <w:szCs w:val="24"/>
          <w:lang w:val="en" w:eastAsia="en-AU"/>
        </w:rPr>
        <w:t>catch-up</w:t>
      </w:r>
      <w:r w:rsidR="00AD16F0" w:rsidRPr="004D307F">
        <w:rPr>
          <w:rFonts w:ascii="VIC-Regular" w:eastAsia="Times New Roman" w:hAnsi="VIC-Regular" w:cs="Times New Roman"/>
          <w:color w:val="011A3C"/>
          <w:sz w:val="24"/>
          <w:szCs w:val="24"/>
          <w:lang w:val="en" w:eastAsia="en-AU"/>
        </w:rPr>
        <w:t xml:space="preserve"> loading.</w:t>
      </w:r>
    </w:p>
    <w:p w14:paraId="59B9FE58" w14:textId="36F57DA4" w:rsidR="0087250D" w:rsidRPr="004D307F" w:rsidRDefault="0087250D" w:rsidP="0087250D">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4D307F">
        <w:rPr>
          <w:rFonts w:ascii="VIC-Regular" w:eastAsia="Times New Roman" w:hAnsi="VIC-Regular" w:cs="Times New Roman"/>
          <w:b/>
          <w:bCs/>
          <w:color w:val="011A3C"/>
          <w:sz w:val="24"/>
          <w:szCs w:val="24"/>
          <w:lang w:val="en" w:eastAsia="en-AU"/>
        </w:rPr>
        <w:t>Eligibility</w:t>
      </w:r>
    </w:p>
    <w:p w14:paraId="4F5F6DEE" w14:textId="680039A6" w:rsidR="0087250D" w:rsidRPr="004D307F" w:rsidRDefault="00221E62"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Mainstream </w:t>
      </w:r>
      <w:r w:rsidR="0087250D" w:rsidRPr="004D307F">
        <w:rPr>
          <w:rFonts w:ascii="VIC-Regular" w:eastAsia="Times New Roman" w:hAnsi="VIC-Regular" w:cs="Times New Roman"/>
          <w:color w:val="011A3C"/>
          <w:sz w:val="24"/>
          <w:szCs w:val="24"/>
          <w:lang w:val="en" w:eastAsia="en-AU"/>
        </w:rPr>
        <w:t>Schools with the following campus types are eligible for Equity (Catch Up) funding at campus level</w:t>
      </w:r>
    </w:p>
    <w:p w14:paraId="1B0915E2" w14:textId="77777777" w:rsidR="0087250D" w:rsidRPr="004D307F" w:rsidRDefault="0087250D"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Secondary</w:t>
      </w:r>
    </w:p>
    <w:p w14:paraId="46995173" w14:textId="6BB073F0" w:rsidR="0087250D" w:rsidRPr="004D307F" w:rsidRDefault="0087250D"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 xml:space="preserve">Primary / Secondary Combined </w:t>
      </w:r>
    </w:p>
    <w:p w14:paraId="6B5CA7D6" w14:textId="7D0AE90A" w:rsidR="00221E62" w:rsidRPr="004D307F" w:rsidRDefault="00221E62"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Community</w:t>
      </w:r>
    </w:p>
    <w:p w14:paraId="269B1FAB" w14:textId="1981C180" w:rsidR="00221E62" w:rsidRPr="004D307F" w:rsidRDefault="00221E62"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Spec Dev</w:t>
      </w:r>
    </w:p>
    <w:p w14:paraId="0CC5C48C" w14:textId="07D274D8" w:rsidR="00221E62" w:rsidRPr="004D307F" w:rsidRDefault="00221E62"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Language</w:t>
      </w:r>
    </w:p>
    <w:p w14:paraId="3537797D" w14:textId="04A67201" w:rsidR="0087250D" w:rsidRPr="004D307F" w:rsidRDefault="0087250D" w:rsidP="0087250D">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4D307F">
        <w:rPr>
          <w:rFonts w:ascii="VIC-Regular" w:eastAsia="Times New Roman" w:hAnsi="VIC-Regular" w:cs="Times New Roman"/>
          <w:color w:val="011A3C"/>
          <w:sz w:val="24"/>
          <w:szCs w:val="24"/>
          <w:lang w:val="en" w:eastAsia="en-AU"/>
        </w:rPr>
        <w:lastRenderedPageBreak/>
        <w:t xml:space="preserve">Funding is calculated at the Confirmed budget </w:t>
      </w:r>
      <w:r w:rsidR="00AF025A" w:rsidRPr="004D307F">
        <w:rPr>
          <w:rFonts w:ascii="VIC-Regular" w:eastAsia="Times New Roman" w:hAnsi="VIC-Regular" w:cs="Times New Roman"/>
          <w:color w:val="011A3C"/>
          <w:sz w:val="24"/>
          <w:szCs w:val="24"/>
          <w:lang w:val="en" w:eastAsia="en-AU"/>
        </w:rPr>
        <w:t>cycle;</w:t>
      </w:r>
      <w:r w:rsidRPr="004D307F">
        <w:rPr>
          <w:rFonts w:ascii="VIC-Regular" w:eastAsia="Times New Roman" w:hAnsi="VIC-Regular" w:cs="Times New Roman"/>
          <w:color w:val="011A3C"/>
          <w:sz w:val="24"/>
          <w:szCs w:val="24"/>
          <w:lang w:val="en" w:eastAsia="en-AU"/>
        </w:rPr>
        <w:t xml:space="preserve"> campuses are provided with cash and credit funding.</w:t>
      </w:r>
      <w:r w:rsidR="00FB4A51" w:rsidRPr="004D307F">
        <w:rPr>
          <w:rFonts w:ascii="VIC-Regular" w:eastAsia="Times New Roman" w:hAnsi="VIC-Regular" w:cs="Times New Roman"/>
          <w:color w:val="011A3C"/>
          <w:sz w:val="24"/>
          <w:szCs w:val="24"/>
          <w:lang w:val="en" w:eastAsia="en-AU"/>
        </w:rPr>
        <w:t xml:space="preserve"> </w:t>
      </w:r>
      <w:bookmarkStart w:id="26" w:name="_Hlk81822764"/>
      <w:r w:rsidR="00FB4A51" w:rsidRPr="004D307F">
        <w:rPr>
          <w:rFonts w:ascii="VIC-Regular" w:eastAsia="Times New Roman" w:hAnsi="VIC-Regular" w:cs="Times New Roman"/>
          <w:color w:val="011A3C"/>
          <w:sz w:val="24"/>
          <w:szCs w:val="24"/>
          <w:lang w:val="en" w:eastAsia="en-AU"/>
        </w:rPr>
        <w:t xml:space="preserve">Allocations </w:t>
      </w:r>
      <w:r w:rsidR="0073434C" w:rsidRPr="004D307F">
        <w:rPr>
          <w:rFonts w:ascii="VIC-Regular" w:eastAsia="Times New Roman" w:hAnsi="VIC-Regular" w:cs="Times New Roman"/>
          <w:color w:val="011A3C"/>
          <w:sz w:val="24"/>
          <w:szCs w:val="24"/>
          <w:lang w:val="en" w:eastAsia="en-AU"/>
        </w:rPr>
        <w:t>provided</w:t>
      </w:r>
      <w:r w:rsidR="00FB4A51" w:rsidRPr="004D307F">
        <w:rPr>
          <w:rFonts w:ascii="VIC-Regular" w:eastAsia="Times New Roman" w:hAnsi="VIC-Regular" w:cs="Times New Roman"/>
          <w:color w:val="011A3C"/>
          <w:sz w:val="24"/>
          <w:szCs w:val="24"/>
          <w:lang w:val="en" w:eastAsia="en-AU"/>
        </w:rPr>
        <w:t xml:space="preserve"> in the Indicative budget cycle reflect </w:t>
      </w:r>
      <w:r w:rsidR="0073434C" w:rsidRPr="004D307F">
        <w:rPr>
          <w:rFonts w:ascii="VIC-Regular" w:eastAsia="Times New Roman" w:hAnsi="VIC-Regular" w:cs="Times New Roman"/>
          <w:color w:val="011A3C"/>
          <w:sz w:val="24"/>
          <w:szCs w:val="24"/>
          <w:lang w:val="en" w:eastAsia="en-AU"/>
        </w:rPr>
        <w:t xml:space="preserve">student data as </w:t>
      </w:r>
      <w:r w:rsidR="00FC2A10" w:rsidRPr="004D307F">
        <w:rPr>
          <w:rFonts w:ascii="VIC-Regular" w:eastAsia="Times New Roman" w:hAnsi="VIC-Regular" w:cs="Times New Roman"/>
          <w:color w:val="011A3C"/>
          <w:sz w:val="24"/>
          <w:szCs w:val="24"/>
          <w:lang w:val="en" w:eastAsia="en-AU"/>
        </w:rPr>
        <w:t>at</w:t>
      </w:r>
      <w:r w:rsidR="0073434C" w:rsidRPr="004D307F">
        <w:rPr>
          <w:rFonts w:ascii="VIC-Regular" w:eastAsia="Times New Roman" w:hAnsi="VIC-Regular" w:cs="Times New Roman"/>
          <w:color w:val="011A3C"/>
          <w:sz w:val="24"/>
          <w:szCs w:val="24"/>
          <w:lang w:val="en" w:eastAsia="en-AU"/>
        </w:rPr>
        <w:t xml:space="preserve"> March </w:t>
      </w:r>
      <w:r w:rsidR="00FB4A51" w:rsidRPr="004D307F">
        <w:rPr>
          <w:rFonts w:ascii="VIC-Regular" w:eastAsia="Times New Roman" w:hAnsi="VIC-Regular" w:cs="Times New Roman"/>
          <w:color w:val="011A3C"/>
          <w:sz w:val="24"/>
          <w:szCs w:val="24"/>
          <w:lang w:val="en" w:eastAsia="en-AU"/>
        </w:rPr>
        <w:t>202</w:t>
      </w:r>
      <w:r w:rsidR="00630AFB" w:rsidRPr="004D307F">
        <w:rPr>
          <w:rFonts w:ascii="VIC-Regular" w:eastAsia="Times New Roman" w:hAnsi="VIC-Regular" w:cs="Times New Roman"/>
          <w:color w:val="011A3C"/>
          <w:sz w:val="24"/>
          <w:szCs w:val="24"/>
          <w:lang w:val="en" w:eastAsia="en-AU"/>
        </w:rPr>
        <w:t>1</w:t>
      </w:r>
      <w:r w:rsidR="0073434C" w:rsidRPr="004D307F">
        <w:rPr>
          <w:rFonts w:ascii="VIC-Regular" w:eastAsia="Times New Roman" w:hAnsi="VIC-Regular" w:cs="Times New Roman"/>
          <w:color w:val="011A3C"/>
          <w:sz w:val="24"/>
          <w:szCs w:val="24"/>
          <w:lang w:val="en" w:eastAsia="en-AU"/>
        </w:rPr>
        <w:t>.</w:t>
      </w:r>
      <w:r w:rsidR="00FB4A51" w:rsidRPr="004D307F">
        <w:rPr>
          <w:rFonts w:ascii="VIC-Regular" w:eastAsia="Times New Roman" w:hAnsi="VIC-Regular" w:cs="Times New Roman"/>
          <w:color w:val="011A3C"/>
          <w:sz w:val="24"/>
          <w:szCs w:val="24"/>
          <w:lang w:val="en" w:eastAsia="en-AU"/>
        </w:rPr>
        <w:t xml:space="preserve"> </w:t>
      </w:r>
      <w:bookmarkEnd w:id="26"/>
    </w:p>
    <w:p w14:paraId="1CB9A673" w14:textId="77777777"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19335156"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school’s overall catch up funding allocation is determined by combining the amounts from the following calculations: </w:t>
      </w:r>
    </w:p>
    <w:p w14:paraId="60C415A0" w14:textId="77777777" w:rsidR="00AD16F0" w:rsidRPr="004D307F" w:rsidRDefault="00AD16F0" w:rsidP="00ED0863">
      <w:pPr>
        <w:numPr>
          <w:ilvl w:val="0"/>
          <w:numId w:val="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Number of secondary graded students below Y5 national minimum standard x Level 1 per capita rate (non-PSD funded)</w:t>
      </w:r>
    </w:p>
    <w:p w14:paraId="5D7E7C9B" w14:textId="77777777" w:rsidR="00AD16F0" w:rsidRPr="004D307F" w:rsidRDefault="00AD16F0" w:rsidP="00ED0863">
      <w:pPr>
        <w:numPr>
          <w:ilvl w:val="0"/>
          <w:numId w:val="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Number of Secondary graded students below Y5 national minimum standard x Level 2 per capita rate (PSD funded)</w:t>
      </w:r>
    </w:p>
    <w:p w14:paraId="587F2C36" w14:textId="06CE7AD9"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 xml:space="preserve">Rates </w:t>
      </w:r>
      <w:r w:rsidRPr="004D307F">
        <w:rPr>
          <w:rFonts w:ascii="VIC-Bold" w:eastAsia="Times New Roman" w:hAnsi="VIC-Bold" w:cs="Times New Roman" w:hint="eastAsia"/>
          <w:b/>
          <w:bCs/>
          <w:color w:val="011A3C"/>
          <w:sz w:val="27"/>
          <w:szCs w:val="27"/>
          <w:lang w:val="en" w:eastAsia="en-AU"/>
        </w:rPr>
        <w:t>—</w:t>
      </w:r>
      <w:r w:rsidRPr="004D307F">
        <w:rPr>
          <w:rFonts w:ascii="VIC-Bold" w:eastAsia="Times New Roman" w:hAnsi="VIC-Bold" w:cs="Times New Roman"/>
          <w:b/>
          <w:bCs/>
          <w:color w:val="011A3C"/>
          <w:sz w:val="27"/>
          <w:szCs w:val="27"/>
          <w:lang w:val="en" w:eastAsia="en-AU"/>
        </w:rPr>
        <w:t xml:space="preserve"> 202</w:t>
      </w:r>
      <w:r w:rsidR="003112AE" w:rsidRPr="004D307F">
        <w:rPr>
          <w:rFonts w:ascii="VIC-Bold" w:eastAsia="Times New Roman" w:hAnsi="VIC-Bold" w:cs="Times New Roman"/>
          <w:b/>
          <w:bCs/>
          <w:color w:val="011A3C"/>
          <w:sz w:val="27"/>
          <w:szCs w:val="27"/>
          <w:lang w:val="en" w:eastAsia="en-A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24"/>
        <w:gridCol w:w="1411"/>
        <w:gridCol w:w="1217"/>
        <w:gridCol w:w="2664"/>
      </w:tblGrid>
      <w:tr w:rsidR="00AD16F0" w:rsidRPr="004D307F" w14:paraId="4103711B" w14:textId="77777777" w:rsidTr="00080034">
        <w:trPr>
          <w:tblHeader/>
        </w:trPr>
        <w:tc>
          <w:tcPr>
            <w:tcW w:w="0" w:type="auto"/>
            <w:gridSpan w:val="4"/>
            <w:vAlign w:val="center"/>
            <w:hideMark/>
          </w:tcPr>
          <w:p w14:paraId="21CFEEA8" w14:textId="77777777" w:rsidR="00AD16F0" w:rsidRPr="004D307F" w:rsidRDefault="00AD16F0" w:rsidP="00AD16F0">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r w:rsidRPr="004D307F">
              <w:rPr>
                <w:rFonts w:ascii="VIC-Bold" w:eastAsia="Times New Roman" w:hAnsi="VIC-Bold" w:cs="Times New Roman"/>
                <w:b/>
                <w:bCs/>
                <w:color w:val="323E4F" w:themeColor="text2" w:themeShade="BF"/>
                <w:sz w:val="24"/>
                <w:szCs w:val="24"/>
                <w:lang w:eastAsia="en-AU"/>
              </w:rPr>
              <w:t>Catch up loading</w:t>
            </w:r>
          </w:p>
        </w:tc>
      </w:tr>
      <w:tr w:rsidR="00AD16F0" w:rsidRPr="004D307F" w14:paraId="35254B25" w14:textId="77777777" w:rsidTr="00080034">
        <w:trPr>
          <w:tblHeader/>
        </w:trPr>
        <w:tc>
          <w:tcPr>
            <w:tcW w:w="0" w:type="auto"/>
            <w:hideMark/>
          </w:tcPr>
          <w:p w14:paraId="3C16FCFD"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Catch Up</w:t>
            </w:r>
          </w:p>
        </w:tc>
        <w:tc>
          <w:tcPr>
            <w:tcW w:w="0" w:type="auto"/>
            <w:hideMark/>
          </w:tcPr>
          <w:p w14:paraId="58F44A21"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Credit ($)</w:t>
            </w:r>
          </w:p>
        </w:tc>
        <w:tc>
          <w:tcPr>
            <w:tcW w:w="0" w:type="auto"/>
            <w:hideMark/>
          </w:tcPr>
          <w:p w14:paraId="2ECCB41F"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Cash ($)</w:t>
            </w:r>
          </w:p>
        </w:tc>
        <w:tc>
          <w:tcPr>
            <w:tcW w:w="0" w:type="auto"/>
            <w:hideMark/>
          </w:tcPr>
          <w:p w14:paraId="7E26E4D2"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Total Catch Up ($)</w:t>
            </w:r>
          </w:p>
        </w:tc>
      </w:tr>
      <w:tr w:rsidR="00FB4A51" w:rsidRPr="004D307F" w14:paraId="602470B4" w14:textId="77777777" w:rsidTr="00080034">
        <w:tc>
          <w:tcPr>
            <w:tcW w:w="0" w:type="auto"/>
            <w:hideMark/>
          </w:tcPr>
          <w:p w14:paraId="72C091D8" w14:textId="77777777" w:rsidR="00FB4A51" w:rsidRPr="004D307F" w:rsidRDefault="00FB4A51" w:rsidP="00FB4A5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Level 1 (non-PSD funded)</w:t>
            </w:r>
          </w:p>
        </w:tc>
        <w:tc>
          <w:tcPr>
            <w:tcW w:w="0" w:type="auto"/>
            <w:hideMark/>
          </w:tcPr>
          <w:p w14:paraId="60A80FA4" w14:textId="0F15AE4F" w:rsidR="00FB4A51" w:rsidRPr="004D307F"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1,145</w:t>
            </w:r>
          </w:p>
        </w:tc>
        <w:tc>
          <w:tcPr>
            <w:tcW w:w="0" w:type="auto"/>
            <w:hideMark/>
          </w:tcPr>
          <w:p w14:paraId="2A6CF04E" w14:textId="3A4B7F72" w:rsidR="00FB4A51" w:rsidRPr="004D307F"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w:t>
            </w:r>
            <w:r w:rsidR="003112AE" w:rsidRPr="004D307F">
              <w:rPr>
                <w:rFonts w:ascii="VIC-Regular" w:eastAsia="Times New Roman" w:hAnsi="VIC-Regular" w:cs="Times New Roman"/>
                <w:color w:val="323E4F" w:themeColor="text2" w:themeShade="BF"/>
                <w:sz w:val="24"/>
                <w:szCs w:val="24"/>
                <w:lang w:eastAsia="en-AU"/>
              </w:rPr>
              <w:t>55</w:t>
            </w:r>
          </w:p>
        </w:tc>
        <w:tc>
          <w:tcPr>
            <w:tcW w:w="0" w:type="auto"/>
            <w:hideMark/>
          </w:tcPr>
          <w:p w14:paraId="304B9F21" w14:textId="7D64FD1F" w:rsidR="00FB4A51" w:rsidRPr="004D307F"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w:t>
            </w:r>
            <w:r w:rsidR="003112AE" w:rsidRPr="004D307F">
              <w:rPr>
                <w:rFonts w:ascii="VIC-Regular" w:eastAsia="Times New Roman" w:hAnsi="VIC-Regular" w:cs="Times New Roman"/>
                <w:color w:val="323E4F" w:themeColor="text2" w:themeShade="BF"/>
                <w:sz w:val="24"/>
                <w:szCs w:val="24"/>
                <w:lang w:eastAsia="en-AU"/>
              </w:rPr>
              <w:t>300</w:t>
            </w:r>
          </w:p>
        </w:tc>
      </w:tr>
      <w:tr w:rsidR="00FB4A51" w:rsidRPr="004D307F" w14:paraId="5DE138C5" w14:textId="77777777" w:rsidTr="00080034">
        <w:tc>
          <w:tcPr>
            <w:tcW w:w="0" w:type="auto"/>
            <w:hideMark/>
          </w:tcPr>
          <w:p w14:paraId="7104A0AC" w14:textId="77777777" w:rsidR="00FB4A51" w:rsidRPr="004D307F" w:rsidRDefault="00FB4A51" w:rsidP="00FB4A5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Level 2 (PSD funded)</w:t>
            </w:r>
          </w:p>
        </w:tc>
        <w:tc>
          <w:tcPr>
            <w:tcW w:w="0" w:type="auto"/>
            <w:hideMark/>
          </w:tcPr>
          <w:p w14:paraId="5994ED47" w14:textId="20B9C89A" w:rsidR="00FB4A51" w:rsidRPr="004D307F"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573</w:t>
            </w:r>
          </w:p>
        </w:tc>
        <w:tc>
          <w:tcPr>
            <w:tcW w:w="0" w:type="auto"/>
            <w:hideMark/>
          </w:tcPr>
          <w:p w14:paraId="415FB44E" w14:textId="264F7DC2" w:rsidR="00FB4A51" w:rsidRPr="004D307F"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57</w:t>
            </w:r>
            <w:r w:rsidR="003112AE" w:rsidRPr="004D307F">
              <w:rPr>
                <w:rFonts w:ascii="VIC-Regular" w:eastAsia="Times New Roman" w:hAnsi="VIC-Regular" w:cs="Times New Roman"/>
                <w:color w:val="323E4F" w:themeColor="text2" w:themeShade="BF"/>
                <w:sz w:val="24"/>
                <w:szCs w:val="24"/>
                <w:lang w:eastAsia="en-AU"/>
              </w:rPr>
              <w:t>7</w:t>
            </w:r>
          </w:p>
        </w:tc>
        <w:tc>
          <w:tcPr>
            <w:tcW w:w="0" w:type="auto"/>
            <w:hideMark/>
          </w:tcPr>
          <w:p w14:paraId="0F94E350" w14:textId="529839BE" w:rsidR="00FB4A51" w:rsidRPr="004D307F"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w:t>
            </w:r>
            <w:r w:rsidR="003112AE" w:rsidRPr="004D307F">
              <w:rPr>
                <w:rFonts w:ascii="VIC-Regular" w:eastAsia="Times New Roman" w:hAnsi="VIC-Regular" w:cs="Times New Roman"/>
                <w:color w:val="323E4F" w:themeColor="text2" w:themeShade="BF"/>
                <w:sz w:val="24"/>
                <w:szCs w:val="24"/>
                <w:lang w:eastAsia="en-AU"/>
              </w:rPr>
              <w:t>50</w:t>
            </w:r>
          </w:p>
        </w:tc>
      </w:tr>
    </w:tbl>
    <w:p w14:paraId="244BCD10" w14:textId="1D15BF8A"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Important Item to note:</w:t>
      </w:r>
    </w:p>
    <w:p w14:paraId="17C4DFEF" w14:textId="01A012A0" w:rsidR="00AD16F0" w:rsidRPr="004D307F" w:rsidRDefault="00AD16F0" w:rsidP="005D0FF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eligible student names and or VSNs are not available to schools.</w:t>
      </w:r>
    </w:p>
    <w:p w14:paraId="1293B2D3" w14:textId="405DB27F" w:rsidR="003D1C61" w:rsidRPr="004D307F" w:rsidRDefault="003D1C61" w:rsidP="00CA2F05">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65957A37" w14:textId="73E9ABBF" w:rsidR="003D1C61" w:rsidRPr="004D307F" w:rsidRDefault="003D1C61" w:rsidP="00CA2F05">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666EA244" w14:textId="77777777" w:rsidR="003D1C61" w:rsidRPr="004D307F" w:rsidRDefault="003D1C61" w:rsidP="00CA2F05">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76CF9B3A" w14:textId="77777777"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Catch Up (Special Circumstances)</w:t>
      </w:r>
    </w:p>
    <w:p w14:paraId="1583043F" w14:textId="33D543B5"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Catch Up (Special Circumstances) funding applies to students who are exempt from sitting NAPLAN and students who cannot be matched with their NAPLAN data (</w:t>
      </w:r>
      <w:r w:rsidR="00C02DB9">
        <w:rPr>
          <w:rFonts w:ascii="VIC-Regular" w:eastAsia="Times New Roman" w:hAnsi="VIC-Regular" w:cs="Times New Roman"/>
          <w:color w:val="011A3C"/>
          <w:sz w:val="24"/>
          <w:szCs w:val="24"/>
          <w:lang w:val="en" w:eastAsia="en-AU"/>
        </w:rPr>
        <w:t>for example,</w:t>
      </w:r>
      <w:r w:rsidRPr="004D307F">
        <w:rPr>
          <w:rFonts w:ascii="VIC-Regular" w:eastAsia="Times New Roman" w:hAnsi="VIC-Regular" w:cs="Times New Roman"/>
          <w:color w:val="011A3C"/>
          <w:sz w:val="24"/>
          <w:szCs w:val="24"/>
          <w:lang w:val="en" w:eastAsia="en-AU"/>
        </w:rPr>
        <w:t xml:space="preserve"> students who sat their test interstate).</w:t>
      </w:r>
    </w:p>
    <w:p w14:paraId="5E46A83F"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campus will be eligible for Catch Up (Special Circumstances) funding where it has at least 10 Special Circumstances students, and these students make up at least 10% of the secondary cohort.</w:t>
      </w:r>
    </w:p>
    <w:p w14:paraId="57B15E0A"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All exempt students at eligible campuses will receive special circumstance funding.</w:t>
      </w:r>
    </w:p>
    <w:p w14:paraId="4A7187B7"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Students without a NAPLAN score at eligible campuses are funded at a proportional FTE based on the campus they are attending.</w:t>
      </w:r>
    </w:p>
    <w:p w14:paraId="00704868"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following is an example of the eligibility and calculation:</w:t>
      </w:r>
    </w:p>
    <w:p w14:paraId="6E9677D9" w14:textId="77777777" w:rsidR="00AD16F0" w:rsidRPr="004D307F" w:rsidRDefault="00AD16F0" w:rsidP="00ED0863">
      <w:pPr>
        <w:numPr>
          <w:ilvl w:val="0"/>
          <w:numId w:val="2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campus has 100 secondary students, 20 of these students are currently funded for Equity (Catch Up) (= 20%).</w:t>
      </w:r>
    </w:p>
    <w:p w14:paraId="1D80B745" w14:textId="77777777" w:rsidR="00AD16F0" w:rsidRPr="004D307F" w:rsidRDefault="00AD16F0" w:rsidP="00ED0863">
      <w:pPr>
        <w:numPr>
          <w:ilvl w:val="0"/>
          <w:numId w:val="2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campus has 5 exempt students and 5 students who cannot be matched with NAPLAN data. The campus has 10 special circumstances students in total and these students represent 10% of the secondary cohort, meaning the campus satisfies the eligibility criteria.</w:t>
      </w:r>
    </w:p>
    <w:p w14:paraId="6E03A59C" w14:textId="77777777" w:rsidR="00AD16F0" w:rsidRPr="004D307F" w:rsidRDefault="00AD16F0" w:rsidP="00ED0863">
      <w:pPr>
        <w:numPr>
          <w:ilvl w:val="0"/>
          <w:numId w:val="2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5 exempt students will receive Catch Up (Special Circumstances) loading.</w:t>
      </w:r>
    </w:p>
    <w:p w14:paraId="1CF53FD2" w14:textId="77777777" w:rsidR="00AD16F0" w:rsidRPr="004D307F" w:rsidRDefault="00AD16F0" w:rsidP="00ED0863">
      <w:pPr>
        <w:numPr>
          <w:ilvl w:val="0"/>
          <w:numId w:val="2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campus will also receive Catch Up (Special Circumstances) loading for 1 FTE based on the 5 students who cannot be matched with NAPLAN data (20% x 5 = 1 funded FTE).</w:t>
      </w:r>
    </w:p>
    <w:p w14:paraId="079E0F5E" w14:textId="77777777" w:rsidR="00AD16F0" w:rsidRPr="004D307F" w:rsidRDefault="00AD16F0" w:rsidP="00ED0863">
      <w:pPr>
        <w:numPr>
          <w:ilvl w:val="0"/>
          <w:numId w:val="2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6 students will be funded at half the current Catch Up rate as outlined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24"/>
        <w:gridCol w:w="1251"/>
        <w:gridCol w:w="1079"/>
        <w:gridCol w:w="2362"/>
      </w:tblGrid>
      <w:tr w:rsidR="00371B75" w:rsidRPr="004D307F" w14:paraId="4C4427E4" w14:textId="77777777" w:rsidTr="00080034">
        <w:trPr>
          <w:tblHeader/>
        </w:trPr>
        <w:tc>
          <w:tcPr>
            <w:tcW w:w="0" w:type="auto"/>
            <w:gridSpan w:val="4"/>
            <w:vAlign w:val="center"/>
            <w:hideMark/>
          </w:tcPr>
          <w:p w14:paraId="55C045D7" w14:textId="449E7F85" w:rsidR="00AD16F0" w:rsidRPr="004D307F" w:rsidRDefault="00AD16F0" w:rsidP="00AD16F0">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bookmarkStart w:id="27" w:name="_Hlk81823640"/>
            <w:r w:rsidRPr="004D307F">
              <w:rPr>
                <w:rFonts w:ascii="VIC-Bold" w:eastAsia="Times New Roman" w:hAnsi="VIC-Bold" w:cs="Times New Roman"/>
                <w:b/>
                <w:bCs/>
                <w:color w:val="323E4F" w:themeColor="text2" w:themeShade="BF"/>
                <w:sz w:val="24"/>
                <w:szCs w:val="24"/>
                <w:lang w:eastAsia="en-AU"/>
              </w:rPr>
              <w:t>Catch Up (Special Circumstances) Loading</w:t>
            </w:r>
            <w:bookmarkEnd w:id="27"/>
          </w:p>
        </w:tc>
      </w:tr>
      <w:tr w:rsidR="00371B75" w:rsidRPr="004D307F" w14:paraId="4D39B0C2" w14:textId="77777777" w:rsidTr="00080034">
        <w:trPr>
          <w:tblHeader/>
        </w:trPr>
        <w:tc>
          <w:tcPr>
            <w:tcW w:w="0" w:type="auto"/>
            <w:hideMark/>
          </w:tcPr>
          <w:p w14:paraId="6DBB270C"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Catch Up (Special Circumstances)</w:t>
            </w:r>
          </w:p>
        </w:tc>
        <w:tc>
          <w:tcPr>
            <w:tcW w:w="0" w:type="auto"/>
            <w:hideMark/>
          </w:tcPr>
          <w:p w14:paraId="3FD5F3AA"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Credit ($)</w:t>
            </w:r>
          </w:p>
        </w:tc>
        <w:tc>
          <w:tcPr>
            <w:tcW w:w="0" w:type="auto"/>
            <w:hideMark/>
          </w:tcPr>
          <w:p w14:paraId="0DF1A7CA"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Cash ($)</w:t>
            </w:r>
          </w:p>
        </w:tc>
        <w:tc>
          <w:tcPr>
            <w:tcW w:w="0" w:type="auto"/>
            <w:hideMark/>
          </w:tcPr>
          <w:p w14:paraId="0ABE9A7F"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Total Catch Up ($)</w:t>
            </w:r>
          </w:p>
        </w:tc>
      </w:tr>
      <w:tr w:rsidR="00371B75" w:rsidRPr="004D307F" w14:paraId="75BDF56B" w14:textId="77777777" w:rsidTr="00080034">
        <w:tc>
          <w:tcPr>
            <w:tcW w:w="0" w:type="auto"/>
            <w:hideMark/>
          </w:tcPr>
          <w:p w14:paraId="393EEC47" w14:textId="77777777" w:rsidR="0073434C" w:rsidRPr="004D307F" w:rsidRDefault="0073434C" w:rsidP="0073434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Level 1 (non-PSD funded)</w:t>
            </w:r>
          </w:p>
        </w:tc>
        <w:tc>
          <w:tcPr>
            <w:tcW w:w="0" w:type="auto"/>
            <w:hideMark/>
          </w:tcPr>
          <w:p w14:paraId="3DFB258D" w14:textId="274153B5" w:rsidR="0073434C" w:rsidRPr="004D307F" w:rsidRDefault="001E1E44" w:rsidP="0073434C">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572.5</w:t>
            </w:r>
            <w:r w:rsidR="00FE010D"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66DC702E" w14:textId="10350087" w:rsidR="0073434C" w:rsidRPr="004D307F" w:rsidRDefault="001E1E44" w:rsidP="0073434C">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577.5</w:t>
            </w:r>
            <w:r w:rsidR="00FE010D"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31C88C5F" w14:textId="5C61F03E" w:rsidR="0073434C" w:rsidRPr="004D307F" w:rsidRDefault="0073434C" w:rsidP="0073434C">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w:t>
            </w:r>
            <w:r w:rsidR="001E1E44" w:rsidRPr="004D307F">
              <w:rPr>
                <w:rFonts w:ascii="VIC-Regular" w:eastAsia="Times New Roman" w:hAnsi="VIC-Regular" w:cs="Times New Roman"/>
                <w:color w:val="323E4F" w:themeColor="text2" w:themeShade="BF"/>
                <w:sz w:val="24"/>
                <w:szCs w:val="24"/>
                <w:lang w:eastAsia="en-AU"/>
              </w:rPr>
              <w:t>150</w:t>
            </w:r>
            <w:r w:rsidR="00FE010D" w:rsidRPr="004D307F">
              <w:rPr>
                <w:rFonts w:ascii="VIC-Regular" w:eastAsia="Times New Roman" w:hAnsi="VIC-Regular" w:cs="Times New Roman"/>
                <w:color w:val="323E4F" w:themeColor="text2" w:themeShade="BF"/>
                <w:sz w:val="24"/>
                <w:szCs w:val="24"/>
                <w:lang w:eastAsia="en-AU"/>
              </w:rPr>
              <w:t>.00</w:t>
            </w:r>
          </w:p>
        </w:tc>
      </w:tr>
      <w:tr w:rsidR="00AD16F0" w:rsidRPr="004D307F" w14:paraId="0B0871B2" w14:textId="77777777" w:rsidTr="00080034">
        <w:tc>
          <w:tcPr>
            <w:tcW w:w="0" w:type="auto"/>
            <w:hideMark/>
          </w:tcPr>
          <w:p w14:paraId="137D1311"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Level 2 (PSD funded)</w:t>
            </w:r>
          </w:p>
        </w:tc>
        <w:tc>
          <w:tcPr>
            <w:tcW w:w="0" w:type="auto"/>
            <w:hideMark/>
          </w:tcPr>
          <w:p w14:paraId="40513D21" w14:textId="344A5304" w:rsidR="00AD16F0" w:rsidRPr="004D307F" w:rsidRDefault="001E1E44"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286.5</w:t>
            </w:r>
            <w:r w:rsidR="00FE010D"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07A2FF8C" w14:textId="225F87C9" w:rsidR="00AD16F0" w:rsidRPr="004D307F" w:rsidRDefault="001E1E44"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288.5</w:t>
            </w:r>
            <w:r w:rsidR="00FE010D"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13324832" w14:textId="45E900DD" w:rsidR="00AD16F0" w:rsidRPr="004D307F" w:rsidRDefault="0025480A"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575</w:t>
            </w:r>
            <w:r w:rsidR="00FE010D" w:rsidRPr="004D307F">
              <w:rPr>
                <w:rFonts w:ascii="VIC-Regular" w:eastAsia="Times New Roman" w:hAnsi="VIC-Regular" w:cs="Times New Roman"/>
                <w:color w:val="323E4F" w:themeColor="text2" w:themeShade="BF"/>
                <w:sz w:val="24"/>
                <w:szCs w:val="24"/>
                <w:lang w:eastAsia="en-AU"/>
              </w:rPr>
              <w:t>.00</w:t>
            </w:r>
          </w:p>
        </w:tc>
      </w:tr>
    </w:tbl>
    <w:p w14:paraId="5DFE70BC" w14:textId="77777777" w:rsidR="00AD16F0" w:rsidRPr="004D307F" w:rsidRDefault="00AD16F0" w:rsidP="00AD16F0">
      <w:pPr>
        <w:rPr>
          <w:color w:val="323E4F" w:themeColor="text2" w:themeShade="BF"/>
        </w:rPr>
      </w:pPr>
    </w:p>
    <w:p w14:paraId="0537C98C" w14:textId="77777777" w:rsidR="00AD16F0" w:rsidRPr="004D307F" w:rsidRDefault="00AD16F0" w:rsidP="00AD16F0">
      <w:r w:rsidRPr="004D307F">
        <w:br w:type="page"/>
      </w:r>
    </w:p>
    <w:p w14:paraId="483BACE4" w14:textId="540AB3E4" w:rsidR="00AD16F0" w:rsidRPr="004D307F" w:rsidRDefault="00AD16F0" w:rsidP="00B566E7">
      <w:pPr>
        <w:pStyle w:val="Heading2"/>
      </w:pPr>
      <w:bookmarkStart w:id="28" w:name="_Toc106793752"/>
      <w:r w:rsidRPr="004D307F">
        <w:lastRenderedPageBreak/>
        <w:t>Mobility (Reference 14)</w:t>
      </w:r>
      <w:bookmarkEnd w:id="28"/>
    </w:p>
    <w:p w14:paraId="34648709"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with high levels of student mobility over a sustained period of time receive mobility funding. This funding should be used by schools to design and provide programs that are specific to the needs of mobile students.</w:t>
      </w:r>
    </w:p>
    <w:p w14:paraId="0F9D46CE" w14:textId="64DD80D5"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eligible for mobility funding are those with a transient enrolment density equal to or greater than 10 per cent when averaged over three years</w:t>
      </w:r>
      <w:r w:rsidR="004B3B0C" w:rsidRPr="004D307F">
        <w:rPr>
          <w:rFonts w:ascii="VIC-Regular" w:eastAsia="Times New Roman" w:hAnsi="VIC-Regular" w:cs="Times New Roman"/>
          <w:color w:val="011A3C"/>
          <w:sz w:val="24"/>
          <w:szCs w:val="24"/>
          <w:lang w:val="en" w:eastAsia="en-AU"/>
        </w:rPr>
        <w:t xml:space="preserve"> and must have mobility enrolments in all three years. </w:t>
      </w:r>
      <w:r w:rsidRPr="004D307F">
        <w:rPr>
          <w:rFonts w:ascii="VIC-Regular" w:eastAsia="Times New Roman" w:hAnsi="VIC-Regular" w:cs="Times New Roman"/>
          <w:color w:val="011A3C"/>
          <w:sz w:val="24"/>
          <w:szCs w:val="24"/>
          <w:lang w:val="en" w:eastAsia="en-AU"/>
        </w:rPr>
        <w:t xml:space="preserve"> The transient enrolment density for each school is a measure of the number of students who enrolled at the school during abnormal times as defined by the following criteria:</w:t>
      </w:r>
    </w:p>
    <w:p w14:paraId="1FB1FAD8" w14:textId="77777777" w:rsidR="00AD16F0" w:rsidRPr="004D307F" w:rsidRDefault="00AD16F0" w:rsidP="00ED0863">
      <w:pPr>
        <w:numPr>
          <w:ilvl w:val="0"/>
          <w:numId w:val="2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Students who enrolled at the school in the previous year after the mid-year census and up to 30 November OR who enrolled in the current year between 1 March and the current mid-year census are counted as transient enrolments.</w:t>
      </w:r>
    </w:p>
    <w:p w14:paraId="09F0F82E"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Transient enrolment density is calculated as the school’s transient enrolment divided by the total school enrolments provided in the August census of the previous year.</w:t>
      </w:r>
    </w:p>
    <w:p w14:paraId="7C6DA9AA" w14:textId="77777777"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6CE95625" w14:textId="150FC951" w:rsidR="00AD16F0" w:rsidRPr="004D307F" w:rsidRDefault="00AD16F0"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with the following campus types are eligible for mobility funding at campus level </w:t>
      </w:r>
      <w:r w:rsidR="0087250D" w:rsidRPr="004D307F">
        <w:rPr>
          <w:rFonts w:ascii="VIC-Regular" w:eastAsia="Times New Roman" w:hAnsi="VIC-Regular" w:cs="Times New Roman"/>
          <w:color w:val="011A3C"/>
          <w:sz w:val="24"/>
          <w:szCs w:val="24"/>
          <w:lang w:val="en" w:eastAsia="en-AU"/>
        </w:rPr>
        <w:t>if they meet the transient criteria above.</w:t>
      </w:r>
    </w:p>
    <w:p w14:paraId="0076D5B0" w14:textId="466B6219" w:rsidR="0087250D" w:rsidRPr="004D307F" w:rsidRDefault="0087250D" w:rsidP="00ED0863">
      <w:pPr>
        <w:numPr>
          <w:ilvl w:val="0"/>
          <w:numId w:val="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w:t>
      </w:r>
    </w:p>
    <w:p w14:paraId="760AC74B" w14:textId="77777777" w:rsidR="0073434C" w:rsidRPr="004D307F" w:rsidRDefault="00AD16F0" w:rsidP="00ED0863">
      <w:pPr>
        <w:numPr>
          <w:ilvl w:val="0"/>
          <w:numId w:val="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Secondary</w:t>
      </w:r>
    </w:p>
    <w:p w14:paraId="2361AED3" w14:textId="1A9B5E49" w:rsidR="00AD16F0" w:rsidRPr="004D307F" w:rsidRDefault="00AD16F0" w:rsidP="00ED0863">
      <w:pPr>
        <w:numPr>
          <w:ilvl w:val="0"/>
          <w:numId w:val="26"/>
        </w:num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29" w:name="_Hlk50129305"/>
      <w:r w:rsidRPr="004D307F">
        <w:rPr>
          <w:rFonts w:ascii="VIC-Regular" w:eastAsia="Times New Roman" w:hAnsi="VIC-Regular" w:cs="Times New Roman"/>
          <w:color w:val="011A3C"/>
          <w:sz w:val="24"/>
          <w:szCs w:val="24"/>
          <w:lang w:val="en" w:eastAsia="en-AU"/>
        </w:rPr>
        <w:t>Primary/Secondary Combined</w:t>
      </w:r>
    </w:p>
    <w:p w14:paraId="557CDE26" w14:textId="23786489" w:rsidR="00837558" w:rsidRPr="004D307F" w:rsidRDefault="00837558" w:rsidP="00ED0863">
      <w:pPr>
        <w:numPr>
          <w:ilvl w:val="0"/>
          <w:numId w:val="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Community</w:t>
      </w:r>
    </w:p>
    <w:bookmarkEnd w:id="29"/>
    <w:p w14:paraId="03C74AB7" w14:textId="2DCBD8A9" w:rsidR="0087250D" w:rsidRPr="004D307F" w:rsidRDefault="0087250D"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budget </w:t>
      </w:r>
      <w:r w:rsidR="00AF025A" w:rsidRPr="004D307F">
        <w:rPr>
          <w:rFonts w:ascii="VIC-Regular" w:eastAsia="Times New Roman" w:hAnsi="VIC-Regular" w:cs="Times New Roman"/>
          <w:color w:val="011A3C"/>
          <w:sz w:val="24"/>
          <w:szCs w:val="24"/>
          <w:lang w:val="en" w:eastAsia="en-AU"/>
        </w:rPr>
        <w:t>cycle;</w:t>
      </w:r>
      <w:r w:rsidRPr="004D307F">
        <w:rPr>
          <w:rFonts w:ascii="VIC-Regular" w:eastAsia="Times New Roman" w:hAnsi="VIC-Regular" w:cs="Times New Roman"/>
          <w:color w:val="011A3C"/>
          <w:sz w:val="24"/>
          <w:szCs w:val="24"/>
          <w:lang w:val="en" w:eastAsia="en-AU"/>
        </w:rPr>
        <w:t xml:space="preserve"> campuses are provided with cash and credit funding.</w:t>
      </w:r>
    </w:p>
    <w:p w14:paraId="49C09AA5" w14:textId="77777777"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7CF9906B"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Mobility Funding</w:t>
      </w:r>
      <w:r w:rsidRPr="004D307F">
        <w:rPr>
          <w:rFonts w:ascii="VIC-Regular" w:eastAsia="Times New Roman" w:hAnsi="VIC-Regular" w:cs="Times New Roman"/>
          <w:color w:val="011A3C"/>
          <w:sz w:val="24"/>
          <w:szCs w:val="24"/>
          <w:lang w:val="en" w:eastAsia="en-AU"/>
        </w:rPr>
        <w:t xml:space="preserve"> = Base + (Total transient enrolments x Student per capita rate)</w:t>
      </w:r>
    </w:p>
    <w:p w14:paraId="16EAE438" w14:textId="77777777" w:rsidR="0087250D" w:rsidRPr="004D307F" w:rsidRDefault="0087250D"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Example a school with 25 transient enrolments would calculate their funding as:</w:t>
      </w:r>
    </w:p>
    <w:p w14:paraId="4D4142DE" w14:textId="3925A6C9" w:rsidR="00985091" w:rsidRPr="004D307F" w:rsidRDefault="0087250D"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Base + (Total transient enrolments (25) x Student per capita rate)</w:t>
      </w:r>
    </w:p>
    <w:p w14:paraId="2FBD954D" w14:textId="34EC05B1" w:rsidR="00AD16F0" w:rsidRPr="004D307F" w:rsidRDefault="00AD16F0" w:rsidP="00AD16F0">
      <w:pPr>
        <w:spacing w:before="100" w:beforeAutospacing="1" w:after="100" w:afterAutospacing="1" w:line="288" w:lineRule="atLeast"/>
        <w:outlineLvl w:val="3"/>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 202</w:t>
      </w:r>
      <w:r w:rsidR="00036A0A" w:rsidRPr="004D307F">
        <w:rPr>
          <w:rFonts w:ascii="VIC-Bold" w:eastAsia="Times New Roman" w:hAnsi="VIC-Bold" w:cs="Times New Roman"/>
          <w:b/>
          <w:bCs/>
          <w:color w:val="011A3C"/>
          <w:sz w:val="27"/>
          <w:szCs w:val="27"/>
          <w:lang w:val="en" w:eastAsia="en-AU"/>
        </w:rPr>
        <w:t>2</w:t>
      </w:r>
    </w:p>
    <w:p w14:paraId="17157561" w14:textId="5DA31EB5" w:rsidR="00AD16F0" w:rsidRPr="004D307F" w:rsidRDefault="00AD16F0" w:rsidP="00ED0863">
      <w:pPr>
        <w:numPr>
          <w:ilvl w:val="0"/>
          <w:numId w:val="2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 xml:space="preserve">Base rate ($) — </w:t>
      </w:r>
      <w:r w:rsidR="0073434C" w:rsidRPr="004D307F">
        <w:rPr>
          <w:rFonts w:ascii="VIC-Regular" w:eastAsia="Times New Roman" w:hAnsi="VIC-Regular" w:cs="Times New Roman"/>
          <w:color w:val="011A3C"/>
          <w:sz w:val="24"/>
          <w:szCs w:val="24"/>
          <w:lang w:val="en" w:eastAsia="en-AU"/>
        </w:rPr>
        <w:t>2,5</w:t>
      </w:r>
      <w:r w:rsidR="00036A0A" w:rsidRPr="004D307F">
        <w:rPr>
          <w:rFonts w:ascii="VIC-Regular" w:eastAsia="Times New Roman" w:hAnsi="VIC-Regular" w:cs="Times New Roman"/>
          <w:color w:val="011A3C"/>
          <w:sz w:val="24"/>
          <w:szCs w:val="24"/>
          <w:lang w:val="en" w:eastAsia="en-AU"/>
        </w:rPr>
        <w:t>31</w:t>
      </w:r>
    </w:p>
    <w:p w14:paraId="2D44CBE0" w14:textId="55DDE390" w:rsidR="00AD16F0" w:rsidRPr="004D307F" w:rsidRDefault="00AD16F0" w:rsidP="00ED0863">
      <w:pPr>
        <w:pStyle w:val="ListParagraph"/>
        <w:numPr>
          <w:ilvl w:val="0"/>
          <w:numId w:val="27"/>
        </w:numPr>
      </w:pPr>
      <w:r w:rsidRPr="004D307F">
        <w:rPr>
          <w:rFonts w:ascii="VIC-Regular" w:eastAsia="Times New Roman" w:hAnsi="VIC-Regular" w:cs="Times New Roman"/>
          <w:color w:val="011A3C"/>
          <w:sz w:val="24"/>
          <w:szCs w:val="24"/>
          <w:lang w:val="en" w:eastAsia="en-AU"/>
        </w:rPr>
        <w:t xml:space="preserve">Per capita ($) — </w:t>
      </w:r>
      <w:r w:rsidR="0073434C" w:rsidRPr="004D307F">
        <w:rPr>
          <w:rFonts w:ascii="VIC-Regular" w:eastAsia="Times New Roman" w:hAnsi="VIC-Regular" w:cs="Times New Roman"/>
          <w:color w:val="011A3C"/>
          <w:sz w:val="24"/>
          <w:szCs w:val="24"/>
          <w:lang w:val="en" w:eastAsia="en-AU"/>
        </w:rPr>
        <w:t>35</w:t>
      </w:r>
      <w:r w:rsidR="00036A0A" w:rsidRPr="004D307F">
        <w:rPr>
          <w:rFonts w:ascii="VIC-Regular" w:eastAsia="Times New Roman" w:hAnsi="VIC-Regular" w:cs="Times New Roman"/>
          <w:color w:val="011A3C"/>
          <w:sz w:val="24"/>
          <w:szCs w:val="24"/>
          <w:lang w:val="en" w:eastAsia="en-AU"/>
        </w:rPr>
        <w:t>1</w:t>
      </w:r>
      <w:r w:rsidRPr="004D307F">
        <w:br w:type="page"/>
      </w:r>
    </w:p>
    <w:p w14:paraId="434E2EB6" w14:textId="27814E83" w:rsidR="00AD16F0" w:rsidRPr="004D307F" w:rsidRDefault="00AD16F0" w:rsidP="00B566E7">
      <w:pPr>
        <w:pStyle w:val="Heading2"/>
      </w:pPr>
      <w:bookmarkStart w:id="30" w:name="_Toc106793753"/>
      <w:r w:rsidRPr="004D307F">
        <w:lastRenderedPageBreak/>
        <w:t>Program for Students with Disabilities Levels 1-6 (Reference 15)</w:t>
      </w:r>
      <w:bookmarkEnd w:id="30"/>
    </w:p>
    <w:p w14:paraId="2962C9E5"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Program for Students with Disabilities (PSD) is a targeted supplementary funding program for Victorian government schools. It provides resources to schools for a defined population of students with disabilities, with high needs, to support the provision of school-based educational programs.</w:t>
      </w:r>
    </w:p>
    <w:p w14:paraId="4DE81E7F"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receive funding for students with current eligibility at one of six levels, informed by the responses provided to the Educational Needs Questionnaire.</w:t>
      </w:r>
    </w:p>
    <w:p w14:paraId="5CE6D2D7" w14:textId="77777777"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Use of funding</w:t>
      </w:r>
    </w:p>
    <w:p w14:paraId="1E3360BE"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Resources provided to the school can be used in a number of ways to support students, including:</w:t>
      </w:r>
    </w:p>
    <w:p w14:paraId="34131C4F" w14:textId="77777777" w:rsidR="00AD16F0" w:rsidRPr="004D307F" w:rsidRDefault="00AD16F0" w:rsidP="00ED0863">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Teaching staff</w:t>
      </w:r>
    </w:p>
    <w:p w14:paraId="5C31E0E2" w14:textId="77777777" w:rsidR="00AD16F0" w:rsidRPr="004D307F" w:rsidRDefault="00AD16F0" w:rsidP="00ED0863">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Specialist staff (e.g. Special Needs Coordinator, occupational therapist, speech pathologists)</w:t>
      </w:r>
    </w:p>
    <w:p w14:paraId="008D244F" w14:textId="77777777" w:rsidR="00AD16F0" w:rsidRPr="004D307F" w:rsidRDefault="00AD16F0" w:rsidP="00ED0863">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Consultancy or professional development</w:t>
      </w:r>
    </w:p>
    <w:p w14:paraId="41B694E2" w14:textId="77777777" w:rsidR="00AD16F0" w:rsidRPr="004D307F" w:rsidRDefault="00AD16F0" w:rsidP="00ED0863">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Specialist equipment or materials</w:t>
      </w:r>
    </w:p>
    <w:p w14:paraId="147A860F" w14:textId="77777777" w:rsidR="00AD16F0" w:rsidRPr="004D307F" w:rsidRDefault="00AD16F0" w:rsidP="00ED0863">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Education support staff</w:t>
      </w:r>
    </w:p>
    <w:p w14:paraId="3B75B83A" w14:textId="77777777" w:rsidR="00AD16F0" w:rsidRPr="004D307F" w:rsidRDefault="00AD16F0" w:rsidP="00ED0863">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Associated payroll tax</w:t>
      </w:r>
    </w:p>
    <w:p w14:paraId="2E296D8D" w14:textId="77777777" w:rsidR="00AD16F0" w:rsidRPr="004D307F" w:rsidRDefault="00AD16F0" w:rsidP="00ED0863">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Superannuation</w:t>
      </w:r>
    </w:p>
    <w:p w14:paraId="065C83F5" w14:textId="28159B14"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PSD resources assist schools to meet their obligations under the Disability Discrimination Act</w:t>
      </w:r>
      <w:r w:rsidR="00AB7BB2" w:rsidRPr="004D307F">
        <w:rPr>
          <w:rFonts w:ascii="VIC-Regular" w:eastAsia="Times New Roman" w:hAnsi="VIC-Regular" w:cs="Times New Roman"/>
          <w:color w:val="011A3C"/>
          <w:sz w:val="24"/>
          <w:szCs w:val="24"/>
          <w:lang w:val="en" w:eastAsia="en-AU"/>
        </w:rPr>
        <w:t xml:space="preserve"> 1992 (Cth)</w:t>
      </w:r>
      <w:r w:rsidRPr="004D307F">
        <w:rPr>
          <w:rFonts w:ascii="VIC-Regular" w:eastAsia="Times New Roman" w:hAnsi="VIC-Regular" w:cs="Times New Roman"/>
          <w:color w:val="011A3C"/>
          <w:sz w:val="24"/>
          <w:szCs w:val="24"/>
          <w:lang w:val="en" w:eastAsia="en-AU"/>
        </w:rPr>
        <w:t>; they do not define or limit the support provided by a school for a student with a disability. </w:t>
      </w:r>
    </w:p>
    <w:p w14:paraId="263EF74B" w14:textId="1D8785B8"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Student Support Group is the primary source of advice to the principal on the personalised learning and support required. Schools are required to establish Student Support Groups for all students supported under the PSD, </w:t>
      </w:r>
      <w:r w:rsidR="00AB7BB2" w:rsidRPr="004D307F">
        <w:rPr>
          <w:rFonts w:ascii="VIC-Regular" w:eastAsia="Times New Roman" w:hAnsi="VIC-Regular" w:cs="Times New Roman"/>
          <w:color w:val="011A3C"/>
          <w:sz w:val="24"/>
          <w:szCs w:val="24"/>
          <w:lang w:val="en" w:eastAsia="en-AU"/>
        </w:rPr>
        <w:t xml:space="preserve">refer to </w:t>
      </w:r>
      <w:r w:rsidRPr="004D307F">
        <w:rPr>
          <w:rFonts w:ascii="VIC-Regular" w:eastAsia="Times New Roman" w:hAnsi="VIC-Regular" w:cs="Times New Roman"/>
          <w:color w:val="011A3C"/>
          <w:sz w:val="24"/>
          <w:szCs w:val="24"/>
          <w:lang w:val="en" w:eastAsia="en-AU"/>
        </w:rPr>
        <w:t xml:space="preserve"> </w:t>
      </w:r>
      <w:hyperlink r:id="rId45" w:history="1">
        <w:r w:rsidRPr="004D307F">
          <w:rPr>
            <w:rFonts w:ascii="VIC-Regular" w:eastAsia="Times New Roman" w:hAnsi="VIC-Regular" w:cs="Times New Roman"/>
            <w:color w:val="011A3C"/>
            <w:sz w:val="24"/>
            <w:szCs w:val="24"/>
            <w:lang w:val="en" w:eastAsia="en-AU"/>
          </w:rPr>
          <w:t>Student Support Groups</w:t>
        </w:r>
      </w:hyperlink>
      <w:r w:rsidRPr="004D307F">
        <w:rPr>
          <w:rFonts w:ascii="VIC-Regular" w:eastAsia="Times New Roman" w:hAnsi="VIC-Regular" w:cs="Times New Roman"/>
          <w:color w:val="011A3C"/>
          <w:sz w:val="24"/>
          <w:szCs w:val="24"/>
          <w:lang w:val="en" w:eastAsia="en-AU"/>
        </w:rPr>
        <w:t>.</w:t>
      </w:r>
    </w:p>
    <w:p w14:paraId="3D08EC5E" w14:textId="7321B4FD" w:rsidR="00B846F8" w:rsidRPr="004D307F" w:rsidRDefault="00AD16F0"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It is the responsibility of the school, in consultation with parents/carers in the Student Support Group, to determine the specific nature of the support required, and schools are required to consider their total budget in supporting a student with a disability.</w:t>
      </w:r>
    </w:p>
    <w:p w14:paraId="78976592" w14:textId="1CDC7C31" w:rsidR="00C34127" w:rsidRPr="004D307F" w:rsidRDefault="004D6760"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Program for Students with Disabilities funding allocations will be progressively replaced by Disability Inclusion funding as it is introduced during the staged 5-year roll-out schedule between 2021 to 2025.</w:t>
      </w:r>
    </w:p>
    <w:p w14:paraId="3302DBCB" w14:textId="632085E0" w:rsidR="0087250D" w:rsidRPr="004D307F" w:rsidRDefault="0087250D" w:rsidP="0087250D">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r w:rsidRPr="004D307F">
        <w:rPr>
          <w:rFonts w:ascii="VIC-Regular" w:eastAsia="Times New Roman" w:hAnsi="VIC-Regular" w:cs="Times New Roman"/>
          <w:b/>
          <w:bCs/>
          <w:color w:val="011A3C"/>
          <w:sz w:val="26"/>
          <w:szCs w:val="28"/>
          <w:lang w:val="en" w:eastAsia="en-AU"/>
        </w:rPr>
        <w:lastRenderedPageBreak/>
        <w:t>Eligibility</w:t>
      </w:r>
    </w:p>
    <w:p w14:paraId="0FB6CF7E" w14:textId="5A736EC3" w:rsidR="0087250D" w:rsidRPr="004D307F" w:rsidRDefault="0087250D" w:rsidP="0087250D">
      <w:p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sz w:val="24"/>
          <w:szCs w:val="24"/>
          <w:lang w:val="en" w:eastAsia="en-AU"/>
        </w:rPr>
        <w:t xml:space="preserve">Schools with the following campus types </w:t>
      </w:r>
      <w:r w:rsidR="004D6760" w:rsidRPr="004D307F">
        <w:rPr>
          <w:rFonts w:ascii="VIC-Regular" w:eastAsia="Times New Roman" w:hAnsi="VIC-Regular" w:cs="Times New Roman"/>
          <w:color w:val="011A3C"/>
          <w:sz w:val="24"/>
          <w:szCs w:val="24"/>
          <w:lang w:val="en" w:eastAsia="en-AU"/>
        </w:rPr>
        <w:t xml:space="preserve">will receive </w:t>
      </w:r>
      <w:r w:rsidRPr="004D307F">
        <w:rPr>
          <w:rFonts w:ascii="VIC-Regular" w:eastAsia="Times New Roman" w:hAnsi="VIC-Regular" w:cs="Times New Roman"/>
          <w:color w:val="011A3C"/>
          <w:sz w:val="24"/>
          <w:szCs w:val="24"/>
          <w:lang w:val="en" w:eastAsia="en-AU"/>
        </w:rPr>
        <w:t>Programs for Students with Disabilities funding at school level</w:t>
      </w:r>
      <w:r w:rsidR="004D6760" w:rsidRPr="004D307F">
        <w:rPr>
          <w:rFonts w:ascii="VIC-Regular" w:eastAsia="Times New Roman" w:hAnsi="VIC-Regular" w:cs="Times New Roman"/>
          <w:color w:val="011A3C"/>
          <w:sz w:val="24"/>
          <w:szCs w:val="24"/>
          <w:lang w:val="en" w:eastAsia="en-AU"/>
        </w:rPr>
        <w:t xml:space="preserve"> for eligible students</w:t>
      </w:r>
      <w:r w:rsidRPr="004D307F">
        <w:rPr>
          <w:rFonts w:ascii="VIC-Regular" w:eastAsia="Times New Roman" w:hAnsi="VIC-Regular" w:cs="Times New Roman"/>
          <w:color w:val="011A3C"/>
          <w:sz w:val="24"/>
          <w:szCs w:val="24"/>
          <w:lang w:val="en" w:eastAsia="en-AU"/>
        </w:rPr>
        <w:t>.</w:t>
      </w:r>
    </w:p>
    <w:p w14:paraId="7342D8F5" w14:textId="77777777" w:rsidR="0087250D" w:rsidRPr="004D307F" w:rsidRDefault="0087250D"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w:t>
      </w:r>
    </w:p>
    <w:p w14:paraId="668A1415" w14:textId="77777777" w:rsidR="0087250D" w:rsidRPr="004D307F" w:rsidRDefault="0087250D"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Secondary</w:t>
      </w:r>
    </w:p>
    <w:p w14:paraId="21DFDFDF" w14:textId="77777777" w:rsidR="0073434C" w:rsidRPr="004D307F" w:rsidRDefault="0073434C"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Primary/Secondary Combined</w:t>
      </w:r>
    </w:p>
    <w:p w14:paraId="2F29E1F0" w14:textId="77777777" w:rsidR="0087250D" w:rsidRPr="004D307F" w:rsidRDefault="0087250D"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w:t>
      </w:r>
    </w:p>
    <w:p w14:paraId="74CD901F" w14:textId="77777777" w:rsidR="0087250D" w:rsidRPr="004D307F" w:rsidRDefault="0087250D" w:rsidP="0087250D">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4D307F">
        <w:rPr>
          <w:rFonts w:ascii="VIC-Regular" w:eastAsia="Times New Roman" w:hAnsi="VIC-Regular" w:cs="Times New Roman"/>
          <w:color w:val="011A3C"/>
          <w:sz w:val="24"/>
          <w:szCs w:val="24"/>
          <w:lang w:val="en" w:eastAsia="en-AU"/>
        </w:rPr>
        <w:t xml:space="preserve">Funding is calculated for each of the four school terms and allocated through credit funding. </w:t>
      </w:r>
    </w:p>
    <w:p w14:paraId="46877527" w14:textId="0F79B242"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 details</w:t>
      </w:r>
    </w:p>
    <w:p w14:paraId="55A63E52" w14:textId="5250364D" w:rsidR="00AD16F0" w:rsidRPr="004D307F" w:rsidRDefault="00AD16F0" w:rsidP="00AD16F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PSD resources are allocated according to enrolment information provided by schools via the </w:t>
      </w:r>
      <w:hyperlink r:id="rId46" w:history="1">
        <w:r w:rsidR="004D6760" w:rsidRPr="004D307F">
          <w:rPr>
            <w:rFonts w:ascii="VIC" w:hAnsi="VIC"/>
            <w:color w:val="0000FF"/>
            <w:sz w:val="24"/>
            <w:szCs w:val="24"/>
            <w:u w:val="single"/>
          </w:rPr>
          <w:t>Program for Students with Disabilities Management System (PSDMS)</w:t>
        </w:r>
      </w:hyperlink>
      <w:r w:rsidR="004D6760" w:rsidRPr="004D307F" w:rsidDel="004D6760">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prior to budget-critical dates early each term.</w:t>
      </w:r>
    </w:p>
    <w:p w14:paraId="3B2D0B04" w14:textId="77777777" w:rsidR="004D6760" w:rsidRPr="004D307F" w:rsidRDefault="004D6760" w:rsidP="004D676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For students in specialist schools, enrolment eligibility and regional approval needs to be established.</w:t>
      </w:r>
      <w:r w:rsidRPr="004D307F">
        <w:rPr>
          <w:rFonts w:ascii="Calibri" w:eastAsia="Times New Roman" w:hAnsi="Calibri" w:cs="Calibri" w:hint="eastAsia"/>
          <w:color w:val="011A3C"/>
          <w:sz w:val="24"/>
          <w:szCs w:val="24"/>
          <w:lang w:val="en" w:eastAsia="en-AU"/>
        </w:rPr>
        <w:t> </w:t>
      </w:r>
    </w:p>
    <w:p w14:paraId="65B1B1DE" w14:textId="37C2B582" w:rsidR="00AD16F0" w:rsidRPr="004D307F" w:rsidRDefault="00AD16F0" w:rsidP="00AD16F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Where </w:t>
      </w:r>
      <w:r w:rsidR="004D6760" w:rsidRPr="004D307F">
        <w:rPr>
          <w:rFonts w:ascii="VIC" w:eastAsia="Times New Roman" w:hAnsi="VIC" w:cs="Times New Roman"/>
          <w:color w:val="011A3C"/>
          <w:sz w:val="24"/>
          <w:szCs w:val="24"/>
          <w:lang w:val="en" w:eastAsia="en-AU"/>
        </w:rPr>
        <w:t xml:space="preserve">enrolment </w:t>
      </w:r>
      <w:r w:rsidRPr="004D307F">
        <w:rPr>
          <w:rFonts w:ascii="VIC" w:eastAsia="Times New Roman" w:hAnsi="VIC" w:cs="Times New Roman"/>
          <w:color w:val="011A3C"/>
          <w:sz w:val="24"/>
          <w:szCs w:val="24"/>
          <w:lang w:val="en" w:eastAsia="en-AU"/>
        </w:rPr>
        <w:t xml:space="preserve">details are </w:t>
      </w:r>
      <w:r w:rsidR="004D6760" w:rsidRPr="004D307F">
        <w:rPr>
          <w:rFonts w:ascii="VIC" w:eastAsia="Times New Roman" w:hAnsi="VIC" w:cs="Times New Roman"/>
          <w:color w:val="011A3C"/>
          <w:sz w:val="24"/>
          <w:szCs w:val="24"/>
          <w:lang w:val="en" w:eastAsia="en-AU"/>
        </w:rPr>
        <w:t>not correct</w:t>
      </w:r>
      <w:r w:rsidRPr="004D307F">
        <w:rPr>
          <w:rFonts w:ascii="VIC" w:eastAsia="Times New Roman" w:hAnsi="VIC" w:cs="Times New Roman"/>
          <w:color w:val="011A3C"/>
          <w:sz w:val="24"/>
          <w:szCs w:val="24"/>
          <w:lang w:val="en" w:eastAsia="en-AU"/>
        </w:rPr>
        <w:t xml:space="preserve"> in CASES21, or enrolments are not registered in PSDMS prior to budget critical dates each term,</w:t>
      </w:r>
      <w:r w:rsidR="004D6760" w:rsidRPr="004D307F">
        <w:rPr>
          <w:rFonts w:ascii="VIC" w:eastAsia="Times New Roman" w:hAnsi="VIC" w:cs="Times New Roman"/>
          <w:color w:val="011A3C"/>
          <w:sz w:val="24"/>
          <w:szCs w:val="24"/>
          <w:lang w:val="en" w:eastAsia="en-AU"/>
        </w:rPr>
        <w:t xml:space="preserve"> or (for specialist schools) regionally approved,</w:t>
      </w:r>
      <w:r w:rsidRPr="004D307F">
        <w:rPr>
          <w:rFonts w:ascii="VIC" w:eastAsia="Times New Roman" w:hAnsi="VIC" w:cs="Times New Roman"/>
          <w:color w:val="011A3C"/>
          <w:sz w:val="24"/>
          <w:szCs w:val="24"/>
          <w:lang w:val="en" w:eastAsia="en-AU"/>
        </w:rPr>
        <w:t xml:space="preserve"> Program for Students with Disabilities funding cannot be guaranteed.</w:t>
      </w:r>
    </w:p>
    <w:p w14:paraId="6D0188EF" w14:textId="77777777" w:rsidR="00AD16F0" w:rsidRPr="004D307F" w:rsidRDefault="00AD16F0" w:rsidP="00AD16F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Principals must ensure all students eligible for the PSD are listed on PSDMS prior to these critical dates. Enrolment details for new students, or current students not listed on PSDMS, must be promptly uploaded from CASES21 and registered in PSDMS, see </w:t>
      </w:r>
      <w:hyperlink r:id="rId47" w:history="1">
        <w:r w:rsidRPr="004D307F">
          <w:rPr>
            <w:rFonts w:ascii="VIC" w:eastAsia="Times New Roman" w:hAnsi="VIC" w:cs="Times New Roman"/>
            <w:color w:val="011A3C"/>
            <w:sz w:val="24"/>
            <w:szCs w:val="24"/>
            <w:lang w:val="en" w:eastAsia="en-AU"/>
          </w:rPr>
          <w:t>PSDMS</w:t>
        </w:r>
      </w:hyperlink>
      <w:r w:rsidRPr="004D307F">
        <w:rPr>
          <w:rFonts w:ascii="VIC" w:eastAsia="Times New Roman" w:hAnsi="VIC" w:cs="Times New Roman"/>
          <w:color w:val="011A3C"/>
          <w:sz w:val="24"/>
          <w:szCs w:val="24"/>
          <w:lang w:val="en" w:eastAsia="en-AU"/>
        </w:rPr>
        <w:t>.</w:t>
      </w:r>
    </w:p>
    <w:p w14:paraId="6EEF1941" w14:textId="43BA0222"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Where a student transfers during the school year, resources remaining for the year will be adjusted and made available to the new school from the commencement of the next school term (pending enrolment registration on PSDMS). The </w:t>
      </w:r>
      <w:r w:rsidR="001B66F8" w:rsidRPr="004D307F">
        <w:rPr>
          <w:rFonts w:ascii="VIC-Regular" w:eastAsia="Times New Roman" w:hAnsi="VIC-Regular" w:cs="Times New Roman"/>
          <w:color w:val="011A3C"/>
          <w:sz w:val="24"/>
          <w:szCs w:val="24"/>
          <w:lang w:val="en" w:eastAsia="en-AU"/>
        </w:rPr>
        <w:t xml:space="preserve">Student Resource </w:t>
      </w:r>
      <w:r w:rsidR="001039D9" w:rsidRPr="004D307F">
        <w:rPr>
          <w:rFonts w:ascii="VIC-Regular" w:eastAsia="Times New Roman" w:hAnsi="VIC-Regular" w:cs="Times New Roman"/>
          <w:color w:val="011A3C"/>
          <w:sz w:val="24"/>
          <w:szCs w:val="24"/>
          <w:lang w:val="en" w:eastAsia="en-AU"/>
        </w:rPr>
        <w:t>Package (</w:t>
      </w:r>
      <w:r w:rsidR="001B66F8" w:rsidRPr="004D307F">
        <w:rPr>
          <w:rFonts w:ascii="VIC-Regular" w:eastAsia="Times New Roman" w:hAnsi="VIC-Regular" w:cs="Times New Roman"/>
          <w:color w:val="011A3C"/>
          <w:sz w:val="24"/>
          <w:szCs w:val="24"/>
          <w:lang w:val="en" w:eastAsia="en-AU"/>
        </w:rPr>
        <w:t xml:space="preserve">SRP) </w:t>
      </w:r>
      <w:r w:rsidRPr="004D307F">
        <w:rPr>
          <w:rFonts w:ascii="VIC-Regular" w:eastAsia="Times New Roman" w:hAnsi="VIC-Regular" w:cs="Times New Roman"/>
          <w:color w:val="011A3C"/>
          <w:sz w:val="24"/>
          <w:szCs w:val="24"/>
          <w:lang w:val="en" w:eastAsia="en-AU"/>
        </w:rPr>
        <w:t>is revised at the end of each term to capture these changes. </w:t>
      </w:r>
    </w:p>
    <w:p w14:paraId="65A8CA1F"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should make local arrangements to transfer resources for enrolment changes occurring during term.</w:t>
      </w:r>
    </w:p>
    <w:p w14:paraId="4D96BA77" w14:textId="1BBF664F" w:rsidR="00985091" w:rsidRPr="004D307F" w:rsidRDefault="00AD16F0"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Where agreement has been reached that a student is enrolled and attends two schools, the allocation will be provided on a pro-rata basis consistent with the enrolment details contained in CASES21 and registered on PSDMS.</w:t>
      </w:r>
    </w:p>
    <w:p w14:paraId="32104487" w14:textId="18C49C00" w:rsidR="00AD16F0" w:rsidRPr="004D307F"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 xml:space="preserve">Rates </w:t>
      </w:r>
      <w:r w:rsidRPr="004D307F">
        <w:rPr>
          <w:rFonts w:ascii="VIC-Bold" w:eastAsia="Times New Roman" w:hAnsi="VIC-Bold" w:cs="Times New Roman" w:hint="eastAsia"/>
          <w:b/>
          <w:bCs/>
          <w:color w:val="011A3C"/>
          <w:sz w:val="24"/>
          <w:szCs w:val="24"/>
          <w:lang w:val="en" w:eastAsia="en-AU"/>
        </w:rPr>
        <w:t>—</w:t>
      </w:r>
      <w:r w:rsidRPr="004D307F">
        <w:rPr>
          <w:rFonts w:ascii="VIC-Bold" w:eastAsia="Times New Roman" w:hAnsi="VIC-Bold" w:cs="Times New Roman"/>
          <w:b/>
          <w:bCs/>
          <w:color w:val="011A3C"/>
          <w:sz w:val="24"/>
          <w:szCs w:val="24"/>
          <w:lang w:val="en" w:eastAsia="en-AU"/>
        </w:rPr>
        <w:t xml:space="preserve"> 202</w:t>
      </w:r>
      <w:r w:rsidR="004D6760" w:rsidRPr="004D307F">
        <w:rPr>
          <w:rFonts w:ascii="VIC-Bold" w:eastAsia="Times New Roman" w:hAnsi="VIC-Bold" w:cs="Times New Roman"/>
          <w:b/>
          <w:bCs/>
          <w:color w:val="011A3C"/>
          <w:sz w:val="24"/>
          <w:szCs w:val="24"/>
          <w:lang w:val="en" w:eastAsia="en-AU"/>
        </w:rPr>
        <w:t>2</w:t>
      </w:r>
    </w:p>
    <w:p w14:paraId="3B0E3E15" w14:textId="6077A36B" w:rsidR="007F0F4A" w:rsidRPr="004D307F" w:rsidRDefault="00AD16F0"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Level 1 </w:t>
      </w:r>
      <w:r w:rsidR="00FE010D" w:rsidRPr="004D307F">
        <w:rPr>
          <w:rFonts w:ascii="VIC-Regular" w:eastAsia="Times New Roman" w:hAnsi="VIC-Regular" w:cs="Times New Roman"/>
          <w:color w:val="011A3C"/>
          <w:sz w:val="24"/>
          <w:szCs w:val="24"/>
          <w:lang w:val="en" w:eastAsia="en-AU"/>
        </w:rPr>
        <w:t>— (</w:t>
      </w:r>
      <w:r w:rsidRPr="004D307F">
        <w:rPr>
          <w:rFonts w:ascii="VIC-Regular" w:eastAsia="Times New Roman" w:hAnsi="VIC-Regular" w:cs="Times New Roman"/>
          <w:color w:val="011A3C"/>
          <w:sz w:val="24"/>
          <w:szCs w:val="24"/>
          <w:lang w:val="en" w:eastAsia="en-AU"/>
        </w:rPr>
        <w:t xml:space="preserve">$) </w:t>
      </w:r>
      <w:r w:rsidR="002C0C9D" w:rsidRPr="004D307F">
        <w:rPr>
          <w:rFonts w:ascii="VIC-Regular" w:eastAsia="Times New Roman" w:hAnsi="VIC-Regular" w:cs="Times New Roman"/>
          <w:color w:val="011A3C"/>
          <w:sz w:val="24"/>
          <w:szCs w:val="24"/>
          <w:lang w:val="en" w:eastAsia="en-AU"/>
        </w:rPr>
        <w:t>7,77</w:t>
      </w:r>
      <w:r w:rsidR="006804FE" w:rsidRPr="004D307F">
        <w:rPr>
          <w:rFonts w:ascii="VIC-Regular" w:eastAsia="Times New Roman" w:hAnsi="VIC-Regular" w:cs="Times New Roman"/>
          <w:color w:val="011A3C"/>
          <w:sz w:val="24"/>
          <w:szCs w:val="24"/>
          <w:lang w:val="en" w:eastAsia="en-AU"/>
        </w:rPr>
        <w:t>9</w:t>
      </w:r>
    </w:p>
    <w:p w14:paraId="71EB7337" w14:textId="4F2359A1" w:rsidR="007F0F4A" w:rsidRPr="004D307F" w:rsidRDefault="00AD16F0"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Level 2 — ($) </w:t>
      </w:r>
      <w:r w:rsidR="009C610B" w:rsidRPr="004D307F">
        <w:rPr>
          <w:rFonts w:ascii="VIC-Regular" w:eastAsia="Times New Roman" w:hAnsi="VIC-Regular" w:cs="Times New Roman"/>
          <w:color w:val="011A3C"/>
          <w:sz w:val="24"/>
          <w:szCs w:val="24"/>
          <w:lang w:val="en" w:eastAsia="en-AU"/>
        </w:rPr>
        <w:t>17,9</w:t>
      </w:r>
      <w:r w:rsidR="006804FE" w:rsidRPr="004D307F">
        <w:rPr>
          <w:rFonts w:ascii="VIC-Regular" w:eastAsia="Times New Roman" w:hAnsi="VIC-Regular" w:cs="Times New Roman"/>
          <w:color w:val="011A3C"/>
          <w:sz w:val="24"/>
          <w:szCs w:val="24"/>
          <w:lang w:val="en" w:eastAsia="en-AU"/>
        </w:rPr>
        <w:t>91</w:t>
      </w:r>
    </w:p>
    <w:p w14:paraId="08D122B8" w14:textId="1A3256D3" w:rsidR="00AD16F0" w:rsidRPr="004D307F" w:rsidRDefault="00AD16F0"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Level 3 — ($) </w:t>
      </w:r>
      <w:r w:rsidR="009C610B" w:rsidRPr="004D307F">
        <w:rPr>
          <w:rFonts w:ascii="VIC-Regular" w:eastAsia="Times New Roman" w:hAnsi="VIC-Regular" w:cs="Times New Roman"/>
          <w:color w:val="011A3C"/>
          <w:sz w:val="24"/>
          <w:szCs w:val="24"/>
          <w:lang w:val="en" w:eastAsia="en-AU"/>
        </w:rPr>
        <w:t>28,</w:t>
      </w:r>
      <w:r w:rsidR="006804FE" w:rsidRPr="004D307F">
        <w:rPr>
          <w:rFonts w:ascii="VIC-Regular" w:eastAsia="Times New Roman" w:hAnsi="VIC-Regular" w:cs="Times New Roman"/>
          <w:color w:val="011A3C"/>
          <w:sz w:val="24"/>
          <w:szCs w:val="24"/>
          <w:lang w:val="en" w:eastAsia="en-AU"/>
        </w:rPr>
        <w:t>400</w:t>
      </w:r>
    </w:p>
    <w:p w14:paraId="5A2D9FA5" w14:textId="18398E42" w:rsidR="00AD16F0" w:rsidRPr="004D307F" w:rsidRDefault="00AD16F0"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Level 4 — ($) </w:t>
      </w:r>
      <w:r w:rsidR="009C610B" w:rsidRPr="004D307F">
        <w:rPr>
          <w:rFonts w:ascii="VIC-Regular" w:eastAsia="Times New Roman" w:hAnsi="VIC-Regular" w:cs="Times New Roman"/>
          <w:color w:val="011A3C"/>
          <w:sz w:val="24"/>
          <w:szCs w:val="24"/>
          <w:lang w:val="en" w:eastAsia="en-AU"/>
        </w:rPr>
        <w:t>38,7</w:t>
      </w:r>
      <w:r w:rsidR="006804FE" w:rsidRPr="004D307F">
        <w:rPr>
          <w:rFonts w:ascii="VIC-Regular" w:eastAsia="Times New Roman" w:hAnsi="VIC-Regular" w:cs="Times New Roman"/>
          <w:color w:val="011A3C"/>
          <w:sz w:val="24"/>
          <w:szCs w:val="24"/>
          <w:lang w:val="en" w:eastAsia="en-AU"/>
        </w:rPr>
        <w:t>60</w:t>
      </w:r>
    </w:p>
    <w:p w14:paraId="2842D62C" w14:textId="731336E4" w:rsidR="007F0F4A" w:rsidRPr="004D307F" w:rsidRDefault="00AD16F0"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Level 5 — ($) </w:t>
      </w:r>
      <w:r w:rsidR="009C610B" w:rsidRPr="004D307F">
        <w:rPr>
          <w:rFonts w:ascii="VIC-Regular" w:eastAsia="Times New Roman" w:hAnsi="VIC-Regular" w:cs="Times New Roman"/>
          <w:color w:val="011A3C"/>
          <w:sz w:val="24"/>
          <w:szCs w:val="24"/>
          <w:lang w:val="en" w:eastAsia="en-AU"/>
        </w:rPr>
        <w:t>49,</w:t>
      </w:r>
      <w:r w:rsidR="006804FE" w:rsidRPr="004D307F">
        <w:rPr>
          <w:rFonts w:ascii="VIC-Regular" w:eastAsia="Times New Roman" w:hAnsi="VIC-Regular" w:cs="Times New Roman"/>
          <w:color w:val="011A3C"/>
          <w:sz w:val="24"/>
          <w:szCs w:val="24"/>
          <w:lang w:val="en" w:eastAsia="en-AU"/>
        </w:rPr>
        <w:t>041</w:t>
      </w:r>
    </w:p>
    <w:p w14:paraId="74989440" w14:textId="68C522B3" w:rsidR="0087250D" w:rsidRPr="004D307F" w:rsidRDefault="00AD16F0"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Level 6 </w:t>
      </w:r>
      <w:r w:rsidR="00FE010D" w:rsidRPr="004D307F">
        <w:rPr>
          <w:rFonts w:ascii="VIC-Regular" w:eastAsia="Times New Roman" w:hAnsi="VIC-Regular" w:cs="Times New Roman"/>
          <w:color w:val="011A3C"/>
          <w:sz w:val="24"/>
          <w:szCs w:val="24"/>
          <w:lang w:val="en" w:eastAsia="en-AU"/>
        </w:rPr>
        <w:t>— (</w:t>
      </w:r>
      <w:r w:rsidRPr="004D307F">
        <w:rPr>
          <w:rFonts w:ascii="VIC-Regular" w:eastAsia="Times New Roman" w:hAnsi="VIC-Regular" w:cs="Times New Roman"/>
          <w:color w:val="011A3C"/>
          <w:sz w:val="24"/>
          <w:szCs w:val="24"/>
          <w:lang w:val="en" w:eastAsia="en-AU"/>
        </w:rPr>
        <w:t xml:space="preserve">$) </w:t>
      </w:r>
      <w:r w:rsidR="009C610B" w:rsidRPr="004D307F">
        <w:rPr>
          <w:rFonts w:ascii="VIC-Regular" w:eastAsia="Times New Roman" w:hAnsi="VIC-Regular" w:cs="Times New Roman"/>
          <w:color w:val="011A3C"/>
          <w:sz w:val="24"/>
          <w:szCs w:val="24"/>
          <w:lang w:val="en" w:eastAsia="en-AU"/>
        </w:rPr>
        <w:t>59,3</w:t>
      </w:r>
      <w:r w:rsidR="006804FE" w:rsidRPr="004D307F">
        <w:rPr>
          <w:rFonts w:ascii="VIC-Regular" w:eastAsia="Times New Roman" w:hAnsi="VIC-Regular" w:cs="Times New Roman"/>
          <w:color w:val="011A3C"/>
          <w:sz w:val="24"/>
          <w:szCs w:val="24"/>
          <w:lang w:val="en" w:eastAsia="en-AU"/>
        </w:rPr>
        <w:t>77</w:t>
      </w:r>
    </w:p>
    <w:p w14:paraId="18337D72" w14:textId="77777777" w:rsidR="004B67E8" w:rsidRPr="004D307F" w:rsidRDefault="0087250D" w:rsidP="004B67E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Example </w:t>
      </w:r>
    </w:p>
    <w:p w14:paraId="3C65C6A6" w14:textId="6DD11D44" w:rsidR="0087250D" w:rsidRPr="004D307F" w:rsidRDefault="004B67E8"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 </w:t>
      </w:r>
      <w:r w:rsidR="0087250D" w:rsidRPr="004D307F">
        <w:rPr>
          <w:rFonts w:ascii="VIC-Regular" w:eastAsia="Times New Roman" w:hAnsi="VIC-Regular" w:cs="Times New Roman"/>
          <w:color w:val="011A3C"/>
          <w:sz w:val="24"/>
          <w:szCs w:val="24"/>
          <w:lang w:val="en" w:eastAsia="en-AU"/>
        </w:rPr>
        <w:t>school with 5 Level 3 enrolments would calculate their funding as:</w:t>
      </w:r>
    </w:p>
    <w:p w14:paraId="278295DD" w14:textId="77777777" w:rsidR="0087250D" w:rsidRPr="004D307F" w:rsidRDefault="0087250D"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Level 3 enrolments (5) x Level 3 Rate</w:t>
      </w:r>
    </w:p>
    <w:p w14:paraId="46978D89" w14:textId="4CDD6408" w:rsidR="0087250D" w:rsidRPr="004D307F" w:rsidRDefault="0087250D"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This calculation will be repeated for all enrolment levels at the school.</w:t>
      </w:r>
    </w:p>
    <w:p w14:paraId="5B698EDD" w14:textId="77777777" w:rsidR="00AD16F0" w:rsidRPr="004D307F"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Important items to note:</w:t>
      </w:r>
    </w:p>
    <w:p w14:paraId="7B9A8DD2" w14:textId="77777777" w:rsidR="00AD16F0" w:rsidRPr="004D307F" w:rsidRDefault="00AD16F0" w:rsidP="00ED0863">
      <w:pPr>
        <w:numPr>
          <w:ilvl w:val="0"/>
          <w:numId w:val="1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Indicative SRP is based on PSD application and enrolment information as at Term 3 the year prior. Allocations are updated in the Confirmed SRP, capturing enrolment and application changes that occur between Term 3 and Term 1.</w:t>
      </w:r>
    </w:p>
    <w:p w14:paraId="733FB3D0" w14:textId="77777777" w:rsidR="00AD16F0" w:rsidRPr="004D307F" w:rsidRDefault="00AD16F0" w:rsidP="00ED0863">
      <w:pPr>
        <w:numPr>
          <w:ilvl w:val="0"/>
          <w:numId w:val="1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PSD allocations should be reviewed termly in PSDMS (Resource Allocation Listing) and the SRP (Budget Details report), and any questions can be logged via the DET Service Gateway. Reconciliation requests can only be considered on a one-term basis. Requests for budget adjustments cannot be considered beyond the previous term.</w:t>
      </w:r>
    </w:p>
    <w:p w14:paraId="6DE21C95" w14:textId="77777777" w:rsidR="00AD16F0" w:rsidRPr="004D307F"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Further information</w:t>
      </w:r>
    </w:p>
    <w:p w14:paraId="166F813C" w14:textId="1B54B13F" w:rsidR="00AD16F0" w:rsidRPr="004D307F" w:rsidRDefault="00901FCB" w:rsidP="00ED0863">
      <w:pPr>
        <w:numPr>
          <w:ilvl w:val="0"/>
          <w:numId w:val="15"/>
        </w:numPr>
        <w:spacing w:before="100" w:beforeAutospacing="1" w:after="100" w:afterAutospacing="1" w:line="360" w:lineRule="atLeast"/>
        <w:rPr>
          <w:rStyle w:val="Hyperlink"/>
          <w:rFonts w:ascii="VIC" w:hAnsi="VIC"/>
          <w:sz w:val="24"/>
          <w:szCs w:val="24"/>
        </w:rPr>
      </w:pPr>
      <w:hyperlink r:id="rId48" w:history="1">
        <w:r w:rsidR="00AD16F0" w:rsidRPr="004D307F">
          <w:rPr>
            <w:rStyle w:val="Hyperlink"/>
            <w:rFonts w:ascii="VIC" w:hAnsi="VIC"/>
            <w:sz w:val="24"/>
            <w:szCs w:val="24"/>
          </w:rPr>
          <w:t>Program for Students with Disabilities —</w:t>
        </w:r>
        <w:r w:rsidR="00AD16F0" w:rsidRPr="004D307F">
          <w:rPr>
            <w:rStyle w:val="Hyperlink"/>
            <w:rFonts w:ascii="Calibri" w:hAnsi="Calibri" w:cs="Calibri"/>
            <w:sz w:val="24"/>
            <w:szCs w:val="24"/>
          </w:rPr>
          <w:t> </w:t>
        </w:r>
        <w:r w:rsidR="00AD16F0" w:rsidRPr="004D307F">
          <w:rPr>
            <w:rStyle w:val="Hyperlink"/>
            <w:rFonts w:ascii="VIC" w:hAnsi="VIC"/>
            <w:sz w:val="24"/>
            <w:szCs w:val="24"/>
          </w:rPr>
          <w:t>guidelines for schools</w:t>
        </w:r>
      </w:hyperlink>
    </w:p>
    <w:p w14:paraId="4EBD8D13" w14:textId="77777777" w:rsidR="00AD16F0" w:rsidRPr="004D307F" w:rsidRDefault="00901FCB" w:rsidP="00ED0863">
      <w:pPr>
        <w:numPr>
          <w:ilvl w:val="0"/>
          <w:numId w:val="15"/>
        </w:numPr>
        <w:spacing w:before="100" w:beforeAutospacing="1" w:after="100" w:afterAutospacing="1" w:line="360" w:lineRule="atLeast"/>
        <w:rPr>
          <w:rStyle w:val="Hyperlink"/>
          <w:rFonts w:ascii="VIC" w:hAnsi="VIC"/>
          <w:sz w:val="24"/>
          <w:szCs w:val="24"/>
        </w:rPr>
      </w:pPr>
      <w:hyperlink r:id="rId49" w:history="1">
        <w:r w:rsidR="00AD16F0" w:rsidRPr="004D307F">
          <w:rPr>
            <w:rStyle w:val="Hyperlink"/>
            <w:rFonts w:ascii="VIC" w:hAnsi="VIC"/>
            <w:sz w:val="24"/>
            <w:szCs w:val="24"/>
          </w:rPr>
          <w:t>Student Support Groups</w:t>
        </w:r>
      </w:hyperlink>
    </w:p>
    <w:p w14:paraId="58D9E72B" w14:textId="77777777" w:rsidR="00AD16F0" w:rsidRPr="004D307F" w:rsidRDefault="00901FCB" w:rsidP="00ED0863">
      <w:pPr>
        <w:numPr>
          <w:ilvl w:val="0"/>
          <w:numId w:val="15"/>
        </w:numPr>
        <w:spacing w:before="100" w:beforeAutospacing="1" w:after="100" w:afterAutospacing="1" w:line="360" w:lineRule="atLeast"/>
        <w:rPr>
          <w:rStyle w:val="Hyperlink"/>
          <w:rFonts w:ascii="VIC" w:hAnsi="VIC"/>
          <w:sz w:val="24"/>
          <w:szCs w:val="24"/>
        </w:rPr>
      </w:pPr>
      <w:hyperlink r:id="rId50" w:history="1">
        <w:r w:rsidR="00AD16F0" w:rsidRPr="004D307F">
          <w:rPr>
            <w:rStyle w:val="Hyperlink"/>
            <w:rFonts w:ascii="VIC" w:hAnsi="VIC"/>
            <w:sz w:val="24"/>
            <w:szCs w:val="24"/>
          </w:rPr>
          <w:t>Program for Students with Disabilities Management System (PSDMS) — information and user guides</w:t>
        </w:r>
      </w:hyperlink>
      <w:r w:rsidR="00AD16F0" w:rsidRPr="004D307F">
        <w:rPr>
          <w:rStyle w:val="Hyperlink"/>
          <w:rFonts w:ascii="VIC" w:hAnsi="VIC"/>
          <w:sz w:val="24"/>
          <w:szCs w:val="24"/>
        </w:rPr>
        <w:t xml:space="preserve"> </w:t>
      </w:r>
    </w:p>
    <w:p w14:paraId="3A865196" w14:textId="77777777" w:rsidR="00AD16F0" w:rsidRPr="004D307F" w:rsidRDefault="00901FCB" w:rsidP="00ED0863">
      <w:pPr>
        <w:numPr>
          <w:ilvl w:val="1"/>
          <w:numId w:val="15"/>
        </w:numPr>
        <w:spacing w:before="100" w:beforeAutospacing="1" w:after="100" w:afterAutospacing="1" w:line="360" w:lineRule="atLeast"/>
        <w:rPr>
          <w:rStyle w:val="Hyperlink"/>
          <w:rFonts w:ascii="VIC" w:hAnsi="VIC"/>
          <w:sz w:val="24"/>
          <w:szCs w:val="24"/>
        </w:rPr>
      </w:pPr>
      <w:hyperlink r:id="rId51" w:history="1">
        <w:r w:rsidR="00AD16F0" w:rsidRPr="004D307F">
          <w:rPr>
            <w:rStyle w:val="Hyperlink"/>
            <w:rFonts w:ascii="VIC" w:hAnsi="VIC"/>
            <w:sz w:val="24"/>
            <w:szCs w:val="24"/>
          </w:rPr>
          <w:t>PSDMS log in (for registered users)</w:t>
        </w:r>
      </w:hyperlink>
    </w:p>
    <w:p w14:paraId="3C167809" w14:textId="77777777" w:rsidR="004D6760" w:rsidRPr="004D307F" w:rsidRDefault="00901FCB" w:rsidP="00ED0863">
      <w:pPr>
        <w:numPr>
          <w:ilvl w:val="0"/>
          <w:numId w:val="15"/>
        </w:numPr>
        <w:spacing w:before="100" w:beforeAutospacing="1" w:after="100" w:afterAutospacing="1" w:line="360" w:lineRule="atLeast"/>
        <w:rPr>
          <w:rFonts w:ascii="VIC" w:eastAsia="Times New Roman" w:hAnsi="VIC" w:cs="Times New Roman"/>
          <w:color w:val="011A3C"/>
          <w:sz w:val="24"/>
          <w:szCs w:val="24"/>
          <w:lang w:val="en" w:eastAsia="en-AU"/>
        </w:rPr>
      </w:pPr>
      <w:hyperlink r:id="rId52" w:history="1">
        <w:r w:rsidR="004D6760" w:rsidRPr="004D307F">
          <w:rPr>
            <w:rFonts w:ascii="VIC" w:eastAsia="Times New Roman" w:hAnsi="VIC" w:cs="Times New Roman"/>
            <w:color w:val="011A3C"/>
            <w:sz w:val="24"/>
            <w:szCs w:val="24"/>
            <w:lang w:val="en" w:eastAsia="en-AU"/>
          </w:rPr>
          <w:t>DET Services Portal</w:t>
        </w:r>
      </w:hyperlink>
    </w:p>
    <w:p w14:paraId="10111DAB" w14:textId="121FA041" w:rsidR="00A12061" w:rsidRPr="00FA087E" w:rsidRDefault="00901FCB" w:rsidP="00FA087E">
      <w:pPr>
        <w:numPr>
          <w:ilvl w:val="0"/>
          <w:numId w:val="15"/>
        </w:numPr>
        <w:spacing w:before="100" w:beforeAutospacing="1" w:after="100" w:afterAutospacing="1" w:line="360" w:lineRule="atLeast"/>
        <w:rPr>
          <w:rFonts w:ascii="VIC" w:eastAsia="Times New Roman" w:hAnsi="VIC" w:cs="Times New Roman"/>
          <w:color w:val="011A3C"/>
          <w:sz w:val="24"/>
          <w:szCs w:val="24"/>
          <w:lang w:val="en" w:eastAsia="en-AU"/>
        </w:rPr>
      </w:pPr>
      <w:hyperlink r:id="rId53" w:history="1">
        <w:r w:rsidR="004D6760" w:rsidRPr="004D307F">
          <w:rPr>
            <w:rStyle w:val="Hyperlink"/>
            <w:rFonts w:ascii="VIC" w:eastAsia="Times New Roman" w:hAnsi="VIC" w:cs="Times New Roman"/>
            <w:sz w:val="24"/>
            <w:szCs w:val="24"/>
            <w:lang w:val="en" w:eastAsia="en-AU"/>
          </w:rPr>
          <w:t>Disability Inclusion funding and support</w:t>
        </w:r>
      </w:hyperlink>
      <w:r w:rsidR="00A12061" w:rsidRPr="00FA087E">
        <w:rPr>
          <w:rFonts w:ascii="VIC" w:hAnsi="VIC"/>
          <w:sz w:val="24"/>
          <w:szCs w:val="24"/>
        </w:rPr>
        <w:br w:type="page"/>
      </w:r>
    </w:p>
    <w:p w14:paraId="4DC5249A" w14:textId="22254EC1" w:rsidR="00A266A0" w:rsidRPr="004D307F" w:rsidRDefault="00A266A0" w:rsidP="00B566E7">
      <w:pPr>
        <w:pStyle w:val="Heading2"/>
      </w:pPr>
      <w:bookmarkStart w:id="31" w:name="_Toc106793754"/>
      <w:r w:rsidRPr="004D307F">
        <w:lastRenderedPageBreak/>
        <w:t>Program for Students with Disabilities — Transition Support Funding (Reference 66)</w:t>
      </w:r>
      <w:bookmarkEnd w:id="31"/>
    </w:p>
    <w:p w14:paraId="2B019A71" w14:textId="173B386B" w:rsidR="00A266A0" w:rsidRPr="004D307F" w:rsidRDefault="00A266A0" w:rsidP="00A266A0">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Transition Support Funding is available to government secondary schools to support students starting Year 7 in 202</w:t>
      </w:r>
      <w:r w:rsidR="00205123" w:rsidRPr="004D307F">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xml:space="preserve"> who are no longer eligible for the Program for Students with Disabilities (PSD) after their Year 6-7 Review.</w:t>
      </w:r>
    </w:p>
    <w:p w14:paraId="778EBC9C" w14:textId="77777777" w:rsidR="00A266A0" w:rsidRPr="004D307F" w:rsidRDefault="00A266A0" w:rsidP="00A266A0">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funding supports the delivery of personalised teaching and learning programs that respond to students' needs.</w:t>
      </w:r>
    </w:p>
    <w:p w14:paraId="39E6AB87" w14:textId="76AB279B" w:rsidR="00A266A0" w:rsidRPr="004D307F" w:rsidRDefault="00A266A0" w:rsidP="00A266A0">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are encouraged to use the </w:t>
      </w:r>
      <w:hyperlink r:id="rId54" w:history="1">
        <w:r w:rsidR="00205123" w:rsidRPr="004D307F">
          <w:rPr>
            <w:rStyle w:val="Hyperlink"/>
            <w:rFonts w:ascii="VIC-Regular" w:hAnsi="VIC-Regular" w:cs="Times New Roman"/>
            <w:sz w:val="24"/>
            <w:szCs w:val="24"/>
          </w:rPr>
          <w:t>Student Support Group (SSG</w:t>
        </w:r>
        <w:r w:rsidR="00205123" w:rsidRPr="004D307F">
          <w:rPr>
            <w:rStyle w:val="Hyperlink"/>
            <w:rFonts w:ascii="VIC-Regular" w:eastAsia="Times New Roman" w:hAnsi="VIC-Regular" w:cs="Times New Roman"/>
            <w:sz w:val="24"/>
            <w:szCs w:val="24"/>
            <w:lang w:val="en" w:eastAsia="en-AU"/>
          </w:rPr>
          <w:t>)</w:t>
        </w:r>
      </w:hyperlink>
      <w:r w:rsidRPr="004D307F">
        <w:rPr>
          <w:rFonts w:ascii="VIC-Regular" w:eastAsia="Times New Roman" w:hAnsi="VIC-Regular" w:cs="Times New Roman"/>
          <w:color w:val="011A3C"/>
          <w:sz w:val="24"/>
          <w:szCs w:val="24"/>
          <w:lang w:val="en" w:eastAsia="en-AU"/>
        </w:rPr>
        <w:t xml:space="preserve"> process to draw on the expertise of the group to formulate and commit to specific strategies and implementation plans that will support the student's educational needs, inclusion and engagement. The progress of the agreed strategies should be regularly reviewed at SSG meetings each term. </w:t>
      </w:r>
    </w:p>
    <w:p w14:paraId="347C5301" w14:textId="7C045979" w:rsidR="00205123" w:rsidRPr="004D307F" w:rsidRDefault="00205123" w:rsidP="00A266A0">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Transition Support Funding allocations will be progressively replaced by Disability Inclusion Tier 2 school-level funding as part of the implementation of</w:t>
      </w:r>
      <w:r w:rsidR="00B241D3" w:rsidRPr="004D307F">
        <w:rPr>
          <w:rFonts w:ascii="VIC-Regular" w:eastAsia="Times New Roman" w:hAnsi="VIC-Regular" w:cs="Times New Roman"/>
          <w:color w:val="011A3C"/>
          <w:sz w:val="24"/>
          <w:szCs w:val="24"/>
          <w:lang w:val="en" w:eastAsia="en-AU"/>
        </w:rPr>
        <w:t xml:space="preserve"> the </w:t>
      </w:r>
      <w:r w:rsidRPr="004D307F">
        <w:rPr>
          <w:rFonts w:ascii="VIC-Regular" w:eastAsia="Times New Roman" w:hAnsi="VIC-Regular" w:cs="Times New Roman"/>
          <w:color w:val="011A3C"/>
          <w:sz w:val="24"/>
          <w:szCs w:val="24"/>
          <w:lang w:val="en" w:eastAsia="en-AU"/>
        </w:rPr>
        <w:t>Disability Inclusion funding and suppor</w:t>
      </w:r>
      <w:r w:rsidR="00B241D3" w:rsidRPr="004D307F">
        <w:rPr>
          <w:rFonts w:ascii="VIC-Regular" w:eastAsia="Times New Roman" w:hAnsi="VIC-Regular" w:cs="Times New Roman"/>
          <w:color w:val="011A3C"/>
          <w:sz w:val="24"/>
          <w:szCs w:val="24"/>
          <w:lang w:val="en" w:eastAsia="en-AU"/>
        </w:rPr>
        <w:t>t model</w:t>
      </w:r>
      <w:r w:rsidRPr="004D307F">
        <w:rPr>
          <w:rFonts w:ascii="VIC-Regular" w:eastAsia="Times New Roman" w:hAnsi="VIC-Regular" w:cs="Times New Roman"/>
          <w:color w:val="011A3C"/>
          <w:sz w:val="24"/>
          <w:szCs w:val="24"/>
          <w:lang w:val="en" w:eastAsia="en-AU"/>
        </w:rPr>
        <w:t>.</w:t>
      </w:r>
    </w:p>
    <w:p w14:paraId="44309C3B" w14:textId="77777777" w:rsidR="001059CF" w:rsidRPr="004D307F" w:rsidRDefault="001059CF" w:rsidP="001059C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67F51513" w14:textId="77777777" w:rsidR="00205123" w:rsidRPr="004D307F" w:rsidRDefault="00205123" w:rsidP="001059C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Transition Support funding will continue to be available to schools until they transition to Disability Inclusion during the staged 5-year roll-out schedule between 2021 to 2025.</w:t>
      </w:r>
    </w:p>
    <w:p w14:paraId="17E65F86" w14:textId="7540D04E" w:rsidR="001059CF" w:rsidRPr="004D307F" w:rsidRDefault="00205123" w:rsidP="001059C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Remaining s</w:t>
      </w:r>
      <w:r w:rsidR="001059CF" w:rsidRPr="004D307F">
        <w:rPr>
          <w:rFonts w:ascii="VIC-Regular" w:eastAsia="Times New Roman" w:hAnsi="VIC-Regular" w:cs="Times New Roman"/>
          <w:color w:val="011A3C"/>
          <w:sz w:val="24"/>
          <w:szCs w:val="24"/>
          <w:lang w:val="en" w:eastAsia="en-AU"/>
        </w:rPr>
        <w:t>chools with the following campus types are eligible for Transition Support funding at school level.</w:t>
      </w:r>
    </w:p>
    <w:p w14:paraId="7BEB5438" w14:textId="77777777" w:rsidR="001059CF" w:rsidRPr="004D307F" w:rsidRDefault="001059CF"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Secondary</w:t>
      </w:r>
    </w:p>
    <w:p w14:paraId="0E0ADF8F" w14:textId="6955809B" w:rsidR="001059CF" w:rsidRPr="004D307F" w:rsidRDefault="001059CF"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w:t>
      </w:r>
      <w:r w:rsidR="00AB7BB2" w:rsidRPr="004D307F">
        <w:rPr>
          <w:rFonts w:ascii="VIC-Regular" w:eastAsia="Times New Roman" w:hAnsi="VIC-Regular" w:cs="Times New Roman"/>
          <w:color w:val="011A3C"/>
          <w:sz w:val="24"/>
          <w:szCs w:val="24"/>
          <w:lang w:val="en" w:eastAsia="en-AU"/>
        </w:rPr>
        <w:t>mary</w:t>
      </w:r>
      <w:r w:rsidRPr="004D307F">
        <w:rPr>
          <w:rFonts w:ascii="VIC-Regular" w:eastAsia="Times New Roman" w:hAnsi="VIC-Regular" w:cs="Times New Roman"/>
          <w:color w:val="011A3C"/>
          <w:sz w:val="24"/>
          <w:szCs w:val="24"/>
          <w:lang w:val="en" w:eastAsia="en-AU"/>
        </w:rPr>
        <w:t>/Sec</w:t>
      </w:r>
      <w:r w:rsidR="00AB7BB2" w:rsidRPr="004D307F">
        <w:rPr>
          <w:rFonts w:ascii="VIC-Regular" w:eastAsia="Times New Roman" w:hAnsi="VIC-Regular" w:cs="Times New Roman"/>
          <w:color w:val="011A3C"/>
          <w:sz w:val="24"/>
          <w:szCs w:val="24"/>
          <w:lang w:val="en" w:eastAsia="en-AU"/>
        </w:rPr>
        <w:t>ondary</w:t>
      </w:r>
      <w:r w:rsidR="005B40E3" w:rsidRPr="004D307F">
        <w:rPr>
          <w:rFonts w:ascii="VIC-Regular" w:eastAsia="Times New Roman" w:hAnsi="VIC-Regular" w:cs="Times New Roman"/>
          <w:color w:val="011A3C"/>
          <w:sz w:val="24"/>
          <w:szCs w:val="24"/>
          <w:lang w:val="en" w:eastAsia="en-AU"/>
        </w:rPr>
        <w:t xml:space="preserve"> Combined</w:t>
      </w:r>
    </w:p>
    <w:p w14:paraId="522F2420" w14:textId="77777777" w:rsidR="001059CF" w:rsidRPr="004D307F" w:rsidRDefault="001059CF"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w:t>
      </w:r>
    </w:p>
    <w:p w14:paraId="7589BBC9" w14:textId="13450C7C" w:rsidR="001059CF" w:rsidRPr="004D307F" w:rsidRDefault="001059CF" w:rsidP="001059CF">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calculated at the Confirmed and Revised budget cycles</w:t>
      </w:r>
      <w:r w:rsidR="00AB7BB2"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 </w:t>
      </w:r>
      <w:r w:rsidR="00AB7BB2" w:rsidRPr="004D307F">
        <w:rPr>
          <w:rFonts w:ascii="VIC-Regular" w:eastAsia="Times New Roman" w:hAnsi="VIC-Regular" w:cs="Times New Roman"/>
          <w:color w:val="011A3C"/>
          <w:sz w:val="24"/>
          <w:szCs w:val="24"/>
          <w:lang w:val="en" w:eastAsia="en-AU"/>
        </w:rPr>
        <w:t>F</w:t>
      </w:r>
      <w:r w:rsidRPr="004D307F">
        <w:rPr>
          <w:rFonts w:ascii="VIC-Regular" w:eastAsia="Times New Roman" w:hAnsi="VIC-Regular" w:cs="Times New Roman"/>
          <w:color w:val="011A3C"/>
          <w:sz w:val="24"/>
          <w:szCs w:val="24"/>
          <w:lang w:val="en" w:eastAsia="en-AU"/>
        </w:rPr>
        <w:t>unding is allocated through cash funding.</w:t>
      </w:r>
    </w:p>
    <w:p w14:paraId="614F2173" w14:textId="77777777" w:rsidR="00A266A0" w:rsidRPr="004D307F" w:rsidRDefault="00A266A0" w:rsidP="00A266A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Use of funding</w:t>
      </w:r>
    </w:p>
    <w:p w14:paraId="33C31697" w14:textId="77777777" w:rsidR="00A266A0" w:rsidRPr="004D307F" w:rsidRDefault="00A266A0" w:rsidP="00A266A0">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Transition Support Funding resources, in consultation with the Student Support Group, can be used to access:</w:t>
      </w:r>
    </w:p>
    <w:p w14:paraId="5E466237" w14:textId="77777777" w:rsidR="00A266A0" w:rsidRPr="004D307F" w:rsidRDefault="00A266A0" w:rsidP="00ED0863">
      <w:pPr>
        <w:numPr>
          <w:ilvl w:val="0"/>
          <w:numId w:val="139"/>
        </w:num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consultation or support from specialist education or allied health staff</w:t>
      </w:r>
    </w:p>
    <w:p w14:paraId="4D32BD22" w14:textId="77777777" w:rsidR="00A266A0" w:rsidRPr="004D307F" w:rsidRDefault="00A266A0" w:rsidP="00ED0863">
      <w:pPr>
        <w:numPr>
          <w:ilvl w:val="0"/>
          <w:numId w:val="139"/>
        </w:num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professional development</w:t>
      </w:r>
    </w:p>
    <w:p w14:paraId="2E8EA36F" w14:textId="77777777" w:rsidR="00A266A0" w:rsidRPr="004D307F" w:rsidRDefault="00A266A0" w:rsidP="00ED0863">
      <w:pPr>
        <w:numPr>
          <w:ilvl w:val="0"/>
          <w:numId w:val="139"/>
        </w:num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specialist equipment or materials.</w:t>
      </w:r>
    </w:p>
    <w:p w14:paraId="3120AA3F" w14:textId="77777777" w:rsidR="00A266A0" w:rsidRPr="004D307F" w:rsidRDefault="00A266A0" w:rsidP="00A266A0">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Examples are provided below. </w:t>
      </w:r>
    </w:p>
    <w:p w14:paraId="4D301352" w14:textId="5AFCB741" w:rsidR="00A266A0" w:rsidRPr="004D307F" w:rsidRDefault="00A266A0" w:rsidP="00A266A0">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Transition Support Funding resources do not define or limit the support provided by a school for a student. It is the responsibility of the school, in consultation with parents/carers in the Student Support Group, to determine the specific nature of the support required, and schools are required to consider their total budget in supporting students with disability and diverse learning needs.</w:t>
      </w:r>
    </w:p>
    <w:p w14:paraId="486201DC" w14:textId="77777777" w:rsidR="00A266A0" w:rsidRPr="004D307F" w:rsidRDefault="00A266A0" w:rsidP="00A266A0">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Transition Support Funding resources should not be targeted to students in receipt of supplementary funding through the Program for Students with Disabilities.</w:t>
      </w:r>
    </w:p>
    <w:p w14:paraId="72EE434A" w14:textId="7AC58D99" w:rsidR="00A266A0" w:rsidRPr="004D307F" w:rsidRDefault="00A266A0" w:rsidP="00A266A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 xml:space="preserve">Calculation </w:t>
      </w:r>
    </w:p>
    <w:p w14:paraId="39985D14" w14:textId="77777777" w:rsidR="00A266A0" w:rsidRPr="004D307F" w:rsidRDefault="00A266A0" w:rsidP="00A266A0">
      <w:pPr>
        <w:rPr>
          <w:rFonts w:ascii="VIC" w:hAnsi="VIC" w:cstheme="majorHAnsi"/>
          <w:sz w:val="24"/>
          <w:szCs w:val="24"/>
          <w:lang w:val="en"/>
        </w:rPr>
      </w:pPr>
      <w:r w:rsidRPr="004D307F">
        <w:rPr>
          <w:rFonts w:ascii="VIC" w:eastAsia="Times New Roman" w:hAnsi="VIC" w:cs="Times New Roman"/>
          <w:color w:val="011A3C"/>
          <w:sz w:val="24"/>
          <w:szCs w:val="24"/>
          <w:lang w:val="en" w:eastAsia="en-AU"/>
        </w:rPr>
        <w:t>Transition Support Funding is calculated on a pro-rata basis according to enrolment information provided by schools via the</w:t>
      </w:r>
      <w:r w:rsidRPr="004D307F">
        <w:rPr>
          <w:rFonts w:ascii="VIC" w:hAnsi="VIC" w:cstheme="majorHAnsi"/>
          <w:sz w:val="24"/>
          <w:szCs w:val="24"/>
          <w:lang w:val="en"/>
        </w:rPr>
        <w:t xml:space="preserve"> </w:t>
      </w:r>
      <w:hyperlink r:id="rId55" w:history="1">
        <w:r w:rsidRPr="004D307F">
          <w:rPr>
            <w:rFonts w:ascii="VIC" w:hAnsi="VIC" w:cstheme="majorHAnsi"/>
            <w:color w:val="0000FF"/>
            <w:sz w:val="24"/>
            <w:szCs w:val="24"/>
            <w:u w:val="single"/>
            <w:lang w:val="en"/>
          </w:rPr>
          <w:t>Program for Students with Disabilities Management System (PSDMS)</w:t>
        </w:r>
      </w:hyperlink>
      <w:r w:rsidRPr="004D307F">
        <w:rPr>
          <w:rFonts w:ascii="VIC" w:hAnsi="VIC" w:cstheme="majorHAnsi"/>
          <w:sz w:val="24"/>
          <w:szCs w:val="24"/>
          <w:lang w:val="en"/>
        </w:rPr>
        <w:t xml:space="preserve"> </w:t>
      </w:r>
      <w:r w:rsidRPr="004D307F">
        <w:rPr>
          <w:rFonts w:ascii="VIC" w:eastAsia="Times New Roman" w:hAnsi="VIC" w:cs="Times New Roman"/>
          <w:color w:val="011A3C"/>
          <w:sz w:val="24"/>
          <w:szCs w:val="24"/>
          <w:lang w:val="en" w:eastAsia="en-AU"/>
        </w:rPr>
        <w:t>in Term 1.</w:t>
      </w:r>
    </w:p>
    <w:p w14:paraId="25379106" w14:textId="77777777" w:rsidR="00A266A0" w:rsidRPr="004D307F" w:rsidRDefault="00A266A0" w:rsidP="00A266A0">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 principals will be emailed directly to detail Transition Support Funding allocations following the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release of the Confirmed Student Resource Package.</w:t>
      </w:r>
    </w:p>
    <w:p w14:paraId="5FC354F7" w14:textId="77777777" w:rsidR="00A266A0" w:rsidRPr="004D307F" w:rsidRDefault="00A266A0" w:rsidP="00A266A0">
      <w:pPr>
        <w:rPr>
          <w:rFonts w:ascii="VIC" w:hAnsi="VIC" w:cstheme="majorHAnsi"/>
          <w:sz w:val="24"/>
          <w:szCs w:val="24"/>
        </w:rPr>
      </w:pPr>
      <w:r w:rsidRPr="004D307F">
        <w:rPr>
          <w:rFonts w:ascii="VIC" w:eastAsia="Times New Roman" w:hAnsi="VIC" w:cs="Times New Roman"/>
          <w:color w:val="011A3C"/>
          <w:sz w:val="24"/>
          <w:szCs w:val="24"/>
          <w:lang w:val="en" w:eastAsia="en-AU"/>
        </w:rPr>
        <w:t>If a school identifies a student for Transition Support Funding after Term 1, a pro-rata allocation will be considered.</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In these instances, schools are advised to log a request through the </w:t>
      </w:r>
      <w:hyperlink r:id="rId56" w:tgtFrame="_blank" w:history="1">
        <w:r w:rsidRPr="004D307F">
          <w:rPr>
            <w:rFonts w:ascii="VIC" w:hAnsi="VIC" w:cstheme="majorHAnsi"/>
            <w:color w:val="0000FF"/>
            <w:sz w:val="24"/>
            <w:szCs w:val="24"/>
            <w:u w:val="single"/>
          </w:rPr>
          <w:t>DET Services</w:t>
        </w:r>
        <w:r w:rsidRPr="004D307F">
          <w:rPr>
            <w:rFonts w:ascii="Calibri" w:hAnsi="Calibri" w:cs="Calibri"/>
            <w:color w:val="0000FF"/>
            <w:sz w:val="24"/>
            <w:szCs w:val="24"/>
            <w:u w:val="single"/>
          </w:rPr>
          <w:t> </w:t>
        </w:r>
        <w:r w:rsidRPr="004D307F">
          <w:rPr>
            <w:rFonts w:ascii="VIC" w:hAnsi="VIC" w:cstheme="majorHAnsi"/>
            <w:color w:val="0000FF"/>
            <w:sz w:val="24"/>
            <w:szCs w:val="24"/>
            <w:u w:val="single"/>
          </w:rPr>
          <w:t>Portal</w:t>
        </w:r>
      </w:hyperlink>
      <w:r w:rsidRPr="004D307F">
        <w:rPr>
          <w:rFonts w:ascii="VIC" w:hAnsi="VIC" w:cstheme="majorHAnsi"/>
          <w:sz w:val="24"/>
          <w:szCs w:val="24"/>
          <w:lang w:val="en"/>
        </w:rPr>
        <w:t>.</w:t>
      </w:r>
    </w:p>
    <w:p w14:paraId="639F7400" w14:textId="77777777" w:rsidR="00A266A0" w:rsidRPr="004D307F" w:rsidRDefault="00A266A0" w:rsidP="00A266A0">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Where a student in receipt of Transition Support Funding changes government schools during the year, schools should make local arrangements to transfer resources (including specialist equipment or materials).</w:t>
      </w:r>
    </w:p>
    <w:p w14:paraId="77320FE5" w14:textId="528434C6" w:rsidR="00A266A0" w:rsidRPr="004D307F" w:rsidRDefault="00A266A0" w:rsidP="00A266A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- 202</w:t>
      </w:r>
      <w:r w:rsidR="00205123" w:rsidRPr="004D307F">
        <w:rPr>
          <w:rFonts w:ascii="VIC-Bold" w:eastAsia="Times New Roman" w:hAnsi="VIC-Bold" w:cs="Times New Roman"/>
          <w:b/>
          <w:bCs/>
          <w:color w:val="011A3C"/>
          <w:sz w:val="27"/>
          <w:szCs w:val="27"/>
          <w:lang w:val="en" w:eastAsia="en-AU"/>
        </w:rPr>
        <w:t>2</w:t>
      </w:r>
    </w:p>
    <w:p w14:paraId="5698B39C" w14:textId="048EAA44" w:rsidR="00A266A0" w:rsidRPr="004D307F" w:rsidRDefault="00A266A0" w:rsidP="00ED0863">
      <w:pPr>
        <w:pStyle w:val="ListParagraph"/>
        <w:numPr>
          <w:ilvl w:val="0"/>
          <w:numId w:val="158"/>
        </w:num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Per eligible student (pro-rata) – Cash ($) $3,000</w:t>
      </w:r>
    </w:p>
    <w:p w14:paraId="7026B490" w14:textId="77777777" w:rsidR="001059CF" w:rsidRPr="004D307F" w:rsidRDefault="001059CF" w:rsidP="001059CF">
      <w:pPr>
        <w:ind w:left="720"/>
        <w:contextualSpacing/>
        <w:rPr>
          <w:rFonts w:asciiTheme="majorHAnsi" w:hAnsiTheme="majorHAnsi" w:cstheme="majorHAnsi"/>
          <w:lang w:val="en"/>
        </w:rPr>
      </w:pPr>
    </w:p>
    <w:p w14:paraId="3B2F4568" w14:textId="77777777" w:rsidR="00A266A0" w:rsidRPr="004D307F" w:rsidRDefault="00A266A0" w:rsidP="00A266A0">
      <w:pPr>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Examples for use of funding</w:t>
      </w:r>
    </w:p>
    <w:p w14:paraId="1F86898A" w14:textId="34E97442" w:rsidR="00A266A0" w:rsidRPr="004D307F" w:rsidRDefault="00A266A0" w:rsidP="00A266A0">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In consultation with the Student Support Group, consideration can be given to providing more intense support at the beginning of the school </w:t>
      </w:r>
      <w:r w:rsidR="00443B74" w:rsidRPr="004D307F">
        <w:rPr>
          <w:rFonts w:ascii="VIC" w:eastAsia="Times New Roman" w:hAnsi="VIC" w:cs="Times New Roman"/>
          <w:color w:val="011A3C"/>
          <w:sz w:val="24"/>
          <w:szCs w:val="24"/>
          <w:lang w:val="en" w:eastAsia="en-AU"/>
        </w:rPr>
        <w:t>year or</w:t>
      </w:r>
      <w:r w:rsidRPr="004D307F">
        <w:rPr>
          <w:rFonts w:ascii="VIC" w:eastAsia="Times New Roman" w:hAnsi="VIC" w:cs="Times New Roman"/>
          <w:color w:val="011A3C"/>
          <w:sz w:val="24"/>
          <w:szCs w:val="24"/>
          <w:lang w:val="en" w:eastAsia="en-AU"/>
        </w:rPr>
        <w:t xml:space="preserve"> identifying equipment and materials that will be used over a longer period of time.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For example:</w:t>
      </w:r>
    </w:p>
    <w:p w14:paraId="0757360C" w14:textId="77777777" w:rsidR="00A266A0" w:rsidRPr="004D307F" w:rsidRDefault="00A266A0" w:rsidP="00A266A0">
      <w:pPr>
        <w:rPr>
          <w:rFonts w:ascii="VIC" w:hAnsi="VIC" w:cstheme="majorHAnsi"/>
          <w:b/>
          <w:bCs/>
          <w:sz w:val="24"/>
          <w:szCs w:val="24"/>
          <w:lang w:val="en"/>
        </w:rPr>
      </w:pPr>
      <w:r w:rsidRPr="004D307F">
        <w:rPr>
          <w:rFonts w:ascii="VIC" w:hAnsi="VIC" w:cstheme="majorHAnsi"/>
          <w:b/>
          <w:bCs/>
          <w:sz w:val="24"/>
          <w:szCs w:val="24"/>
          <w:lang w:val="en"/>
        </w:rPr>
        <w:t>For a student with behaviour support needs</w:t>
      </w:r>
    </w:p>
    <w:p w14:paraId="3367229C" w14:textId="2C0F1A06" w:rsidR="00BF1637" w:rsidRPr="004D307F" w:rsidRDefault="00A266A0" w:rsidP="00A266A0">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Transition Support Funding may be used for professional development and consultation focused at the beginning of the school year.</w:t>
      </w:r>
      <w:r w:rsidRPr="004D307F">
        <w:rPr>
          <w:rFonts w:ascii="Calibri" w:eastAsia="Times New Roman" w:hAnsi="Calibri" w:cs="Calibri" w:hint="eastAsia"/>
          <w:color w:val="011A3C"/>
          <w:sz w:val="24"/>
          <w:szCs w:val="24"/>
          <w:lang w:val="en" w:eastAsia="en-AU"/>
        </w:rPr>
        <w:t> </w:t>
      </w:r>
      <w:r w:rsidR="00BF1637" w:rsidRPr="004D307F">
        <w:rPr>
          <w:rFonts w:ascii="VIC" w:eastAsia="Times New Roman" w:hAnsi="VIC" w:cs="Times New Roman"/>
          <w:color w:val="011A3C"/>
          <w:sz w:val="24"/>
          <w:szCs w:val="24"/>
          <w:lang w:val="en" w:eastAsia="en-AU"/>
        </w:rPr>
        <w:t xml:space="preserve">Transition Support Funding could be used to: </w:t>
      </w:r>
    </w:p>
    <w:p w14:paraId="5BBD575C" w14:textId="77777777" w:rsidR="00BF1637" w:rsidRPr="004D307F" w:rsidRDefault="00A266A0" w:rsidP="00ED0863">
      <w:pPr>
        <w:pStyle w:val="ListParagraph"/>
        <w:numPr>
          <w:ilvl w:val="0"/>
          <w:numId w:val="158"/>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provide school staff with the necessary knowledge and skills</w:t>
      </w:r>
    </w:p>
    <w:p w14:paraId="66DAB32E" w14:textId="480D9FF2" w:rsidR="00BF1637" w:rsidRPr="004D307F" w:rsidRDefault="00A266A0" w:rsidP="00ED0863">
      <w:pPr>
        <w:pStyle w:val="ListParagraph"/>
        <w:numPr>
          <w:ilvl w:val="0"/>
          <w:numId w:val="158"/>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 xml:space="preserve"> develop and implement </w:t>
      </w:r>
      <w:r w:rsidR="00BF1637" w:rsidRPr="004D307F">
        <w:rPr>
          <w:rFonts w:ascii="VIC" w:eastAsia="Times New Roman" w:hAnsi="VIC" w:cs="Times New Roman"/>
          <w:color w:val="011A3C"/>
          <w:sz w:val="24"/>
          <w:szCs w:val="24"/>
          <w:lang w:val="en" w:eastAsia="en-AU"/>
        </w:rPr>
        <w:t>B</w:t>
      </w:r>
      <w:r w:rsidRPr="004D307F">
        <w:rPr>
          <w:rFonts w:ascii="VIC" w:eastAsia="Times New Roman" w:hAnsi="VIC" w:cs="Times New Roman"/>
          <w:color w:val="011A3C"/>
          <w:sz w:val="24"/>
          <w:szCs w:val="24"/>
          <w:lang w:val="en" w:eastAsia="en-AU"/>
        </w:rPr>
        <w:t xml:space="preserve">ehaviour </w:t>
      </w:r>
      <w:r w:rsidR="00BF1637" w:rsidRPr="004D307F">
        <w:rPr>
          <w:rFonts w:ascii="VIC" w:eastAsia="Times New Roman" w:hAnsi="VIC" w:cs="Times New Roman"/>
          <w:color w:val="011A3C"/>
          <w:sz w:val="24"/>
          <w:szCs w:val="24"/>
          <w:lang w:val="en" w:eastAsia="en-AU"/>
        </w:rPr>
        <w:t>S</w:t>
      </w:r>
      <w:r w:rsidRPr="004D307F">
        <w:rPr>
          <w:rFonts w:ascii="VIC" w:eastAsia="Times New Roman" w:hAnsi="VIC" w:cs="Times New Roman"/>
          <w:color w:val="011A3C"/>
          <w:sz w:val="24"/>
          <w:szCs w:val="24"/>
          <w:lang w:val="en" w:eastAsia="en-AU"/>
        </w:rPr>
        <w:t xml:space="preserve">upport </w:t>
      </w:r>
      <w:r w:rsidR="00BF1637" w:rsidRPr="004D307F">
        <w:rPr>
          <w:rFonts w:ascii="VIC" w:eastAsia="Times New Roman" w:hAnsi="VIC" w:cs="Times New Roman"/>
          <w:color w:val="011A3C"/>
          <w:sz w:val="24"/>
          <w:szCs w:val="24"/>
          <w:lang w:val="en" w:eastAsia="en-AU"/>
        </w:rPr>
        <w:t>P</w:t>
      </w:r>
      <w:r w:rsidRPr="004D307F">
        <w:rPr>
          <w:rFonts w:ascii="VIC" w:eastAsia="Times New Roman" w:hAnsi="VIC" w:cs="Times New Roman"/>
          <w:color w:val="011A3C"/>
          <w:sz w:val="24"/>
          <w:szCs w:val="24"/>
          <w:lang w:val="en" w:eastAsia="en-AU"/>
        </w:rPr>
        <w:t>lans and resources across the school</w:t>
      </w:r>
      <w:r w:rsidR="00BF1637" w:rsidRPr="004D307F">
        <w:rPr>
          <w:rFonts w:ascii="VIC" w:eastAsia="Times New Roman" w:hAnsi="VIC" w:cs="Times New Roman"/>
          <w:color w:val="011A3C"/>
          <w:sz w:val="24"/>
          <w:szCs w:val="24"/>
          <w:lang w:val="en" w:eastAsia="en-AU"/>
        </w:rPr>
        <w:t xml:space="preserve"> </w:t>
      </w:r>
    </w:p>
    <w:p w14:paraId="37C125B4" w14:textId="4DBDE52C" w:rsidR="00A266A0" w:rsidRPr="004D307F" w:rsidRDefault="00A266A0" w:rsidP="00ED0863">
      <w:pPr>
        <w:pStyle w:val="ListParagraph"/>
        <w:numPr>
          <w:ilvl w:val="0"/>
          <w:numId w:val="158"/>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support other adjustments to the school environment as the student begins secondary school.</w:t>
      </w:r>
    </w:p>
    <w:p w14:paraId="07D03ED7" w14:textId="77777777" w:rsidR="00A266A0" w:rsidRPr="004D307F" w:rsidRDefault="00A266A0" w:rsidP="00A266A0">
      <w:pPr>
        <w:rPr>
          <w:rFonts w:ascii="VIC" w:hAnsi="VIC" w:cstheme="majorHAnsi"/>
          <w:b/>
          <w:bCs/>
          <w:sz w:val="24"/>
          <w:szCs w:val="24"/>
          <w:lang w:val="en"/>
        </w:rPr>
      </w:pPr>
      <w:r w:rsidRPr="004D307F">
        <w:rPr>
          <w:rFonts w:ascii="VIC" w:hAnsi="VIC" w:cstheme="majorHAnsi"/>
          <w:b/>
          <w:bCs/>
          <w:sz w:val="24"/>
          <w:szCs w:val="24"/>
          <w:lang w:val="en"/>
        </w:rPr>
        <w:t>For a student with learning support needs</w:t>
      </w:r>
    </w:p>
    <w:p w14:paraId="5B07666A" w14:textId="684E2D29" w:rsidR="00A266A0" w:rsidRPr="004D307F" w:rsidRDefault="00A266A0" w:rsidP="00A266A0">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Transition Support Funding may be used to access specialist education or allied health support.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This may identify specialist equipment and educational resources that the school can purchase for the student's personalised learning and support needs.</w:t>
      </w:r>
    </w:p>
    <w:p w14:paraId="45F0E612" w14:textId="77777777" w:rsidR="00A266A0" w:rsidRPr="004D307F" w:rsidRDefault="00A266A0" w:rsidP="00A266A0">
      <w:pPr>
        <w:rPr>
          <w:rFonts w:ascii="VIC" w:hAnsi="VIC" w:cstheme="majorHAnsi"/>
          <w:b/>
          <w:bCs/>
          <w:sz w:val="24"/>
          <w:szCs w:val="24"/>
          <w:lang w:val="en"/>
        </w:rPr>
      </w:pPr>
      <w:r w:rsidRPr="004D307F">
        <w:rPr>
          <w:rFonts w:ascii="VIC" w:hAnsi="VIC" w:cstheme="majorHAnsi"/>
          <w:b/>
          <w:bCs/>
          <w:sz w:val="24"/>
          <w:szCs w:val="24"/>
          <w:lang w:val="en"/>
        </w:rPr>
        <w:t>For a student with sensory or health support needs</w:t>
      </w:r>
    </w:p>
    <w:p w14:paraId="45B71A27" w14:textId="77777777" w:rsidR="00A266A0" w:rsidRPr="004D307F" w:rsidRDefault="00A266A0" w:rsidP="00A266A0">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Transition Support Funding may be used to purchase personal equipment or resources, specific to the student's needs that will enhance their access and participation in the school's educational programs.</w:t>
      </w:r>
    </w:p>
    <w:p w14:paraId="1C732D4D" w14:textId="77777777" w:rsidR="00A266A0" w:rsidRPr="004D307F" w:rsidRDefault="00A266A0" w:rsidP="00A266A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Further information</w:t>
      </w:r>
    </w:p>
    <w:p w14:paraId="099DA25E" w14:textId="77777777" w:rsidR="00A266A0" w:rsidRPr="004D307F" w:rsidRDefault="00901FCB" w:rsidP="00ED0863">
      <w:pPr>
        <w:numPr>
          <w:ilvl w:val="0"/>
          <w:numId w:val="140"/>
        </w:numPr>
        <w:spacing w:after="0" w:line="240" w:lineRule="auto"/>
        <w:ind w:hanging="357"/>
        <w:rPr>
          <w:rStyle w:val="Hyperlink"/>
          <w:rFonts w:ascii="VIC" w:eastAsia="Times New Roman" w:hAnsi="VIC" w:cs="Times New Roman"/>
          <w:sz w:val="24"/>
          <w:szCs w:val="24"/>
          <w:lang w:eastAsia="en-AU"/>
        </w:rPr>
      </w:pPr>
      <w:hyperlink r:id="rId57" w:history="1">
        <w:r w:rsidR="00A266A0" w:rsidRPr="004D307F">
          <w:rPr>
            <w:rStyle w:val="Hyperlink"/>
            <w:rFonts w:ascii="VIC" w:eastAsia="Times New Roman" w:hAnsi="VIC" w:cs="Times New Roman"/>
            <w:sz w:val="24"/>
            <w:szCs w:val="24"/>
            <w:lang w:eastAsia="en-AU"/>
          </w:rPr>
          <w:t xml:space="preserve">Students with Disability </w:t>
        </w:r>
      </w:hyperlink>
    </w:p>
    <w:p w14:paraId="7F6A96E2" w14:textId="2AA21ED6" w:rsidR="00A266A0" w:rsidRPr="004D307F" w:rsidRDefault="00AE3868" w:rsidP="00ED0863">
      <w:pPr>
        <w:numPr>
          <w:ilvl w:val="0"/>
          <w:numId w:val="140"/>
        </w:numPr>
        <w:spacing w:after="0" w:line="240" w:lineRule="auto"/>
        <w:ind w:hanging="357"/>
        <w:rPr>
          <w:rStyle w:val="Hyperlink"/>
          <w:rFonts w:ascii="VIC" w:eastAsia="Times New Roman" w:hAnsi="VIC" w:cs="Times New Roman"/>
          <w:sz w:val="24"/>
          <w:szCs w:val="24"/>
          <w:lang w:eastAsia="en-AU"/>
        </w:rPr>
      </w:pPr>
      <w:r w:rsidRPr="004D307F">
        <w:rPr>
          <w:rFonts w:ascii="VIC" w:eastAsia="Times New Roman" w:hAnsi="VIC" w:cs="Times New Roman"/>
          <w:sz w:val="24"/>
          <w:szCs w:val="24"/>
          <w:lang w:eastAsia="en-AU"/>
        </w:rPr>
        <w:fldChar w:fldCharType="begin"/>
      </w:r>
      <w:r w:rsidRPr="004D307F">
        <w:rPr>
          <w:rFonts w:ascii="VIC" w:eastAsia="Times New Roman" w:hAnsi="VIC" w:cs="Times New Roman"/>
          <w:sz w:val="24"/>
          <w:szCs w:val="24"/>
          <w:lang w:eastAsia="en-AU"/>
        </w:rPr>
        <w:instrText xml:space="preserve"> HYPERLINK "https://www2.education.vic.gov.au/pal/student-support-groups/policy" </w:instrText>
      </w:r>
      <w:r w:rsidRPr="004D307F">
        <w:rPr>
          <w:rFonts w:ascii="VIC" w:eastAsia="Times New Roman" w:hAnsi="VIC" w:cs="Times New Roman"/>
          <w:sz w:val="24"/>
          <w:szCs w:val="24"/>
          <w:lang w:eastAsia="en-AU"/>
        </w:rPr>
        <w:fldChar w:fldCharType="separate"/>
      </w:r>
      <w:r w:rsidR="00A266A0" w:rsidRPr="004D307F">
        <w:rPr>
          <w:rStyle w:val="Hyperlink"/>
          <w:rFonts w:ascii="VIC" w:eastAsia="Times New Roman" w:hAnsi="VIC" w:cs="Times New Roman"/>
          <w:sz w:val="24"/>
          <w:szCs w:val="24"/>
          <w:lang w:eastAsia="en-AU"/>
        </w:rPr>
        <w:t>Student Support</w:t>
      </w:r>
      <w:r w:rsidR="00A266A0" w:rsidRPr="004D307F">
        <w:rPr>
          <w:rStyle w:val="Hyperlink"/>
          <w:rFonts w:ascii="Calibri" w:eastAsia="Times New Roman" w:hAnsi="Calibri" w:cs="Calibri"/>
          <w:sz w:val="24"/>
          <w:szCs w:val="24"/>
          <w:lang w:eastAsia="en-AU"/>
        </w:rPr>
        <w:t> </w:t>
      </w:r>
      <w:r w:rsidR="00A266A0" w:rsidRPr="004D307F">
        <w:rPr>
          <w:rStyle w:val="Hyperlink"/>
          <w:rFonts w:ascii="VIC" w:eastAsia="Times New Roman" w:hAnsi="VIC" w:cs="Times New Roman"/>
          <w:sz w:val="24"/>
          <w:szCs w:val="24"/>
          <w:lang w:eastAsia="en-AU"/>
        </w:rPr>
        <w:t>Groups</w:t>
      </w:r>
      <w:r w:rsidRPr="004D307F">
        <w:rPr>
          <w:rStyle w:val="Hyperlink"/>
          <w:rFonts w:ascii="VIC" w:eastAsia="Times New Roman" w:hAnsi="VIC" w:cs="Times New Roman"/>
          <w:sz w:val="24"/>
          <w:szCs w:val="24"/>
          <w:lang w:eastAsia="en-AU"/>
        </w:rPr>
        <w:t xml:space="preserve"> </w:t>
      </w:r>
    </w:p>
    <w:p w14:paraId="372B58C8" w14:textId="167CE72E" w:rsidR="00A266A0" w:rsidRPr="004D307F" w:rsidRDefault="00AE3868" w:rsidP="00ED0863">
      <w:pPr>
        <w:numPr>
          <w:ilvl w:val="0"/>
          <w:numId w:val="140"/>
        </w:numPr>
        <w:spacing w:after="0" w:line="240" w:lineRule="auto"/>
        <w:ind w:hanging="357"/>
        <w:rPr>
          <w:rStyle w:val="Hyperlink"/>
          <w:rFonts w:ascii="VIC" w:eastAsia="Times New Roman" w:hAnsi="VIC" w:cs="Times New Roman"/>
          <w:sz w:val="24"/>
          <w:szCs w:val="24"/>
          <w:lang w:eastAsia="en-AU"/>
        </w:rPr>
      </w:pPr>
      <w:r w:rsidRPr="004D307F">
        <w:rPr>
          <w:rFonts w:ascii="VIC" w:eastAsia="Times New Roman" w:hAnsi="VIC" w:cs="Times New Roman"/>
          <w:sz w:val="24"/>
          <w:szCs w:val="24"/>
          <w:lang w:eastAsia="en-AU"/>
        </w:rPr>
        <w:fldChar w:fldCharType="end"/>
      </w:r>
      <w:hyperlink r:id="rId58" w:history="1">
        <w:r w:rsidR="00A266A0" w:rsidRPr="004D307F">
          <w:rPr>
            <w:rStyle w:val="Hyperlink"/>
            <w:rFonts w:ascii="VIC" w:eastAsia="Times New Roman" w:hAnsi="VIC" w:cs="Times New Roman"/>
            <w:sz w:val="24"/>
            <w:szCs w:val="24"/>
            <w:lang w:eastAsia="en-AU"/>
          </w:rPr>
          <w:t>Program for Students with Disabilities Management System (PSDMS) — information and user</w:t>
        </w:r>
        <w:r w:rsidR="00A266A0" w:rsidRPr="004D307F">
          <w:rPr>
            <w:rStyle w:val="Hyperlink"/>
            <w:rFonts w:ascii="Calibri" w:eastAsia="Times New Roman" w:hAnsi="Calibri" w:cs="Calibri"/>
            <w:sz w:val="24"/>
            <w:szCs w:val="24"/>
            <w:lang w:eastAsia="en-AU"/>
          </w:rPr>
          <w:t> </w:t>
        </w:r>
        <w:r w:rsidR="00A266A0" w:rsidRPr="004D307F">
          <w:rPr>
            <w:rStyle w:val="Hyperlink"/>
            <w:rFonts w:ascii="VIC" w:eastAsia="Times New Roman" w:hAnsi="VIC" w:cs="Times New Roman"/>
            <w:sz w:val="24"/>
            <w:szCs w:val="24"/>
            <w:lang w:eastAsia="en-AU"/>
          </w:rPr>
          <w:t>guides</w:t>
        </w:r>
      </w:hyperlink>
    </w:p>
    <w:p w14:paraId="14F9D417" w14:textId="77777777" w:rsidR="00A266A0" w:rsidRPr="004D307F" w:rsidRDefault="00901FCB" w:rsidP="00ED0863">
      <w:pPr>
        <w:numPr>
          <w:ilvl w:val="1"/>
          <w:numId w:val="140"/>
        </w:numPr>
        <w:spacing w:after="0" w:line="240" w:lineRule="auto"/>
        <w:ind w:hanging="357"/>
        <w:rPr>
          <w:rStyle w:val="Hyperlink"/>
          <w:rFonts w:ascii="VIC" w:eastAsia="Times New Roman" w:hAnsi="VIC" w:cs="Times New Roman"/>
          <w:sz w:val="24"/>
          <w:szCs w:val="24"/>
          <w:lang w:eastAsia="en-AU"/>
        </w:rPr>
      </w:pPr>
      <w:hyperlink r:id="rId59" w:history="1">
        <w:r w:rsidR="00A266A0" w:rsidRPr="004D307F">
          <w:rPr>
            <w:rStyle w:val="Hyperlink"/>
            <w:rFonts w:ascii="VIC" w:eastAsia="Times New Roman" w:hAnsi="VIC" w:cs="Times New Roman"/>
            <w:sz w:val="24"/>
            <w:szCs w:val="24"/>
            <w:lang w:eastAsia="en-AU"/>
          </w:rPr>
          <w:t>PSDMS log in (for registered</w:t>
        </w:r>
        <w:r w:rsidR="00A266A0" w:rsidRPr="004D307F">
          <w:rPr>
            <w:rStyle w:val="Hyperlink"/>
            <w:rFonts w:ascii="Calibri" w:eastAsia="Times New Roman" w:hAnsi="Calibri" w:cs="Calibri"/>
            <w:sz w:val="24"/>
            <w:szCs w:val="24"/>
            <w:lang w:eastAsia="en-AU"/>
          </w:rPr>
          <w:t> </w:t>
        </w:r>
        <w:r w:rsidR="00A266A0" w:rsidRPr="004D307F">
          <w:rPr>
            <w:rStyle w:val="Hyperlink"/>
            <w:rFonts w:ascii="VIC" w:eastAsia="Times New Roman" w:hAnsi="VIC" w:cs="Times New Roman"/>
            <w:sz w:val="24"/>
            <w:szCs w:val="24"/>
            <w:lang w:eastAsia="en-AU"/>
          </w:rPr>
          <w:t>users)</w:t>
        </w:r>
      </w:hyperlink>
    </w:p>
    <w:p w14:paraId="4F4A2B41" w14:textId="19497892" w:rsidR="00A266A0" w:rsidRPr="004D307F" w:rsidRDefault="00901FCB" w:rsidP="00ED0863">
      <w:pPr>
        <w:numPr>
          <w:ilvl w:val="0"/>
          <w:numId w:val="140"/>
        </w:numPr>
        <w:spacing w:after="0" w:line="240" w:lineRule="auto"/>
        <w:ind w:hanging="357"/>
        <w:rPr>
          <w:rStyle w:val="Hyperlink"/>
          <w:rFonts w:ascii="VIC" w:eastAsia="Times New Roman" w:hAnsi="VIC" w:cs="Times New Roman"/>
          <w:sz w:val="24"/>
          <w:szCs w:val="24"/>
          <w:lang w:eastAsia="en-AU"/>
        </w:rPr>
      </w:pPr>
      <w:hyperlink r:id="rId60" w:tgtFrame="_blank" w:history="1">
        <w:r w:rsidR="00A266A0" w:rsidRPr="004D307F">
          <w:rPr>
            <w:rStyle w:val="Hyperlink"/>
            <w:rFonts w:ascii="VIC" w:eastAsia="Times New Roman" w:hAnsi="VIC" w:cs="Times New Roman"/>
            <w:sz w:val="24"/>
            <w:szCs w:val="24"/>
            <w:lang w:eastAsia="en-AU"/>
          </w:rPr>
          <w:t>DET Services</w:t>
        </w:r>
        <w:r w:rsidR="00A266A0" w:rsidRPr="004D307F">
          <w:rPr>
            <w:rStyle w:val="Hyperlink"/>
            <w:rFonts w:ascii="Calibri" w:eastAsia="Times New Roman" w:hAnsi="Calibri" w:cs="Calibri"/>
            <w:sz w:val="24"/>
            <w:szCs w:val="24"/>
            <w:lang w:eastAsia="en-AU"/>
          </w:rPr>
          <w:t> </w:t>
        </w:r>
        <w:r w:rsidR="00A266A0" w:rsidRPr="004D307F">
          <w:rPr>
            <w:rStyle w:val="Hyperlink"/>
            <w:rFonts w:ascii="VIC" w:eastAsia="Times New Roman" w:hAnsi="VIC" w:cs="Times New Roman"/>
            <w:sz w:val="24"/>
            <w:szCs w:val="24"/>
            <w:lang w:eastAsia="en-AU"/>
          </w:rPr>
          <w:t>Portal</w:t>
        </w:r>
      </w:hyperlink>
    </w:p>
    <w:p w14:paraId="7A7D977A" w14:textId="77777777" w:rsidR="00BF1637" w:rsidRPr="004D307F" w:rsidRDefault="00901FCB" w:rsidP="00ED0863">
      <w:pPr>
        <w:numPr>
          <w:ilvl w:val="0"/>
          <w:numId w:val="140"/>
        </w:numPr>
        <w:spacing w:after="0" w:line="240" w:lineRule="auto"/>
        <w:ind w:hanging="357"/>
        <w:rPr>
          <w:rStyle w:val="Hyperlink"/>
          <w:rFonts w:ascii="VIC" w:eastAsia="Times New Roman" w:hAnsi="VIC" w:cs="Times New Roman"/>
          <w:sz w:val="24"/>
          <w:szCs w:val="24"/>
          <w:lang w:eastAsia="en-AU"/>
        </w:rPr>
      </w:pPr>
      <w:hyperlink r:id="rId61" w:history="1">
        <w:r w:rsidR="00BF1637" w:rsidRPr="004D307F">
          <w:rPr>
            <w:rStyle w:val="Hyperlink"/>
            <w:rFonts w:ascii="VIC" w:eastAsia="Times New Roman" w:hAnsi="VIC" w:cs="Times New Roman"/>
            <w:sz w:val="24"/>
            <w:szCs w:val="24"/>
            <w:lang w:val="en" w:eastAsia="en-AU"/>
          </w:rPr>
          <w:t>Behaviour Support Plans</w:t>
        </w:r>
      </w:hyperlink>
    </w:p>
    <w:p w14:paraId="32A32C97" w14:textId="3A417F23" w:rsidR="00BF1637" w:rsidRPr="004D307F" w:rsidRDefault="00901FCB" w:rsidP="00ED0863">
      <w:pPr>
        <w:numPr>
          <w:ilvl w:val="0"/>
          <w:numId w:val="140"/>
        </w:numPr>
        <w:spacing w:after="0" w:line="240" w:lineRule="auto"/>
        <w:ind w:hanging="357"/>
        <w:rPr>
          <w:rStyle w:val="Hyperlink"/>
          <w:rFonts w:ascii="VIC" w:eastAsia="Times New Roman" w:hAnsi="VIC" w:cs="Times New Roman"/>
          <w:sz w:val="24"/>
          <w:szCs w:val="24"/>
          <w:lang w:eastAsia="en-AU"/>
        </w:rPr>
      </w:pPr>
      <w:hyperlink r:id="rId62" w:history="1">
        <w:r w:rsidR="00BF1637" w:rsidRPr="004D307F">
          <w:rPr>
            <w:rStyle w:val="Hyperlink"/>
            <w:rFonts w:ascii="VIC" w:eastAsia="Times New Roman" w:hAnsi="VIC" w:cs="Times New Roman"/>
            <w:sz w:val="24"/>
            <w:szCs w:val="24"/>
            <w:lang w:val="en" w:eastAsia="en-AU"/>
          </w:rPr>
          <w:t>Health Care Needs</w:t>
        </w:r>
      </w:hyperlink>
      <w:r w:rsidR="00BF1637" w:rsidRPr="004D307F">
        <w:rPr>
          <w:rStyle w:val="Hyperlink"/>
          <w:rFonts w:ascii="VIC" w:eastAsia="Times New Roman" w:hAnsi="VIC" w:cs="Times New Roman"/>
          <w:sz w:val="24"/>
          <w:szCs w:val="24"/>
          <w:lang w:eastAsia="en-AU"/>
        </w:rPr>
        <w:t xml:space="preserve"> </w:t>
      </w:r>
    </w:p>
    <w:p w14:paraId="667B809B" w14:textId="77777777" w:rsidR="00A266A0" w:rsidRPr="004D307F" w:rsidRDefault="00A266A0">
      <w:pPr>
        <w:rPr>
          <w:rFonts w:asciiTheme="majorHAnsi" w:eastAsia="Times New Roman" w:hAnsiTheme="majorHAnsi" w:cstheme="majorBidi"/>
          <w:b/>
          <w:color w:val="2F5496" w:themeColor="accent1" w:themeShade="BF"/>
          <w:sz w:val="36"/>
          <w:szCs w:val="26"/>
          <w:lang w:val="en" w:eastAsia="en-AU"/>
        </w:rPr>
      </w:pPr>
      <w:r w:rsidRPr="004D307F">
        <w:br w:type="page"/>
      </w:r>
    </w:p>
    <w:p w14:paraId="314B5FAA" w14:textId="5CF892C9" w:rsidR="00AD16F0" w:rsidRPr="004D307F" w:rsidRDefault="00AD16F0" w:rsidP="00B566E7">
      <w:pPr>
        <w:pStyle w:val="Heading2"/>
      </w:pPr>
      <w:bookmarkStart w:id="32" w:name="_Toc106793755"/>
      <w:r w:rsidRPr="004D307F">
        <w:lastRenderedPageBreak/>
        <w:t>Special School Complexity Allowance (Reference 18)</w:t>
      </w:r>
      <w:bookmarkEnd w:id="32"/>
    </w:p>
    <w:p w14:paraId="33A1CC2F"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Specialist school complexity allowance will apply to specialist schools receiving per capita student based core index and Program for Student with Disabilities level 1-6 allocations.</w:t>
      </w:r>
    </w:p>
    <w:p w14:paraId="6122EF3A" w14:textId="5DFA85EF"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Specialist school complexity allowance is calculated once a year (confirmed budget cycle) by multiplying the Core Index enrolment totals (Reference 5) by a school specific index point from the chart below. The index point is determined by calculating the weighted mean of the Students with Disabilities index levels 1-6 in the school</w:t>
      </w:r>
      <w:r w:rsidR="00443B74" w:rsidRPr="004D307F">
        <w:rPr>
          <w:rFonts w:ascii="VIC-Regular" w:eastAsia="Times New Roman" w:hAnsi="VIC-Regular" w:cs="Times New Roman"/>
          <w:color w:val="011A3C"/>
          <w:sz w:val="24"/>
          <w:szCs w:val="24"/>
          <w:lang w:val="en" w:eastAsia="en-AU"/>
        </w:rPr>
        <w:t xml:space="preserve"> as</w:t>
      </w:r>
      <w:r w:rsidRPr="004D307F">
        <w:rPr>
          <w:rFonts w:ascii="VIC-Regular" w:eastAsia="Times New Roman" w:hAnsi="VIC-Regular" w:cs="Times New Roman"/>
          <w:color w:val="011A3C"/>
          <w:sz w:val="24"/>
          <w:szCs w:val="24"/>
          <w:lang w:val="en" w:eastAsia="en-AU"/>
        </w:rPr>
        <w:t xml:space="preserve"> at</w:t>
      </w:r>
      <w:r w:rsidR="00443B74" w:rsidRPr="004D307F">
        <w:rPr>
          <w:rFonts w:ascii="VIC-Regular" w:eastAsia="Times New Roman" w:hAnsi="VIC-Regular" w:cs="Times New Roman"/>
          <w:color w:val="011A3C"/>
          <w:sz w:val="24"/>
          <w:szCs w:val="24"/>
          <w:lang w:val="en" w:eastAsia="en-AU"/>
        </w:rPr>
        <w:t xml:space="preserve"> </w:t>
      </w:r>
      <w:r w:rsidR="00F12663" w:rsidRPr="004D307F">
        <w:rPr>
          <w:rFonts w:ascii="VIC-Regular" w:eastAsia="Times New Roman" w:hAnsi="VIC-Regular" w:cs="Times New Roman"/>
          <w:color w:val="011A3C"/>
          <w:sz w:val="24"/>
          <w:szCs w:val="24"/>
          <w:lang w:val="en" w:eastAsia="en-AU"/>
        </w:rPr>
        <w:t>Term 1</w:t>
      </w:r>
      <w:r w:rsidRPr="004D307F">
        <w:rPr>
          <w:rFonts w:ascii="VIC-Regular" w:eastAsia="Times New Roman" w:hAnsi="VIC-Regular" w:cs="Times New Roman"/>
          <w:color w:val="011A3C"/>
          <w:sz w:val="24"/>
          <w:szCs w:val="24"/>
          <w:lang w:val="en" w:eastAsia="en-AU"/>
        </w:rPr>
        <w:t>.</w:t>
      </w:r>
    </w:p>
    <w:p w14:paraId="14408134"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An example of the Special School Complexity Allowance calculation can be seen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85"/>
        <w:gridCol w:w="1811"/>
        <w:gridCol w:w="5320"/>
      </w:tblGrid>
      <w:tr w:rsidR="00371B75" w:rsidRPr="004D307F" w14:paraId="43172051" w14:textId="77777777" w:rsidTr="00080034">
        <w:tc>
          <w:tcPr>
            <w:tcW w:w="0" w:type="auto"/>
            <w:gridSpan w:val="3"/>
            <w:vAlign w:val="center"/>
            <w:hideMark/>
          </w:tcPr>
          <w:p w14:paraId="09A96868" w14:textId="7602B047" w:rsidR="00AD16F0" w:rsidRPr="004D307F" w:rsidRDefault="00AD16F0" w:rsidP="00AD16F0">
            <w:pPr>
              <w:spacing w:before="100" w:beforeAutospacing="1" w:after="100" w:afterAutospacing="1" w:line="288" w:lineRule="atLeast"/>
              <w:textAlignment w:val="top"/>
              <w:outlineLvl w:val="3"/>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b/>
                <w:bCs/>
                <w:color w:val="323E4F" w:themeColor="text2" w:themeShade="BF"/>
                <w:sz w:val="24"/>
                <w:szCs w:val="24"/>
                <w:lang w:eastAsia="en-AU"/>
              </w:rPr>
              <w:t xml:space="preserve">Example </w:t>
            </w:r>
            <w:r w:rsidRPr="004D307F">
              <w:rPr>
                <w:rFonts w:ascii="VIC-Bold" w:eastAsia="Times New Roman" w:hAnsi="VIC-Bold" w:cs="Times New Roman"/>
                <w:color w:val="323E4F" w:themeColor="text2" w:themeShade="BF"/>
                <w:sz w:val="24"/>
                <w:szCs w:val="24"/>
                <w:lang w:eastAsia="en-AU"/>
              </w:rPr>
              <w:t>— Special School Complexity Allowance calculation</w:t>
            </w:r>
            <w:r w:rsidR="007667A1" w:rsidRPr="004D307F">
              <w:rPr>
                <w:rFonts w:ascii="VIC-Bold" w:eastAsia="Times New Roman" w:hAnsi="VIC-Bold" w:cs="Times New Roman"/>
                <w:color w:val="323E4F" w:themeColor="text2" w:themeShade="BF"/>
                <w:sz w:val="24"/>
                <w:szCs w:val="24"/>
                <w:lang w:eastAsia="en-AU"/>
              </w:rPr>
              <w:t xml:space="preserve"> to derive the index point</w:t>
            </w:r>
          </w:p>
        </w:tc>
      </w:tr>
      <w:tr w:rsidR="00371B75" w:rsidRPr="004D307F" w14:paraId="5BA40CBF" w14:textId="77777777" w:rsidTr="00080034">
        <w:tc>
          <w:tcPr>
            <w:tcW w:w="0" w:type="auto"/>
            <w:hideMark/>
          </w:tcPr>
          <w:p w14:paraId="693FA8A7"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PSD Level</w:t>
            </w:r>
          </w:p>
        </w:tc>
        <w:tc>
          <w:tcPr>
            <w:tcW w:w="0" w:type="auto"/>
            <w:hideMark/>
          </w:tcPr>
          <w:p w14:paraId="4A35F7B8"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No of Students</w:t>
            </w:r>
          </w:p>
        </w:tc>
        <w:tc>
          <w:tcPr>
            <w:tcW w:w="0" w:type="auto"/>
            <w:hideMark/>
          </w:tcPr>
          <w:p w14:paraId="136D1AA6" w14:textId="66CF72D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 xml:space="preserve">Weighting Value </w:t>
            </w:r>
            <w:r w:rsidR="007667A1" w:rsidRPr="004D307F">
              <w:rPr>
                <w:rFonts w:ascii="VIC-Bold" w:eastAsia="Times New Roman" w:hAnsi="VIC-Bold" w:cs="Times New Roman"/>
                <w:color w:val="323E4F" w:themeColor="text2" w:themeShade="BF"/>
                <w:sz w:val="24"/>
                <w:szCs w:val="24"/>
                <w:lang w:eastAsia="en-AU"/>
              </w:rPr>
              <w:t>PSD Level x No. of Students</w:t>
            </w:r>
          </w:p>
        </w:tc>
      </w:tr>
      <w:tr w:rsidR="00371B75" w:rsidRPr="004D307F" w14:paraId="34FEBC4C" w14:textId="77777777" w:rsidTr="00080034">
        <w:tc>
          <w:tcPr>
            <w:tcW w:w="0" w:type="auto"/>
            <w:hideMark/>
          </w:tcPr>
          <w:p w14:paraId="3F89EF4D"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w:t>
            </w:r>
          </w:p>
        </w:tc>
        <w:tc>
          <w:tcPr>
            <w:tcW w:w="0" w:type="auto"/>
            <w:hideMark/>
          </w:tcPr>
          <w:p w14:paraId="29AE36BD"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10</w:t>
            </w:r>
          </w:p>
        </w:tc>
        <w:tc>
          <w:tcPr>
            <w:tcW w:w="0" w:type="auto"/>
            <w:hideMark/>
          </w:tcPr>
          <w:p w14:paraId="1B76BB5E"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10</w:t>
            </w:r>
          </w:p>
        </w:tc>
      </w:tr>
      <w:tr w:rsidR="00371B75" w:rsidRPr="004D307F" w14:paraId="095AA27B" w14:textId="77777777" w:rsidTr="00080034">
        <w:tc>
          <w:tcPr>
            <w:tcW w:w="0" w:type="auto"/>
            <w:hideMark/>
          </w:tcPr>
          <w:p w14:paraId="2B8A7D76"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w:t>
            </w:r>
          </w:p>
        </w:tc>
        <w:tc>
          <w:tcPr>
            <w:tcW w:w="0" w:type="auto"/>
            <w:hideMark/>
          </w:tcPr>
          <w:p w14:paraId="7AFBE723"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15</w:t>
            </w:r>
          </w:p>
        </w:tc>
        <w:tc>
          <w:tcPr>
            <w:tcW w:w="0" w:type="auto"/>
            <w:hideMark/>
          </w:tcPr>
          <w:p w14:paraId="2CDF30AA"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30</w:t>
            </w:r>
          </w:p>
        </w:tc>
      </w:tr>
      <w:tr w:rsidR="00371B75" w:rsidRPr="004D307F" w14:paraId="6E0F9461" w14:textId="77777777" w:rsidTr="00080034">
        <w:tc>
          <w:tcPr>
            <w:tcW w:w="0" w:type="auto"/>
            <w:hideMark/>
          </w:tcPr>
          <w:p w14:paraId="75180F6A"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w:t>
            </w:r>
          </w:p>
        </w:tc>
        <w:tc>
          <w:tcPr>
            <w:tcW w:w="0" w:type="auto"/>
            <w:hideMark/>
          </w:tcPr>
          <w:p w14:paraId="37144155"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w:t>
            </w:r>
          </w:p>
        </w:tc>
        <w:tc>
          <w:tcPr>
            <w:tcW w:w="0" w:type="auto"/>
            <w:hideMark/>
          </w:tcPr>
          <w:p w14:paraId="1F1B1C0B"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15</w:t>
            </w:r>
          </w:p>
        </w:tc>
      </w:tr>
      <w:tr w:rsidR="00371B75" w:rsidRPr="004D307F" w14:paraId="12A1C9CF" w14:textId="77777777" w:rsidTr="00080034">
        <w:tc>
          <w:tcPr>
            <w:tcW w:w="0" w:type="auto"/>
            <w:hideMark/>
          </w:tcPr>
          <w:p w14:paraId="66BC4AE4"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w:t>
            </w:r>
          </w:p>
        </w:tc>
        <w:tc>
          <w:tcPr>
            <w:tcW w:w="0" w:type="auto"/>
            <w:hideMark/>
          </w:tcPr>
          <w:p w14:paraId="6091FE31"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w:t>
            </w:r>
          </w:p>
        </w:tc>
        <w:tc>
          <w:tcPr>
            <w:tcW w:w="0" w:type="auto"/>
            <w:hideMark/>
          </w:tcPr>
          <w:p w14:paraId="5BD1972F"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20</w:t>
            </w:r>
          </w:p>
        </w:tc>
      </w:tr>
      <w:tr w:rsidR="00371B75" w:rsidRPr="004D307F" w14:paraId="37C82F72" w14:textId="77777777" w:rsidTr="00080034">
        <w:tc>
          <w:tcPr>
            <w:tcW w:w="0" w:type="auto"/>
            <w:hideMark/>
          </w:tcPr>
          <w:p w14:paraId="63C7B49B"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w:t>
            </w:r>
          </w:p>
        </w:tc>
        <w:tc>
          <w:tcPr>
            <w:tcW w:w="0" w:type="auto"/>
            <w:hideMark/>
          </w:tcPr>
          <w:p w14:paraId="7F68972A"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w:t>
            </w:r>
          </w:p>
        </w:tc>
        <w:tc>
          <w:tcPr>
            <w:tcW w:w="0" w:type="auto"/>
            <w:hideMark/>
          </w:tcPr>
          <w:p w14:paraId="6A7C25EF"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25</w:t>
            </w:r>
          </w:p>
        </w:tc>
      </w:tr>
      <w:tr w:rsidR="00371B75" w:rsidRPr="004D307F" w14:paraId="3DF263E7" w14:textId="77777777" w:rsidTr="00080034">
        <w:tc>
          <w:tcPr>
            <w:tcW w:w="0" w:type="auto"/>
            <w:hideMark/>
          </w:tcPr>
          <w:p w14:paraId="15D0F84A"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w:t>
            </w:r>
          </w:p>
        </w:tc>
        <w:tc>
          <w:tcPr>
            <w:tcW w:w="0" w:type="auto"/>
            <w:hideMark/>
          </w:tcPr>
          <w:p w14:paraId="0CD1FA7D"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w:t>
            </w:r>
          </w:p>
        </w:tc>
        <w:tc>
          <w:tcPr>
            <w:tcW w:w="0" w:type="auto"/>
            <w:hideMark/>
          </w:tcPr>
          <w:p w14:paraId="6E834B73" w14:textId="0F74D2AF"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30</w:t>
            </w:r>
          </w:p>
        </w:tc>
      </w:tr>
      <w:tr w:rsidR="00371B75" w:rsidRPr="004D307F" w14:paraId="316EE53E" w14:textId="77777777" w:rsidTr="00080034">
        <w:tc>
          <w:tcPr>
            <w:tcW w:w="0" w:type="auto"/>
            <w:hideMark/>
          </w:tcPr>
          <w:p w14:paraId="16EF68C4" w14:textId="3F7595CC" w:rsidR="00AD16F0" w:rsidRPr="004D307F" w:rsidRDefault="007667A1"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No. of Students</w:t>
            </w:r>
          </w:p>
        </w:tc>
        <w:tc>
          <w:tcPr>
            <w:tcW w:w="0" w:type="auto"/>
            <w:hideMark/>
          </w:tcPr>
          <w:p w14:paraId="7992E47E"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45</w:t>
            </w:r>
          </w:p>
        </w:tc>
        <w:tc>
          <w:tcPr>
            <w:tcW w:w="0" w:type="auto"/>
            <w:hideMark/>
          </w:tcPr>
          <w:p w14:paraId="1354A5F2"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130</w:t>
            </w:r>
          </w:p>
        </w:tc>
      </w:tr>
    </w:tbl>
    <w:p w14:paraId="468977FB" w14:textId="036201DF" w:rsidR="00AD16F0" w:rsidRPr="004D307F" w:rsidRDefault="007667A1"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323E4F" w:themeColor="text2" w:themeShade="BF"/>
          <w:sz w:val="24"/>
          <w:szCs w:val="24"/>
          <w:lang w:val="en" w:eastAsia="en-AU"/>
        </w:rPr>
        <w:t>Index Point = 130 (weighted value)/ 45 (no. of students) = 2.9</w:t>
      </w:r>
      <w:r w:rsidR="00711257" w:rsidRPr="004D307F">
        <w:rPr>
          <w:rFonts w:ascii="VIC-Regular" w:eastAsia="Times New Roman" w:hAnsi="VIC-Regular" w:cs="Times New Roman"/>
          <w:color w:val="323E4F" w:themeColor="text2" w:themeShade="BF"/>
          <w:sz w:val="24"/>
          <w:szCs w:val="24"/>
          <w:lang w:val="en" w:eastAsia="en-AU"/>
        </w:rPr>
        <w:t xml:space="preserve"> </w:t>
      </w:r>
      <w:r w:rsidR="00AD16F0" w:rsidRPr="004D307F">
        <w:rPr>
          <w:rFonts w:ascii="VIC-Regular" w:eastAsia="Times New Roman" w:hAnsi="VIC-Regular" w:cs="Times New Roman"/>
          <w:color w:val="323E4F" w:themeColor="text2" w:themeShade="BF"/>
          <w:sz w:val="24"/>
          <w:szCs w:val="24"/>
          <w:lang w:val="en" w:eastAsia="en-AU"/>
        </w:rPr>
        <w:t>Supplemen</w:t>
      </w:r>
      <w:r w:rsidR="00AD16F0" w:rsidRPr="004D307F">
        <w:rPr>
          <w:rFonts w:ascii="VIC-Regular" w:eastAsia="Times New Roman" w:hAnsi="VIC-Regular" w:cs="Times New Roman"/>
          <w:color w:val="011A3C"/>
          <w:sz w:val="24"/>
          <w:szCs w:val="24"/>
          <w:lang w:val="en" w:eastAsia="en-AU"/>
        </w:rPr>
        <w:t xml:space="preserve">tation per student = </w:t>
      </w:r>
      <w:r w:rsidR="00C9456F" w:rsidRPr="004D307F">
        <w:rPr>
          <w:rFonts w:ascii="VIC-Regular" w:eastAsia="Times New Roman" w:hAnsi="VIC-Regular" w:cs="Times New Roman"/>
          <w:color w:val="011A3C"/>
          <w:sz w:val="24"/>
          <w:szCs w:val="24"/>
          <w:lang w:val="en" w:eastAsia="en-AU"/>
        </w:rPr>
        <w:t>$949.10</w:t>
      </w:r>
      <w:r w:rsidR="00AD16F0" w:rsidRPr="004D307F">
        <w:rPr>
          <w:rFonts w:ascii="VIC-Regular" w:eastAsia="Times New Roman" w:hAnsi="VIC-Regular" w:cs="Times New Roman"/>
          <w:color w:val="011A3C"/>
          <w:sz w:val="24"/>
          <w:szCs w:val="24"/>
          <w:lang w:val="en" w:eastAsia="en-AU"/>
        </w:rPr>
        <w:t xml:space="preserve"> (from rates table</w:t>
      </w:r>
      <w:r w:rsidRPr="004D307F">
        <w:t xml:space="preserve"> </w:t>
      </w:r>
      <w:r w:rsidRPr="004D307F">
        <w:rPr>
          <w:rFonts w:ascii="VIC-Regular" w:eastAsia="Times New Roman" w:hAnsi="VIC-Regular" w:cs="Times New Roman"/>
          <w:color w:val="011A3C"/>
          <w:sz w:val="24"/>
          <w:szCs w:val="24"/>
          <w:lang w:val="en" w:eastAsia="en-AU"/>
        </w:rPr>
        <w:t>for index point 2.9)</w:t>
      </w:r>
      <w:r w:rsidR="00AD16F0" w:rsidRPr="004D307F">
        <w:rPr>
          <w:rFonts w:ascii="VIC-Regular" w:eastAsia="Times New Roman" w:hAnsi="VIC-Regular" w:cs="Times New Roman"/>
          <w:color w:val="011A3C"/>
          <w:sz w:val="24"/>
          <w:szCs w:val="24"/>
          <w:lang w:val="en" w:eastAsia="en-AU"/>
        </w:rPr>
        <w:t>)</w:t>
      </w:r>
    </w:p>
    <w:p w14:paraId="22CCBD0A" w14:textId="267196C5"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Special School Complexity Allowance = </w:t>
      </w:r>
      <w:r w:rsidR="00C9456F" w:rsidRPr="004D307F">
        <w:rPr>
          <w:rFonts w:ascii="VIC-Regular" w:eastAsia="Times New Roman" w:hAnsi="VIC-Regular" w:cs="Times New Roman"/>
          <w:color w:val="011A3C"/>
          <w:sz w:val="24"/>
          <w:szCs w:val="24"/>
          <w:lang w:val="en" w:eastAsia="en-AU"/>
        </w:rPr>
        <w:t xml:space="preserve">$949.10 </w:t>
      </w:r>
      <w:r w:rsidRPr="004D307F">
        <w:rPr>
          <w:rFonts w:ascii="VIC-Regular" w:eastAsia="Times New Roman" w:hAnsi="VIC-Regular" w:cs="Times New Roman"/>
          <w:color w:val="011A3C"/>
          <w:sz w:val="24"/>
          <w:szCs w:val="24"/>
          <w:lang w:val="en" w:eastAsia="en-AU"/>
        </w:rPr>
        <w:t xml:space="preserve">x 45 = </w:t>
      </w:r>
      <w:r w:rsidR="00C9456F" w:rsidRPr="004D307F">
        <w:rPr>
          <w:rFonts w:ascii="VIC-Regular" w:eastAsia="Times New Roman" w:hAnsi="VIC-Regular" w:cs="Times New Roman"/>
          <w:color w:val="011A3C"/>
          <w:sz w:val="24"/>
          <w:szCs w:val="24"/>
          <w:lang w:val="en" w:eastAsia="en-AU"/>
        </w:rPr>
        <w:t>$42,709.50</w:t>
      </w:r>
    </w:p>
    <w:p w14:paraId="237CEED8" w14:textId="77777777"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0AE38F84" w14:textId="0419002E"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with the following campus types are eligible for</w:t>
      </w:r>
      <w:r w:rsidR="009758B9" w:rsidRPr="004D307F">
        <w:rPr>
          <w:rFonts w:ascii="VIC-Regular" w:hAnsi="VIC-Regular"/>
          <w:color w:val="011A3C"/>
          <w:lang w:val="en"/>
        </w:rPr>
        <w:t xml:space="preserve"> the specialist school complexity allowance.</w:t>
      </w:r>
    </w:p>
    <w:tbl>
      <w:tblPr>
        <w:tblW w:w="5000" w:type="pct"/>
        <w:tblCellMar>
          <w:top w:w="15" w:type="dxa"/>
          <w:left w:w="15" w:type="dxa"/>
          <w:bottom w:w="15" w:type="dxa"/>
          <w:right w:w="15" w:type="dxa"/>
        </w:tblCellMar>
        <w:tblLook w:val="04A0" w:firstRow="1" w:lastRow="0" w:firstColumn="1" w:lastColumn="0" w:noHBand="0" w:noVBand="1"/>
      </w:tblPr>
      <w:tblGrid>
        <w:gridCol w:w="1105"/>
        <w:gridCol w:w="7921"/>
      </w:tblGrid>
      <w:tr w:rsidR="00AD16F0" w:rsidRPr="004D307F" w14:paraId="547DA189" w14:textId="77777777" w:rsidTr="00AD16F0">
        <w:tc>
          <w:tcPr>
            <w:tcW w:w="0" w:type="auto"/>
            <w:hideMark/>
          </w:tcPr>
          <w:p w14:paraId="57057386" w14:textId="77777777" w:rsidR="00AD16F0" w:rsidRPr="004D307F" w:rsidRDefault="00AD16F0" w:rsidP="00AD16F0">
            <w:pPr>
              <w:spacing w:after="0" w:line="360" w:lineRule="atLeast"/>
              <w:rPr>
                <w:rFonts w:ascii="VIC-Regular" w:eastAsia="Times New Roman" w:hAnsi="VIC-Regular" w:cs="Times New Roman"/>
                <w:b/>
                <w:bCs/>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Type</w:t>
            </w:r>
          </w:p>
        </w:tc>
        <w:tc>
          <w:tcPr>
            <w:tcW w:w="0" w:type="auto"/>
            <w:hideMark/>
          </w:tcPr>
          <w:p w14:paraId="072DBAD8" w14:textId="055C539E"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Day Special</w:t>
            </w:r>
            <w:r w:rsidRPr="004D307F">
              <w:rPr>
                <w:rFonts w:ascii="VIC-Regular" w:eastAsia="Times New Roman" w:hAnsi="VIC-Regular" w:cs="Times New Roman"/>
                <w:color w:val="323E4F" w:themeColor="text2" w:themeShade="BF"/>
                <w:sz w:val="24"/>
                <w:szCs w:val="24"/>
                <w:lang w:eastAsia="en-AU"/>
              </w:rPr>
              <w:br/>
              <w:t>Special Development</w:t>
            </w:r>
          </w:p>
          <w:p w14:paraId="42008208" w14:textId="7963CFFA" w:rsidR="00B52991" w:rsidRPr="004D307F" w:rsidRDefault="00B52991"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Disability</w:t>
            </w:r>
          </w:p>
          <w:p w14:paraId="052E9918" w14:textId="0956B28B" w:rsidR="00B52991" w:rsidRPr="004D307F" w:rsidRDefault="00B52991"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Special</w:t>
            </w:r>
          </w:p>
          <w:p w14:paraId="5E236F3B" w14:textId="12DC04B3" w:rsidR="00442CC2" w:rsidRPr="004D307F" w:rsidRDefault="00B52991"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Furlong Park School for Deaf Children</w:t>
            </w:r>
          </w:p>
          <w:p w14:paraId="006597CF"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p>
        </w:tc>
      </w:tr>
    </w:tbl>
    <w:p w14:paraId="72AAED98" w14:textId="77777777"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2269CCDE"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Special School Complexity Allowance = Core Index enrolment × Supplementation per Student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2"/>
        <w:gridCol w:w="2242"/>
        <w:gridCol w:w="763"/>
        <w:gridCol w:w="2243"/>
        <w:gridCol w:w="763"/>
        <w:gridCol w:w="2243"/>
      </w:tblGrid>
      <w:tr w:rsidR="00371B75" w:rsidRPr="004D307F" w14:paraId="247547F3" w14:textId="77777777" w:rsidTr="006C7CCA">
        <w:trPr>
          <w:tblHeader/>
          <w:jc w:val="center"/>
        </w:trPr>
        <w:tc>
          <w:tcPr>
            <w:tcW w:w="0" w:type="auto"/>
            <w:gridSpan w:val="6"/>
            <w:vAlign w:val="center"/>
            <w:hideMark/>
          </w:tcPr>
          <w:p w14:paraId="4FE522CF" w14:textId="7B1DEA21" w:rsidR="00AD16F0" w:rsidRPr="004D307F" w:rsidRDefault="007667A1" w:rsidP="00AD16F0">
            <w:pPr>
              <w:spacing w:after="0" w:line="360" w:lineRule="atLeast"/>
              <w:textAlignment w:val="top"/>
              <w:rPr>
                <w:rFonts w:ascii="VIC-Regular" w:eastAsia="Times New Roman" w:hAnsi="VIC-Regular" w:cs="Times New Roman"/>
                <w:b/>
                <w:bCs/>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 xml:space="preserve">Index Point </w:t>
            </w:r>
            <w:r w:rsidR="00AD16F0" w:rsidRPr="004D307F">
              <w:rPr>
                <w:rFonts w:ascii="VIC-Regular" w:eastAsia="Times New Roman" w:hAnsi="VIC-Regular" w:cs="Times New Roman"/>
                <w:b/>
                <w:bCs/>
                <w:color w:val="323E4F" w:themeColor="text2" w:themeShade="BF"/>
                <w:sz w:val="24"/>
                <w:szCs w:val="24"/>
                <w:lang w:eastAsia="en-AU"/>
              </w:rPr>
              <w:t xml:space="preserve">Rates </w:t>
            </w:r>
            <w:r w:rsidR="00AD16F0" w:rsidRPr="004D307F">
              <w:rPr>
                <w:rFonts w:ascii="VIC-Regular" w:eastAsia="Times New Roman" w:hAnsi="VIC-Regular" w:cs="Times New Roman" w:hint="eastAsia"/>
                <w:b/>
                <w:bCs/>
                <w:color w:val="323E4F" w:themeColor="text2" w:themeShade="BF"/>
                <w:sz w:val="24"/>
                <w:szCs w:val="24"/>
                <w:lang w:eastAsia="en-AU"/>
              </w:rPr>
              <w:t>—</w:t>
            </w:r>
            <w:r w:rsidR="00AD16F0" w:rsidRPr="004D307F">
              <w:rPr>
                <w:rFonts w:ascii="VIC-Regular" w:eastAsia="Times New Roman" w:hAnsi="VIC-Regular" w:cs="Times New Roman"/>
                <w:b/>
                <w:bCs/>
                <w:color w:val="323E4F" w:themeColor="text2" w:themeShade="BF"/>
                <w:sz w:val="24"/>
                <w:szCs w:val="24"/>
                <w:lang w:eastAsia="en-AU"/>
              </w:rPr>
              <w:t xml:space="preserve"> 202</w:t>
            </w:r>
            <w:r w:rsidR="001112BF" w:rsidRPr="004D307F">
              <w:rPr>
                <w:rFonts w:ascii="VIC-Regular" w:eastAsia="Times New Roman" w:hAnsi="VIC-Regular" w:cs="Times New Roman"/>
                <w:b/>
                <w:bCs/>
                <w:color w:val="323E4F" w:themeColor="text2" w:themeShade="BF"/>
                <w:sz w:val="24"/>
                <w:szCs w:val="24"/>
                <w:lang w:eastAsia="en-AU"/>
              </w:rPr>
              <w:t>2</w:t>
            </w:r>
          </w:p>
        </w:tc>
      </w:tr>
      <w:tr w:rsidR="00371B75" w:rsidRPr="004D307F" w14:paraId="7FA3AD1F" w14:textId="77777777" w:rsidTr="006C7CCA">
        <w:trPr>
          <w:tblHeader/>
          <w:jc w:val="center"/>
        </w:trPr>
        <w:tc>
          <w:tcPr>
            <w:tcW w:w="0" w:type="auto"/>
            <w:hideMark/>
          </w:tcPr>
          <w:p w14:paraId="42560C92"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Index Point</w:t>
            </w:r>
          </w:p>
        </w:tc>
        <w:tc>
          <w:tcPr>
            <w:tcW w:w="0" w:type="auto"/>
            <w:hideMark/>
          </w:tcPr>
          <w:p w14:paraId="7A2D07F7"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Supplementation per Student ($)</w:t>
            </w:r>
          </w:p>
        </w:tc>
        <w:tc>
          <w:tcPr>
            <w:tcW w:w="0" w:type="auto"/>
            <w:hideMark/>
          </w:tcPr>
          <w:p w14:paraId="2C978126"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Index Point</w:t>
            </w:r>
          </w:p>
        </w:tc>
        <w:tc>
          <w:tcPr>
            <w:tcW w:w="0" w:type="auto"/>
            <w:hideMark/>
          </w:tcPr>
          <w:p w14:paraId="4B42505E"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Supplementation per Student ($)</w:t>
            </w:r>
          </w:p>
        </w:tc>
        <w:tc>
          <w:tcPr>
            <w:tcW w:w="0" w:type="auto"/>
            <w:hideMark/>
          </w:tcPr>
          <w:p w14:paraId="4A11FD84"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Index Point</w:t>
            </w:r>
          </w:p>
        </w:tc>
        <w:tc>
          <w:tcPr>
            <w:tcW w:w="0" w:type="auto"/>
            <w:hideMark/>
          </w:tcPr>
          <w:p w14:paraId="2F3782DA"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Supplementation per Student ($)</w:t>
            </w:r>
          </w:p>
        </w:tc>
      </w:tr>
      <w:tr w:rsidR="00371B75" w:rsidRPr="004D307F" w14:paraId="0496726F" w14:textId="77777777" w:rsidTr="006C7CCA">
        <w:trPr>
          <w:jc w:val="center"/>
        </w:trPr>
        <w:tc>
          <w:tcPr>
            <w:tcW w:w="0" w:type="auto"/>
            <w:hideMark/>
          </w:tcPr>
          <w:p w14:paraId="45358CDA"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1.0</w:t>
            </w:r>
          </w:p>
        </w:tc>
        <w:tc>
          <w:tcPr>
            <w:tcW w:w="0" w:type="auto"/>
            <w:hideMark/>
          </w:tcPr>
          <w:p w14:paraId="32695426" w14:textId="32F310BB"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242.80</w:t>
            </w:r>
          </w:p>
        </w:tc>
        <w:tc>
          <w:tcPr>
            <w:tcW w:w="0" w:type="auto"/>
            <w:hideMark/>
          </w:tcPr>
          <w:p w14:paraId="0DCDFE30"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2.7</w:t>
            </w:r>
          </w:p>
        </w:tc>
        <w:tc>
          <w:tcPr>
            <w:tcW w:w="0" w:type="auto"/>
            <w:hideMark/>
          </w:tcPr>
          <w:p w14:paraId="329D3CBF" w14:textId="31D597F2"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874.80</w:t>
            </w:r>
          </w:p>
        </w:tc>
        <w:tc>
          <w:tcPr>
            <w:tcW w:w="0" w:type="auto"/>
            <w:hideMark/>
          </w:tcPr>
          <w:p w14:paraId="553045E6"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4.4</w:t>
            </w:r>
          </w:p>
        </w:tc>
        <w:tc>
          <w:tcPr>
            <w:tcW w:w="0" w:type="auto"/>
            <w:hideMark/>
          </w:tcPr>
          <w:p w14:paraId="37F67294" w14:textId="6A32F9BA"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1,506.80</w:t>
            </w:r>
          </w:p>
        </w:tc>
      </w:tr>
      <w:tr w:rsidR="00371B75" w:rsidRPr="004D307F" w14:paraId="033A8E7E" w14:textId="77777777" w:rsidTr="006C7CCA">
        <w:trPr>
          <w:jc w:val="center"/>
        </w:trPr>
        <w:tc>
          <w:tcPr>
            <w:tcW w:w="0" w:type="auto"/>
            <w:hideMark/>
          </w:tcPr>
          <w:p w14:paraId="1AB0B78F"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w:t>
            </w:r>
          </w:p>
        </w:tc>
        <w:tc>
          <w:tcPr>
            <w:tcW w:w="0" w:type="auto"/>
            <w:hideMark/>
          </w:tcPr>
          <w:p w14:paraId="087EBB60" w14:textId="40A3341B"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279.90</w:t>
            </w:r>
          </w:p>
        </w:tc>
        <w:tc>
          <w:tcPr>
            <w:tcW w:w="0" w:type="auto"/>
            <w:hideMark/>
          </w:tcPr>
          <w:p w14:paraId="00E6FDDD"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2.8</w:t>
            </w:r>
          </w:p>
        </w:tc>
        <w:tc>
          <w:tcPr>
            <w:tcW w:w="0" w:type="auto"/>
            <w:hideMark/>
          </w:tcPr>
          <w:p w14:paraId="38A5AC4D" w14:textId="5012B9FD"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911.90</w:t>
            </w:r>
          </w:p>
        </w:tc>
        <w:tc>
          <w:tcPr>
            <w:tcW w:w="0" w:type="auto"/>
            <w:hideMark/>
          </w:tcPr>
          <w:p w14:paraId="46CFD579"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4.5</w:t>
            </w:r>
          </w:p>
        </w:tc>
        <w:tc>
          <w:tcPr>
            <w:tcW w:w="0" w:type="auto"/>
            <w:hideMark/>
          </w:tcPr>
          <w:p w14:paraId="2E3D5D8C" w14:textId="7975F201"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1,543.90</w:t>
            </w:r>
          </w:p>
        </w:tc>
      </w:tr>
      <w:tr w:rsidR="00371B75" w:rsidRPr="004D307F" w14:paraId="2D013839" w14:textId="77777777" w:rsidTr="006C7CCA">
        <w:trPr>
          <w:jc w:val="center"/>
        </w:trPr>
        <w:tc>
          <w:tcPr>
            <w:tcW w:w="0" w:type="auto"/>
            <w:hideMark/>
          </w:tcPr>
          <w:p w14:paraId="787927F3"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1.2</w:t>
            </w:r>
          </w:p>
        </w:tc>
        <w:tc>
          <w:tcPr>
            <w:tcW w:w="0" w:type="auto"/>
            <w:hideMark/>
          </w:tcPr>
          <w:p w14:paraId="5AFE8D9D" w14:textId="3CD1FB10"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317.10</w:t>
            </w:r>
          </w:p>
        </w:tc>
        <w:tc>
          <w:tcPr>
            <w:tcW w:w="0" w:type="auto"/>
            <w:hideMark/>
          </w:tcPr>
          <w:p w14:paraId="728BA603"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2.9</w:t>
            </w:r>
          </w:p>
        </w:tc>
        <w:tc>
          <w:tcPr>
            <w:tcW w:w="0" w:type="auto"/>
            <w:hideMark/>
          </w:tcPr>
          <w:p w14:paraId="726CA318" w14:textId="5E996176"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949.10</w:t>
            </w:r>
          </w:p>
        </w:tc>
        <w:tc>
          <w:tcPr>
            <w:tcW w:w="0" w:type="auto"/>
            <w:hideMark/>
          </w:tcPr>
          <w:p w14:paraId="4CB9C009"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4.6</w:t>
            </w:r>
          </w:p>
        </w:tc>
        <w:tc>
          <w:tcPr>
            <w:tcW w:w="0" w:type="auto"/>
            <w:hideMark/>
          </w:tcPr>
          <w:p w14:paraId="0D08FDE7" w14:textId="3D3CE51A"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1,581.10</w:t>
            </w:r>
          </w:p>
        </w:tc>
      </w:tr>
      <w:tr w:rsidR="00371B75" w:rsidRPr="004D307F" w14:paraId="4AC88BEC" w14:textId="77777777" w:rsidTr="006C7CCA">
        <w:trPr>
          <w:jc w:val="center"/>
        </w:trPr>
        <w:tc>
          <w:tcPr>
            <w:tcW w:w="0" w:type="auto"/>
            <w:hideMark/>
          </w:tcPr>
          <w:p w14:paraId="22D6AA1E"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1.3</w:t>
            </w:r>
          </w:p>
        </w:tc>
        <w:tc>
          <w:tcPr>
            <w:tcW w:w="0" w:type="auto"/>
            <w:hideMark/>
          </w:tcPr>
          <w:p w14:paraId="2048F859" w14:textId="642DEC3C"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354.30</w:t>
            </w:r>
          </w:p>
        </w:tc>
        <w:tc>
          <w:tcPr>
            <w:tcW w:w="0" w:type="auto"/>
            <w:hideMark/>
          </w:tcPr>
          <w:p w14:paraId="2A6C31B2"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3.0</w:t>
            </w:r>
          </w:p>
        </w:tc>
        <w:tc>
          <w:tcPr>
            <w:tcW w:w="0" w:type="auto"/>
            <w:hideMark/>
          </w:tcPr>
          <w:p w14:paraId="13BB3875" w14:textId="50CCB92D"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986.30</w:t>
            </w:r>
          </w:p>
        </w:tc>
        <w:tc>
          <w:tcPr>
            <w:tcW w:w="0" w:type="auto"/>
            <w:hideMark/>
          </w:tcPr>
          <w:p w14:paraId="10719C3A"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4.7</w:t>
            </w:r>
          </w:p>
        </w:tc>
        <w:tc>
          <w:tcPr>
            <w:tcW w:w="0" w:type="auto"/>
            <w:hideMark/>
          </w:tcPr>
          <w:p w14:paraId="718307A0" w14:textId="58E8C518"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1,618.30</w:t>
            </w:r>
          </w:p>
        </w:tc>
      </w:tr>
      <w:tr w:rsidR="00371B75" w:rsidRPr="004D307F" w14:paraId="44003AAF" w14:textId="77777777" w:rsidTr="006C7CCA">
        <w:trPr>
          <w:jc w:val="center"/>
        </w:trPr>
        <w:tc>
          <w:tcPr>
            <w:tcW w:w="0" w:type="auto"/>
            <w:hideMark/>
          </w:tcPr>
          <w:p w14:paraId="0AACADE3"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1.4</w:t>
            </w:r>
          </w:p>
        </w:tc>
        <w:tc>
          <w:tcPr>
            <w:tcW w:w="0" w:type="auto"/>
            <w:hideMark/>
          </w:tcPr>
          <w:p w14:paraId="1D978614" w14:textId="74DE0A13"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391.50</w:t>
            </w:r>
          </w:p>
        </w:tc>
        <w:tc>
          <w:tcPr>
            <w:tcW w:w="0" w:type="auto"/>
            <w:hideMark/>
          </w:tcPr>
          <w:p w14:paraId="58FF71F9"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3.1</w:t>
            </w:r>
          </w:p>
        </w:tc>
        <w:tc>
          <w:tcPr>
            <w:tcW w:w="0" w:type="auto"/>
            <w:hideMark/>
          </w:tcPr>
          <w:p w14:paraId="5AC44CF3" w14:textId="05356B60"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1,023.50</w:t>
            </w:r>
          </w:p>
        </w:tc>
        <w:tc>
          <w:tcPr>
            <w:tcW w:w="0" w:type="auto"/>
            <w:hideMark/>
          </w:tcPr>
          <w:p w14:paraId="37C8EAE8"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4.8</w:t>
            </w:r>
          </w:p>
        </w:tc>
        <w:tc>
          <w:tcPr>
            <w:tcW w:w="0" w:type="auto"/>
            <w:hideMark/>
          </w:tcPr>
          <w:p w14:paraId="31E89DF3" w14:textId="6D64E7B6"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1,655.50</w:t>
            </w:r>
          </w:p>
        </w:tc>
      </w:tr>
      <w:tr w:rsidR="00371B75" w:rsidRPr="004D307F" w14:paraId="41B297C9" w14:textId="77777777" w:rsidTr="006C7CCA">
        <w:trPr>
          <w:jc w:val="center"/>
        </w:trPr>
        <w:tc>
          <w:tcPr>
            <w:tcW w:w="0" w:type="auto"/>
            <w:hideMark/>
          </w:tcPr>
          <w:p w14:paraId="57D82962"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1.5</w:t>
            </w:r>
          </w:p>
        </w:tc>
        <w:tc>
          <w:tcPr>
            <w:tcW w:w="0" w:type="auto"/>
            <w:hideMark/>
          </w:tcPr>
          <w:p w14:paraId="1AB87E54" w14:textId="531A26E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428.60</w:t>
            </w:r>
          </w:p>
        </w:tc>
        <w:tc>
          <w:tcPr>
            <w:tcW w:w="0" w:type="auto"/>
            <w:hideMark/>
          </w:tcPr>
          <w:p w14:paraId="32D31B4F"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3.2</w:t>
            </w:r>
          </w:p>
        </w:tc>
        <w:tc>
          <w:tcPr>
            <w:tcW w:w="0" w:type="auto"/>
            <w:hideMark/>
          </w:tcPr>
          <w:p w14:paraId="67CB616A" w14:textId="2D535A70"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1,060.60</w:t>
            </w:r>
          </w:p>
        </w:tc>
        <w:tc>
          <w:tcPr>
            <w:tcW w:w="0" w:type="auto"/>
            <w:hideMark/>
          </w:tcPr>
          <w:p w14:paraId="006516CC"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4.9</w:t>
            </w:r>
          </w:p>
        </w:tc>
        <w:tc>
          <w:tcPr>
            <w:tcW w:w="0" w:type="auto"/>
            <w:hideMark/>
          </w:tcPr>
          <w:p w14:paraId="41284A2E" w14:textId="71C15174"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1,692.70</w:t>
            </w:r>
          </w:p>
        </w:tc>
      </w:tr>
      <w:tr w:rsidR="00371B75" w:rsidRPr="004D307F" w14:paraId="3D5541D4" w14:textId="77777777" w:rsidTr="006C7CCA">
        <w:trPr>
          <w:jc w:val="center"/>
        </w:trPr>
        <w:tc>
          <w:tcPr>
            <w:tcW w:w="0" w:type="auto"/>
            <w:hideMark/>
          </w:tcPr>
          <w:p w14:paraId="7B75D069"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1.6</w:t>
            </w:r>
          </w:p>
        </w:tc>
        <w:tc>
          <w:tcPr>
            <w:tcW w:w="0" w:type="auto"/>
            <w:hideMark/>
          </w:tcPr>
          <w:p w14:paraId="71C9368A" w14:textId="205EB605"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465.80</w:t>
            </w:r>
          </w:p>
        </w:tc>
        <w:tc>
          <w:tcPr>
            <w:tcW w:w="0" w:type="auto"/>
            <w:hideMark/>
          </w:tcPr>
          <w:p w14:paraId="4F3E49A3"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3.3</w:t>
            </w:r>
          </w:p>
        </w:tc>
        <w:tc>
          <w:tcPr>
            <w:tcW w:w="0" w:type="auto"/>
            <w:hideMark/>
          </w:tcPr>
          <w:p w14:paraId="239BD5A6" w14:textId="6C79A06D"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1,097.80</w:t>
            </w:r>
          </w:p>
        </w:tc>
        <w:tc>
          <w:tcPr>
            <w:tcW w:w="0" w:type="auto"/>
            <w:hideMark/>
          </w:tcPr>
          <w:p w14:paraId="2C5FF635"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5.0</w:t>
            </w:r>
          </w:p>
        </w:tc>
        <w:tc>
          <w:tcPr>
            <w:tcW w:w="0" w:type="auto"/>
            <w:hideMark/>
          </w:tcPr>
          <w:p w14:paraId="78750BDE" w14:textId="110C61CC"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1,729.80</w:t>
            </w:r>
          </w:p>
        </w:tc>
      </w:tr>
      <w:tr w:rsidR="00371B75" w:rsidRPr="004D307F" w14:paraId="1E37C75E" w14:textId="77777777" w:rsidTr="006C7CCA">
        <w:trPr>
          <w:jc w:val="center"/>
        </w:trPr>
        <w:tc>
          <w:tcPr>
            <w:tcW w:w="0" w:type="auto"/>
            <w:hideMark/>
          </w:tcPr>
          <w:p w14:paraId="0ACB375D"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1.7</w:t>
            </w:r>
          </w:p>
        </w:tc>
        <w:tc>
          <w:tcPr>
            <w:tcW w:w="0" w:type="auto"/>
            <w:hideMark/>
          </w:tcPr>
          <w:p w14:paraId="311799FE" w14:textId="23108DAD"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503.00</w:t>
            </w:r>
          </w:p>
        </w:tc>
        <w:tc>
          <w:tcPr>
            <w:tcW w:w="0" w:type="auto"/>
            <w:hideMark/>
          </w:tcPr>
          <w:p w14:paraId="717B6961"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3.4</w:t>
            </w:r>
          </w:p>
        </w:tc>
        <w:tc>
          <w:tcPr>
            <w:tcW w:w="0" w:type="auto"/>
            <w:hideMark/>
          </w:tcPr>
          <w:p w14:paraId="2686B2B7" w14:textId="4D17F306"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1,135.00</w:t>
            </w:r>
          </w:p>
        </w:tc>
        <w:tc>
          <w:tcPr>
            <w:tcW w:w="0" w:type="auto"/>
            <w:hideMark/>
          </w:tcPr>
          <w:p w14:paraId="1882CF5B"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5.1</w:t>
            </w:r>
          </w:p>
        </w:tc>
        <w:tc>
          <w:tcPr>
            <w:tcW w:w="0" w:type="auto"/>
            <w:hideMark/>
          </w:tcPr>
          <w:p w14:paraId="6D59845D" w14:textId="2AD30A78"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1,767.00</w:t>
            </w:r>
          </w:p>
        </w:tc>
      </w:tr>
      <w:tr w:rsidR="00371B75" w:rsidRPr="004D307F" w14:paraId="1111ABB1" w14:textId="77777777" w:rsidTr="006C7CCA">
        <w:trPr>
          <w:jc w:val="center"/>
        </w:trPr>
        <w:tc>
          <w:tcPr>
            <w:tcW w:w="0" w:type="auto"/>
            <w:hideMark/>
          </w:tcPr>
          <w:p w14:paraId="5CE8240F"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1.8</w:t>
            </w:r>
          </w:p>
        </w:tc>
        <w:tc>
          <w:tcPr>
            <w:tcW w:w="0" w:type="auto"/>
            <w:hideMark/>
          </w:tcPr>
          <w:p w14:paraId="50BC3528" w14:textId="7D455689"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540.20</w:t>
            </w:r>
          </w:p>
        </w:tc>
        <w:tc>
          <w:tcPr>
            <w:tcW w:w="0" w:type="auto"/>
            <w:hideMark/>
          </w:tcPr>
          <w:p w14:paraId="5F5013F9"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3.5</w:t>
            </w:r>
          </w:p>
        </w:tc>
        <w:tc>
          <w:tcPr>
            <w:tcW w:w="0" w:type="auto"/>
            <w:hideMark/>
          </w:tcPr>
          <w:p w14:paraId="1E1B2C7F" w14:textId="6815C7C5"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1,172.20</w:t>
            </w:r>
          </w:p>
        </w:tc>
        <w:tc>
          <w:tcPr>
            <w:tcW w:w="0" w:type="auto"/>
            <w:hideMark/>
          </w:tcPr>
          <w:p w14:paraId="1386D357"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5.2</w:t>
            </w:r>
          </w:p>
        </w:tc>
        <w:tc>
          <w:tcPr>
            <w:tcW w:w="0" w:type="auto"/>
            <w:hideMark/>
          </w:tcPr>
          <w:p w14:paraId="366663DB" w14:textId="269DB01A"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1,804.20</w:t>
            </w:r>
          </w:p>
        </w:tc>
      </w:tr>
      <w:tr w:rsidR="00371B75" w:rsidRPr="004D307F" w14:paraId="1CBB737B" w14:textId="77777777" w:rsidTr="006C7CCA">
        <w:trPr>
          <w:jc w:val="center"/>
        </w:trPr>
        <w:tc>
          <w:tcPr>
            <w:tcW w:w="0" w:type="auto"/>
            <w:hideMark/>
          </w:tcPr>
          <w:p w14:paraId="6DF464B0"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1.9</w:t>
            </w:r>
          </w:p>
        </w:tc>
        <w:tc>
          <w:tcPr>
            <w:tcW w:w="0" w:type="auto"/>
            <w:hideMark/>
          </w:tcPr>
          <w:p w14:paraId="53C7A767" w14:textId="0A799FA1"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577.30</w:t>
            </w:r>
          </w:p>
        </w:tc>
        <w:tc>
          <w:tcPr>
            <w:tcW w:w="0" w:type="auto"/>
            <w:hideMark/>
          </w:tcPr>
          <w:p w14:paraId="2D6DF0D0"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3.6</w:t>
            </w:r>
          </w:p>
        </w:tc>
        <w:tc>
          <w:tcPr>
            <w:tcW w:w="0" w:type="auto"/>
            <w:hideMark/>
          </w:tcPr>
          <w:p w14:paraId="6DBC1F98" w14:textId="76ED9038"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1,209.30</w:t>
            </w:r>
          </w:p>
        </w:tc>
        <w:tc>
          <w:tcPr>
            <w:tcW w:w="0" w:type="auto"/>
            <w:hideMark/>
          </w:tcPr>
          <w:p w14:paraId="651507B9"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5.3</w:t>
            </w:r>
          </w:p>
        </w:tc>
        <w:tc>
          <w:tcPr>
            <w:tcW w:w="0" w:type="auto"/>
            <w:hideMark/>
          </w:tcPr>
          <w:p w14:paraId="72D627A2" w14:textId="12C29F0B"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1,841.30</w:t>
            </w:r>
          </w:p>
        </w:tc>
      </w:tr>
      <w:tr w:rsidR="00371B75" w:rsidRPr="004D307F" w14:paraId="5AD63067" w14:textId="77777777" w:rsidTr="006C7CCA">
        <w:trPr>
          <w:jc w:val="center"/>
        </w:trPr>
        <w:tc>
          <w:tcPr>
            <w:tcW w:w="0" w:type="auto"/>
            <w:hideMark/>
          </w:tcPr>
          <w:p w14:paraId="5E49F273"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2.0</w:t>
            </w:r>
          </w:p>
        </w:tc>
        <w:tc>
          <w:tcPr>
            <w:tcW w:w="0" w:type="auto"/>
            <w:hideMark/>
          </w:tcPr>
          <w:p w14:paraId="55E70B87" w14:textId="4F5C35A6"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614.50</w:t>
            </w:r>
          </w:p>
        </w:tc>
        <w:tc>
          <w:tcPr>
            <w:tcW w:w="0" w:type="auto"/>
            <w:hideMark/>
          </w:tcPr>
          <w:p w14:paraId="1BB22D83"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3.7</w:t>
            </w:r>
          </w:p>
        </w:tc>
        <w:tc>
          <w:tcPr>
            <w:tcW w:w="0" w:type="auto"/>
            <w:hideMark/>
          </w:tcPr>
          <w:p w14:paraId="1D88AA8C" w14:textId="1F82F42D"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1,246.50</w:t>
            </w:r>
          </w:p>
        </w:tc>
        <w:tc>
          <w:tcPr>
            <w:tcW w:w="0" w:type="auto"/>
            <w:hideMark/>
          </w:tcPr>
          <w:p w14:paraId="1F0379EE"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5.4</w:t>
            </w:r>
          </w:p>
        </w:tc>
        <w:tc>
          <w:tcPr>
            <w:tcW w:w="0" w:type="auto"/>
            <w:hideMark/>
          </w:tcPr>
          <w:p w14:paraId="6369545C" w14:textId="7DDE3823"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1,878.50</w:t>
            </w:r>
          </w:p>
        </w:tc>
      </w:tr>
      <w:tr w:rsidR="00371B75" w:rsidRPr="004D307F" w14:paraId="73E0C55B" w14:textId="77777777" w:rsidTr="006C7CCA">
        <w:trPr>
          <w:jc w:val="center"/>
        </w:trPr>
        <w:tc>
          <w:tcPr>
            <w:tcW w:w="0" w:type="auto"/>
            <w:hideMark/>
          </w:tcPr>
          <w:p w14:paraId="660BB73B"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2.1</w:t>
            </w:r>
          </w:p>
        </w:tc>
        <w:tc>
          <w:tcPr>
            <w:tcW w:w="0" w:type="auto"/>
            <w:hideMark/>
          </w:tcPr>
          <w:p w14:paraId="6A814E23" w14:textId="511C9618"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651.70</w:t>
            </w:r>
          </w:p>
        </w:tc>
        <w:tc>
          <w:tcPr>
            <w:tcW w:w="0" w:type="auto"/>
            <w:hideMark/>
          </w:tcPr>
          <w:p w14:paraId="7D9F90A5"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3.8</w:t>
            </w:r>
          </w:p>
        </w:tc>
        <w:tc>
          <w:tcPr>
            <w:tcW w:w="0" w:type="auto"/>
            <w:hideMark/>
          </w:tcPr>
          <w:p w14:paraId="6D7CF469" w14:textId="50B6E8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1,283.70</w:t>
            </w:r>
          </w:p>
        </w:tc>
        <w:tc>
          <w:tcPr>
            <w:tcW w:w="0" w:type="auto"/>
            <w:hideMark/>
          </w:tcPr>
          <w:p w14:paraId="6DB964B1"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5.5</w:t>
            </w:r>
          </w:p>
        </w:tc>
        <w:tc>
          <w:tcPr>
            <w:tcW w:w="0" w:type="auto"/>
            <w:hideMark/>
          </w:tcPr>
          <w:p w14:paraId="7C58C093" w14:textId="1400FD9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1,915.70</w:t>
            </w:r>
          </w:p>
        </w:tc>
      </w:tr>
      <w:tr w:rsidR="00371B75" w:rsidRPr="004D307F" w14:paraId="511E217D" w14:textId="77777777" w:rsidTr="006C7CCA">
        <w:trPr>
          <w:jc w:val="center"/>
        </w:trPr>
        <w:tc>
          <w:tcPr>
            <w:tcW w:w="0" w:type="auto"/>
            <w:hideMark/>
          </w:tcPr>
          <w:p w14:paraId="11001AF0"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2.2</w:t>
            </w:r>
          </w:p>
        </w:tc>
        <w:tc>
          <w:tcPr>
            <w:tcW w:w="0" w:type="auto"/>
            <w:hideMark/>
          </w:tcPr>
          <w:p w14:paraId="4C162BCC" w14:textId="050D53F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688.90</w:t>
            </w:r>
          </w:p>
        </w:tc>
        <w:tc>
          <w:tcPr>
            <w:tcW w:w="0" w:type="auto"/>
            <w:hideMark/>
          </w:tcPr>
          <w:p w14:paraId="099B1D4F"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3.9</w:t>
            </w:r>
          </w:p>
        </w:tc>
        <w:tc>
          <w:tcPr>
            <w:tcW w:w="0" w:type="auto"/>
            <w:hideMark/>
          </w:tcPr>
          <w:p w14:paraId="1EC01E44" w14:textId="6B5AD07E"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1,320.90</w:t>
            </w:r>
          </w:p>
        </w:tc>
        <w:tc>
          <w:tcPr>
            <w:tcW w:w="0" w:type="auto"/>
            <w:hideMark/>
          </w:tcPr>
          <w:p w14:paraId="4B55E3E1"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5.6</w:t>
            </w:r>
          </w:p>
        </w:tc>
        <w:tc>
          <w:tcPr>
            <w:tcW w:w="0" w:type="auto"/>
            <w:hideMark/>
          </w:tcPr>
          <w:p w14:paraId="39140C06" w14:textId="15FD6098"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1,952.90</w:t>
            </w:r>
          </w:p>
        </w:tc>
      </w:tr>
      <w:tr w:rsidR="00371B75" w:rsidRPr="004D307F" w14:paraId="03065435" w14:textId="77777777" w:rsidTr="006C7CCA">
        <w:trPr>
          <w:jc w:val="center"/>
        </w:trPr>
        <w:tc>
          <w:tcPr>
            <w:tcW w:w="0" w:type="auto"/>
            <w:hideMark/>
          </w:tcPr>
          <w:p w14:paraId="0BF7940D"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2.3</w:t>
            </w:r>
          </w:p>
        </w:tc>
        <w:tc>
          <w:tcPr>
            <w:tcW w:w="0" w:type="auto"/>
            <w:hideMark/>
          </w:tcPr>
          <w:p w14:paraId="33F76FD2" w14:textId="346F7392"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726.10</w:t>
            </w:r>
          </w:p>
        </w:tc>
        <w:tc>
          <w:tcPr>
            <w:tcW w:w="0" w:type="auto"/>
            <w:hideMark/>
          </w:tcPr>
          <w:p w14:paraId="36898E80"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4.0</w:t>
            </w:r>
          </w:p>
        </w:tc>
        <w:tc>
          <w:tcPr>
            <w:tcW w:w="0" w:type="auto"/>
            <w:hideMark/>
          </w:tcPr>
          <w:p w14:paraId="562C9BB7" w14:textId="32B1856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1,358.10</w:t>
            </w:r>
          </w:p>
        </w:tc>
        <w:tc>
          <w:tcPr>
            <w:tcW w:w="0" w:type="auto"/>
            <w:hideMark/>
          </w:tcPr>
          <w:p w14:paraId="085EA5CF"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5.7</w:t>
            </w:r>
          </w:p>
        </w:tc>
        <w:tc>
          <w:tcPr>
            <w:tcW w:w="0" w:type="auto"/>
            <w:hideMark/>
          </w:tcPr>
          <w:p w14:paraId="320BA003" w14:textId="5F578055"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1,990.10</w:t>
            </w:r>
          </w:p>
        </w:tc>
      </w:tr>
      <w:tr w:rsidR="00371B75" w:rsidRPr="004D307F" w14:paraId="5AC1EC96" w14:textId="77777777" w:rsidTr="006C7CCA">
        <w:trPr>
          <w:jc w:val="center"/>
        </w:trPr>
        <w:tc>
          <w:tcPr>
            <w:tcW w:w="0" w:type="auto"/>
            <w:hideMark/>
          </w:tcPr>
          <w:p w14:paraId="24D922D0"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2.4</w:t>
            </w:r>
          </w:p>
        </w:tc>
        <w:tc>
          <w:tcPr>
            <w:tcW w:w="0" w:type="auto"/>
            <w:hideMark/>
          </w:tcPr>
          <w:p w14:paraId="391949D3" w14:textId="3AE31465"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763.20</w:t>
            </w:r>
          </w:p>
        </w:tc>
        <w:tc>
          <w:tcPr>
            <w:tcW w:w="0" w:type="auto"/>
            <w:hideMark/>
          </w:tcPr>
          <w:p w14:paraId="1A320057"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4.1</w:t>
            </w:r>
          </w:p>
        </w:tc>
        <w:tc>
          <w:tcPr>
            <w:tcW w:w="0" w:type="auto"/>
            <w:hideMark/>
          </w:tcPr>
          <w:p w14:paraId="0B43D789" w14:textId="3492468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1,395.20</w:t>
            </w:r>
          </w:p>
        </w:tc>
        <w:tc>
          <w:tcPr>
            <w:tcW w:w="0" w:type="auto"/>
            <w:hideMark/>
          </w:tcPr>
          <w:p w14:paraId="44B052A6"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5.8</w:t>
            </w:r>
          </w:p>
        </w:tc>
        <w:tc>
          <w:tcPr>
            <w:tcW w:w="0" w:type="auto"/>
            <w:hideMark/>
          </w:tcPr>
          <w:p w14:paraId="3B5F86C4" w14:textId="6AA868BB"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2,027.20</w:t>
            </w:r>
          </w:p>
        </w:tc>
      </w:tr>
      <w:tr w:rsidR="00371B75" w:rsidRPr="004D307F" w14:paraId="0B72EC83" w14:textId="77777777" w:rsidTr="006C7CCA">
        <w:trPr>
          <w:jc w:val="center"/>
        </w:trPr>
        <w:tc>
          <w:tcPr>
            <w:tcW w:w="0" w:type="auto"/>
            <w:hideMark/>
          </w:tcPr>
          <w:p w14:paraId="5C9E1919"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2.5</w:t>
            </w:r>
          </w:p>
        </w:tc>
        <w:tc>
          <w:tcPr>
            <w:tcW w:w="0" w:type="auto"/>
            <w:hideMark/>
          </w:tcPr>
          <w:p w14:paraId="3835AF6C" w14:textId="59C6B6E8"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800.40</w:t>
            </w:r>
          </w:p>
        </w:tc>
        <w:tc>
          <w:tcPr>
            <w:tcW w:w="0" w:type="auto"/>
            <w:hideMark/>
          </w:tcPr>
          <w:p w14:paraId="7E9785D1"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4.2</w:t>
            </w:r>
          </w:p>
        </w:tc>
        <w:tc>
          <w:tcPr>
            <w:tcW w:w="0" w:type="auto"/>
            <w:hideMark/>
          </w:tcPr>
          <w:p w14:paraId="15F59CFD" w14:textId="3763CE7B"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1,432.40</w:t>
            </w:r>
          </w:p>
        </w:tc>
        <w:tc>
          <w:tcPr>
            <w:tcW w:w="0" w:type="auto"/>
            <w:hideMark/>
          </w:tcPr>
          <w:p w14:paraId="0A944558"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5.9</w:t>
            </w:r>
          </w:p>
        </w:tc>
        <w:tc>
          <w:tcPr>
            <w:tcW w:w="0" w:type="auto"/>
            <w:hideMark/>
          </w:tcPr>
          <w:p w14:paraId="7534F39E" w14:textId="0AF50341"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2,064.40</w:t>
            </w:r>
          </w:p>
        </w:tc>
      </w:tr>
      <w:tr w:rsidR="007667A1" w:rsidRPr="004D307F" w14:paraId="0B519080" w14:textId="77777777" w:rsidTr="006C7CCA">
        <w:trPr>
          <w:jc w:val="center"/>
        </w:trPr>
        <w:tc>
          <w:tcPr>
            <w:tcW w:w="0" w:type="auto"/>
            <w:hideMark/>
          </w:tcPr>
          <w:p w14:paraId="52E817A9"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2.6</w:t>
            </w:r>
          </w:p>
        </w:tc>
        <w:tc>
          <w:tcPr>
            <w:tcW w:w="0" w:type="auto"/>
            <w:hideMark/>
          </w:tcPr>
          <w:p w14:paraId="2CE07F78" w14:textId="748A7B6C"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837.60</w:t>
            </w:r>
          </w:p>
        </w:tc>
        <w:tc>
          <w:tcPr>
            <w:tcW w:w="0" w:type="auto"/>
            <w:hideMark/>
          </w:tcPr>
          <w:p w14:paraId="3B86E69A" w14:textId="7FADE1E1"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4.3</w:t>
            </w:r>
          </w:p>
        </w:tc>
        <w:tc>
          <w:tcPr>
            <w:tcW w:w="0" w:type="auto"/>
            <w:hideMark/>
          </w:tcPr>
          <w:p w14:paraId="41496AC7" w14:textId="4CBF7A7C"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1,469.60</w:t>
            </w:r>
          </w:p>
        </w:tc>
        <w:tc>
          <w:tcPr>
            <w:tcW w:w="0" w:type="auto"/>
            <w:hideMark/>
          </w:tcPr>
          <w:p w14:paraId="38921D0D"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6.0</w:t>
            </w:r>
          </w:p>
        </w:tc>
        <w:tc>
          <w:tcPr>
            <w:tcW w:w="0" w:type="auto"/>
            <w:hideMark/>
          </w:tcPr>
          <w:p w14:paraId="58713D82" w14:textId="68CAC9BA"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2,101.60</w:t>
            </w:r>
          </w:p>
        </w:tc>
      </w:tr>
    </w:tbl>
    <w:p w14:paraId="53214408" w14:textId="77777777" w:rsidR="00AD16F0" w:rsidRPr="004D307F" w:rsidRDefault="00AD16F0" w:rsidP="00AD16F0">
      <w:pPr>
        <w:rPr>
          <w:color w:val="323E4F" w:themeColor="text2" w:themeShade="BF"/>
        </w:rPr>
      </w:pPr>
    </w:p>
    <w:p w14:paraId="3E3BD653" w14:textId="77777777" w:rsidR="00AD16F0" w:rsidRPr="004D307F" w:rsidRDefault="00AD16F0" w:rsidP="00AD16F0">
      <w:r w:rsidRPr="004D307F">
        <w:br w:type="page"/>
      </w:r>
    </w:p>
    <w:p w14:paraId="189A0BD1" w14:textId="67ACCF8F" w:rsidR="00AD16F0" w:rsidRPr="004D307F" w:rsidRDefault="00AD16F0" w:rsidP="00B566E7">
      <w:pPr>
        <w:pStyle w:val="Heading2"/>
      </w:pPr>
      <w:bookmarkStart w:id="33" w:name="_Toc106793756"/>
      <w:r w:rsidRPr="004D307F">
        <w:lastRenderedPageBreak/>
        <w:t>Paramedical and Interpreter Staff Salaries (Reference 19)</w:t>
      </w:r>
      <w:bookmarkEnd w:id="33"/>
    </w:p>
    <w:p w14:paraId="31155E55" w14:textId="1DAD0BF7" w:rsidR="009758B9" w:rsidRPr="004D307F" w:rsidRDefault="009758B9" w:rsidP="009758B9">
      <w:pPr>
        <w:pStyle w:val="NormalWeb"/>
        <w:spacing w:line="360" w:lineRule="atLeast"/>
        <w:rPr>
          <w:rFonts w:ascii="VIC-Regular" w:hAnsi="VIC-Regular"/>
          <w:color w:val="011A3C"/>
          <w:lang w:val="en"/>
        </w:rPr>
      </w:pPr>
      <w:r w:rsidRPr="004D307F">
        <w:rPr>
          <w:rFonts w:ascii="VIC-Regular" w:hAnsi="VIC-Regular"/>
          <w:color w:val="011A3C"/>
          <w:lang w:val="en"/>
        </w:rPr>
        <w:t>Paramedical and Interpreter Staff funding is allocated to deaf facilities with secondary enrolments. The funding is inclusive of on costs, (9.75% superannuation and 5.</w:t>
      </w:r>
      <w:r w:rsidR="001E1E44" w:rsidRPr="004D307F">
        <w:rPr>
          <w:rFonts w:ascii="VIC-Regular" w:hAnsi="VIC-Regular"/>
          <w:color w:val="011A3C"/>
          <w:lang w:val="en"/>
        </w:rPr>
        <w:t>85</w:t>
      </w:r>
      <w:r w:rsidRPr="004D307F">
        <w:rPr>
          <w:rFonts w:ascii="VIC-Regular" w:hAnsi="VIC-Regular"/>
          <w:color w:val="011A3C"/>
          <w:lang w:val="en"/>
        </w:rPr>
        <w:t>% payroll tax), 1.35% leave loading, plus 1.5% for short-term relief costs.</w:t>
      </w:r>
    </w:p>
    <w:p w14:paraId="2B157413" w14:textId="77777777" w:rsidR="009758B9" w:rsidRPr="004D307F" w:rsidRDefault="009758B9" w:rsidP="004D307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7112B7F1" w14:textId="77777777" w:rsidR="009758B9" w:rsidRPr="004D307F" w:rsidRDefault="009758B9" w:rsidP="009758B9">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with the following campus types with secondary enrolments are eligible for Interpreter funding at campus level</w:t>
      </w:r>
    </w:p>
    <w:p w14:paraId="76279DD8" w14:textId="3E44FA94" w:rsidR="009758B9" w:rsidRPr="004D307F" w:rsidRDefault="009758B9" w:rsidP="00ED0863">
      <w:pPr>
        <w:numPr>
          <w:ilvl w:val="0"/>
          <w:numId w:val="1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Deaf</w:t>
      </w:r>
      <w:r w:rsidR="00877911" w:rsidRPr="004D307F">
        <w:rPr>
          <w:rFonts w:ascii="VIC" w:eastAsia="Times New Roman" w:hAnsi="VIC" w:cs="Times New Roman"/>
          <w:color w:val="011A3C"/>
          <w:sz w:val="24"/>
          <w:szCs w:val="24"/>
          <w:lang w:val="en" w:eastAsia="en-AU"/>
        </w:rPr>
        <w:t>*</w:t>
      </w:r>
    </w:p>
    <w:p w14:paraId="4CA32D80" w14:textId="130AE75E" w:rsidR="009758B9" w:rsidRPr="004D307F" w:rsidRDefault="009758B9" w:rsidP="004D307F">
      <w:pPr>
        <w:spacing w:before="100" w:beforeAutospacing="1" w:after="100" w:afterAutospacing="1" w:line="360" w:lineRule="atLeast"/>
        <w:rPr>
          <w:rFonts w:ascii="VIC" w:hAnsi="VIC"/>
          <w:lang w:val="en"/>
        </w:rPr>
      </w:pPr>
      <w:r w:rsidRPr="004D307F">
        <w:rPr>
          <w:rFonts w:ascii="VIC" w:eastAsia="Times New Roman" w:hAnsi="VIC" w:cs="Times New Roman"/>
          <w:color w:val="011A3C"/>
          <w:sz w:val="24"/>
          <w:szCs w:val="24"/>
          <w:lang w:val="en" w:eastAsia="en-AU"/>
        </w:rPr>
        <w:t xml:space="preserve">Funding is calculated at the Indicative, Confirmed and Revised cycles and schools are provided </w:t>
      </w:r>
      <w:r w:rsidR="00554F86" w:rsidRPr="004D307F">
        <w:rPr>
          <w:rFonts w:ascii="VIC" w:eastAsia="Times New Roman" w:hAnsi="VIC" w:cs="Times New Roman"/>
          <w:color w:val="011A3C"/>
          <w:sz w:val="24"/>
          <w:szCs w:val="24"/>
          <w:lang w:val="en" w:eastAsia="en-AU"/>
        </w:rPr>
        <w:t xml:space="preserve">as </w:t>
      </w:r>
      <w:r w:rsidRPr="004D307F">
        <w:rPr>
          <w:rFonts w:ascii="VIC" w:eastAsia="Times New Roman" w:hAnsi="VIC" w:cs="Times New Roman"/>
          <w:color w:val="011A3C"/>
          <w:sz w:val="24"/>
          <w:szCs w:val="24"/>
          <w:lang w:val="en" w:eastAsia="en-AU"/>
        </w:rPr>
        <w:t>credit funding</w:t>
      </w:r>
    </w:p>
    <w:p w14:paraId="1BD0A8DD" w14:textId="77777777" w:rsidR="009758B9" w:rsidRPr="004D307F" w:rsidRDefault="009758B9" w:rsidP="009758B9">
      <w:pPr>
        <w:pStyle w:val="Heading3"/>
        <w:rPr>
          <w:rFonts w:ascii="VIC" w:hAnsi="VIC"/>
          <w:b/>
          <w:bCs/>
          <w:color w:val="011A3C"/>
          <w:lang w:val="en"/>
        </w:rPr>
      </w:pPr>
      <w:r w:rsidRPr="004D307F">
        <w:rPr>
          <w:rFonts w:ascii="VIC" w:hAnsi="VIC"/>
          <w:b/>
          <w:bCs/>
          <w:color w:val="011A3C"/>
          <w:lang w:val="en"/>
        </w:rPr>
        <w:t>Calculation details</w:t>
      </w:r>
    </w:p>
    <w:p w14:paraId="2EEAF2CA" w14:textId="284E3855" w:rsidR="009758B9" w:rsidRPr="004D307F" w:rsidRDefault="009758B9" w:rsidP="009758B9">
      <w:pPr>
        <w:pStyle w:val="NormalWeb"/>
        <w:spacing w:line="360" w:lineRule="atLeast"/>
        <w:rPr>
          <w:rFonts w:ascii="VIC" w:hAnsi="VIC"/>
          <w:color w:val="011A3C"/>
          <w:lang w:val="en"/>
        </w:rPr>
      </w:pPr>
      <w:r w:rsidRPr="004D307F">
        <w:rPr>
          <w:rFonts w:ascii="VIC" w:hAnsi="VIC"/>
          <w:color w:val="011A3C"/>
          <w:lang w:val="en"/>
        </w:rPr>
        <w:t xml:space="preserve">Funding is allocated based </w:t>
      </w:r>
      <w:r w:rsidR="00554F86" w:rsidRPr="004D307F">
        <w:rPr>
          <w:rFonts w:ascii="VIC" w:hAnsi="VIC"/>
          <w:color w:val="011A3C"/>
          <w:lang w:val="en"/>
        </w:rPr>
        <w:t xml:space="preserve">on </w:t>
      </w:r>
      <w:r w:rsidRPr="004D307F">
        <w:rPr>
          <w:rFonts w:ascii="VIC" w:hAnsi="VIC"/>
          <w:color w:val="011A3C"/>
          <w:lang w:val="en"/>
        </w:rPr>
        <w:t>enrolments and resourcing model for deaf facilities.</w:t>
      </w:r>
    </w:p>
    <w:p w14:paraId="69053A41" w14:textId="77777777" w:rsidR="00A515CE" w:rsidRPr="004D307F" w:rsidRDefault="00A515CE" w:rsidP="009758B9">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Deaf schools with secondary enrolments are funded at a rate of 1 EFT for every 6 enrolments.</w:t>
      </w:r>
    </w:p>
    <w:p w14:paraId="1E95E83F" w14:textId="645362C4" w:rsidR="00AD16F0" w:rsidRPr="004D307F" w:rsidRDefault="009758B9" w:rsidP="000D10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For example: A school with 8 secondary enrolments</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will be funded for 8 secondary enrolments divided by 6 EFT =</w:t>
      </w:r>
      <w:r w:rsidR="003D146E"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(8/6) = 1.33 EFT (rounded)</w:t>
      </w:r>
    </w:p>
    <w:p w14:paraId="77FB6D7C" w14:textId="2E614F26" w:rsidR="00AD16F0" w:rsidRPr="004D307F" w:rsidRDefault="00877911" w:rsidP="00AD16F0">
      <w:pPr>
        <w:rPr>
          <w:rFonts w:ascii="VIC-Regular" w:eastAsia="Times New Roman" w:hAnsi="VIC-Regular" w:cs="Times New Roman"/>
          <w:color w:val="011A3C"/>
          <w:sz w:val="20"/>
          <w:szCs w:val="20"/>
          <w:lang w:val="en" w:eastAsia="en-AU"/>
        </w:rPr>
      </w:pPr>
      <w:r w:rsidRPr="004D307F">
        <w:rPr>
          <w:rFonts w:ascii="VIC-Regular" w:eastAsia="Times New Roman" w:hAnsi="VIC-Regular" w:cs="Times New Roman"/>
          <w:color w:val="011A3C"/>
          <w:sz w:val="20"/>
          <w:szCs w:val="20"/>
          <w:lang w:val="en" w:eastAsia="en-AU"/>
        </w:rPr>
        <w:t>*Deaf campuses must be attached to a primary, secondary or primary/secondary combined school.</w:t>
      </w:r>
      <w:r w:rsidR="00AD16F0" w:rsidRPr="004D307F">
        <w:rPr>
          <w:rFonts w:ascii="VIC-Regular" w:eastAsia="Times New Roman" w:hAnsi="VIC-Regular" w:cs="Times New Roman"/>
          <w:color w:val="011A3C"/>
          <w:sz w:val="20"/>
          <w:szCs w:val="20"/>
          <w:lang w:val="en" w:eastAsia="en-AU"/>
        </w:rPr>
        <w:br w:type="page"/>
      </w:r>
    </w:p>
    <w:p w14:paraId="03A41B85" w14:textId="4AC80599" w:rsidR="00AD16F0" w:rsidRPr="004D307F" w:rsidRDefault="00AD16F0" w:rsidP="00B566E7">
      <w:pPr>
        <w:pStyle w:val="Heading2"/>
      </w:pPr>
      <w:bookmarkStart w:id="34" w:name="_Toc106793757"/>
      <w:r w:rsidRPr="004D307F">
        <w:lastRenderedPageBreak/>
        <w:t>Medical Intervention Support (Reference 20)</w:t>
      </w:r>
      <w:bookmarkEnd w:id="34"/>
    </w:p>
    <w:p w14:paraId="49C07F54"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Medical Intervention Support (MIS) funding supports schools to engage appropriately trained staff to assist students who require regular, complex medical support at school.</w:t>
      </w:r>
    </w:p>
    <w:p w14:paraId="78E19453"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MIS funding is available to support schools to put in place the necessary work arrangements for the delivery of specialised assistance to these students. This involves engagement of appropriately trained Education Support (ES) staff to undertake duties and responsibilities for delivering supporting procedures, consistent with Level 1, Range 2 of the ES Class.</w:t>
      </w:r>
    </w:p>
    <w:p w14:paraId="01043A0E" w14:textId="60A9586F"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ES staff member must have undergone specific training to support the student’s medical needs. Training may be provided by an appropriate healthcare provider, or through the School </w:t>
      </w:r>
      <w:r w:rsidR="0005396A" w:rsidRPr="004D307F">
        <w:rPr>
          <w:rFonts w:ascii="VIC-Regular" w:eastAsia="Times New Roman" w:hAnsi="VIC-Regular" w:cs="Times New Roman"/>
          <w:color w:val="011A3C"/>
          <w:sz w:val="24"/>
          <w:szCs w:val="24"/>
          <w:lang w:val="en" w:eastAsia="en-AU"/>
        </w:rPr>
        <w:t>C</w:t>
      </w:r>
      <w:r w:rsidRPr="004D307F">
        <w:rPr>
          <w:rFonts w:ascii="VIC-Regular" w:eastAsia="Times New Roman" w:hAnsi="VIC-Regular" w:cs="Times New Roman"/>
          <w:color w:val="011A3C"/>
          <w:sz w:val="24"/>
          <w:szCs w:val="24"/>
          <w:lang w:val="en" w:eastAsia="en-AU"/>
        </w:rPr>
        <w:t>are Program.</w:t>
      </w:r>
    </w:p>
    <w:p w14:paraId="44D2B47C" w14:textId="77777777" w:rsidR="009758B9" w:rsidRPr="004D307F" w:rsidRDefault="009758B9" w:rsidP="009758B9">
      <w:pPr>
        <w:spacing w:before="100" w:beforeAutospacing="1" w:after="100" w:afterAutospacing="1" w:line="360" w:lineRule="atLeast"/>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6262C519" w14:textId="77777777" w:rsidR="009758B9" w:rsidRPr="004D307F" w:rsidRDefault="009758B9" w:rsidP="009758B9">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with the following campus types are eligible for Medical Intervention funding at campus level.</w:t>
      </w:r>
    </w:p>
    <w:p w14:paraId="023037F0" w14:textId="77777777" w:rsidR="009758B9" w:rsidRPr="004D307F" w:rsidRDefault="009758B9" w:rsidP="00ED0863">
      <w:pPr>
        <w:numPr>
          <w:ilvl w:val="0"/>
          <w:numId w:val="1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w:t>
      </w:r>
    </w:p>
    <w:p w14:paraId="0EDE9C3A" w14:textId="77777777" w:rsidR="009758B9" w:rsidRPr="004D307F" w:rsidRDefault="009758B9" w:rsidP="00ED0863">
      <w:pPr>
        <w:numPr>
          <w:ilvl w:val="0"/>
          <w:numId w:val="1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Secondary</w:t>
      </w:r>
    </w:p>
    <w:p w14:paraId="0D1C0CBB" w14:textId="77777777" w:rsidR="009758B9" w:rsidRPr="004D307F" w:rsidRDefault="009758B9" w:rsidP="00ED0863">
      <w:pPr>
        <w:numPr>
          <w:ilvl w:val="0"/>
          <w:numId w:val="1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Primary /Secondary Combined </w:t>
      </w:r>
    </w:p>
    <w:p w14:paraId="08211A22" w14:textId="77777777" w:rsidR="009758B9" w:rsidRPr="004D307F" w:rsidRDefault="009758B9" w:rsidP="00ED0863">
      <w:pPr>
        <w:numPr>
          <w:ilvl w:val="0"/>
          <w:numId w:val="1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Special</w:t>
      </w:r>
    </w:p>
    <w:p w14:paraId="4EB1F3E1" w14:textId="77777777" w:rsidR="00A12061" w:rsidRPr="004D307F" w:rsidRDefault="009758B9" w:rsidP="00AD16F0">
      <w:pPr>
        <w:spacing w:before="100" w:beforeAutospacing="1" w:after="100" w:afterAutospacing="1" w:line="288" w:lineRule="atLeast"/>
        <w:outlineLvl w:val="2"/>
        <w:rPr>
          <w:rFonts w:ascii="VIC" w:hAnsi="VIC"/>
          <w:sz w:val="24"/>
          <w:szCs w:val="24"/>
          <w:lang w:val="en" w:eastAsia="en-AU"/>
        </w:rPr>
      </w:pPr>
      <w:r w:rsidRPr="004D307F">
        <w:rPr>
          <w:rFonts w:ascii="VIC" w:hAnsi="VIC"/>
          <w:color w:val="323E4F" w:themeColor="text2" w:themeShade="BF"/>
          <w:sz w:val="24"/>
          <w:szCs w:val="24"/>
          <w:lang w:val="en" w:eastAsia="en-AU"/>
        </w:rPr>
        <w:t>Funding is calculated for each of the four school terms and is allocated through credit funding</w:t>
      </w:r>
      <w:r w:rsidRPr="004D307F">
        <w:rPr>
          <w:rFonts w:ascii="VIC" w:hAnsi="VIC"/>
          <w:sz w:val="24"/>
          <w:szCs w:val="24"/>
          <w:lang w:val="en" w:eastAsia="en-AU"/>
        </w:rPr>
        <w:t xml:space="preserve">. </w:t>
      </w:r>
    </w:p>
    <w:p w14:paraId="49C4E909" w14:textId="45ABF23E"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 xml:space="preserve">Rates </w:t>
      </w:r>
      <w:r w:rsidRPr="004D307F">
        <w:rPr>
          <w:rFonts w:ascii="VIC-Bold" w:eastAsia="Times New Roman" w:hAnsi="VIC-Bold" w:cs="Times New Roman" w:hint="eastAsia"/>
          <w:b/>
          <w:bCs/>
          <w:color w:val="011A3C"/>
          <w:sz w:val="27"/>
          <w:szCs w:val="27"/>
          <w:lang w:val="en" w:eastAsia="en-AU"/>
        </w:rPr>
        <w:t>—</w:t>
      </w:r>
      <w:r w:rsidRPr="004D307F">
        <w:rPr>
          <w:rFonts w:ascii="VIC-Bold" w:eastAsia="Times New Roman" w:hAnsi="VIC-Bold" w:cs="Times New Roman"/>
          <w:b/>
          <w:bCs/>
          <w:color w:val="011A3C"/>
          <w:sz w:val="27"/>
          <w:szCs w:val="27"/>
          <w:lang w:val="en" w:eastAsia="en-AU"/>
        </w:rPr>
        <w:t xml:space="preserve"> 202</w:t>
      </w:r>
      <w:r w:rsidR="005F3BD1" w:rsidRPr="004D307F">
        <w:rPr>
          <w:rFonts w:ascii="VIC-Bold" w:eastAsia="Times New Roman" w:hAnsi="VIC-Bold" w:cs="Times New Roman"/>
          <w:b/>
          <w:bCs/>
          <w:color w:val="011A3C"/>
          <w:sz w:val="27"/>
          <w:szCs w:val="27"/>
          <w:lang w:val="en" w:eastAsia="en-AU"/>
        </w:rPr>
        <w:t>2</w:t>
      </w:r>
    </w:p>
    <w:p w14:paraId="2B90A5E2" w14:textId="77777777" w:rsidR="008E7838"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Rate per eligible student: </w:t>
      </w:r>
      <w:r w:rsidR="0061578B" w:rsidRPr="004D307F">
        <w:rPr>
          <w:rFonts w:ascii="VIC-Regular" w:eastAsia="Times New Roman" w:hAnsi="VIC-Regular" w:cs="Times New Roman"/>
          <w:color w:val="011A3C"/>
          <w:sz w:val="24"/>
          <w:szCs w:val="24"/>
          <w:lang w:val="en" w:eastAsia="en-AU"/>
        </w:rPr>
        <w:t>$14,013</w:t>
      </w:r>
    </w:p>
    <w:p w14:paraId="2EA1EDE1" w14:textId="4DD97CAC"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Medical Intervention Support is allocated on a pro rata basis according to applications received from schools and the enrolment of an eligible student.</w:t>
      </w:r>
    </w:p>
    <w:p w14:paraId="152F930E"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 cases where the student transfers to another school, an application for Medical Intervention Support is required from the new school.</w:t>
      </w:r>
    </w:p>
    <w:p w14:paraId="5D292A0B" w14:textId="77777777" w:rsidR="00AD16F0" w:rsidRPr="004D307F" w:rsidRDefault="00AD16F0" w:rsidP="00474C70">
      <w:pPr>
        <w:keepNext/>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Further information</w:t>
      </w:r>
    </w:p>
    <w:p w14:paraId="0F3EDD69" w14:textId="77777777" w:rsidR="00AD16F0" w:rsidRPr="004D307F" w:rsidRDefault="00AD16F0" w:rsidP="00474C70">
      <w:pPr>
        <w:keepNext/>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Medical Intervention Support guidelines are available at:</w:t>
      </w:r>
    </w:p>
    <w:p w14:paraId="79C0D0D2" w14:textId="77777777" w:rsidR="00AD16F0" w:rsidRPr="004D307F" w:rsidRDefault="00901FCB" w:rsidP="00ED0863">
      <w:pPr>
        <w:numPr>
          <w:ilvl w:val="0"/>
          <w:numId w:val="140"/>
        </w:numPr>
        <w:spacing w:after="0" w:line="240" w:lineRule="auto"/>
        <w:ind w:hanging="357"/>
      </w:pPr>
      <w:hyperlink r:id="rId63" w:history="1">
        <w:r w:rsidR="00AD16F0" w:rsidRPr="00F34CE4">
          <w:rPr>
            <w:rStyle w:val="Hyperlink"/>
            <w:rFonts w:ascii="VIC" w:hAnsi="VIC"/>
            <w:sz w:val="24"/>
            <w:szCs w:val="24"/>
          </w:rPr>
          <w:t>Medical Intervention Support</w:t>
        </w:r>
      </w:hyperlink>
      <w:r w:rsidR="00AD16F0" w:rsidRPr="004D307F">
        <w:br w:type="page"/>
      </w:r>
    </w:p>
    <w:p w14:paraId="7517F3A9" w14:textId="4D05B149" w:rsidR="00AD16F0" w:rsidRPr="004D307F" w:rsidRDefault="00AD16F0" w:rsidP="00B566E7">
      <w:pPr>
        <w:pStyle w:val="Heading2"/>
      </w:pPr>
      <w:bookmarkStart w:id="35" w:name="_Toc106793758"/>
      <w:r w:rsidRPr="004D307F">
        <w:lastRenderedPageBreak/>
        <w:t>Special School Transport Administration (Reference 25)</w:t>
      </w:r>
      <w:bookmarkEnd w:id="35"/>
    </w:p>
    <w:p w14:paraId="32EB7F79" w14:textId="2C255B45"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Special School Transport Administration allocation is provided in recognition of the arrangements required to manage transport arrangements in consultation with bus contractors and parents.</w:t>
      </w:r>
    </w:p>
    <w:p w14:paraId="1CDD488C" w14:textId="77777777" w:rsidR="00820471" w:rsidRPr="004D307F" w:rsidRDefault="00820471" w:rsidP="00820471">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bookmarkStart w:id="36" w:name="_Hlk46925874"/>
      <w:r w:rsidRPr="004D307F">
        <w:rPr>
          <w:rFonts w:ascii="VIC-Regular" w:eastAsia="Times New Roman" w:hAnsi="VIC-Regular" w:cs="Times New Roman"/>
          <w:b/>
          <w:bCs/>
          <w:color w:val="011A3C"/>
          <w:sz w:val="24"/>
          <w:szCs w:val="24"/>
          <w:lang w:val="en" w:eastAsia="en-AU"/>
        </w:rPr>
        <w:t>Eligibility</w:t>
      </w:r>
    </w:p>
    <w:p w14:paraId="7034E518" w14:textId="2CD95FA4" w:rsidR="00820471" w:rsidRPr="004D307F" w:rsidRDefault="00820471"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Special Schools</w:t>
      </w:r>
      <w:r w:rsidR="008E7838" w:rsidRPr="004D307F">
        <w:rPr>
          <w:rFonts w:ascii="VIC-Regular" w:eastAsia="Times New Roman" w:hAnsi="VIC-Regular" w:cs="Times New Roman"/>
          <w:color w:val="011A3C"/>
          <w:lang w:val="en" w:eastAsia="en-AU"/>
        </w:rPr>
        <w:t xml:space="preserve">*  </w:t>
      </w:r>
    </w:p>
    <w:p w14:paraId="3845B970" w14:textId="707910E8" w:rsidR="00820471" w:rsidRPr="004D307F" w:rsidRDefault="00820471"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Autisti</w:t>
      </w:r>
      <w:r w:rsidR="001112BF" w:rsidRPr="004D307F">
        <w:rPr>
          <w:rFonts w:ascii="VIC-Regular" w:eastAsia="Times New Roman" w:hAnsi="VIC-Regular" w:cs="Times New Roman"/>
          <w:color w:val="011A3C"/>
          <w:lang w:val="en" w:eastAsia="en-AU"/>
        </w:rPr>
        <w:t>sm</w:t>
      </w:r>
      <w:r w:rsidRPr="004D307F">
        <w:rPr>
          <w:rFonts w:ascii="VIC-Regular" w:eastAsia="Times New Roman" w:hAnsi="VIC-Regular" w:cs="Times New Roman"/>
          <w:color w:val="011A3C"/>
          <w:lang w:val="en" w:eastAsia="en-AU"/>
        </w:rPr>
        <w:t xml:space="preserve"> Schools</w:t>
      </w:r>
    </w:p>
    <w:bookmarkEnd w:id="36"/>
    <w:p w14:paraId="65E7D0EE" w14:textId="77777777" w:rsidR="00820471" w:rsidRPr="004D307F" w:rsidRDefault="00820471" w:rsidP="00820471">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4D307F">
        <w:rPr>
          <w:rFonts w:ascii="VIC-Regular" w:eastAsia="Times New Roman" w:hAnsi="VIC-Regular" w:cs="Times New Roman"/>
          <w:color w:val="011A3C"/>
          <w:sz w:val="24"/>
          <w:szCs w:val="24"/>
          <w:lang w:val="en" w:eastAsia="en-AU"/>
        </w:rPr>
        <w:t xml:space="preserve">Funding is calculated for each of the four school terms, funding is allocated through cash funding. </w:t>
      </w:r>
    </w:p>
    <w:p w14:paraId="09473319" w14:textId="77777777" w:rsidR="00820471" w:rsidRPr="004D307F" w:rsidRDefault="00820471" w:rsidP="00C116FE">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4D307F">
        <w:rPr>
          <w:rFonts w:ascii="VIC-Regular" w:eastAsia="Times New Roman" w:hAnsi="VIC-Regular" w:cs="Times New Roman"/>
          <w:b/>
          <w:bCs/>
          <w:color w:val="011A3C"/>
          <w:sz w:val="24"/>
          <w:szCs w:val="24"/>
          <w:lang w:val="en" w:eastAsia="en-AU"/>
        </w:rPr>
        <w:t>Calculation</w:t>
      </w:r>
    </w:p>
    <w:p w14:paraId="0B800A7F" w14:textId="77777777" w:rsidR="00820471" w:rsidRPr="004D307F" w:rsidRDefault="00820471" w:rsidP="00820471">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calculated based on enrolment ranges provided in the rates section below.</w:t>
      </w:r>
    </w:p>
    <w:p w14:paraId="302B32A5" w14:textId="6FEB98FF" w:rsidR="00820471" w:rsidRPr="004D307F" w:rsidRDefault="00820471" w:rsidP="000D106B">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Example a school with 27 enrolments would fall into the 26-50 enrolment range.</w:t>
      </w:r>
    </w:p>
    <w:p w14:paraId="5C8BD0C1" w14:textId="71AFD4C7"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 xml:space="preserve">Rates </w:t>
      </w:r>
      <w:r w:rsidRPr="004D307F">
        <w:rPr>
          <w:rFonts w:ascii="VIC-Bold" w:eastAsia="Times New Roman" w:hAnsi="VIC-Bold" w:cs="Times New Roman" w:hint="eastAsia"/>
          <w:b/>
          <w:bCs/>
          <w:color w:val="011A3C"/>
          <w:sz w:val="27"/>
          <w:szCs w:val="27"/>
          <w:lang w:val="en" w:eastAsia="en-AU"/>
        </w:rPr>
        <w:t>—</w:t>
      </w:r>
      <w:r w:rsidRPr="004D307F">
        <w:rPr>
          <w:rFonts w:ascii="VIC-Bold" w:eastAsia="Times New Roman" w:hAnsi="VIC-Bold" w:cs="Times New Roman"/>
          <w:b/>
          <w:bCs/>
          <w:color w:val="011A3C"/>
          <w:sz w:val="27"/>
          <w:szCs w:val="27"/>
          <w:lang w:val="en" w:eastAsia="en-AU"/>
        </w:rPr>
        <w:t xml:space="preserve"> 202</w:t>
      </w:r>
      <w:r w:rsidR="001112BF" w:rsidRPr="004D307F">
        <w:rPr>
          <w:rFonts w:ascii="VIC-Bold" w:eastAsia="Times New Roman" w:hAnsi="VIC-Bold" w:cs="Times New Roman"/>
          <w:b/>
          <w:bCs/>
          <w:color w:val="011A3C"/>
          <w:sz w:val="27"/>
          <w:szCs w:val="27"/>
          <w:lang w:val="en" w:eastAsia="en-AU"/>
        </w:rPr>
        <w:t>2</w:t>
      </w:r>
    </w:p>
    <w:p w14:paraId="7AD46B14" w14:textId="7E25344E" w:rsidR="00AD16F0" w:rsidRPr="004D307F" w:rsidRDefault="00AD16F0" w:rsidP="00ED0863">
      <w:pPr>
        <w:numPr>
          <w:ilvl w:val="0"/>
          <w:numId w:val="16"/>
        </w:numPr>
        <w:spacing w:before="100" w:beforeAutospacing="1" w:after="100" w:afterAutospacing="1" w:line="360" w:lineRule="atLeast"/>
        <w:rPr>
          <w:rFonts w:ascii="VIC-Regular" w:eastAsia="Times New Roman" w:hAnsi="VIC-Regular" w:cs="Times New Roman"/>
          <w:color w:val="323E4F" w:themeColor="text2" w:themeShade="BF"/>
          <w:sz w:val="24"/>
          <w:szCs w:val="24"/>
          <w:lang w:val="en" w:eastAsia="en-AU"/>
        </w:rPr>
      </w:pPr>
      <w:r w:rsidRPr="004D307F">
        <w:rPr>
          <w:rFonts w:ascii="VIC-Regular" w:eastAsia="Times New Roman" w:hAnsi="VIC-Regular" w:cs="Times New Roman"/>
          <w:color w:val="323E4F" w:themeColor="text2" w:themeShade="BF"/>
          <w:sz w:val="24"/>
          <w:szCs w:val="24"/>
          <w:lang w:val="en" w:eastAsia="en-AU"/>
        </w:rPr>
        <w:t xml:space="preserve">Enrolment range 0 to 24: </w:t>
      </w:r>
      <w:r w:rsidR="0005396A" w:rsidRPr="004D307F">
        <w:rPr>
          <w:rFonts w:ascii="VIC-Regular" w:eastAsia="Times New Roman" w:hAnsi="VIC-Regular" w:cs="Times New Roman"/>
          <w:color w:val="323E4F" w:themeColor="text2" w:themeShade="BF"/>
          <w:sz w:val="24"/>
          <w:szCs w:val="24"/>
          <w:lang w:val="en" w:eastAsia="en-AU"/>
        </w:rPr>
        <w:t>$</w:t>
      </w:r>
      <w:r w:rsidR="0061578B" w:rsidRPr="004D307F">
        <w:rPr>
          <w:rFonts w:ascii="VIC-Regular" w:eastAsia="Times New Roman" w:hAnsi="VIC-Regular" w:cs="Times New Roman"/>
          <w:color w:val="323E4F" w:themeColor="text2" w:themeShade="BF"/>
          <w:sz w:val="24"/>
          <w:szCs w:val="24"/>
          <w:lang w:val="en" w:eastAsia="en-AU"/>
        </w:rPr>
        <w:t>2,6</w:t>
      </w:r>
      <w:r w:rsidR="00423EBD" w:rsidRPr="004D307F">
        <w:rPr>
          <w:rFonts w:ascii="VIC-Regular" w:eastAsia="Times New Roman" w:hAnsi="VIC-Regular" w:cs="Times New Roman"/>
          <w:color w:val="323E4F" w:themeColor="text2" w:themeShade="BF"/>
          <w:sz w:val="24"/>
          <w:szCs w:val="24"/>
          <w:lang w:val="en" w:eastAsia="en-AU"/>
        </w:rPr>
        <w:t>78</w:t>
      </w:r>
    </w:p>
    <w:p w14:paraId="15C7DF7C" w14:textId="1757C3FE" w:rsidR="00423EBD" w:rsidRPr="004D307F" w:rsidRDefault="00AD16F0" w:rsidP="00ED0863">
      <w:pPr>
        <w:numPr>
          <w:ilvl w:val="0"/>
          <w:numId w:val="16"/>
        </w:numPr>
        <w:spacing w:before="100" w:beforeAutospacing="1" w:after="100" w:afterAutospacing="1" w:line="360" w:lineRule="atLeast"/>
        <w:rPr>
          <w:color w:val="323E4F" w:themeColor="text2" w:themeShade="BF"/>
        </w:rPr>
      </w:pPr>
      <w:r w:rsidRPr="004D307F">
        <w:rPr>
          <w:rFonts w:ascii="VIC-Regular" w:eastAsia="Times New Roman" w:hAnsi="VIC-Regular" w:cs="Times New Roman"/>
          <w:color w:val="323E4F" w:themeColor="text2" w:themeShade="BF"/>
          <w:sz w:val="24"/>
          <w:szCs w:val="24"/>
          <w:lang w:val="en" w:eastAsia="en-AU"/>
        </w:rPr>
        <w:t xml:space="preserve">Enrolment range 26 to 50: </w:t>
      </w:r>
      <w:r w:rsidR="0005396A" w:rsidRPr="004D307F">
        <w:rPr>
          <w:rFonts w:ascii="VIC-Regular" w:eastAsia="Times New Roman" w:hAnsi="VIC-Regular" w:cs="Times New Roman"/>
          <w:color w:val="323E4F" w:themeColor="text2" w:themeShade="BF"/>
          <w:sz w:val="24"/>
          <w:szCs w:val="24"/>
          <w:lang w:val="en" w:eastAsia="en-AU"/>
        </w:rPr>
        <w:t>$</w:t>
      </w:r>
      <w:r w:rsidR="0061578B" w:rsidRPr="004D307F">
        <w:rPr>
          <w:rFonts w:ascii="VIC-Regular" w:eastAsia="Times New Roman" w:hAnsi="VIC-Regular" w:cs="Times New Roman"/>
          <w:color w:val="323E4F" w:themeColor="text2" w:themeShade="BF"/>
          <w:sz w:val="24"/>
          <w:szCs w:val="24"/>
          <w:lang w:val="en" w:eastAsia="en-AU"/>
        </w:rPr>
        <w:t>3,3</w:t>
      </w:r>
      <w:r w:rsidR="00423EBD" w:rsidRPr="004D307F">
        <w:rPr>
          <w:rFonts w:ascii="VIC-Regular" w:eastAsia="Times New Roman" w:hAnsi="VIC-Regular" w:cs="Times New Roman"/>
          <w:color w:val="323E4F" w:themeColor="text2" w:themeShade="BF"/>
          <w:sz w:val="24"/>
          <w:szCs w:val="24"/>
          <w:lang w:val="en" w:eastAsia="en-AU"/>
        </w:rPr>
        <w:t>50</w:t>
      </w:r>
    </w:p>
    <w:p w14:paraId="7A487A96" w14:textId="5626584C" w:rsidR="00423EBD" w:rsidRPr="004D307F" w:rsidRDefault="00AD16F0" w:rsidP="00ED0863">
      <w:pPr>
        <w:pStyle w:val="ListParagraph"/>
        <w:numPr>
          <w:ilvl w:val="0"/>
          <w:numId w:val="16"/>
        </w:numPr>
        <w:spacing w:before="100" w:beforeAutospacing="1" w:after="100" w:afterAutospacing="1" w:line="360" w:lineRule="atLeast"/>
        <w:rPr>
          <w:rFonts w:ascii="VIC-Regular" w:eastAsia="Times New Roman" w:hAnsi="VIC-Regular" w:cs="Times New Roman"/>
          <w:color w:val="323E4F" w:themeColor="text2" w:themeShade="BF"/>
          <w:sz w:val="24"/>
          <w:szCs w:val="24"/>
          <w:lang w:val="en" w:eastAsia="en-AU"/>
        </w:rPr>
      </w:pPr>
      <w:r w:rsidRPr="004D307F">
        <w:rPr>
          <w:rFonts w:ascii="VIC-Regular" w:eastAsia="Times New Roman" w:hAnsi="VIC-Regular" w:cs="Times New Roman"/>
          <w:color w:val="323E4F" w:themeColor="text2" w:themeShade="BF"/>
          <w:sz w:val="24"/>
          <w:szCs w:val="24"/>
          <w:lang w:val="en" w:eastAsia="en-AU"/>
        </w:rPr>
        <w:t xml:space="preserve">Enrolment range 51+: </w:t>
      </w:r>
      <w:r w:rsidR="0005396A" w:rsidRPr="004D307F">
        <w:rPr>
          <w:rFonts w:ascii="VIC-Regular" w:eastAsia="Times New Roman" w:hAnsi="VIC-Regular" w:cs="Times New Roman"/>
          <w:color w:val="323E4F" w:themeColor="text2" w:themeShade="BF"/>
          <w:sz w:val="24"/>
          <w:szCs w:val="24"/>
          <w:lang w:val="en" w:eastAsia="en-AU"/>
        </w:rPr>
        <w:t>$</w:t>
      </w:r>
      <w:r w:rsidR="00423EBD" w:rsidRPr="004D307F">
        <w:rPr>
          <w:rFonts w:ascii="VIC-Regular" w:eastAsia="Times New Roman" w:hAnsi="VIC-Regular" w:cs="Times New Roman"/>
          <w:color w:val="323E4F" w:themeColor="text2" w:themeShade="BF"/>
          <w:sz w:val="24"/>
          <w:szCs w:val="24"/>
          <w:lang w:val="en" w:eastAsia="en-AU"/>
        </w:rPr>
        <w:t xml:space="preserve">4,021 </w:t>
      </w:r>
    </w:p>
    <w:p w14:paraId="3B5C8D91" w14:textId="574C6A81" w:rsidR="006D204B" w:rsidRPr="004D307F" w:rsidRDefault="006D204B" w:rsidP="004D307F">
      <w:pPr>
        <w:rPr>
          <w:rFonts w:ascii="VIC-Regular" w:eastAsia="Times New Roman" w:hAnsi="VIC-Regular" w:cs="Times New Roman"/>
          <w:color w:val="011A3C"/>
          <w:sz w:val="20"/>
          <w:szCs w:val="20"/>
          <w:lang w:val="en" w:eastAsia="en-AU"/>
        </w:rPr>
      </w:pPr>
      <w:r w:rsidRPr="004D307F">
        <w:rPr>
          <w:rFonts w:ascii="VIC-Regular" w:eastAsia="Times New Roman" w:hAnsi="VIC-Regular" w:cs="Times New Roman"/>
          <w:color w:val="011A3C"/>
          <w:sz w:val="20"/>
          <w:szCs w:val="20"/>
          <w:lang w:val="en" w:eastAsia="en-AU"/>
        </w:rPr>
        <w:t>*Including primary, secondary and primary/secondary combined schools with a defined special school campus.</w:t>
      </w:r>
    </w:p>
    <w:p w14:paraId="365CDE6D" w14:textId="33EDF651" w:rsidR="00AD16F0" w:rsidRPr="004D307F" w:rsidRDefault="00AD16F0" w:rsidP="00B566E7">
      <w:pPr>
        <w:pStyle w:val="Heading2"/>
      </w:pPr>
      <w:r w:rsidRPr="004D307F">
        <w:br w:type="page"/>
      </w:r>
      <w:bookmarkStart w:id="37" w:name="_Toc106793759"/>
      <w:bookmarkStart w:id="38" w:name="_Hlk98251232"/>
      <w:r w:rsidRPr="004D307F">
        <w:lastRenderedPageBreak/>
        <w:t>EAL Program Funding (Reference 26)</w:t>
      </w:r>
      <w:bookmarkEnd w:id="37"/>
    </w:p>
    <w:p w14:paraId="136F4A41" w14:textId="299EBCC4" w:rsidR="005D5E2A" w:rsidRPr="004D307F" w:rsidRDefault="005D5E2A"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EAL program funding for primary and secondary schools in the </w:t>
      </w:r>
      <w:r w:rsidR="001B66F8" w:rsidRPr="004D307F">
        <w:rPr>
          <w:rFonts w:ascii="VIC-Regular" w:eastAsia="Times New Roman" w:hAnsi="VIC-Regular" w:cs="Times New Roman"/>
          <w:color w:val="011A3C"/>
          <w:sz w:val="24"/>
          <w:szCs w:val="24"/>
          <w:lang w:val="en" w:eastAsia="en-AU"/>
        </w:rPr>
        <w:t>Student Resource Package (</w:t>
      </w:r>
      <w:r w:rsidRPr="004D307F">
        <w:rPr>
          <w:rFonts w:ascii="VIC-Regular" w:eastAsia="Times New Roman" w:hAnsi="VIC-Regular" w:cs="Times New Roman"/>
          <w:color w:val="011A3C"/>
          <w:sz w:val="24"/>
          <w:szCs w:val="24"/>
          <w:lang w:val="en" w:eastAsia="en-AU"/>
        </w:rPr>
        <w:t>SRP</w:t>
      </w:r>
      <w:r w:rsidR="001B66F8"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 consists primarily of EAL Index funding (Levels 1 – 5) and is provided to schools that meet a pre-determined threshold. Schools that experience an increase to their EAL student profile during the school year which takes them beyond that threshold are also eligible for EAL contingency funding. Refer to </w:t>
      </w:r>
      <w:hyperlink r:id="rId64" w:history="1">
        <w:r w:rsidRPr="004D307F">
          <w:rPr>
            <w:rFonts w:ascii="VIC-Regular" w:eastAsia="Times New Roman" w:hAnsi="VIC-Regular" w:cs="Times New Roman"/>
            <w:color w:val="011A3C"/>
            <w:sz w:val="24"/>
            <w:szCs w:val="24"/>
            <w:lang w:val="en" w:eastAsia="en-AU"/>
          </w:rPr>
          <w:t>EAL Contingency</w:t>
        </w:r>
      </w:hyperlink>
      <w:r w:rsidRPr="004D307F">
        <w:rPr>
          <w:rFonts w:ascii="VIC-Regular" w:eastAsia="Times New Roman" w:hAnsi="VIC-Regular" w:cs="Times New Roman"/>
          <w:color w:val="011A3C"/>
          <w:sz w:val="24"/>
          <w:szCs w:val="24"/>
          <w:lang w:val="en" w:eastAsia="en-AU"/>
        </w:rPr>
        <w:t xml:space="preserve"> (</w:t>
      </w:r>
      <w:r w:rsidR="009212A4" w:rsidRPr="004D307F">
        <w:rPr>
          <w:rFonts w:ascii="VIC-Regular" w:eastAsia="Times New Roman" w:hAnsi="VIC-Regular" w:cs="Times New Roman"/>
          <w:color w:val="011A3C"/>
          <w:sz w:val="24"/>
          <w:szCs w:val="24"/>
          <w:lang w:val="en" w:eastAsia="en-AU"/>
        </w:rPr>
        <w:t>R</w:t>
      </w:r>
      <w:r w:rsidRPr="004D307F">
        <w:rPr>
          <w:rFonts w:ascii="VIC-Regular" w:eastAsia="Times New Roman" w:hAnsi="VIC-Regular" w:cs="Times New Roman"/>
          <w:color w:val="011A3C"/>
          <w:sz w:val="24"/>
          <w:szCs w:val="24"/>
          <w:lang w:val="en" w:eastAsia="en-AU"/>
        </w:rPr>
        <w:t>eference 27).</w:t>
      </w:r>
    </w:p>
    <w:p w14:paraId="2F805A49" w14:textId="77777777" w:rsidR="005D5E2A" w:rsidRPr="004D307F" w:rsidRDefault="005D5E2A"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EAL program funding for English language schools and centres in the SRP consists of funding to support a target number of students and provide services to newly arrived students who are not currently enrolled in a full-time new arrivals program. English language schools and centres that experience a significant increase to their enrolments during the school year may also be eligible for EAL contingency funding. Refer to </w:t>
      </w:r>
      <w:hyperlink r:id="rId65" w:history="1">
        <w:r w:rsidRPr="004D307F">
          <w:rPr>
            <w:rFonts w:ascii="VIC-Regular" w:eastAsia="Times New Roman" w:hAnsi="VIC-Regular" w:cs="Times New Roman"/>
            <w:color w:val="011A3C"/>
            <w:sz w:val="24"/>
            <w:szCs w:val="24"/>
            <w:lang w:val="en" w:eastAsia="en-AU"/>
          </w:rPr>
          <w:t>EAL Contingency</w:t>
        </w:r>
      </w:hyperlink>
      <w:r w:rsidRPr="004D307F">
        <w:rPr>
          <w:rFonts w:ascii="VIC-Regular" w:eastAsia="Times New Roman" w:hAnsi="VIC-Regular" w:cs="Times New Roman"/>
          <w:color w:val="011A3C"/>
          <w:sz w:val="24"/>
          <w:szCs w:val="24"/>
          <w:lang w:val="en" w:eastAsia="en-AU"/>
        </w:rPr>
        <w:t xml:space="preserve"> (Reference 27).</w:t>
      </w:r>
    </w:p>
    <w:p w14:paraId="6A145E9C" w14:textId="77777777" w:rsidR="005D5E2A" w:rsidRPr="004D307F" w:rsidRDefault="005D5E2A" w:rsidP="004D307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 xml:space="preserve">EAL Index funding (Levels 1 </w:t>
      </w:r>
      <w:r w:rsidRPr="004D307F">
        <w:rPr>
          <w:rFonts w:ascii="VIC-Bold" w:eastAsia="Times New Roman" w:hAnsi="VIC-Bold" w:cs="Times New Roman" w:hint="eastAsia"/>
          <w:b/>
          <w:bCs/>
          <w:color w:val="011A3C"/>
          <w:sz w:val="27"/>
          <w:szCs w:val="27"/>
          <w:lang w:val="en" w:eastAsia="en-AU"/>
        </w:rPr>
        <w:t>–</w:t>
      </w:r>
      <w:r w:rsidRPr="004D307F">
        <w:rPr>
          <w:rFonts w:ascii="VIC-Bold" w:eastAsia="Times New Roman" w:hAnsi="VIC-Bold" w:cs="Times New Roman"/>
          <w:b/>
          <w:bCs/>
          <w:color w:val="011A3C"/>
          <w:sz w:val="27"/>
          <w:szCs w:val="27"/>
          <w:lang w:val="en" w:eastAsia="en-AU"/>
        </w:rPr>
        <w:t xml:space="preserve"> 5)</w:t>
      </w:r>
    </w:p>
    <w:p w14:paraId="2A7E7A70" w14:textId="77777777" w:rsidR="005D5E2A" w:rsidRPr="004D307F" w:rsidRDefault="005D5E2A" w:rsidP="000A6EF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EAL Index funding is made available to schools to staff EAL programs with appropriately qualified EAL teachers and Multicultural Education Aides (MEAs).</w:t>
      </w:r>
    </w:p>
    <w:p w14:paraId="512BE684" w14:textId="77777777" w:rsidR="005D5E2A" w:rsidRPr="004D307F" w:rsidRDefault="005D5E2A" w:rsidP="000A6EF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EAL Index funding is based on data collected from schools in the preceding August School Census. New schools that did not participate in the preceding August census can apply for contingency funding if their EAL student profile meets the EAL Index funding threshold.</w:t>
      </w:r>
    </w:p>
    <w:p w14:paraId="1C3728E7" w14:textId="77777777" w:rsidR="005D5E2A" w:rsidRPr="004D307F" w:rsidRDefault="005D5E2A" w:rsidP="004D307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0B28DC52" w14:textId="77777777" w:rsidR="005D5E2A" w:rsidRPr="004D307F" w:rsidRDefault="005D5E2A" w:rsidP="00ED0863">
      <w:pPr>
        <w:numPr>
          <w:ilvl w:val="0"/>
          <w:numId w:val="2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w:t>
      </w:r>
    </w:p>
    <w:p w14:paraId="3998E452" w14:textId="77777777" w:rsidR="005D5E2A" w:rsidRPr="004D307F" w:rsidRDefault="005D5E2A" w:rsidP="00ED0863">
      <w:pPr>
        <w:numPr>
          <w:ilvl w:val="0"/>
          <w:numId w:val="2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Secondary</w:t>
      </w:r>
    </w:p>
    <w:p w14:paraId="397BEFE9" w14:textId="77777777" w:rsidR="005D5E2A" w:rsidRPr="004D307F" w:rsidRDefault="005D5E2A" w:rsidP="00ED0863">
      <w:pPr>
        <w:numPr>
          <w:ilvl w:val="0"/>
          <w:numId w:val="2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Primary/Secondary Combined</w:t>
      </w:r>
    </w:p>
    <w:p w14:paraId="62AF9A7B" w14:textId="77777777" w:rsidR="005D5E2A" w:rsidRPr="004D307F" w:rsidRDefault="005D5E2A" w:rsidP="0061578B">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Allocation of EAL Index funding</w:t>
      </w:r>
    </w:p>
    <w:p w14:paraId="05C63C8D" w14:textId="77777777" w:rsidR="005D5E2A" w:rsidRPr="004D307F" w:rsidRDefault="005D5E2A" w:rsidP="000A6EF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EAL Index funding is allocated to schools at campus level to provide EAL programs for students based on the number of students who:</w:t>
      </w:r>
    </w:p>
    <w:p w14:paraId="210D94DD" w14:textId="77777777" w:rsidR="005D5E2A" w:rsidRPr="004D307F" w:rsidRDefault="005D5E2A" w:rsidP="00ED0863">
      <w:pPr>
        <w:numPr>
          <w:ilvl w:val="0"/>
          <w:numId w:val="29"/>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come from a language background other than English</w:t>
      </w:r>
    </w:p>
    <w:p w14:paraId="21149923" w14:textId="77777777" w:rsidR="005D5E2A" w:rsidRPr="004D307F" w:rsidRDefault="005D5E2A" w:rsidP="00ED0863">
      <w:pPr>
        <w:numPr>
          <w:ilvl w:val="0"/>
          <w:numId w:val="29"/>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speak a language other than English at home as their main language</w:t>
      </w:r>
    </w:p>
    <w:p w14:paraId="2E4385B2" w14:textId="77777777" w:rsidR="005D5E2A" w:rsidRPr="004D307F" w:rsidRDefault="005D5E2A" w:rsidP="00ED0863">
      <w:pPr>
        <w:numPr>
          <w:ilvl w:val="0"/>
          <w:numId w:val="29"/>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have been enrolled in an Australian school for less than five years</w:t>
      </w:r>
    </w:p>
    <w:p w14:paraId="6F6CB70E" w14:textId="73077EB3" w:rsidR="005D5E2A" w:rsidRPr="004D307F" w:rsidRDefault="005D5E2A" w:rsidP="00ED0863">
      <w:pPr>
        <w:numPr>
          <w:ilvl w:val="0"/>
          <w:numId w:val="29"/>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attract SRP funding.</w:t>
      </w:r>
    </w:p>
    <w:p w14:paraId="7689E393" w14:textId="47ADBFC3" w:rsidR="005D5E2A" w:rsidRPr="004D307F" w:rsidRDefault="005D5E2A" w:rsidP="00C116FE">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should plan programs that are sufficiently flexible to accommodate the changes that occur to their EAL populations during the school year. This can be due to new enrolments or students transferring or leaving.</w:t>
      </w:r>
    </w:p>
    <w:p w14:paraId="22EC7132" w14:textId="77777777" w:rsidR="005D5E2A" w:rsidRPr="004D307F" w:rsidRDefault="005D5E2A" w:rsidP="0061578B">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lastRenderedPageBreak/>
        <w:t>Calculation</w:t>
      </w:r>
    </w:p>
    <w:p w14:paraId="63BF4921" w14:textId="77777777" w:rsidR="005D5E2A" w:rsidRPr="004D307F" w:rsidRDefault="005D5E2A" w:rsidP="000A6EF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EAL funding is based on an integrated weighted index for primary and secondary students.</w:t>
      </w:r>
    </w:p>
    <w:p w14:paraId="3C655925" w14:textId="6FA2700F" w:rsidR="005D5E2A" w:rsidRPr="004D307F" w:rsidRDefault="005D5E2A" w:rsidP="000A6EF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This is applied to the number of students identified in the August School census as meeting the EAL Index funding criteria.</w:t>
      </w:r>
      <w:r w:rsidRPr="004D307F">
        <w:rPr>
          <w:rFonts w:ascii="VIC-Regular" w:eastAsia="Times New Roman" w:hAnsi="VIC-Regular" w:cs="Times New Roman"/>
          <w:color w:val="011A3C"/>
          <w:sz w:val="24"/>
          <w:szCs w:val="24"/>
          <w:lang w:val="en" w:eastAsia="en-AU"/>
        </w:rPr>
        <w:br/>
      </w:r>
      <w:r w:rsidRPr="004D307F">
        <w:rPr>
          <w:rFonts w:ascii="VIC-Regular" w:eastAsia="Times New Roman" w:hAnsi="VIC-Regular" w:cs="Times New Roman"/>
          <w:color w:val="011A3C"/>
          <w:sz w:val="24"/>
          <w:szCs w:val="24"/>
          <w:lang w:val="en" w:eastAsia="en-AU"/>
        </w:rPr>
        <w:br/>
        <w:t>A school’s EAL allocation includes a weighting based on the school’s densities of Student Family Occupations (SFO Weighting).</w:t>
      </w:r>
      <w:r w:rsidR="00F01784" w:rsidRPr="004D307F">
        <w:rPr>
          <w:rFonts w:ascii="VIC-Regular" w:eastAsia="Times New Roman" w:hAnsi="VIC-Regular" w:cs="Times New Roman"/>
          <w:color w:val="011A3C"/>
          <w:sz w:val="24"/>
          <w:szCs w:val="24"/>
          <w:lang w:val="en" w:eastAsia="en-AU"/>
        </w:rPr>
        <w:t xml:space="preserve"> Refer </w:t>
      </w:r>
      <w:r w:rsidR="009212A4" w:rsidRPr="004D307F">
        <w:rPr>
          <w:rFonts w:ascii="VIC-Regular" w:eastAsia="Times New Roman" w:hAnsi="VIC-Regular" w:cs="Times New Roman"/>
          <w:color w:val="011A3C"/>
          <w:sz w:val="24"/>
          <w:szCs w:val="24"/>
          <w:lang w:val="en" w:eastAsia="en-AU"/>
        </w:rPr>
        <w:t>R</w:t>
      </w:r>
      <w:r w:rsidR="00F01784" w:rsidRPr="004D307F">
        <w:rPr>
          <w:rFonts w:ascii="VIC-Regular" w:eastAsia="Times New Roman" w:hAnsi="VIC-Regular" w:cs="Times New Roman"/>
          <w:color w:val="011A3C"/>
          <w:sz w:val="24"/>
          <w:szCs w:val="24"/>
          <w:lang w:val="en" w:eastAsia="en-AU"/>
        </w:rPr>
        <w:t xml:space="preserve">eference </w:t>
      </w:r>
      <w:r w:rsidR="000D3CC4" w:rsidRPr="004D307F">
        <w:rPr>
          <w:rFonts w:ascii="VIC-Regular" w:eastAsia="Times New Roman" w:hAnsi="VIC-Regular" w:cs="Times New Roman"/>
          <w:color w:val="011A3C"/>
          <w:sz w:val="24"/>
          <w:szCs w:val="24"/>
          <w:lang w:val="en" w:eastAsia="en-AU"/>
        </w:rPr>
        <w:t>11 for the calculation of SFO.</w:t>
      </w:r>
      <w:r w:rsidRPr="004D307F">
        <w:rPr>
          <w:rFonts w:ascii="VIC-Regular" w:eastAsia="Times New Roman" w:hAnsi="VIC-Regular" w:cs="Times New Roman"/>
          <w:color w:val="011A3C"/>
          <w:sz w:val="24"/>
          <w:szCs w:val="24"/>
          <w:lang w:val="en" w:eastAsia="en-AU"/>
        </w:rPr>
        <w:br/>
      </w:r>
      <w:r w:rsidRPr="004D307F">
        <w:rPr>
          <w:rFonts w:ascii="VIC-Regular" w:eastAsia="Times New Roman" w:hAnsi="VIC-Regular" w:cs="Times New Roman"/>
          <w:color w:val="011A3C"/>
          <w:sz w:val="24"/>
          <w:szCs w:val="24"/>
          <w:lang w:val="en" w:eastAsia="en-AU"/>
        </w:rPr>
        <w:br/>
        <w:t>The SFO Weighting reflects the high correlation between student outcomes and family occupation to target funding to schools with EAL learners with greatest need.</w:t>
      </w:r>
      <w:r w:rsidRPr="004D307F">
        <w:rPr>
          <w:rFonts w:ascii="VIC-Regular" w:eastAsia="Times New Roman" w:hAnsi="VIC-Regular" w:cs="Times New Roman"/>
          <w:color w:val="011A3C"/>
          <w:sz w:val="24"/>
          <w:szCs w:val="24"/>
          <w:lang w:val="en" w:eastAsia="en-AU"/>
        </w:rPr>
        <w:br/>
      </w:r>
      <w:r w:rsidRPr="004D307F">
        <w:rPr>
          <w:rFonts w:ascii="VIC-Regular" w:eastAsia="Times New Roman" w:hAnsi="VIC-Regular" w:cs="Times New Roman"/>
          <w:color w:val="011A3C"/>
          <w:sz w:val="24"/>
          <w:szCs w:val="24"/>
          <w:lang w:val="en" w:eastAsia="en-AU"/>
        </w:rPr>
        <w:br/>
        <w:t>A campus is required to reach a threshold before funding will apply. Thresholds are applied separately to primary and secondary students for Pri/Sec</w:t>
      </w:r>
      <w:r w:rsidR="00F01784" w:rsidRPr="004D307F">
        <w:rPr>
          <w:rFonts w:ascii="VIC-Regular" w:eastAsia="Times New Roman" w:hAnsi="VIC-Regular" w:cs="Times New Roman"/>
          <w:color w:val="011A3C"/>
          <w:sz w:val="24"/>
          <w:szCs w:val="24"/>
          <w:lang w:val="en" w:eastAsia="en-AU"/>
        </w:rPr>
        <w:t>ondary combined</w:t>
      </w:r>
      <w:r w:rsidRPr="004D307F">
        <w:rPr>
          <w:rFonts w:ascii="VIC-Regular" w:eastAsia="Times New Roman" w:hAnsi="VIC-Regular" w:cs="Times New Roman"/>
          <w:color w:val="011A3C"/>
          <w:sz w:val="24"/>
          <w:szCs w:val="24"/>
          <w:lang w:val="en" w:eastAsia="en-AU"/>
        </w:rPr>
        <w:t xml:space="preserve"> campuses. </w:t>
      </w:r>
    </w:p>
    <w:p w14:paraId="1719B856" w14:textId="77777777" w:rsidR="005D5E2A" w:rsidRPr="004D307F" w:rsidRDefault="005D5E2A" w:rsidP="000A6EFD">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39" w:name="_Hlk48394809"/>
      <w:r w:rsidRPr="004D307F">
        <w:rPr>
          <w:rFonts w:ascii="VIC-Regular" w:eastAsia="Times New Roman" w:hAnsi="VIC-Regular" w:cs="Times New Roman"/>
          <w:color w:val="011A3C"/>
          <w:sz w:val="24"/>
          <w:szCs w:val="24"/>
          <w:lang w:val="en" w:eastAsia="en-AU"/>
        </w:rPr>
        <w:t xml:space="preserve">Thresholds are determined by </w:t>
      </w:r>
    </w:p>
    <w:p w14:paraId="50C17131" w14:textId="45B1CF95" w:rsidR="005D5E2A" w:rsidRPr="004D307F" w:rsidRDefault="005D5E2A" w:rsidP="0061578B">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 xml:space="preserve">Rates </w:t>
      </w:r>
      <w:r w:rsidRPr="004D307F">
        <w:rPr>
          <w:rFonts w:ascii="VIC" w:eastAsia="Times New Roman" w:hAnsi="VIC" w:cs="Times New Roman" w:hint="eastAsia"/>
          <w:b/>
          <w:bCs/>
          <w:color w:val="011A3C"/>
          <w:sz w:val="24"/>
          <w:szCs w:val="24"/>
          <w:lang w:val="en" w:eastAsia="en-AU"/>
        </w:rPr>
        <w:t>— </w:t>
      </w:r>
      <w:r w:rsidRPr="004D307F">
        <w:rPr>
          <w:rFonts w:ascii="VIC" w:eastAsia="Times New Roman" w:hAnsi="VIC" w:cs="Times New Roman"/>
          <w:b/>
          <w:bCs/>
          <w:color w:val="011A3C"/>
          <w:sz w:val="24"/>
          <w:szCs w:val="24"/>
          <w:lang w:val="en" w:eastAsia="en-AU"/>
        </w:rPr>
        <w:t>202</w:t>
      </w:r>
      <w:r w:rsidR="009212A4" w:rsidRPr="004D307F">
        <w:rPr>
          <w:rFonts w:ascii="VIC" w:eastAsia="Times New Roman" w:hAnsi="VIC" w:cs="Times New Roman"/>
          <w:b/>
          <w:bCs/>
          <w:color w:val="011A3C"/>
          <w:sz w:val="24"/>
          <w:szCs w:val="24"/>
          <w:lang w:val="en" w:eastAsia="en-AU"/>
        </w:rPr>
        <w:t>2</w:t>
      </w:r>
    </w:p>
    <w:p w14:paraId="28203640" w14:textId="77777777" w:rsidR="005D5E2A" w:rsidRPr="004D307F" w:rsidRDefault="005D5E2A" w:rsidP="0061578B">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List 1: EAL Index funding thresholds</w:t>
      </w:r>
    </w:p>
    <w:p w14:paraId="76CDF9BB" w14:textId="517562C4" w:rsidR="005D5E2A" w:rsidRPr="004D307F" w:rsidRDefault="000A6EFD" w:rsidP="00ED0863">
      <w:pPr>
        <w:numPr>
          <w:ilvl w:val="0"/>
          <w:numId w:val="30"/>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w:t>
      </w:r>
      <w:r w:rsidR="00221E62" w:rsidRPr="004D307F">
        <w:rPr>
          <w:rFonts w:ascii="VIC" w:eastAsia="Times New Roman" w:hAnsi="VIC" w:cs="Times New Roman"/>
          <w:color w:val="011A3C"/>
          <w:sz w:val="24"/>
          <w:szCs w:val="24"/>
          <w:lang w:val="en" w:eastAsia="en-AU"/>
        </w:rPr>
        <w:t xml:space="preserve"> </w:t>
      </w:r>
      <w:r w:rsidR="005D5E2A" w:rsidRPr="004D307F">
        <w:rPr>
          <w:rFonts w:ascii="VIC" w:eastAsia="Times New Roman" w:hAnsi="VIC" w:cs="Times New Roman"/>
          <w:color w:val="011A3C"/>
          <w:sz w:val="24"/>
          <w:szCs w:val="24"/>
          <w:lang w:val="en" w:eastAsia="en-AU"/>
        </w:rPr>
        <w:t>$</w:t>
      </w:r>
      <w:r w:rsidR="00F42171" w:rsidRPr="004D307F">
        <w:rPr>
          <w:rFonts w:ascii="VIC" w:eastAsia="Times New Roman" w:hAnsi="VIC" w:cs="Times New Roman"/>
          <w:color w:val="011A3C"/>
          <w:sz w:val="24"/>
          <w:szCs w:val="24"/>
          <w:lang w:val="en" w:eastAsia="en-AU"/>
        </w:rPr>
        <w:t>25,6</w:t>
      </w:r>
      <w:r w:rsidR="00132503" w:rsidRPr="004D307F">
        <w:rPr>
          <w:rFonts w:ascii="VIC" w:eastAsia="Times New Roman" w:hAnsi="VIC" w:cs="Times New Roman"/>
          <w:color w:val="011A3C"/>
          <w:sz w:val="24"/>
          <w:szCs w:val="24"/>
          <w:lang w:val="en" w:eastAsia="en-AU"/>
        </w:rPr>
        <w:t>34.61</w:t>
      </w:r>
    </w:p>
    <w:p w14:paraId="56F27BE2" w14:textId="1F5AD8AA" w:rsidR="005D5E2A" w:rsidRPr="004D307F" w:rsidRDefault="000A6EFD" w:rsidP="00ED0863">
      <w:pPr>
        <w:numPr>
          <w:ilvl w:val="0"/>
          <w:numId w:val="30"/>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Secondary:</w:t>
      </w:r>
      <w:r w:rsidR="00132503" w:rsidRPr="004D307F">
        <w:rPr>
          <w:rFonts w:ascii="VIC" w:eastAsia="Times New Roman" w:hAnsi="VIC" w:cs="Times New Roman"/>
          <w:color w:val="011A3C"/>
          <w:sz w:val="24"/>
          <w:szCs w:val="24"/>
          <w:lang w:val="en" w:eastAsia="en-AU"/>
        </w:rPr>
        <w:t xml:space="preserve"> </w:t>
      </w:r>
      <w:r w:rsidR="005D5E2A" w:rsidRPr="004D307F">
        <w:rPr>
          <w:rFonts w:ascii="VIC" w:eastAsia="Times New Roman" w:hAnsi="VIC" w:cs="Times New Roman"/>
          <w:color w:val="011A3C"/>
          <w:sz w:val="24"/>
          <w:szCs w:val="24"/>
          <w:lang w:val="en" w:eastAsia="en-AU"/>
        </w:rPr>
        <w:t>$</w:t>
      </w:r>
      <w:r w:rsidR="00F42171" w:rsidRPr="004D307F">
        <w:rPr>
          <w:rFonts w:ascii="VIC" w:eastAsia="Times New Roman" w:hAnsi="VIC" w:cs="Times New Roman"/>
          <w:color w:val="011A3C"/>
          <w:sz w:val="24"/>
          <w:szCs w:val="24"/>
          <w:lang w:val="en" w:eastAsia="en-AU"/>
        </w:rPr>
        <w:t>48,8</w:t>
      </w:r>
      <w:r w:rsidR="00132503" w:rsidRPr="004D307F">
        <w:rPr>
          <w:rFonts w:ascii="VIC" w:eastAsia="Times New Roman" w:hAnsi="VIC" w:cs="Times New Roman"/>
          <w:color w:val="011A3C"/>
          <w:sz w:val="24"/>
          <w:szCs w:val="24"/>
          <w:lang w:val="en" w:eastAsia="en-AU"/>
        </w:rPr>
        <w:t>91.69</w:t>
      </w:r>
    </w:p>
    <w:bookmarkEnd w:id="39"/>
    <w:p w14:paraId="2F877E2B" w14:textId="77777777" w:rsidR="005D5E2A" w:rsidRPr="004D307F" w:rsidRDefault="005D5E2A" w:rsidP="00000933">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List 2: Index levels and level descriptions</w:t>
      </w:r>
    </w:p>
    <w:p w14:paraId="7C001521" w14:textId="3B7DE541" w:rsidR="005D5E2A" w:rsidRPr="004D307F" w:rsidRDefault="005D5E2A" w:rsidP="00ED0863">
      <w:pPr>
        <w:numPr>
          <w:ilvl w:val="0"/>
          <w:numId w:val="30"/>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Level 1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Foundation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weighting of 1.00</w:t>
      </w:r>
      <w:r w:rsidR="00F01784" w:rsidRPr="004D307F">
        <w:rPr>
          <w:rFonts w:ascii="VIC" w:eastAsia="Times New Roman" w:hAnsi="VIC" w:cs="Times New Roman"/>
          <w:color w:val="011A3C"/>
          <w:sz w:val="24"/>
          <w:szCs w:val="24"/>
          <w:lang w:val="en" w:eastAsia="en-AU"/>
        </w:rPr>
        <w:t xml:space="preserve"> applied</w:t>
      </w:r>
    </w:p>
    <w:p w14:paraId="2A378734" w14:textId="22BB6CF9" w:rsidR="005D5E2A" w:rsidRPr="004D307F" w:rsidRDefault="005D5E2A" w:rsidP="00ED0863">
      <w:pPr>
        <w:numPr>
          <w:ilvl w:val="0"/>
          <w:numId w:val="30"/>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Level 2 </w:t>
      </w:r>
      <w:r w:rsidRPr="004D307F">
        <w:rPr>
          <w:rFonts w:ascii="VIC" w:eastAsia="Times New Roman" w:hAnsi="VIC" w:cs="Times New Roman" w:hint="eastAsia"/>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2-5 years in Australian school Years 1-6 </w:t>
      </w:r>
      <w:r w:rsidRPr="004D307F">
        <w:rPr>
          <w:rFonts w:ascii="VIC" w:eastAsia="Times New Roman" w:hAnsi="VIC" w:cs="VIC"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weighting of 2.00</w:t>
      </w:r>
      <w:r w:rsidR="00F01784" w:rsidRPr="004D307F">
        <w:rPr>
          <w:rFonts w:ascii="VIC" w:eastAsia="Times New Roman" w:hAnsi="VIC" w:cs="Times New Roman"/>
          <w:color w:val="011A3C"/>
          <w:sz w:val="24"/>
          <w:szCs w:val="24"/>
          <w:lang w:val="en" w:eastAsia="en-AU"/>
        </w:rPr>
        <w:t xml:space="preserve"> applied</w:t>
      </w:r>
    </w:p>
    <w:p w14:paraId="2F4AA53E" w14:textId="156D4BCB" w:rsidR="005D5E2A" w:rsidRPr="004D307F" w:rsidRDefault="005D5E2A" w:rsidP="00ED0863">
      <w:pPr>
        <w:numPr>
          <w:ilvl w:val="0"/>
          <w:numId w:val="30"/>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Level 3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&lt;2 years in Australian school Years 1-6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weighting of 4.00</w:t>
      </w:r>
      <w:r w:rsidR="00F01784" w:rsidRPr="004D307F">
        <w:rPr>
          <w:rFonts w:ascii="VIC" w:eastAsia="Times New Roman" w:hAnsi="VIC" w:cs="Times New Roman"/>
          <w:color w:val="011A3C"/>
          <w:sz w:val="24"/>
          <w:szCs w:val="24"/>
          <w:lang w:val="en" w:eastAsia="en-AU"/>
        </w:rPr>
        <w:t xml:space="preserve"> applied</w:t>
      </w:r>
    </w:p>
    <w:p w14:paraId="5DB1FCB6" w14:textId="791E18ED" w:rsidR="005D5E2A" w:rsidRPr="004D307F" w:rsidRDefault="005D5E2A" w:rsidP="00ED0863">
      <w:pPr>
        <w:numPr>
          <w:ilvl w:val="0"/>
          <w:numId w:val="30"/>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Level 4 </w:t>
      </w:r>
      <w:r w:rsidRPr="004D307F">
        <w:rPr>
          <w:rFonts w:ascii="VIC" w:eastAsia="Times New Roman" w:hAnsi="VIC" w:cs="Times New Roman" w:hint="eastAsia"/>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2-5 years in Australian school Years 7-12 </w:t>
      </w:r>
      <w:r w:rsidRPr="004D307F">
        <w:rPr>
          <w:rFonts w:ascii="VIC" w:eastAsia="Times New Roman" w:hAnsi="VIC" w:cs="VIC"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weighting of 5.09</w:t>
      </w:r>
      <w:r w:rsidR="00F01784" w:rsidRPr="004D307F">
        <w:rPr>
          <w:rFonts w:ascii="VIC" w:eastAsia="Times New Roman" w:hAnsi="VIC" w:cs="Times New Roman"/>
          <w:color w:val="011A3C"/>
          <w:sz w:val="24"/>
          <w:szCs w:val="24"/>
          <w:lang w:val="en" w:eastAsia="en-AU"/>
        </w:rPr>
        <w:t xml:space="preserve"> applied</w:t>
      </w:r>
    </w:p>
    <w:p w14:paraId="1038AD02" w14:textId="6F9AFDF4" w:rsidR="005D5E2A" w:rsidRPr="004D307F" w:rsidRDefault="005D5E2A" w:rsidP="00ED0863">
      <w:pPr>
        <w:numPr>
          <w:ilvl w:val="0"/>
          <w:numId w:val="30"/>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Level 5 </w:t>
      </w:r>
      <w:r w:rsidRPr="004D307F">
        <w:rPr>
          <w:rFonts w:ascii="VIC" w:eastAsia="Times New Roman" w:hAnsi="VIC" w:cs="Times New Roman" w:hint="eastAsia"/>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&lt;2 years in Australian school Years 7-12 </w:t>
      </w:r>
      <w:r w:rsidRPr="004D307F">
        <w:rPr>
          <w:rFonts w:ascii="VIC" w:eastAsia="Times New Roman" w:hAnsi="VIC" w:cs="VIC"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weighting of 7.64</w:t>
      </w:r>
      <w:r w:rsidR="00F01784" w:rsidRPr="004D307F">
        <w:rPr>
          <w:rFonts w:ascii="VIC" w:eastAsia="Times New Roman" w:hAnsi="VIC" w:cs="Times New Roman"/>
          <w:color w:val="011A3C"/>
          <w:sz w:val="24"/>
          <w:szCs w:val="24"/>
          <w:lang w:val="en" w:eastAsia="en-AU"/>
        </w:rPr>
        <w:t xml:space="preserve"> applied</w:t>
      </w:r>
    </w:p>
    <w:p w14:paraId="6951E5DD" w14:textId="49213F5F" w:rsidR="005D5E2A" w:rsidRPr="004D307F" w:rsidRDefault="005D5E2A" w:rsidP="0061578B">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List 3:</w:t>
      </w:r>
      <w:r w:rsidRPr="004D307F">
        <w:rPr>
          <w:rFonts w:ascii="Calibri" w:eastAsia="Times New Roman" w:hAnsi="Calibri" w:cs="Calibri" w:hint="eastAsia"/>
          <w:b/>
          <w:bCs/>
          <w:color w:val="011A3C"/>
          <w:sz w:val="24"/>
          <w:szCs w:val="24"/>
          <w:lang w:val="en" w:eastAsia="en-AU"/>
        </w:rPr>
        <w:t> </w:t>
      </w:r>
      <w:r w:rsidR="000D3CC4" w:rsidRPr="004D307F">
        <w:rPr>
          <w:rFonts w:ascii="VIC" w:eastAsia="Times New Roman" w:hAnsi="VIC" w:cs="Times New Roman"/>
          <w:b/>
          <w:bCs/>
          <w:color w:val="011A3C"/>
          <w:sz w:val="24"/>
          <w:szCs w:val="24"/>
          <w:lang w:val="en" w:eastAsia="en-AU"/>
        </w:rPr>
        <w:t>Further w</w:t>
      </w:r>
      <w:r w:rsidRPr="004D307F">
        <w:rPr>
          <w:rFonts w:ascii="VIC" w:eastAsia="Times New Roman" w:hAnsi="VIC" w:cs="Times New Roman"/>
          <w:b/>
          <w:bCs/>
          <w:color w:val="011A3C"/>
          <w:sz w:val="24"/>
          <w:szCs w:val="24"/>
          <w:lang w:val="en" w:eastAsia="en-AU"/>
        </w:rPr>
        <w:t xml:space="preserve">eightings </w:t>
      </w:r>
      <w:r w:rsidR="000D3CC4" w:rsidRPr="004D307F">
        <w:rPr>
          <w:rFonts w:ascii="VIC" w:eastAsia="Times New Roman" w:hAnsi="VIC" w:cs="Times New Roman"/>
          <w:b/>
          <w:bCs/>
          <w:color w:val="011A3C"/>
          <w:sz w:val="24"/>
          <w:szCs w:val="24"/>
          <w:lang w:val="en" w:eastAsia="en-AU"/>
        </w:rPr>
        <w:t xml:space="preserve">are </w:t>
      </w:r>
      <w:r w:rsidRPr="004D307F">
        <w:rPr>
          <w:rFonts w:ascii="VIC" w:eastAsia="Times New Roman" w:hAnsi="VIC" w:cs="Times New Roman"/>
          <w:b/>
          <w:bCs/>
          <w:color w:val="011A3C"/>
          <w:sz w:val="24"/>
          <w:szCs w:val="24"/>
          <w:lang w:val="en" w:eastAsia="en-AU"/>
        </w:rPr>
        <w:t xml:space="preserve">applied to campuses </w:t>
      </w:r>
      <w:r w:rsidR="000D3CC4" w:rsidRPr="004D307F">
        <w:rPr>
          <w:rFonts w:ascii="VIC" w:eastAsia="Times New Roman" w:hAnsi="VIC" w:cs="Times New Roman"/>
          <w:b/>
          <w:bCs/>
          <w:color w:val="011A3C"/>
          <w:sz w:val="24"/>
          <w:szCs w:val="24"/>
          <w:lang w:val="en" w:eastAsia="en-AU"/>
        </w:rPr>
        <w:t xml:space="preserve">based on the campus </w:t>
      </w:r>
      <w:r w:rsidRPr="004D307F">
        <w:rPr>
          <w:rFonts w:ascii="VIC" w:eastAsia="Times New Roman" w:hAnsi="VIC" w:cs="Times New Roman"/>
          <w:b/>
          <w:bCs/>
          <w:color w:val="011A3C"/>
          <w:sz w:val="24"/>
          <w:szCs w:val="24"/>
          <w:lang w:val="en" w:eastAsia="en-AU"/>
        </w:rPr>
        <w:t>densities of Student Family Occupations (SFO)</w:t>
      </w:r>
    </w:p>
    <w:p w14:paraId="05EC3BB6" w14:textId="73481943" w:rsidR="005D5E2A" w:rsidRPr="004D307F" w:rsidRDefault="005D5E2A" w:rsidP="00ED0863">
      <w:pPr>
        <w:numPr>
          <w:ilvl w:val="0"/>
          <w:numId w:val="30"/>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Level 1 </w:t>
      </w:r>
      <w:r w:rsidRPr="004D307F">
        <w:rPr>
          <w:rFonts w:ascii="VIC" w:eastAsia="Times New Roman" w:hAnsi="VIC" w:cs="Times New Roman" w:hint="eastAsia"/>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000D3CC4" w:rsidRPr="004D307F">
        <w:rPr>
          <w:rFonts w:ascii="VIC" w:eastAsia="Times New Roman" w:hAnsi="VIC" w:cs="Times New Roman"/>
          <w:color w:val="011A3C"/>
          <w:sz w:val="24"/>
          <w:szCs w:val="24"/>
          <w:lang w:val="en" w:eastAsia="en-AU"/>
        </w:rPr>
        <w:t xml:space="preserve">Where a </w:t>
      </w:r>
      <w:r w:rsidRPr="004D307F">
        <w:rPr>
          <w:rFonts w:ascii="VIC" w:eastAsia="Times New Roman" w:hAnsi="VIC" w:cs="Times New Roman"/>
          <w:color w:val="011A3C"/>
          <w:sz w:val="24"/>
          <w:szCs w:val="24"/>
          <w:lang w:val="en" w:eastAsia="en-AU"/>
        </w:rPr>
        <w:t xml:space="preserve">SFO density </w:t>
      </w:r>
      <w:r w:rsidR="000D3CC4" w:rsidRPr="004D307F">
        <w:rPr>
          <w:rFonts w:ascii="VIC" w:eastAsia="Times New Roman" w:hAnsi="VIC" w:cs="Times New Roman"/>
          <w:color w:val="011A3C"/>
          <w:sz w:val="24"/>
          <w:szCs w:val="24"/>
          <w:lang w:val="en" w:eastAsia="en-AU"/>
        </w:rPr>
        <w:t xml:space="preserve">is </w:t>
      </w:r>
      <w:r w:rsidRPr="004D307F">
        <w:rPr>
          <w:rFonts w:ascii="VIC" w:eastAsia="Times New Roman" w:hAnsi="VIC" w:cs="Times New Roman"/>
          <w:color w:val="011A3C"/>
          <w:sz w:val="24"/>
          <w:szCs w:val="24"/>
          <w:lang w:val="en" w:eastAsia="en-AU"/>
        </w:rPr>
        <w:t>less than or equal to 52.73%</w:t>
      </w:r>
      <w:r w:rsidR="000D3CC4" w:rsidRPr="004D307F">
        <w:rPr>
          <w:rFonts w:ascii="VIC" w:eastAsia="Times New Roman" w:hAnsi="VIC" w:cs="Times New Roman"/>
          <w:color w:val="011A3C"/>
          <w:sz w:val="24"/>
          <w:szCs w:val="24"/>
          <w:lang w:val="en" w:eastAsia="en-AU"/>
        </w:rPr>
        <w:t xml:space="preserve"> (0.5273)</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VIC"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t>
      </w:r>
      <w:r w:rsidR="000D3CC4" w:rsidRPr="004D307F">
        <w:rPr>
          <w:rFonts w:ascii="VIC" w:eastAsia="Times New Roman" w:hAnsi="VIC" w:cs="Times New Roman"/>
          <w:color w:val="011A3C"/>
          <w:sz w:val="24"/>
          <w:szCs w:val="24"/>
          <w:lang w:val="en" w:eastAsia="en-AU"/>
        </w:rPr>
        <w:t xml:space="preserve">a 0.6 </w:t>
      </w:r>
      <w:r w:rsidR="00337C31" w:rsidRPr="004D307F">
        <w:rPr>
          <w:rFonts w:ascii="VIC" w:eastAsia="Times New Roman" w:hAnsi="VIC" w:cs="Times New Roman"/>
          <w:color w:val="011A3C"/>
          <w:sz w:val="24"/>
          <w:szCs w:val="24"/>
          <w:lang w:val="en" w:eastAsia="en-AU"/>
        </w:rPr>
        <w:t>weight is</w:t>
      </w:r>
      <w:r w:rsidR="000D3CC4" w:rsidRPr="004D307F">
        <w:rPr>
          <w:rFonts w:ascii="VIC" w:eastAsia="Times New Roman" w:hAnsi="VIC" w:cs="Times New Roman"/>
          <w:color w:val="011A3C"/>
          <w:sz w:val="24"/>
          <w:szCs w:val="24"/>
          <w:lang w:val="en" w:eastAsia="en-AU"/>
        </w:rPr>
        <w:t xml:space="preserve"> applied</w:t>
      </w:r>
    </w:p>
    <w:p w14:paraId="52BB6239" w14:textId="421B741B" w:rsidR="005D5E2A" w:rsidRPr="004D307F" w:rsidRDefault="005D5E2A" w:rsidP="00ED0863">
      <w:pPr>
        <w:numPr>
          <w:ilvl w:val="0"/>
          <w:numId w:val="30"/>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 xml:space="preserve">Level 2 </w:t>
      </w:r>
      <w:r w:rsidRPr="004D307F">
        <w:rPr>
          <w:rFonts w:ascii="VIC" w:eastAsia="Times New Roman" w:hAnsi="VIC" w:cs="Times New Roman" w:hint="eastAsia"/>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000D3CC4" w:rsidRPr="004D307F">
        <w:rPr>
          <w:rFonts w:ascii="VIC" w:eastAsia="Times New Roman" w:hAnsi="VIC" w:cs="Times New Roman"/>
          <w:color w:val="011A3C"/>
          <w:sz w:val="24"/>
          <w:szCs w:val="24"/>
          <w:lang w:val="en" w:eastAsia="en-AU"/>
        </w:rPr>
        <w:t xml:space="preserve">Where a </w:t>
      </w:r>
      <w:r w:rsidRPr="004D307F">
        <w:rPr>
          <w:rFonts w:ascii="VIC" w:eastAsia="Times New Roman" w:hAnsi="VIC" w:cs="Times New Roman"/>
          <w:color w:val="011A3C"/>
          <w:sz w:val="24"/>
          <w:szCs w:val="24"/>
          <w:lang w:val="en" w:eastAsia="en-AU"/>
        </w:rPr>
        <w:t>SFO density greater than 52.74%</w:t>
      </w:r>
      <w:r w:rsidR="000D3CC4" w:rsidRPr="004D307F">
        <w:rPr>
          <w:rFonts w:ascii="VIC" w:eastAsia="Times New Roman" w:hAnsi="VIC" w:cs="Times New Roman"/>
          <w:color w:val="011A3C"/>
          <w:sz w:val="24"/>
          <w:szCs w:val="24"/>
          <w:lang w:val="en" w:eastAsia="en-AU"/>
        </w:rPr>
        <w:t xml:space="preserve"> (0.5274)</w:t>
      </w:r>
      <w:r w:rsidRPr="004D307F">
        <w:rPr>
          <w:rFonts w:ascii="VIC" w:eastAsia="Times New Roman" w:hAnsi="VIC" w:cs="Times New Roman"/>
          <w:color w:val="011A3C"/>
          <w:sz w:val="24"/>
          <w:szCs w:val="24"/>
          <w:lang w:val="en" w:eastAsia="en-AU"/>
        </w:rPr>
        <w:t xml:space="preserve"> but less than or equal to 54.69% </w:t>
      </w:r>
      <w:r w:rsidR="000D3CC4" w:rsidRPr="004D307F">
        <w:rPr>
          <w:rFonts w:ascii="VIC" w:eastAsia="Times New Roman" w:hAnsi="VIC" w:cs="Times New Roman"/>
          <w:color w:val="011A3C"/>
          <w:sz w:val="24"/>
          <w:szCs w:val="24"/>
          <w:lang w:val="en" w:eastAsia="en-AU"/>
        </w:rPr>
        <w:t>(0.5469)</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t>
      </w:r>
      <w:r w:rsidR="000D3CC4" w:rsidRPr="004D307F">
        <w:rPr>
          <w:rFonts w:ascii="VIC" w:eastAsia="Times New Roman" w:hAnsi="VIC" w:cs="Times New Roman"/>
          <w:color w:val="011A3C"/>
          <w:sz w:val="24"/>
          <w:szCs w:val="24"/>
          <w:lang w:val="en" w:eastAsia="en-AU"/>
        </w:rPr>
        <w:t xml:space="preserve">0 1.00 </w:t>
      </w:r>
      <w:r w:rsidR="00337C31" w:rsidRPr="004D307F">
        <w:rPr>
          <w:rFonts w:ascii="VIC" w:eastAsia="Times New Roman" w:hAnsi="VIC" w:cs="Times New Roman"/>
          <w:color w:val="011A3C"/>
          <w:sz w:val="24"/>
          <w:szCs w:val="24"/>
          <w:lang w:val="en" w:eastAsia="en-AU"/>
        </w:rPr>
        <w:t>weight is</w:t>
      </w:r>
      <w:r w:rsidR="000D3CC4" w:rsidRPr="004D307F">
        <w:rPr>
          <w:rFonts w:ascii="VIC" w:eastAsia="Times New Roman" w:hAnsi="VIC" w:cs="Times New Roman"/>
          <w:color w:val="011A3C"/>
          <w:sz w:val="24"/>
          <w:szCs w:val="24"/>
          <w:lang w:val="en" w:eastAsia="en-AU"/>
        </w:rPr>
        <w:t xml:space="preserve"> applied</w:t>
      </w:r>
    </w:p>
    <w:p w14:paraId="79B40BE1" w14:textId="2B958A2D" w:rsidR="005D5E2A" w:rsidRPr="004D307F" w:rsidRDefault="005D5E2A" w:rsidP="00ED0863">
      <w:pPr>
        <w:numPr>
          <w:ilvl w:val="0"/>
          <w:numId w:val="30"/>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Level 3 </w:t>
      </w:r>
      <w:r w:rsidRPr="004D307F">
        <w:rPr>
          <w:rFonts w:ascii="VIC" w:eastAsia="Times New Roman" w:hAnsi="VIC" w:cs="Times New Roman" w:hint="eastAsia"/>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000D3CC4" w:rsidRPr="004D307F">
        <w:rPr>
          <w:rFonts w:ascii="VIC" w:eastAsia="Times New Roman" w:hAnsi="VIC" w:cs="Times New Roman"/>
          <w:color w:val="011A3C"/>
          <w:sz w:val="24"/>
          <w:szCs w:val="24"/>
          <w:lang w:val="en" w:eastAsia="en-AU"/>
        </w:rPr>
        <w:t xml:space="preserve">Where a </w:t>
      </w:r>
      <w:r w:rsidRPr="004D307F">
        <w:rPr>
          <w:rFonts w:ascii="VIC" w:eastAsia="Times New Roman" w:hAnsi="VIC" w:cs="Times New Roman"/>
          <w:color w:val="011A3C"/>
          <w:sz w:val="24"/>
          <w:szCs w:val="24"/>
          <w:lang w:val="en" w:eastAsia="en-AU"/>
        </w:rPr>
        <w:t xml:space="preserve">SFO density </w:t>
      </w:r>
      <w:r w:rsidR="000D3CC4" w:rsidRPr="004D307F">
        <w:rPr>
          <w:rFonts w:ascii="VIC" w:eastAsia="Times New Roman" w:hAnsi="VIC" w:cs="Times New Roman"/>
          <w:color w:val="011A3C"/>
          <w:sz w:val="24"/>
          <w:szCs w:val="24"/>
          <w:lang w:val="en" w:eastAsia="en-AU"/>
        </w:rPr>
        <w:t xml:space="preserve">is </w:t>
      </w:r>
      <w:r w:rsidRPr="004D307F">
        <w:rPr>
          <w:rFonts w:ascii="VIC" w:eastAsia="Times New Roman" w:hAnsi="VIC" w:cs="Times New Roman"/>
          <w:color w:val="011A3C"/>
          <w:sz w:val="24"/>
          <w:szCs w:val="24"/>
          <w:lang w:val="en" w:eastAsia="en-AU"/>
        </w:rPr>
        <w:t>greater</w:t>
      </w:r>
      <w:r w:rsidR="000D3CC4" w:rsidRPr="004D307F">
        <w:rPr>
          <w:rFonts w:ascii="VIC" w:eastAsia="Times New Roman" w:hAnsi="VIC" w:cs="Times New Roman"/>
          <w:color w:val="011A3C"/>
          <w:sz w:val="24"/>
          <w:szCs w:val="24"/>
          <w:lang w:val="en" w:eastAsia="en-AU"/>
        </w:rPr>
        <w:t xml:space="preserve"> or equal to</w:t>
      </w:r>
      <w:r w:rsidRPr="004D307F">
        <w:rPr>
          <w:rFonts w:ascii="VIC" w:eastAsia="Times New Roman" w:hAnsi="VIC" w:cs="Times New Roman"/>
          <w:color w:val="011A3C"/>
          <w:sz w:val="24"/>
          <w:szCs w:val="24"/>
          <w:lang w:val="en" w:eastAsia="en-AU"/>
        </w:rPr>
        <w:t xml:space="preserve"> 54.70% </w:t>
      </w:r>
      <w:r w:rsidR="000D3CC4" w:rsidRPr="004D307F">
        <w:rPr>
          <w:rFonts w:ascii="VIC" w:eastAsia="Times New Roman" w:hAnsi="VIC" w:cs="Times New Roman"/>
          <w:color w:val="011A3C"/>
          <w:sz w:val="24"/>
          <w:szCs w:val="24"/>
          <w:lang w:val="en" w:eastAsia="en-AU"/>
        </w:rPr>
        <w:t>(0.5470)</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t>
      </w:r>
      <w:r w:rsidR="000D3CC4" w:rsidRPr="004D307F">
        <w:rPr>
          <w:rFonts w:ascii="VIC" w:eastAsia="Times New Roman" w:hAnsi="VIC" w:cs="Times New Roman"/>
          <w:color w:val="011A3C"/>
          <w:sz w:val="24"/>
          <w:szCs w:val="24"/>
          <w:lang w:val="en" w:eastAsia="en-AU"/>
        </w:rPr>
        <w:t xml:space="preserve">a 1.40 </w:t>
      </w:r>
      <w:r w:rsidR="00337C31" w:rsidRPr="004D307F">
        <w:rPr>
          <w:rFonts w:ascii="VIC" w:eastAsia="Times New Roman" w:hAnsi="VIC" w:cs="Times New Roman"/>
          <w:color w:val="011A3C"/>
          <w:sz w:val="24"/>
          <w:szCs w:val="24"/>
          <w:lang w:val="en" w:eastAsia="en-AU"/>
        </w:rPr>
        <w:t>weight is</w:t>
      </w:r>
      <w:r w:rsidR="000D3CC4" w:rsidRPr="004D307F">
        <w:rPr>
          <w:rFonts w:ascii="VIC" w:eastAsia="Times New Roman" w:hAnsi="VIC" w:cs="Times New Roman"/>
          <w:color w:val="011A3C"/>
          <w:sz w:val="24"/>
          <w:szCs w:val="24"/>
          <w:lang w:val="en" w:eastAsia="en-AU"/>
        </w:rPr>
        <w:t xml:space="preserve"> applied</w:t>
      </w:r>
    </w:p>
    <w:p w14:paraId="63C01417" w14:textId="77777777" w:rsidR="00F85311" w:rsidRPr="004D307F" w:rsidRDefault="005D5E2A" w:rsidP="00F85311">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combined effect of Lists 1, 2 and 3</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results in the following matrix: </w:t>
      </w:r>
    </w:p>
    <w:p w14:paraId="1A7E6556" w14:textId="1B88A21E" w:rsidR="005D5E2A" w:rsidRPr="004D307F" w:rsidRDefault="005D5E2A" w:rsidP="00F85311">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b/>
          <w:bCs/>
          <w:color w:val="011A3C"/>
          <w:sz w:val="24"/>
          <w:szCs w:val="24"/>
          <w:lang w:val="en" w:eastAsia="en-AU"/>
        </w:rPr>
        <w:t>List 4: Allocation matrix for total EAL Index funding</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5"/>
        <w:gridCol w:w="3267"/>
        <w:gridCol w:w="1226"/>
        <w:gridCol w:w="1524"/>
        <w:gridCol w:w="1540"/>
        <w:gridCol w:w="1548"/>
      </w:tblGrid>
      <w:tr w:rsidR="005D5E2A" w:rsidRPr="004D307F" w14:paraId="749DC306" w14:textId="77777777" w:rsidTr="004D307F">
        <w:trPr>
          <w:tblHeader/>
        </w:trPr>
        <w:tc>
          <w:tcPr>
            <w:tcW w:w="0" w:type="auto"/>
            <w:shd w:val="clear" w:color="auto" w:fill="auto"/>
            <w:hideMark/>
          </w:tcPr>
          <w:p w14:paraId="7E02586C" w14:textId="77777777" w:rsidR="005D5E2A" w:rsidRPr="004D307F" w:rsidRDefault="005D5E2A" w:rsidP="007F1D90">
            <w:pPr>
              <w:spacing w:after="0" w:line="24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Level</w:t>
            </w:r>
          </w:p>
        </w:tc>
        <w:tc>
          <w:tcPr>
            <w:tcW w:w="3267" w:type="dxa"/>
            <w:shd w:val="clear" w:color="auto" w:fill="auto"/>
            <w:hideMark/>
          </w:tcPr>
          <w:p w14:paraId="3B0732AD" w14:textId="77777777" w:rsidR="005D5E2A" w:rsidRPr="004D307F" w:rsidRDefault="005D5E2A" w:rsidP="007F1D90">
            <w:pPr>
              <w:spacing w:after="0" w:line="24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Description</w:t>
            </w:r>
          </w:p>
        </w:tc>
        <w:tc>
          <w:tcPr>
            <w:tcW w:w="1055" w:type="dxa"/>
            <w:shd w:val="clear" w:color="auto" w:fill="auto"/>
            <w:hideMark/>
          </w:tcPr>
          <w:p w14:paraId="1E2FF20A" w14:textId="77777777" w:rsidR="005D5E2A" w:rsidRPr="004D307F" w:rsidRDefault="005D5E2A" w:rsidP="007F1D90">
            <w:pPr>
              <w:spacing w:after="0" w:line="24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Weighting</w:t>
            </w:r>
          </w:p>
        </w:tc>
        <w:tc>
          <w:tcPr>
            <w:tcW w:w="0" w:type="auto"/>
            <w:shd w:val="clear" w:color="auto" w:fill="auto"/>
            <w:hideMark/>
          </w:tcPr>
          <w:p w14:paraId="30651F48" w14:textId="1B9B3297" w:rsidR="005D5E2A" w:rsidRPr="004D307F" w:rsidRDefault="005D5E2A" w:rsidP="0061578B">
            <w:pPr>
              <w:spacing w:after="0" w:line="240" w:lineRule="atLeast"/>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SFO Weighting</w:t>
            </w:r>
            <w:r w:rsidR="000D3CC4" w:rsidRPr="004D307F">
              <w:rPr>
                <w:rFonts w:ascii="VIC" w:eastAsia="Times New Roman" w:hAnsi="VIC" w:cs="Times New Roman"/>
                <w:color w:val="011A3C"/>
                <w:sz w:val="24"/>
                <w:szCs w:val="24"/>
                <w:lang w:val="en" w:eastAsia="en-AU"/>
              </w:rPr>
              <w:t xml:space="preserve"> 1</w:t>
            </w:r>
          </w:p>
        </w:tc>
        <w:tc>
          <w:tcPr>
            <w:tcW w:w="0" w:type="auto"/>
            <w:shd w:val="clear" w:color="auto" w:fill="auto"/>
            <w:hideMark/>
          </w:tcPr>
          <w:p w14:paraId="326DE918" w14:textId="48EE1DB7" w:rsidR="005D5E2A" w:rsidRPr="004D307F" w:rsidRDefault="005D5E2A" w:rsidP="0061578B">
            <w:pPr>
              <w:spacing w:after="0" w:line="240" w:lineRule="atLeast"/>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SFO Weighting</w:t>
            </w:r>
            <w:r w:rsidR="000D3CC4" w:rsidRPr="004D307F">
              <w:rPr>
                <w:rFonts w:ascii="VIC" w:eastAsia="Times New Roman" w:hAnsi="VIC" w:cs="Times New Roman"/>
                <w:color w:val="011A3C"/>
                <w:sz w:val="24"/>
                <w:szCs w:val="24"/>
                <w:lang w:val="en" w:eastAsia="en-AU"/>
              </w:rPr>
              <w:t xml:space="preserve"> 2</w:t>
            </w:r>
          </w:p>
        </w:tc>
        <w:tc>
          <w:tcPr>
            <w:tcW w:w="0" w:type="auto"/>
            <w:shd w:val="clear" w:color="auto" w:fill="auto"/>
            <w:hideMark/>
          </w:tcPr>
          <w:p w14:paraId="3D9412B0" w14:textId="2705F13C" w:rsidR="005D5E2A" w:rsidRPr="004D307F" w:rsidRDefault="005D5E2A" w:rsidP="0061578B">
            <w:pPr>
              <w:spacing w:after="0" w:line="240" w:lineRule="atLeast"/>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SFO Weighting</w:t>
            </w:r>
            <w:r w:rsidR="000D3CC4" w:rsidRPr="004D307F">
              <w:rPr>
                <w:rFonts w:ascii="VIC" w:eastAsia="Times New Roman" w:hAnsi="VIC" w:cs="Times New Roman"/>
                <w:color w:val="011A3C"/>
                <w:sz w:val="24"/>
                <w:szCs w:val="24"/>
                <w:lang w:val="en" w:eastAsia="en-AU"/>
              </w:rPr>
              <w:t xml:space="preserve"> 3</w:t>
            </w:r>
          </w:p>
        </w:tc>
      </w:tr>
      <w:tr w:rsidR="005D5E2A" w:rsidRPr="004D307F" w14:paraId="5C754E63" w14:textId="77777777" w:rsidTr="004D307F">
        <w:tc>
          <w:tcPr>
            <w:tcW w:w="0" w:type="auto"/>
            <w:shd w:val="clear" w:color="auto" w:fill="auto"/>
            <w:hideMark/>
          </w:tcPr>
          <w:p w14:paraId="634FBC42" w14:textId="77777777" w:rsidR="005D5E2A" w:rsidRPr="004D307F" w:rsidRDefault="005D5E2A" w:rsidP="007F1D90">
            <w:pPr>
              <w:spacing w:after="0" w:line="240" w:lineRule="atLeast"/>
              <w:rPr>
                <w:rFonts w:ascii="VIC" w:eastAsia="Times New Roman" w:hAnsi="VIC" w:cs="Times New Roman"/>
                <w:color w:val="011A3C"/>
                <w:sz w:val="24"/>
                <w:szCs w:val="24"/>
                <w:lang w:val="en" w:eastAsia="en-AU"/>
              </w:rPr>
            </w:pPr>
          </w:p>
        </w:tc>
        <w:tc>
          <w:tcPr>
            <w:tcW w:w="3267" w:type="dxa"/>
            <w:shd w:val="clear" w:color="auto" w:fill="auto"/>
            <w:hideMark/>
          </w:tcPr>
          <w:p w14:paraId="04F60C38" w14:textId="77777777" w:rsidR="005D5E2A" w:rsidRPr="004D307F" w:rsidRDefault="005D5E2A" w:rsidP="007F1D90">
            <w:pPr>
              <w:spacing w:after="0" w:line="240" w:lineRule="auto"/>
              <w:rPr>
                <w:rFonts w:ascii="VIC" w:eastAsia="Times New Roman" w:hAnsi="VIC" w:cs="Times New Roman"/>
                <w:color w:val="011A3C"/>
                <w:sz w:val="24"/>
                <w:szCs w:val="24"/>
                <w:lang w:val="en" w:eastAsia="en-AU"/>
              </w:rPr>
            </w:pPr>
          </w:p>
        </w:tc>
        <w:tc>
          <w:tcPr>
            <w:tcW w:w="1055" w:type="dxa"/>
            <w:shd w:val="clear" w:color="auto" w:fill="auto"/>
            <w:hideMark/>
          </w:tcPr>
          <w:p w14:paraId="6E3F6475" w14:textId="77777777" w:rsidR="005D5E2A" w:rsidRPr="004D307F" w:rsidRDefault="005D5E2A" w:rsidP="007F1D90">
            <w:pPr>
              <w:spacing w:after="0" w:line="240" w:lineRule="auto"/>
              <w:rPr>
                <w:rFonts w:ascii="VIC" w:eastAsia="Times New Roman" w:hAnsi="VIC" w:cs="Times New Roman"/>
                <w:color w:val="011A3C"/>
                <w:sz w:val="24"/>
                <w:szCs w:val="24"/>
                <w:lang w:val="en" w:eastAsia="en-AU"/>
              </w:rPr>
            </w:pPr>
          </w:p>
        </w:tc>
        <w:tc>
          <w:tcPr>
            <w:tcW w:w="0" w:type="auto"/>
            <w:shd w:val="clear" w:color="auto" w:fill="auto"/>
            <w:hideMark/>
          </w:tcPr>
          <w:p w14:paraId="10FDCB7A" w14:textId="77777777" w:rsidR="005D5E2A" w:rsidRPr="004D307F" w:rsidRDefault="005D5E2A"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0.6</w:t>
            </w:r>
            <w:r w:rsidRPr="004D307F">
              <w:rPr>
                <w:rFonts w:ascii="VIC" w:eastAsia="Times New Roman" w:hAnsi="VIC" w:cs="Times New Roman"/>
                <w:color w:val="011A3C"/>
                <w:sz w:val="24"/>
                <w:szCs w:val="24"/>
                <w:lang w:val="en" w:eastAsia="en-AU"/>
              </w:rPr>
              <w:br/>
              <w:t>$</w:t>
            </w:r>
          </w:p>
        </w:tc>
        <w:tc>
          <w:tcPr>
            <w:tcW w:w="0" w:type="auto"/>
            <w:shd w:val="clear" w:color="auto" w:fill="auto"/>
            <w:hideMark/>
          </w:tcPr>
          <w:p w14:paraId="7373BB3E" w14:textId="77777777" w:rsidR="005D5E2A" w:rsidRPr="004D307F" w:rsidRDefault="005D5E2A"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1.0</w:t>
            </w:r>
            <w:r w:rsidRPr="004D307F">
              <w:rPr>
                <w:rFonts w:ascii="VIC" w:eastAsia="Times New Roman" w:hAnsi="VIC" w:cs="Times New Roman"/>
                <w:color w:val="011A3C"/>
                <w:sz w:val="24"/>
                <w:szCs w:val="24"/>
                <w:lang w:val="en" w:eastAsia="en-AU"/>
              </w:rPr>
              <w:br/>
              <w:t>$</w:t>
            </w:r>
          </w:p>
        </w:tc>
        <w:tc>
          <w:tcPr>
            <w:tcW w:w="0" w:type="auto"/>
            <w:shd w:val="clear" w:color="auto" w:fill="auto"/>
            <w:hideMark/>
          </w:tcPr>
          <w:p w14:paraId="39E33502" w14:textId="77777777" w:rsidR="005D5E2A" w:rsidRPr="004D307F" w:rsidRDefault="005D5E2A"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1.4</w:t>
            </w:r>
            <w:r w:rsidRPr="004D307F">
              <w:rPr>
                <w:rFonts w:ascii="VIC" w:eastAsia="Times New Roman" w:hAnsi="VIC" w:cs="Times New Roman"/>
                <w:color w:val="011A3C"/>
                <w:sz w:val="24"/>
                <w:szCs w:val="24"/>
                <w:lang w:val="en" w:eastAsia="en-AU"/>
              </w:rPr>
              <w:br/>
              <w:t>$</w:t>
            </w:r>
          </w:p>
        </w:tc>
      </w:tr>
      <w:tr w:rsidR="005D5E2A" w:rsidRPr="004D307F" w14:paraId="277A34E1" w14:textId="77777777" w:rsidTr="004D307F">
        <w:tc>
          <w:tcPr>
            <w:tcW w:w="0" w:type="auto"/>
            <w:shd w:val="clear" w:color="auto" w:fill="auto"/>
            <w:hideMark/>
          </w:tcPr>
          <w:p w14:paraId="1B4D22CE" w14:textId="77777777" w:rsidR="005D5E2A" w:rsidRPr="004D307F" w:rsidRDefault="005D5E2A" w:rsidP="007F1D90">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1</w:t>
            </w:r>
          </w:p>
        </w:tc>
        <w:tc>
          <w:tcPr>
            <w:tcW w:w="3267" w:type="dxa"/>
            <w:shd w:val="clear" w:color="auto" w:fill="auto"/>
            <w:hideMark/>
          </w:tcPr>
          <w:p w14:paraId="793CEF75" w14:textId="77777777" w:rsidR="005D5E2A" w:rsidRPr="004D307F" w:rsidRDefault="005D5E2A" w:rsidP="007F1D90">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In year Foundation</w:t>
            </w:r>
          </w:p>
        </w:tc>
        <w:tc>
          <w:tcPr>
            <w:tcW w:w="1055" w:type="dxa"/>
            <w:shd w:val="clear" w:color="auto" w:fill="auto"/>
            <w:hideMark/>
          </w:tcPr>
          <w:p w14:paraId="31BB454E" w14:textId="77777777" w:rsidR="005D5E2A" w:rsidRPr="004D307F" w:rsidRDefault="005D5E2A" w:rsidP="007F1D90">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1.00</w:t>
            </w:r>
          </w:p>
        </w:tc>
        <w:tc>
          <w:tcPr>
            <w:tcW w:w="0" w:type="auto"/>
            <w:shd w:val="clear" w:color="auto" w:fill="auto"/>
            <w:hideMark/>
          </w:tcPr>
          <w:p w14:paraId="785E8717" w14:textId="6D3C49CB" w:rsidR="005D5E2A" w:rsidRPr="004D307F" w:rsidRDefault="005D5E2A"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t>
            </w:r>
            <w:r w:rsidR="00F42171" w:rsidRPr="004D307F">
              <w:rPr>
                <w:rFonts w:ascii="VIC" w:eastAsia="Times New Roman" w:hAnsi="VIC" w:cs="Times New Roman"/>
                <w:color w:val="011A3C"/>
                <w:sz w:val="24"/>
                <w:szCs w:val="24"/>
                <w:lang w:val="en" w:eastAsia="en-AU"/>
              </w:rPr>
              <w:t>346.</w:t>
            </w:r>
            <w:r w:rsidR="00132503" w:rsidRPr="004D307F">
              <w:rPr>
                <w:rFonts w:ascii="VIC" w:eastAsia="Times New Roman" w:hAnsi="VIC" w:cs="Times New Roman"/>
                <w:color w:val="011A3C"/>
                <w:sz w:val="24"/>
                <w:szCs w:val="24"/>
                <w:lang w:val="en" w:eastAsia="en-AU"/>
              </w:rPr>
              <w:t>26</w:t>
            </w:r>
          </w:p>
        </w:tc>
        <w:tc>
          <w:tcPr>
            <w:tcW w:w="0" w:type="auto"/>
            <w:shd w:val="clear" w:color="auto" w:fill="auto"/>
            <w:hideMark/>
          </w:tcPr>
          <w:p w14:paraId="5D7181AD" w14:textId="3CE7DBBF" w:rsidR="005D5E2A" w:rsidRPr="004D307F" w:rsidRDefault="00F42171"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$57</w:t>
            </w:r>
            <w:r w:rsidR="00132503" w:rsidRPr="004D307F">
              <w:rPr>
                <w:rFonts w:ascii="VIC" w:eastAsia="Times New Roman" w:hAnsi="VIC" w:cs="Times New Roman"/>
                <w:color w:val="011A3C"/>
                <w:sz w:val="24"/>
                <w:szCs w:val="24"/>
                <w:lang w:val="en" w:eastAsia="en-AU"/>
              </w:rPr>
              <w:t>7.10</w:t>
            </w:r>
          </w:p>
        </w:tc>
        <w:tc>
          <w:tcPr>
            <w:tcW w:w="0" w:type="auto"/>
            <w:shd w:val="clear" w:color="auto" w:fill="auto"/>
            <w:hideMark/>
          </w:tcPr>
          <w:p w14:paraId="6688C1A8" w14:textId="25E5F08D" w:rsidR="005D5E2A" w:rsidRPr="004D307F" w:rsidRDefault="00F42171"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$807.</w:t>
            </w:r>
            <w:r w:rsidR="00132503" w:rsidRPr="004D307F">
              <w:rPr>
                <w:rFonts w:ascii="VIC" w:eastAsia="Times New Roman" w:hAnsi="VIC" w:cs="Times New Roman"/>
                <w:color w:val="011A3C"/>
                <w:sz w:val="24"/>
                <w:szCs w:val="24"/>
                <w:lang w:val="en" w:eastAsia="en-AU"/>
              </w:rPr>
              <w:t>93</w:t>
            </w:r>
          </w:p>
        </w:tc>
      </w:tr>
      <w:tr w:rsidR="005D5E2A" w:rsidRPr="004D307F" w14:paraId="59FA1906" w14:textId="77777777" w:rsidTr="004D307F">
        <w:tc>
          <w:tcPr>
            <w:tcW w:w="0" w:type="auto"/>
            <w:shd w:val="clear" w:color="auto" w:fill="auto"/>
            <w:hideMark/>
          </w:tcPr>
          <w:p w14:paraId="164B7654" w14:textId="77777777" w:rsidR="005D5E2A" w:rsidRPr="004D307F" w:rsidRDefault="005D5E2A" w:rsidP="007F1D90">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2</w:t>
            </w:r>
          </w:p>
        </w:tc>
        <w:tc>
          <w:tcPr>
            <w:tcW w:w="3267" w:type="dxa"/>
            <w:shd w:val="clear" w:color="auto" w:fill="auto"/>
            <w:hideMark/>
          </w:tcPr>
          <w:p w14:paraId="68073F24" w14:textId="77777777" w:rsidR="005D5E2A" w:rsidRPr="004D307F" w:rsidRDefault="005D5E2A" w:rsidP="007F1D90">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2-5 years in Australian school Years 1-6</w:t>
            </w:r>
          </w:p>
        </w:tc>
        <w:tc>
          <w:tcPr>
            <w:tcW w:w="1055" w:type="dxa"/>
            <w:shd w:val="clear" w:color="auto" w:fill="auto"/>
            <w:hideMark/>
          </w:tcPr>
          <w:p w14:paraId="790E44FB" w14:textId="77777777" w:rsidR="005D5E2A" w:rsidRPr="004D307F" w:rsidRDefault="005D5E2A" w:rsidP="007F1D90">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2.00</w:t>
            </w:r>
          </w:p>
        </w:tc>
        <w:tc>
          <w:tcPr>
            <w:tcW w:w="0" w:type="auto"/>
            <w:shd w:val="clear" w:color="auto" w:fill="auto"/>
            <w:hideMark/>
          </w:tcPr>
          <w:p w14:paraId="33794985" w14:textId="014A139D" w:rsidR="005D5E2A" w:rsidRPr="004D307F" w:rsidRDefault="005D5E2A"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t>
            </w:r>
            <w:r w:rsidR="00F42171" w:rsidRPr="004D307F">
              <w:rPr>
                <w:rFonts w:ascii="VIC" w:eastAsia="Times New Roman" w:hAnsi="VIC" w:cs="Times New Roman"/>
                <w:color w:val="011A3C"/>
                <w:sz w:val="24"/>
                <w:szCs w:val="24"/>
                <w:lang w:val="en" w:eastAsia="en-AU"/>
              </w:rPr>
              <w:t>692.</w:t>
            </w:r>
            <w:r w:rsidR="00132503" w:rsidRPr="004D307F">
              <w:rPr>
                <w:rFonts w:ascii="VIC" w:eastAsia="Times New Roman" w:hAnsi="VIC" w:cs="Times New Roman"/>
                <w:color w:val="011A3C"/>
                <w:sz w:val="24"/>
                <w:szCs w:val="24"/>
                <w:lang w:val="en" w:eastAsia="en-AU"/>
              </w:rPr>
              <w:t>51</w:t>
            </w:r>
          </w:p>
        </w:tc>
        <w:tc>
          <w:tcPr>
            <w:tcW w:w="0" w:type="auto"/>
            <w:shd w:val="clear" w:color="auto" w:fill="auto"/>
            <w:hideMark/>
          </w:tcPr>
          <w:p w14:paraId="4F06425D" w14:textId="11DF1EF7" w:rsidR="005D5E2A" w:rsidRPr="004D307F" w:rsidRDefault="00F42171"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$1,15</w:t>
            </w:r>
            <w:r w:rsidR="00132503" w:rsidRPr="004D307F">
              <w:rPr>
                <w:rFonts w:ascii="VIC" w:eastAsia="Times New Roman" w:hAnsi="VIC" w:cs="Times New Roman"/>
                <w:color w:val="011A3C"/>
                <w:sz w:val="24"/>
                <w:szCs w:val="24"/>
                <w:lang w:val="en" w:eastAsia="en-AU"/>
              </w:rPr>
              <w:t>4.19</w:t>
            </w:r>
          </w:p>
        </w:tc>
        <w:tc>
          <w:tcPr>
            <w:tcW w:w="0" w:type="auto"/>
            <w:shd w:val="clear" w:color="auto" w:fill="auto"/>
            <w:hideMark/>
          </w:tcPr>
          <w:p w14:paraId="3E2CDBD4" w14:textId="37B3B4A9" w:rsidR="005D5E2A" w:rsidRPr="004D307F" w:rsidRDefault="00F42171"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$1,615.</w:t>
            </w:r>
            <w:r w:rsidR="00132503" w:rsidRPr="004D307F">
              <w:rPr>
                <w:rFonts w:ascii="VIC" w:eastAsia="Times New Roman" w:hAnsi="VIC" w:cs="Times New Roman"/>
                <w:color w:val="011A3C"/>
                <w:sz w:val="24"/>
                <w:szCs w:val="24"/>
                <w:lang w:val="en" w:eastAsia="en-AU"/>
              </w:rPr>
              <w:t>87</w:t>
            </w:r>
          </w:p>
        </w:tc>
      </w:tr>
      <w:tr w:rsidR="00F42171" w:rsidRPr="004D307F" w14:paraId="73AF5D27" w14:textId="77777777" w:rsidTr="004D307F">
        <w:tc>
          <w:tcPr>
            <w:tcW w:w="0" w:type="auto"/>
            <w:shd w:val="clear" w:color="auto" w:fill="auto"/>
            <w:hideMark/>
          </w:tcPr>
          <w:p w14:paraId="6A9EE02E" w14:textId="77777777" w:rsidR="00F42171" w:rsidRPr="004D307F" w:rsidRDefault="00F42171" w:rsidP="00F42171">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3</w:t>
            </w:r>
          </w:p>
        </w:tc>
        <w:tc>
          <w:tcPr>
            <w:tcW w:w="3267" w:type="dxa"/>
            <w:shd w:val="clear" w:color="auto" w:fill="auto"/>
            <w:hideMark/>
          </w:tcPr>
          <w:p w14:paraId="6C0B3F37" w14:textId="77777777" w:rsidR="00F42171" w:rsidRPr="004D307F" w:rsidRDefault="00F42171" w:rsidP="00F42171">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&lt;2 years in Australian school Years 1-6</w:t>
            </w:r>
          </w:p>
        </w:tc>
        <w:tc>
          <w:tcPr>
            <w:tcW w:w="1055" w:type="dxa"/>
            <w:shd w:val="clear" w:color="auto" w:fill="auto"/>
            <w:hideMark/>
          </w:tcPr>
          <w:p w14:paraId="06852083" w14:textId="77777777" w:rsidR="00F42171" w:rsidRPr="004D307F" w:rsidRDefault="00F42171" w:rsidP="00F42171">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4.00</w:t>
            </w:r>
          </w:p>
        </w:tc>
        <w:tc>
          <w:tcPr>
            <w:tcW w:w="0" w:type="auto"/>
            <w:shd w:val="clear" w:color="auto" w:fill="auto"/>
            <w:hideMark/>
          </w:tcPr>
          <w:p w14:paraId="3C3CFB0F" w14:textId="04268EF4" w:rsidR="00F42171" w:rsidRPr="004D307F" w:rsidRDefault="00F42171" w:rsidP="00F42171">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$138</w:t>
            </w:r>
            <w:r w:rsidR="00132503" w:rsidRPr="004D307F">
              <w:rPr>
                <w:rFonts w:ascii="VIC" w:eastAsia="Times New Roman" w:hAnsi="VIC" w:cs="Times New Roman"/>
                <w:color w:val="011A3C"/>
                <w:sz w:val="24"/>
                <w:szCs w:val="24"/>
                <w:lang w:val="en" w:eastAsia="en-AU"/>
              </w:rPr>
              <w:t>5.03</w:t>
            </w:r>
          </w:p>
        </w:tc>
        <w:tc>
          <w:tcPr>
            <w:tcW w:w="0" w:type="auto"/>
            <w:shd w:val="clear" w:color="auto" w:fill="auto"/>
            <w:hideMark/>
          </w:tcPr>
          <w:p w14:paraId="0A785481" w14:textId="5646D073" w:rsidR="00F42171" w:rsidRPr="004D307F" w:rsidRDefault="00DB47A1" w:rsidP="00F42171">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$2,30</w:t>
            </w:r>
            <w:r w:rsidR="00132503" w:rsidRPr="004D307F">
              <w:rPr>
                <w:rFonts w:ascii="VIC" w:eastAsia="Times New Roman" w:hAnsi="VIC" w:cs="Times New Roman"/>
                <w:color w:val="011A3C"/>
                <w:sz w:val="24"/>
                <w:szCs w:val="24"/>
                <w:lang w:val="en" w:eastAsia="en-AU"/>
              </w:rPr>
              <w:t>8.38</w:t>
            </w:r>
          </w:p>
        </w:tc>
        <w:tc>
          <w:tcPr>
            <w:tcW w:w="0" w:type="auto"/>
            <w:shd w:val="clear" w:color="auto" w:fill="auto"/>
            <w:hideMark/>
          </w:tcPr>
          <w:p w14:paraId="454E9B79" w14:textId="75B7B340" w:rsidR="00F42171" w:rsidRPr="004D307F" w:rsidRDefault="00F42171" w:rsidP="00F42171">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$3,23</w:t>
            </w:r>
            <w:r w:rsidR="00132503" w:rsidRPr="004D307F">
              <w:rPr>
                <w:rFonts w:ascii="VIC" w:eastAsia="Times New Roman" w:hAnsi="VIC" w:cs="Times New Roman"/>
                <w:color w:val="011A3C"/>
                <w:sz w:val="24"/>
                <w:szCs w:val="24"/>
                <w:lang w:val="en" w:eastAsia="en-AU"/>
              </w:rPr>
              <w:t>1.74</w:t>
            </w:r>
          </w:p>
        </w:tc>
      </w:tr>
      <w:tr w:rsidR="00F42171" w:rsidRPr="004D307F" w14:paraId="1FCD0536" w14:textId="77777777" w:rsidTr="004D307F">
        <w:tc>
          <w:tcPr>
            <w:tcW w:w="0" w:type="auto"/>
            <w:shd w:val="clear" w:color="auto" w:fill="auto"/>
            <w:hideMark/>
          </w:tcPr>
          <w:p w14:paraId="29958619" w14:textId="77777777" w:rsidR="00F42171" w:rsidRPr="004D307F" w:rsidRDefault="00F42171" w:rsidP="00F42171">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4</w:t>
            </w:r>
          </w:p>
        </w:tc>
        <w:tc>
          <w:tcPr>
            <w:tcW w:w="3267" w:type="dxa"/>
            <w:shd w:val="clear" w:color="auto" w:fill="auto"/>
            <w:hideMark/>
          </w:tcPr>
          <w:p w14:paraId="68463A55" w14:textId="77777777" w:rsidR="00F42171" w:rsidRPr="004D307F" w:rsidRDefault="00F42171" w:rsidP="00F42171">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2-5 years in Australian school Years 7-12</w:t>
            </w:r>
          </w:p>
        </w:tc>
        <w:tc>
          <w:tcPr>
            <w:tcW w:w="1055" w:type="dxa"/>
            <w:shd w:val="clear" w:color="auto" w:fill="auto"/>
            <w:hideMark/>
          </w:tcPr>
          <w:p w14:paraId="6938B321" w14:textId="77777777" w:rsidR="00F42171" w:rsidRPr="004D307F" w:rsidRDefault="00F42171" w:rsidP="00F42171">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5.09</w:t>
            </w:r>
          </w:p>
        </w:tc>
        <w:tc>
          <w:tcPr>
            <w:tcW w:w="0" w:type="auto"/>
            <w:shd w:val="clear" w:color="auto" w:fill="auto"/>
            <w:hideMark/>
          </w:tcPr>
          <w:p w14:paraId="3F3CFA8A" w14:textId="23649889" w:rsidR="00F42171" w:rsidRPr="004D307F" w:rsidRDefault="00F42171" w:rsidP="00F42171">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$1,76</w:t>
            </w:r>
            <w:r w:rsidR="00132503" w:rsidRPr="004D307F">
              <w:rPr>
                <w:rFonts w:ascii="VIC" w:eastAsia="Times New Roman" w:hAnsi="VIC" w:cs="Times New Roman"/>
                <w:color w:val="011A3C"/>
                <w:sz w:val="24"/>
                <w:szCs w:val="24"/>
                <w:lang w:val="en" w:eastAsia="en-AU"/>
              </w:rPr>
              <w:t>2.45</w:t>
            </w:r>
          </w:p>
        </w:tc>
        <w:tc>
          <w:tcPr>
            <w:tcW w:w="0" w:type="auto"/>
            <w:shd w:val="clear" w:color="auto" w:fill="auto"/>
            <w:hideMark/>
          </w:tcPr>
          <w:p w14:paraId="21645C26" w14:textId="653C8407" w:rsidR="00F42171" w:rsidRPr="004D307F" w:rsidRDefault="00F42171" w:rsidP="00F42171">
            <w:pPr>
              <w:spacing w:after="0" w:line="240" w:lineRule="auto"/>
              <w:jc w:val="center"/>
              <w:rPr>
                <w:rFonts w:ascii="VIC" w:eastAsia="Times New Roman" w:hAnsi="VIC" w:cs="Times New Roman"/>
                <w:color w:val="011A3C"/>
                <w:sz w:val="24"/>
                <w:szCs w:val="24"/>
                <w:lang w:val="en" w:eastAsia="en-AU"/>
              </w:rPr>
            </w:pPr>
            <w:r w:rsidRPr="004D307F">
              <w:rPr>
                <w:rFonts w:ascii="VIC" w:hAnsi="VIC"/>
              </w:rPr>
              <w:t>$2,93</w:t>
            </w:r>
            <w:r w:rsidR="00132503" w:rsidRPr="004D307F">
              <w:rPr>
                <w:rFonts w:ascii="VIC" w:hAnsi="VIC"/>
              </w:rPr>
              <w:t>7.42</w:t>
            </w:r>
          </w:p>
        </w:tc>
        <w:tc>
          <w:tcPr>
            <w:tcW w:w="0" w:type="auto"/>
            <w:shd w:val="clear" w:color="auto" w:fill="auto"/>
            <w:hideMark/>
          </w:tcPr>
          <w:p w14:paraId="222FD361" w14:textId="5DA1EC97" w:rsidR="00F42171" w:rsidRPr="004D307F" w:rsidRDefault="00F42171" w:rsidP="00F42171">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$4,11</w:t>
            </w:r>
            <w:r w:rsidR="00132503" w:rsidRPr="004D307F">
              <w:rPr>
                <w:rFonts w:ascii="VIC" w:eastAsia="Times New Roman" w:hAnsi="VIC" w:cs="Times New Roman"/>
                <w:color w:val="011A3C"/>
                <w:sz w:val="24"/>
                <w:szCs w:val="24"/>
                <w:lang w:val="en" w:eastAsia="en-AU"/>
              </w:rPr>
              <w:t>2.39</w:t>
            </w:r>
          </w:p>
        </w:tc>
      </w:tr>
      <w:tr w:rsidR="005D5E2A" w:rsidRPr="004D307F" w14:paraId="6AE3450B" w14:textId="77777777" w:rsidTr="004D307F">
        <w:tc>
          <w:tcPr>
            <w:tcW w:w="0" w:type="auto"/>
            <w:shd w:val="clear" w:color="auto" w:fill="auto"/>
            <w:hideMark/>
          </w:tcPr>
          <w:p w14:paraId="174D9B59" w14:textId="77777777" w:rsidR="005D5E2A" w:rsidRPr="004D307F" w:rsidRDefault="005D5E2A" w:rsidP="007F1D90">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5</w:t>
            </w:r>
          </w:p>
        </w:tc>
        <w:tc>
          <w:tcPr>
            <w:tcW w:w="3267" w:type="dxa"/>
            <w:shd w:val="clear" w:color="auto" w:fill="auto"/>
            <w:hideMark/>
          </w:tcPr>
          <w:p w14:paraId="174D57B0" w14:textId="77777777" w:rsidR="005D5E2A" w:rsidRPr="004D307F" w:rsidRDefault="005D5E2A" w:rsidP="007F1D90">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&lt;2 years in Australian school Years 7-12</w:t>
            </w:r>
          </w:p>
        </w:tc>
        <w:tc>
          <w:tcPr>
            <w:tcW w:w="1055" w:type="dxa"/>
            <w:shd w:val="clear" w:color="auto" w:fill="auto"/>
            <w:hideMark/>
          </w:tcPr>
          <w:p w14:paraId="0D29B0D0" w14:textId="77777777" w:rsidR="005D5E2A" w:rsidRPr="004D307F" w:rsidRDefault="005D5E2A" w:rsidP="007F1D90">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7.64</w:t>
            </w:r>
          </w:p>
        </w:tc>
        <w:tc>
          <w:tcPr>
            <w:tcW w:w="0" w:type="auto"/>
            <w:shd w:val="clear" w:color="auto" w:fill="auto"/>
            <w:hideMark/>
          </w:tcPr>
          <w:p w14:paraId="1370E60B" w14:textId="27FE33D9" w:rsidR="005D5E2A" w:rsidRPr="004D307F" w:rsidRDefault="005D5E2A"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t>
            </w:r>
            <w:r w:rsidR="00F42171" w:rsidRPr="004D307F">
              <w:rPr>
                <w:rFonts w:ascii="VIC" w:eastAsia="Times New Roman" w:hAnsi="VIC" w:cs="Times New Roman"/>
                <w:color w:val="011A3C"/>
                <w:sz w:val="24"/>
                <w:szCs w:val="24"/>
                <w:lang w:val="en" w:eastAsia="en-AU"/>
              </w:rPr>
              <w:t>2,64</w:t>
            </w:r>
            <w:r w:rsidR="00132503" w:rsidRPr="004D307F">
              <w:rPr>
                <w:rFonts w:ascii="VIC" w:eastAsia="Times New Roman" w:hAnsi="VIC" w:cs="Times New Roman"/>
                <w:color w:val="011A3C"/>
                <w:sz w:val="24"/>
                <w:szCs w:val="24"/>
                <w:lang w:val="en" w:eastAsia="en-AU"/>
              </w:rPr>
              <w:t>5.40</w:t>
            </w:r>
          </w:p>
        </w:tc>
        <w:tc>
          <w:tcPr>
            <w:tcW w:w="0" w:type="auto"/>
            <w:shd w:val="clear" w:color="auto" w:fill="auto"/>
            <w:hideMark/>
          </w:tcPr>
          <w:p w14:paraId="6D35FC99" w14:textId="5E17E140" w:rsidR="005D5E2A" w:rsidRPr="004D307F" w:rsidRDefault="00F42171"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$4,40</w:t>
            </w:r>
            <w:r w:rsidR="00132503" w:rsidRPr="004D307F">
              <w:rPr>
                <w:rFonts w:ascii="VIC" w:eastAsia="Times New Roman" w:hAnsi="VIC" w:cs="Times New Roman"/>
                <w:color w:val="011A3C"/>
                <w:sz w:val="24"/>
                <w:szCs w:val="24"/>
                <w:lang w:val="en" w:eastAsia="en-AU"/>
              </w:rPr>
              <w:t>9.00</w:t>
            </w:r>
          </w:p>
        </w:tc>
        <w:tc>
          <w:tcPr>
            <w:tcW w:w="0" w:type="auto"/>
            <w:shd w:val="clear" w:color="auto" w:fill="auto"/>
            <w:hideMark/>
          </w:tcPr>
          <w:p w14:paraId="4B287A29" w14:textId="552930C9" w:rsidR="005D5E2A" w:rsidRPr="004D307F" w:rsidRDefault="00F42171"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$6,17</w:t>
            </w:r>
            <w:r w:rsidR="00132503" w:rsidRPr="004D307F">
              <w:rPr>
                <w:rFonts w:ascii="VIC" w:eastAsia="Times New Roman" w:hAnsi="VIC" w:cs="Times New Roman"/>
                <w:color w:val="011A3C"/>
                <w:sz w:val="24"/>
                <w:szCs w:val="24"/>
                <w:lang w:val="en" w:eastAsia="en-AU"/>
              </w:rPr>
              <w:t>2.61</w:t>
            </w:r>
          </w:p>
        </w:tc>
      </w:tr>
    </w:tbl>
    <w:p w14:paraId="3F6A4A7F" w14:textId="76E29826" w:rsidR="00DB47A1" w:rsidRPr="004D307F" w:rsidRDefault="00DB47A1" w:rsidP="00DB47A1">
      <w:pPr>
        <w:spacing w:after="100" w:afterAutospacing="1" w:line="240" w:lineRule="auto"/>
        <w:rPr>
          <w:rFonts w:ascii="VIC" w:eastAsia="Times New Roman" w:hAnsi="VIC" w:cs="Times New Roman"/>
          <w:color w:val="011A3C"/>
          <w:sz w:val="18"/>
          <w:szCs w:val="18"/>
          <w:lang w:val="en" w:eastAsia="en-AU"/>
        </w:rPr>
      </w:pPr>
      <w:r w:rsidRPr="004D307F">
        <w:rPr>
          <w:rFonts w:ascii="VIC" w:eastAsia="Times New Roman" w:hAnsi="VIC" w:cs="Times New Roman"/>
          <w:color w:val="011A3C"/>
          <w:sz w:val="18"/>
          <w:szCs w:val="18"/>
          <w:lang w:val="en" w:eastAsia="en-AU"/>
        </w:rPr>
        <w:t xml:space="preserve">*Due to rounding </w:t>
      </w:r>
      <w:r w:rsidR="005B5651" w:rsidRPr="004D307F">
        <w:rPr>
          <w:rFonts w:ascii="VIC" w:eastAsia="Times New Roman" w:hAnsi="VIC" w:cs="Times New Roman"/>
          <w:color w:val="011A3C"/>
          <w:sz w:val="18"/>
          <w:szCs w:val="18"/>
          <w:lang w:val="en" w:eastAsia="en-AU"/>
        </w:rPr>
        <w:t>some</w:t>
      </w:r>
      <w:r w:rsidRPr="004D307F">
        <w:rPr>
          <w:rFonts w:ascii="VIC" w:eastAsia="Times New Roman" w:hAnsi="VIC" w:cs="Times New Roman"/>
          <w:color w:val="011A3C"/>
          <w:sz w:val="18"/>
          <w:szCs w:val="18"/>
          <w:lang w:val="en" w:eastAsia="en-AU"/>
        </w:rPr>
        <w:t xml:space="preserve"> rates do not multiply exactly by the weightings</w:t>
      </w:r>
      <w:r w:rsidR="005B5651" w:rsidRPr="004D307F">
        <w:rPr>
          <w:rFonts w:ascii="VIC" w:eastAsia="Times New Roman" w:hAnsi="VIC" w:cs="Times New Roman"/>
          <w:color w:val="011A3C"/>
          <w:sz w:val="18"/>
          <w:szCs w:val="18"/>
          <w:lang w:val="en" w:eastAsia="en-AU"/>
        </w:rPr>
        <w:t xml:space="preserve"> above</w:t>
      </w:r>
      <w:r w:rsidRPr="004D307F">
        <w:rPr>
          <w:rFonts w:ascii="VIC" w:eastAsia="Times New Roman" w:hAnsi="VIC" w:cs="Times New Roman"/>
          <w:color w:val="011A3C"/>
          <w:sz w:val="18"/>
          <w:szCs w:val="18"/>
          <w:lang w:val="en" w:eastAsia="en-AU"/>
        </w:rPr>
        <w:t>.</w:t>
      </w:r>
    </w:p>
    <w:p w14:paraId="2BDCA225" w14:textId="28417560"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Teacher salary charges to schools in 202</w:t>
      </w:r>
      <w:r w:rsidR="009212A4" w:rsidRPr="004D307F">
        <w:rPr>
          <w:rFonts w:ascii="VIC" w:eastAsia="Times New Roman" w:hAnsi="VIC" w:cs="Times New Roman"/>
          <w:color w:val="011A3C"/>
          <w:sz w:val="24"/>
          <w:szCs w:val="24"/>
          <w:lang w:val="en" w:eastAsia="en-AU"/>
        </w:rPr>
        <w:t>2</w:t>
      </w:r>
      <w:r w:rsidRPr="004D307F">
        <w:rPr>
          <w:rFonts w:ascii="VIC" w:eastAsia="Times New Roman" w:hAnsi="VIC" w:cs="Times New Roman"/>
          <w:color w:val="011A3C"/>
          <w:sz w:val="24"/>
          <w:szCs w:val="24"/>
          <w:lang w:val="en" w:eastAsia="en-AU"/>
        </w:rPr>
        <w:t xml:space="preserve"> will continue to be based on actual payroll debits for individual staff as reflected on eduPay. This includes the actual cost of annual leave loading and all allowances, such as higher duties and special payments. Also included are non-cash benefits for teachers.</w:t>
      </w:r>
    </w:p>
    <w:p w14:paraId="4A4535B0" w14:textId="77777777" w:rsidR="005D5E2A" w:rsidRPr="004D307F" w:rsidRDefault="005D5E2A" w:rsidP="000D106B">
      <w:pPr>
        <w:keepNext/>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List 5: Salary rates</w:t>
      </w:r>
    </w:p>
    <w:p w14:paraId="5C298F61" w14:textId="75BBD932"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Primary schools receive a total of </w:t>
      </w:r>
      <w:r w:rsidR="0005396A" w:rsidRPr="004D307F">
        <w:rPr>
          <w:rFonts w:ascii="VIC" w:eastAsia="Times New Roman" w:hAnsi="VIC" w:cs="Times New Roman"/>
          <w:color w:val="011A3C"/>
          <w:sz w:val="24"/>
          <w:szCs w:val="24"/>
          <w:lang w:val="en" w:eastAsia="en-AU"/>
        </w:rPr>
        <w:t>$</w:t>
      </w:r>
      <w:r w:rsidR="000D3CC4" w:rsidRPr="004D307F">
        <w:rPr>
          <w:rFonts w:ascii="VIC" w:eastAsia="Times New Roman" w:hAnsi="VIC" w:cs="Times New Roman"/>
          <w:color w:val="011A3C"/>
          <w:sz w:val="24"/>
          <w:szCs w:val="24"/>
          <w:lang w:val="en" w:eastAsia="en-AU"/>
        </w:rPr>
        <w:t>121,5</w:t>
      </w:r>
      <w:r w:rsidR="00132503" w:rsidRPr="004D307F">
        <w:rPr>
          <w:rFonts w:ascii="VIC" w:eastAsia="Times New Roman" w:hAnsi="VIC" w:cs="Times New Roman"/>
          <w:color w:val="011A3C"/>
          <w:sz w:val="24"/>
          <w:szCs w:val="24"/>
          <w:lang w:val="en" w:eastAsia="en-AU"/>
        </w:rPr>
        <w:t>81</w:t>
      </w:r>
      <w:r w:rsidRPr="004D307F">
        <w:rPr>
          <w:rFonts w:ascii="VIC" w:eastAsia="Times New Roman" w:hAnsi="VIC" w:cs="Times New Roman"/>
          <w:color w:val="011A3C"/>
          <w:sz w:val="24"/>
          <w:szCs w:val="24"/>
          <w:lang w:val="en" w:eastAsia="en-AU"/>
        </w:rPr>
        <w:t xml:space="preserve"> made up of:</w:t>
      </w:r>
    </w:p>
    <w:p w14:paraId="416E7267" w14:textId="7B2B0144" w:rsidR="005D5E2A" w:rsidRPr="004D307F" w:rsidRDefault="005D5E2A" w:rsidP="00ED0863">
      <w:pPr>
        <w:numPr>
          <w:ilvl w:val="0"/>
          <w:numId w:val="31"/>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Credit ($): </w:t>
      </w:r>
      <w:r w:rsidR="000D3CC4" w:rsidRPr="004D307F">
        <w:rPr>
          <w:rFonts w:ascii="VIC" w:eastAsia="Times New Roman" w:hAnsi="VIC" w:cs="Times New Roman"/>
          <w:color w:val="011A3C"/>
          <w:sz w:val="24"/>
          <w:szCs w:val="24"/>
          <w:lang w:val="en" w:eastAsia="en-AU"/>
        </w:rPr>
        <w:t>118,496</w:t>
      </w:r>
    </w:p>
    <w:p w14:paraId="45279E0D" w14:textId="33AD615A" w:rsidR="005D5E2A" w:rsidRPr="004D307F" w:rsidRDefault="005D5E2A" w:rsidP="00ED0863">
      <w:pPr>
        <w:numPr>
          <w:ilvl w:val="0"/>
          <w:numId w:val="31"/>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Cash ($): </w:t>
      </w:r>
      <w:r w:rsidR="000D3CC4" w:rsidRPr="004D307F">
        <w:rPr>
          <w:rFonts w:ascii="VIC" w:eastAsia="Times New Roman" w:hAnsi="VIC" w:cs="Times New Roman"/>
          <w:color w:val="011A3C"/>
          <w:sz w:val="24"/>
          <w:szCs w:val="24"/>
          <w:lang w:val="en" w:eastAsia="en-AU"/>
        </w:rPr>
        <w:t>3,0</w:t>
      </w:r>
      <w:r w:rsidR="00132503" w:rsidRPr="004D307F">
        <w:rPr>
          <w:rFonts w:ascii="VIC" w:eastAsia="Times New Roman" w:hAnsi="VIC" w:cs="Times New Roman"/>
          <w:color w:val="011A3C"/>
          <w:sz w:val="24"/>
          <w:szCs w:val="24"/>
          <w:lang w:val="en" w:eastAsia="en-AU"/>
        </w:rPr>
        <w:t>85</w:t>
      </w:r>
    </w:p>
    <w:p w14:paraId="1BE74140" w14:textId="58D148AB"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Secondary schools receive a total of </w:t>
      </w:r>
      <w:r w:rsidR="0005396A" w:rsidRPr="004D307F">
        <w:rPr>
          <w:rFonts w:ascii="VIC" w:eastAsia="Times New Roman" w:hAnsi="VIC" w:cs="Times New Roman"/>
          <w:color w:val="011A3C"/>
          <w:sz w:val="24"/>
          <w:szCs w:val="24"/>
          <w:lang w:val="en" w:eastAsia="en-AU"/>
        </w:rPr>
        <w:t>$</w:t>
      </w:r>
      <w:r w:rsidR="000D3CC4" w:rsidRPr="004D307F">
        <w:rPr>
          <w:rFonts w:ascii="VIC" w:eastAsia="Times New Roman" w:hAnsi="VIC" w:cs="Times New Roman"/>
          <w:color w:val="011A3C"/>
          <w:sz w:val="24"/>
          <w:szCs w:val="24"/>
          <w:lang w:val="en" w:eastAsia="en-AU"/>
        </w:rPr>
        <w:t>121,1</w:t>
      </w:r>
      <w:r w:rsidR="00132503" w:rsidRPr="004D307F">
        <w:rPr>
          <w:rFonts w:ascii="VIC" w:eastAsia="Times New Roman" w:hAnsi="VIC" w:cs="Times New Roman"/>
          <w:color w:val="011A3C"/>
          <w:sz w:val="24"/>
          <w:szCs w:val="24"/>
          <w:lang w:val="en" w:eastAsia="en-AU"/>
        </w:rPr>
        <w:t xml:space="preserve">49 </w:t>
      </w:r>
      <w:r w:rsidRPr="004D307F">
        <w:rPr>
          <w:rFonts w:ascii="VIC" w:eastAsia="Times New Roman" w:hAnsi="VIC" w:cs="Times New Roman"/>
          <w:color w:val="011A3C"/>
          <w:sz w:val="24"/>
          <w:szCs w:val="24"/>
          <w:lang w:val="en" w:eastAsia="en-AU"/>
        </w:rPr>
        <w:t>made up of:</w:t>
      </w:r>
    </w:p>
    <w:p w14:paraId="11BEF6A4" w14:textId="342D2DD8" w:rsidR="005D5E2A" w:rsidRPr="004D307F" w:rsidRDefault="005D5E2A" w:rsidP="00ED0863">
      <w:pPr>
        <w:numPr>
          <w:ilvl w:val="0"/>
          <w:numId w:val="32"/>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Credit ($): </w:t>
      </w:r>
      <w:r w:rsidR="000D3CC4" w:rsidRPr="004D307F">
        <w:rPr>
          <w:rFonts w:ascii="VIC" w:eastAsia="Times New Roman" w:hAnsi="VIC" w:cs="Times New Roman"/>
          <w:color w:val="011A3C"/>
          <w:sz w:val="24"/>
          <w:szCs w:val="24"/>
          <w:lang w:val="en" w:eastAsia="en-AU"/>
        </w:rPr>
        <w:t>119,535</w:t>
      </w:r>
    </w:p>
    <w:p w14:paraId="6608A281" w14:textId="4B57ECEE" w:rsidR="005D5E2A" w:rsidRPr="004D307F" w:rsidRDefault="005D5E2A" w:rsidP="00ED0863">
      <w:pPr>
        <w:numPr>
          <w:ilvl w:val="0"/>
          <w:numId w:val="32"/>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Cash ($): </w:t>
      </w:r>
      <w:r w:rsidR="000D3CC4" w:rsidRPr="004D307F">
        <w:rPr>
          <w:rFonts w:ascii="VIC" w:eastAsia="Times New Roman" w:hAnsi="VIC" w:cs="Times New Roman"/>
          <w:color w:val="011A3C"/>
          <w:sz w:val="24"/>
          <w:szCs w:val="24"/>
          <w:lang w:val="en" w:eastAsia="en-AU"/>
        </w:rPr>
        <w:t>1,</w:t>
      </w:r>
      <w:r w:rsidR="008C20E6" w:rsidRPr="004D307F">
        <w:rPr>
          <w:rFonts w:ascii="VIC" w:eastAsia="Times New Roman" w:hAnsi="VIC" w:cs="Times New Roman"/>
          <w:color w:val="011A3C"/>
          <w:sz w:val="24"/>
          <w:szCs w:val="24"/>
          <w:lang w:val="en" w:eastAsia="en-AU"/>
        </w:rPr>
        <w:t>614</w:t>
      </w:r>
    </w:p>
    <w:p w14:paraId="744F2027" w14:textId="77777777" w:rsidR="005D5E2A" w:rsidRPr="004D307F" w:rsidRDefault="005D5E2A" w:rsidP="000D3CC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Other funding for EAL programs</w:t>
      </w:r>
    </w:p>
    <w:p w14:paraId="1A916A96" w14:textId="789770AB"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If applicable, the following lines will also appear in a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SRP budget details.</w:t>
      </w:r>
    </w:p>
    <w:p w14:paraId="57B2BE0E" w14:textId="12963742" w:rsidR="005D5E2A" w:rsidRPr="004D307F" w:rsidRDefault="005D5E2A" w:rsidP="000D3CC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 xml:space="preserve">EAL for Refugees </w:t>
      </w:r>
      <w:r w:rsidRPr="004D307F">
        <w:rPr>
          <w:rFonts w:ascii="VIC" w:eastAsia="Times New Roman" w:hAnsi="VIC" w:cs="Times New Roman" w:hint="eastAsia"/>
          <w:b/>
          <w:bCs/>
          <w:color w:val="011A3C"/>
          <w:sz w:val="24"/>
          <w:szCs w:val="24"/>
          <w:lang w:val="en" w:eastAsia="en-AU"/>
        </w:rPr>
        <w:t>—</w:t>
      </w:r>
      <w:r w:rsidRPr="004D307F">
        <w:rPr>
          <w:rFonts w:ascii="VIC" w:eastAsia="Times New Roman" w:hAnsi="VIC" w:cs="Times New Roman"/>
          <w:b/>
          <w:bCs/>
          <w:color w:val="011A3C"/>
          <w:sz w:val="24"/>
          <w:szCs w:val="24"/>
          <w:lang w:val="en" w:eastAsia="en-AU"/>
        </w:rPr>
        <w:t xml:space="preserve"> Primary</w:t>
      </w:r>
      <w:r w:rsidR="007E6349" w:rsidRPr="004D307F">
        <w:rPr>
          <w:rFonts w:ascii="VIC" w:eastAsia="Times New Roman" w:hAnsi="VIC" w:cs="Times New Roman"/>
          <w:b/>
          <w:bCs/>
          <w:color w:val="011A3C"/>
          <w:sz w:val="24"/>
          <w:szCs w:val="24"/>
          <w:lang w:val="en" w:eastAsia="en-AU"/>
        </w:rPr>
        <w:t xml:space="preserve"> and </w:t>
      </w:r>
      <w:r w:rsidRPr="004D307F">
        <w:rPr>
          <w:rFonts w:ascii="VIC" w:eastAsia="Times New Roman" w:hAnsi="VIC" w:cs="Times New Roman"/>
          <w:b/>
          <w:bCs/>
          <w:color w:val="011A3C"/>
          <w:sz w:val="24"/>
          <w:szCs w:val="24"/>
          <w:lang w:val="en" w:eastAsia="en-AU"/>
        </w:rPr>
        <w:t xml:space="preserve">EAL for Refugees </w:t>
      </w:r>
      <w:r w:rsidRPr="004D307F">
        <w:rPr>
          <w:rFonts w:ascii="VIC" w:eastAsia="Times New Roman" w:hAnsi="VIC" w:cs="Times New Roman" w:hint="eastAsia"/>
          <w:b/>
          <w:bCs/>
          <w:color w:val="011A3C"/>
          <w:sz w:val="24"/>
          <w:szCs w:val="24"/>
          <w:lang w:val="en" w:eastAsia="en-AU"/>
        </w:rPr>
        <w:t>—</w:t>
      </w:r>
      <w:r w:rsidRPr="004D307F">
        <w:rPr>
          <w:rFonts w:ascii="VIC" w:eastAsia="Times New Roman" w:hAnsi="VIC" w:cs="Times New Roman"/>
          <w:b/>
          <w:bCs/>
          <w:color w:val="011A3C"/>
          <w:sz w:val="24"/>
          <w:szCs w:val="24"/>
          <w:lang w:val="en" w:eastAsia="en-AU"/>
        </w:rPr>
        <w:t xml:space="preserve"> Secondary</w:t>
      </w:r>
      <w:r w:rsidR="007E6349" w:rsidRPr="004D307F">
        <w:rPr>
          <w:rFonts w:ascii="VIC" w:eastAsia="Times New Roman" w:hAnsi="VIC" w:cs="Times New Roman"/>
          <w:b/>
          <w:bCs/>
          <w:color w:val="011A3C"/>
          <w:sz w:val="24"/>
          <w:szCs w:val="24"/>
          <w:lang w:val="en" w:eastAsia="en-AU"/>
        </w:rPr>
        <w:t xml:space="preserve"> Students</w:t>
      </w:r>
    </w:p>
    <w:p w14:paraId="7F31F673"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An additional loading is provided to campuses:</w:t>
      </w:r>
    </w:p>
    <w:p w14:paraId="3AC8920A" w14:textId="77777777" w:rsidR="005D5E2A" w:rsidRPr="004D307F" w:rsidRDefault="005D5E2A" w:rsidP="00ED0863">
      <w:pPr>
        <w:numPr>
          <w:ilvl w:val="0"/>
          <w:numId w:val="33"/>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that receive EAL Index funding and</w:t>
      </w:r>
    </w:p>
    <w:p w14:paraId="3B9751A4" w14:textId="77777777" w:rsidR="005D5E2A" w:rsidRPr="004D307F" w:rsidRDefault="005D5E2A" w:rsidP="00ED0863">
      <w:pPr>
        <w:numPr>
          <w:ilvl w:val="0"/>
          <w:numId w:val="33"/>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have an SFO weighting below 1.4 (this equates to an SFO density greater than 0.547) and</w:t>
      </w:r>
    </w:p>
    <w:p w14:paraId="3723C969" w14:textId="77777777" w:rsidR="005D5E2A" w:rsidRPr="004D307F" w:rsidRDefault="005D5E2A" w:rsidP="00ED0863">
      <w:pPr>
        <w:numPr>
          <w:ilvl w:val="0"/>
          <w:numId w:val="33"/>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have 10 or more refugee students enrolled.</w:t>
      </w:r>
    </w:p>
    <w:p w14:paraId="72F289E6"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In these cases, the school is provided with funding for the refugee students at an SFO weighting of 1.4.</w:t>
      </w:r>
    </w:p>
    <w:p w14:paraId="3BC17408" w14:textId="77777777" w:rsidR="005D5E2A" w:rsidRPr="004D307F" w:rsidRDefault="005D5E2A" w:rsidP="005D5E2A">
      <w:pPr>
        <w:spacing w:before="100" w:beforeAutospacing="1" w:after="100" w:afterAutospacing="1" w:line="288" w:lineRule="atLeast"/>
        <w:outlineLvl w:val="2"/>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Funding for English language schools and centres</w:t>
      </w:r>
    </w:p>
    <w:p w14:paraId="078D3E16" w14:textId="77E3799C"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Funding for English language schools and centres is based on target enrolments established by the Learning</w:t>
      </w:r>
      <w:r w:rsidR="009212A4" w:rsidRPr="004D307F">
        <w:rPr>
          <w:rFonts w:ascii="VIC" w:eastAsia="Times New Roman" w:hAnsi="VIC" w:cs="Times New Roman"/>
          <w:color w:val="011A3C"/>
          <w:sz w:val="24"/>
          <w:szCs w:val="24"/>
          <w:lang w:val="en" w:eastAsia="en-AU"/>
        </w:rPr>
        <w:t xml:space="preserve"> and</w:t>
      </w:r>
      <w:r w:rsidRPr="004D307F">
        <w:rPr>
          <w:rFonts w:ascii="VIC" w:eastAsia="Times New Roman" w:hAnsi="VIC" w:cs="Times New Roman"/>
          <w:color w:val="011A3C"/>
          <w:sz w:val="24"/>
          <w:szCs w:val="24"/>
          <w:lang w:val="en" w:eastAsia="en-AU"/>
        </w:rPr>
        <w:t xml:space="preserve"> Teaching Division in consultation with regions</w:t>
      </w:r>
      <w:r w:rsidR="00B241D3" w:rsidRPr="004D307F">
        <w:rPr>
          <w:rFonts w:ascii="VIC" w:eastAsia="Times New Roman" w:hAnsi="VIC" w:cs="Times New Roman"/>
          <w:color w:val="011A3C"/>
          <w:sz w:val="24"/>
          <w:szCs w:val="24"/>
          <w:lang w:val="en" w:eastAsia="en-AU"/>
        </w:rPr>
        <w:t>,</w:t>
      </w:r>
      <w:r w:rsidRPr="004D307F">
        <w:rPr>
          <w:rFonts w:ascii="VIC" w:eastAsia="Times New Roman" w:hAnsi="VIC" w:cs="Times New Roman"/>
          <w:color w:val="011A3C"/>
          <w:sz w:val="24"/>
          <w:szCs w:val="24"/>
          <w:lang w:val="en" w:eastAsia="en-AU"/>
        </w:rPr>
        <w:t xml:space="preserve"> schools and centres. Classes are funded at a student to teacher ratio of 13:1.</w:t>
      </w:r>
    </w:p>
    <w:p w14:paraId="50938A0A"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English language schools receive a per target enrolment rate and a base to provide both safety net and support. Both allocations are multiples of the rates that apply in standard settings.</w:t>
      </w:r>
    </w:p>
    <w:p w14:paraId="47237660" w14:textId="6CBD3F05"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English language centres are campuses of a primary or secondary school</w:t>
      </w:r>
      <w:r w:rsidR="00B241D3" w:rsidRPr="004D307F">
        <w:rPr>
          <w:rFonts w:ascii="VIC" w:eastAsia="Times New Roman" w:hAnsi="VIC" w:cs="Times New Roman"/>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Base support is provided by the primary or secondary school and the centre receives a per target enrolment rate.</w:t>
      </w:r>
      <w:r w:rsidR="009212A4" w:rsidRPr="004D307F">
        <w:rPr>
          <w:rFonts w:ascii="VIC" w:eastAsia="Times New Roman" w:hAnsi="VIC" w:cs="Times New Roman"/>
          <w:color w:val="011A3C"/>
          <w:sz w:val="24"/>
          <w:szCs w:val="24"/>
          <w:lang w:val="en" w:eastAsia="en-AU"/>
        </w:rPr>
        <w:t xml:space="preserve"> The Virtual EAL New Arrivals Program receives a per target enrolment rate.</w:t>
      </w:r>
    </w:p>
    <w:p w14:paraId="36812B6D" w14:textId="77777777" w:rsidR="005D5E2A" w:rsidRPr="004D307F" w:rsidRDefault="005D5E2A" w:rsidP="00C370BC">
      <w:pPr>
        <w:spacing w:before="100" w:beforeAutospacing="1" w:after="100" w:afterAutospacing="1" w:line="288" w:lineRule="atLeast"/>
        <w:outlineLvl w:val="2"/>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Eligibility</w:t>
      </w:r>
    </w:p>
    <w:p w14:paraId="146BB351" w14:textId="77777777" w:rsidR="005D5E2A" w:rsidRPr="004D307F" w:rsidRDefault="005D5E2A" w:rsidP="00ED0863">
      <w:pPr>
        <w:numPr>
          <w:ilvl w:val="0"/>
          <w:numId w:val="28"/>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English language schools</w:t>
      </w:r>
    </w:p>
    <w:p w14:paraId="02CADF2E" w14:textId="77777777" w:rsidR="005D5E2A" w:rsidRPr="004D307F" w:rsidRDefault="005D5E2A" w:rsidP="00ED0863">
      <w:pPr>
        <w:numPr>
          <w:ilvl w:val="0"/>
          <w:numId w:val="28"/>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English language centres</w:t>
      </w:r>
    </w:p>
    <w:p w14:paraId="3BE09664" w14:textId="77777777" w:rsidR="005D5E2A" w:rsidRPr="004D307F" w:rsidRDefault="005D5E2A" w:rsidP="00ED0863">
      <w:pPr>
        <w:numPr>
          <w:ilvl w:val="0"/>
          <w:numId w:val="28"/>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Virtual EAL New Arrivals Program</w:t>
      </w:r>
    </w:p>
    <w:p w14:paraId="31F65A64" w14:textId="33278BA4" w:rsidR="005D5E2A" w:rsidRPr="004D307F" w:rsidRDefault="005D5E2A" w:rsidP="00C370BC">
      <w:pPr>
        <w:spacing w:before="100" w:beforeAutospacing="1" w:after="100" w:afterAutospacing="1" w:line="288" w:lineRule="atLeast"/>
        <w:outlineLvl w:val="2"/>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202</w:t>
      </w:r>
      <w:r w:rsidR="009212A4" w:rsidRPr="004D307F">
        <w:rPr>
          <w:rFonts w:ascii="VIC" w:eastAsia="Times New Roman" w:hAnsi="VIC" w:cs="Times New Roman"/>
          <w:b/>
          <w:bCs/>
          <w:color w:val="011A3C"/>
          <w:sz w:val="24"/>
          <w:szCs w:val="24"/>
          <w:lang w:val="en" w:eastAsia="en-AU"/>
        </w:rPr>
        <w:t>2</w:t>
      </w:r>
      <w:r w:rsidRPr="004D307F">
        <w:rPr>
          <w:rFonts w:ascii="VIC" w:eastAsia="Times New Roman" w:hAnsi="VIC" w:cs="Times New Roman"/>
          <w:b/>
          <w:bCs/>
          <w:color w:val="011A3C"/>
          <w:sz w:val="24"/>
          <w:szCs w:val="24"/>
          <w:lang w:val="en" w:eastAsia="en-AU"/>
        </w:rPr>
        <w:t xml:space="preserve"> English language school and centre target enrolment rates</w:t>
      </w:r>
    </w:p>
    <w:p w14:paraId="52F67390" w14:textId="535AC200"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In an English language school, primary target enrolments receive a total of </w:t>
      </w:r>
      <w:r w:rsidR="007C6B18">
        <w:rPr>
          <w:rFonts w:ascii="VIC" w:eastAsia="Times New Roman" w:hAnsi="VIC" w:cs="Times New Roman"/>
          <w:color w:val="011A3C"/>
          <w:sz w:val="24"/>
          <w:szCs w:val="24"/>
          <w:lang w:val="en" w:eastAsia="en-AU"/>
        </w:rPr>
        <w:t>$</w:t>
      </w:r>
      <w:r w:rsidR="00C370BC" w:rsidRPr="004D307F">
        <w:rPr>
          <w:rFonts w:ascii="VIC" w:eastAsia="Times New Roman" w:hAnsi="VIC" w:cs="Times New Roman"/>
          <w:color w:val="011A3C"/>
          <w:sz w:val="24"/>
          <w:szCs w:val="24"/>
          <w:lang w:val="en" w:eastAsia="en-AU"/>
        </w:rPr>
        <w:t>12,</w:t>
      </w:r>
      <w:r w:rsidR="008C20E6" w:rsidRPr="004D307F">
        <w:rPr>
          <w:rFonts w:ascii="VIC" w:eastAsia="Times New Roman" w:hAnsi="VIC" w:cs="Times New Roman"/>
          <w:color w:val="011A3C"/>
          <w:sz w:val="24"/>
          <w:szCs w:val="24"/>
          <w:lang w:val="en" w:eastAsia="en-AU"/>
        </w:rPr>
        <w:t xml:space="preserve">655 </w:t>
      </w:r>
      <w:r w:rsidRPr="004D307F">
        <w:rPr>
          <w:rFonts w:ascii="VIC" w:eastAsia="Times New Roman" w:hAnsi="VIC" w:cs="Times New Roman"/>
          <w:color w:val="011A3C"/>
          <w:sz w:val="24"/>
          <w:szCs w:val="24"/>
          <w:lang w:val="en" w:eastAsia="en-AU"/>
        </w:rPr>
        <w:t>made up of:</w:t>
      </w:r>
    </w:p>
    <w:p w14:paraId="53BC2EDB" w14:textId="63894E84" w:rsidR="005D5E2A" w:rsidRPr="004D307F" w:rsidRDefault="005D5E2A" w:rsidP="00ED0863">
      <w:pPr>
        <w:numPr>
          <w:ilvl w:val="0"/>
          <w:numId w:val="28"/>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Credit ($): </w:t>
      </w:r>
      <w:r w:rsidR="00C370BC" w:rsidRPr="004D307F">
        <w:rPr>
          <w:rFonts w:ascii="VIC" w:eastAsia="Times New Roman" w:hAnsi="VIC" w:cs="Times New Roman"/>
          <w:color w:val="011A3C"/>
          <w:sz w:val="24"/>
          <w:szCs w:val="24"/>
          <w:lang w:val="en" w:eastAsia="en-AU"/>
        </w:rPr>
        <w:t>11,901</w:t>
      </w:r>
    </w:p>
    <w:p w14:paraId="755E75B3" w14:textId="173B0EC9" w:rsidR="005D5E2A" w:rsidRPr="004D307F" w:rsidRDefault="005D5E2A" w:rsidP="00ED0863">
      <w:pPr>
        <w:numPr>
          <w:ilvl w:val="0"/>
          <w:numId w:val="28"/>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Cash ($): </w:t>
      </w:r>
      <w:r w:rsidR="008C20E6" w:rsidRPr="004D307F">
        <w:rPr>
          <w:rFonts w:ascii="VIC" w:eastAsia="Times New Roman" w:hAnsi="VIC" w:cs="Times New Roman"/>
          <w:color w:val="011A3C"/>
          <w:sz w:val="24"/>
          <w:szCs w:val="24"/>
          <w:lang w:val="en" w:eastAsia="en-AU"/>
        </w:rPr>
        <w:t>754</w:t>
      </w:r>
    </w:p>
    <w:p w14:paraId="43D654AE" w14:textId="5BD16CB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 xml:space="preserve">In an English language school, secondary target enrolments receive a total of </w:t>
      </w:r>
      <w:r w:rsidR="007C6B18">
        <w:rPr>
          <w:rFonts w:ascii="VIC" w:eastAsia="Times New Roman" w:hAnsi="VIC" w:cs="Times New Roman"/>
          <w:color w:val="011A3C"/>
          <w:sz w:val="24"/>
          <w:szCs w:val="24"/>
          <w:lang w:val="en" w:eastAsia="en-AU"/>
        </w:rPr>
        <w:t>$</w:t>
      </w:r>
      <w:r w:rsidR="00C370BC" w:rsidRPr="004D307F">
        <w:rPr>
          <w:rFonts w:ascii="VIC" w:eastAsia="Times New Roman" w:hAnsi="VIC" w:cs="Times New Roman"/>
          <w:color w:val="011A3C"/>
          <w:sz w:val="24"/>
          <w:szCs w:val="24"/>
          <w:lang w:val="en" w:eastAsia="en-AU"/>
        </w:rPr>
        <w:t>15,4</w:t>
      </w:r>
      <w:r w:rsidR="008C20E6" w:rsidRPr="004D307F">
        <w:rPr>
          <w:rFonts w:ascii="VIC" w:eastAsia="Times New Roman" w:hAnsi="VIC" w:cs="Times New Roman"/>
          <w:color w:val="011A3C"/>
          <w:sz w:val="24"/>
          <w:szCs w:val="24"/>
          <w:lang w:val="en" w:eastAsia="en-AU"/>
        </w:rPr>
        <w:t xml:space="preserve">01 </w:t>
      </w:r>
      <w:r w:rsidRPr="004D307F">
        <w:rPr>
          <w:rFonts w:ascii="VIC" w:eastAsia="Times New Roman" w:hAnsi="VIC" w:cs="Times New Roman"/>
          <w:color w:val="011A3C"/>
          <w:sz w:val="24"/>
          <w:szCs w:val="24"/>
          <w:lang w:val="en" w:eastAsia="en-AU"/>
        </w:rPr>
        <w:t>made up of:</w:t>
      </w:r>
    </w:p>
    <w:p w14:paraId="107B6C68" w14:textId="18DC8009" w:rsidR="005D5E2A" w:rsidRPr="004D307F" w:rsidRDefault="005D5E2A" w:rsidP="00ED0863">
      <w:pPr>
        <w:numPr>
          <w:ilvl w:val="0"/>
          <w:numId w:val="28"/>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Credit ($): </w:t>
      </w:r>
      <w:r w:rsidR="00C370BC" w:rsidRPr="004D307F">
        <w:rPr>
          <w:rFonts w:ascii="VIC" w:eastAsia="Times New Roman" w:hAnsi="VIC" w:cs="Times New Roman"/>
          <w:color w:val="011A3C"/>
          <w:sz w:val="24"/>
          <w:szCs w:val="24"/>
          <w:lang w:val="en" w:eastAsia="en-AU"/>
        </w:rPr>
        <w:t>14,615</w:t>
      </w:r>
    </w:p>
    <w:p w14:paraId="3C471AF4" w14:textId="52BFFBAB" w:rsidR="000A6EFD" w:rsidRPr="004D307F" w:rsidRDefault="005D5E2A" w:rsidP="00ED0863">
      <w:pPr>
        <w:numPr>
          <w:ilvl w:val="0"/>
          <w:numId w:val="28"/>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Cash ($): </w:t>
      </w:r>
      <w:r w:rsidR="008C20E6" w:rsidRPr="004D307F">
        <w:rPr>
          <w:rFonts w:ascii="VIC" w:eastAsia="Times New Roman" w:hAnsi="VIC" w:cs="Times New Roman"/>
          <w:color w:val="011A3C"/>
          <w:sz w:val="24"/>
          <w:szCs w:val="24"/>
          <w:lang w:val="en" w:eastAsia="en-AU"/>
        </w:rPr>
        <w:t>786</w:t>
      </w:r>
    </w:p>
    <w:p w14:paraId="4DDC43DC" w14:textId="0C4485D8"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In an English language centre, primary target enrolments receive a total of </w:t>
      </w:r>
      <w:r w:rsidR="007C6B18">
        <w:rPr>
          <w:rFonts w:ascii="VIC" w:eastAsia="Times New Roman" w:hAnsi="VIC" w:cs="Times New Roman"/>
          <w:color w:val="011A3C"/>
          <w:sz w:val="24"/>
          <w:szCs w:val="24"/>
          <w:lang w:val="en" w:eastAsia="en-AU"/>
        </w:rPr>
        <w:t>$</w:t>
      </w:r>
      <w:r w:rsidR="00C370BC" w:rsidRPr="004D307F">
        <w:rPr>
          <w:rFonts w:ascii="VIC" w:eastAsia="Times New Roman" w:hAnsi="VIC" w:cs="Times New Roman"/>
          <w:color w:val="011A3C"/>
          <w:sz w:val="24"/>
          <w:szCs w:val="24"/>
          <w:lang w:val="en" w:eastAsia="en-AU"/>
        </w:rPr>
        <w:t>13,</w:t>
      </w:r>
      <w:r w:rsidR="008C20E6" w:rsidRPr="004D307F">
        <w:rPr>
          <w:rFonts w:ascii="VIC" w:eastAsia="Times New Roman" w:hAnsi="VIC" w:cs="Times New Roman"/>
          <w:color w:val="011A3C"/>
          <w:sz w:val="24"/>
          <w:szCs w:val="24"/>
          <w:lang w:val="en" w:eastAsia="en-AU"/>
        </w:rPr>
        <w:t xml:space="preserve">387 </w:t>
      </w:r>
      <w:r w:rsidRPr="004D307F">
        <w:rPr>
          <w:rFonts w:ascii="VIC" w:eastAsia="Times New Roman" w:hAnsi="VIC" w:cs="Times New Roman"/>
          <w:color w:val="011A3C"/>
          <w:sz w:val="24"/>
          <w:szCs w:val="24"/>
          <w:lang w:val="en" w:eastAsia="en-AU"/>
        </w:rPr>
        <w:t>made up of:</w:t>
      </w:r>
    </w:p>
    <w:p w14:paraId="16242C49" w14:textId="140BC9A2" w:rsidR="005D5E2A" w:rsidRPr="004D307F" w:rsidRDefault="005D5E2A" w:rsidP="00ED0863">
      <w:pPr>
        <w:numPr>
          <w:ilvl w:val="0"/>
          <w:numId w:val="34"/>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Credit ($): </w:t>
      </w:r>
      <w:r w:rsidR="00C370BC" w:rsidRPr="004D307F">
        <w:rPr>
          <w:rFonts w:ascii="VIC" w:eastAsia="Times New Roman" w:hAnsi="VIC" w:cs="Times New Roman"/>
          <w:color w:val="011A3C"/>
          <w:sz w:val="24"/>
          <w:szCs w:val="24"/>
          <w:lang w:val="en" w:eastAsia="en-AU"/>
        </w:rPr>
        <w:t>12,747</w:t>
      </w:r>
    </w:p>
    <w:p w14:paraId="04C3AC70" w14:textId="53DB1673" w:rsidR="005D5E2A" w:rsidRPr="004D307F" w:rsidRDefault="005D5E2A" w:rsidP="00ED0863">
      <w:pPr>
        <w:numPr>
          <w:ilvl w:val="0"/>
          <w:numId w:val="34"/>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Cash ($): </w:t>
      </w:r>
      <w:r w:rsidR="008C20E6" w:rsidRPr="004D307F">
        <w:rPr>
          <w:rFonts w:ascii="VIC" w:eastAsia="Times New Roman" w:hAnsi="VIC" w:cs="Times New Roman"/>
          <w:color w:val="011A3C"/>
          <w:sz w:val="24"/>
          <w:szCs w:val="24"/>
          <w:lang w:val="en" w:eastAsia="en-AU"/>
        </w:rPr>
        <w:t>640</w:t>
      </w:r>
    </w:p>
    <w:p w14:paraId="61BAF5D7" w14:textId="3B85D889"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In an English language centre, secondary target enrolments receive a total of </w:t>
      </w:r>
      <w:r w:rsidR="0005396A" w:rsidRPr="004D307F">
        <w:rPr>
          <w:rFonts w:ascii="VIC" w:eastAsia="Times New Roman" w:hAnsi="VIC" w:cs="Times New Roman"/>
          <w:color w:val="011A3C"/>
          <w:sz w:val="24"/>
          <w:szCs w:val="24"/>
          <w:lang w:val="en" w:eastAsia="en-AU"/>
        </w:rPr>
        <w:t>$</w:t>
      </w:r>
      <w:r w:rsidR="00C370BC" w:rsidRPr="004D307F">
        <w:rPr>
          <w:rFonts w:ascii="VIC" w:eastAsia="Times New Roman" w:hAnsi="VIC" w:cs="Times New Roman"/>
          <w:color w:val="011A3C"/>
          <w:sz w:val="24"/>
          <w:szCs w:val="24"/>
          <w:lang w:val="en" w:eastAsia="en-AU"/>
        </w:rPr>
        <w:t>16,</w:t>
      </w:r>
      <w:r w:rsidR="008C20E6" w:rsidRPr="004D307F">
        <w:rPr>
          <w:rFonts w:ascii="VIC" w:eastAsia="Times New Roman" w:hAnsi="VIC" w:cs="Times New Roman"/>
          <w:color w:val="011A3C"/>
          <w:sz w:val="24"/>
          <w:szCs w:val="24"/>
          <w:lang w:val="en" w:eastAsia="en-AU"/>
        </w:rPr>
        <w:t xml:space="preserve">329 </w:t>
      </w:r>
      <w:r w:rsidRPr="004D307F">
        <w:rPr>
          <w:rFonts w:ascii="VIC" w:eastAsia="Times New Roman" w:hAnsi="VIC" w:cs="Times New Roman"/>
          <w:color w:val="011A3C"/>
          <w:sz w:val="24"/>
          <w:szCs w:val="24"/>
          <w:lang w:val="en" w:eastAsia="en-AU"/>
        </w:rPr>
        <w:t>made up of:</w:t>
      </w:r>
    </w:p>
    <w:p w14:paraId="5C7618F0" w14:textId="7023F3B0" w:rsidR="005D5E2A" w:rsidRPr="004D307F" w:rsidRDefault="005D5E2A" w:rsidP="00ED0863">
      <w:pPr>
        <w:numPr>
          <w:ilvl w:val="0"/>
          <w:numId w:val="34"/>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Credit ($): </w:t>
      </w:r>
      <w:r w:rsidR="00C370BC" w:rsidRPr="004D307F">
        <w:rPr>
          <w:rFonts w:ascii="VIC" w:eastAsia="Times New Roman" w:hAnsi="VIC" w:cs="Times New Roman"/>
          <w:color w:val="011A3C"/>
          <w:sz w:val="24"/>
          <w:szCs w:val="24"/>
          <w:lang w:val="en" w:eastAsia="en-AU"/>
        </w:rPr>
        <w:t>15,587</w:t>
      </w:r>
    </w:p>
    <w:p w14:paraId="39A7953E" w14:textId="6D191E91" w:rsidR="005D5E2A" w:rsidRPr="004D307F" w:rsidRDefault="005D5E2A" w:rsidP="00ED0863">
      <w:pPr>
        <w:numPr>
          <w:ilvl w:val="0"/>
          <w:numId w:val="34"/>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Cash ($): </w:t>
      </w:r>
      <w:r w:rsidR="008C20E6" w:rsidRPr="004D307F">
        <w:rPr>
          <w:rFonts w:ascii="VIC" w:eastAsia="Times New Roman" w:hAnsi="VIC" w:cs="Times New Roman"/>
          <w:color w:val="011A3C"/>
          <w:sz w:val="24"/>
          <w:szCs w:val="24"/>
          <w:lang w:val="en" w:eastAsia="en-AU"/>
        </w:rPr>
        <w:t>742</w:t>
      </w:r>
    </w:p>
    <w:p w14:paraId="6D152E22" w14:textId="77777777" w:rsidR="005D5E2A" w:rsidRPr="004D307F" w:rsidRDefault="005D5E2A" w:rsidP="000D106B">
      <w:pPr>
        <w:keepNext/>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Multicultural Education Aides (MEAs)</w:t>
      </w:r>
    </w:p>
    <w:p w14:paraId="6097BA8C"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An allocation for the employment of Multicultural Education Aides (MEAs) is made to English language schools and centres based on target enrolments. The current student to MEA ratio is 65:1. Campuses with target enrolments below 65 are entitled to a 1.0 FTE MEA and for campuses above 65 the 65:1 ratio applies.</w:t>
      </w:r>
    </w:p>
    <w:p w14:paraId="107658C2" w14:textId="77B69795" w:rsidR="00CB1045" w:rsidRPr="004D307F" w:rsidRDefault="005D5E2A" w:rsidP="00C370BC">
      <w:pPr>
        <w:spacing w:before="100" w:beforeAutospacing="1" w:after="100" w:afterAutospacing="1" w:line="288" w:lineRule="atLeast"/>
        <w:outlineLvl w:val="3"/>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w:t>
      </w:r>
      <w:r w:rsidR="00F303E2" w:rsidRPr="004D307F">
        <w:rPr>
          <w:rFonts w:ascii="VIC" w:eastAsia="Times New Roman" w:hAnsi="VIC" w:cs="Times New Roman"/>
          <w:color w:val="011A3C"/>
          <w:sz w:val="24"/>
          <w:szCs w:val="24"/>
          <w:lang w:val="en" w:eastAsia="en-AU"/>
        </w:rPr>
        <w:t>202</w:t>
      </w:r>
      <w:r w:rsidR="009212A4" w:rsidRPr="004D307F">
        <w:rPr>
          <w:rFonts w:ascii="VIC" w:eastAsia="Times New Roman" w:hAnsi="VIC" w:cs="Times New Roman"/>
          <w:color w:val="011A3C"/>
          <w:sz w:val="24"/>
          <w:szCs w:val="24"/>
          <w:lang w:val="en" w:eastAsia="en-AU"/>
        </w:rPr>
        <w:t>2</w:t>
      </w:r>
      <w:r w:rsidR="00F303E2"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 xml:space="preserve">MEA rate is </w:t>
      </w:r>
      <w:r w:rsidR="007E6349" w:rsidRPr="004D307F">
        <w:rPr>
          <w:rFonts w:ascii="VIC" w:eastAsia="Times New Roman" w:hAnsi="VIC" w:cs="Times New Roman"/>
          <w:color w:val="011A3C"/>
          <w:sz w:val="24"/>
          <w:szCs w:val="24"/>
          <w:lang w:val="en" w:eastAsia="en-AU"/>
        </w:rPr>
        <w:t>$61,177.00</w:t>
      </w:r>
    </w:p>
    <w:p w14:paraId="47FB2A0F" w14:textId="77777777" w:rsidR="00000933" w:rsidRDefault="00000933">
      <w:pPr>
        <w:rPr>
          <w:rFonts w:ascii="VIC" w:eastAsia="Times New Roman" w:hAnsi="VIC" w:cs="Times New Roman"/>
          <w:b/>
          <w:bCs/>
          <w:color w:val="011A3C"/>
          <w:sz w:val="24"/>
          <w:szCs w:val="24"/>
          <w:lang w:val="en" w:eastAsia="en-AU"/>
        </w:rPr>
      </w:pPr>
      <w:r>
        <w:rPr>
          <w:rFonts w:ascii="VIC" w:eastAsia="Times New Roman" w:hAnsi="VIC" w:cs="Times New Roman"/>
          <w:b/>
          <w:bCs/>
          <w:color w:val="011A3C"/>
          <w:sz w:val="24"/>
          <w:szCs w:val="24"/>
          <w:lang w:val="en" w:eastAsia="en-AU"/>
        </w:rPr>
        <w:br w:type="page"/>
      </w:r>
    </w:p>
    <w:p w14:paraId="1F061F90" w14:textId="24FE39C6" w:rsidR="005D5E2A" w:rsidRPr="004D307F" w:rsidRDefault="005D5E2A" w:rsidP="00C370BC">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lastRenderedPageBreak/>
        <w:t>EAL student services</w:t>
      </w:r>
    </w:p>
    <w:p w14:paraId="3572AE72" w14:textId="08DAC061" w:rsidR="005D5E2A" w:rsidRPr="004D307F" w:rsidRDefault="005D5E2A" w:rsidP="000D106B">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In addition, English language schools and centres receive funding to provide services to EAL students who are not yet or no longer enrolled in a full-time intensive program.</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These services include outreach services</w:t>
      </w:r>
      <w:r w:rsidR="009212A4" w:rsidRPr="004D307F">
        <w:rPr>
          <w:rFonts w:ascii="VIC" w:eastAsia="Times New Roman" w:hAnsi="VIC" w:cs="Times New Roman"/>
          <w:color w:val="011A3C"/>
          <w:sz w:val="24"/>
          <w:szCs w:val="24"/>
          <w:lang w:val="en" w:eastAsia="en-AU"/>
        </w:rPr>
        <w:t xml:space="preserve"> and</w:t>
      </w:r>
      <w:r w:rsidRPr="004D307F">
        <w:rPr>
          <w:rFonts w:ascii="VIC" w:eastAsia="Times New Roman" w:hAnsi="VIC" w:cs="Times New Roman"/>
          <w:color w:val="011A3C"/>
          <w:sz w:val="24"/>
          <w:szCs w:val="24"/>
          <w:lang w:val="en" w:eastAsia="en-AU"/>
        </w:rPr>
        <w:t xml:space="preserve"> transition support for high needs refugee students</w:t>
      </w:r>
      <w:r w:rsidR="009212A4" w:rsidRPr="004D307F">
        <w:rPr>
          <w:rFonts w:ascii="VIC" w:eastAsia="Times New Roman" w:hAnsi="VIC" w:cs="Times New Roman"/>
          <w:color w:val="011A3C"/>
          <w:sz w:val="24"/>
          <w:szCs w:val="24"/>
          <w:lang w:val="en" w:eastAsia="en-AU"/>
        </w:rPr>
        <w:t>.</w:t>
      </w:r>
    </w:p>
    <w:p w14:paraId="727991D5" w14:textId="77777777" w:rsidR="00966C65" w:rsidRPr="004D307F" w:rsidRDefault="00966C65" w:rsidP="00966C65">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EAL student services (Cluster funding)</w:t>
      </w:r>
    </w:p>
    <w:p w14:paraId="3CDC85B3" w14:textId="77777777" w:rsidR="00966C65" w:rsidRPr="004D307F" w:rsidRDefault="00966C65" w:rsidP="00966C65">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 and secondary schools that coordinate EAL cluster programs are provided with funding to employ EAL specialists to provide advice and guidance to teachers in cluster schools to build their understanding, knowledge and capacity to meet EAL student learning needs.</w:t>
      </w:r>
    </w:p>
    <w:p w14:paraId="4B13100C" w14:textId="77777777" w:rsidR="00966C65" w:rsidRPr="004D307F" w:rsidRDefault="00966C65" w:rsidP="000D106B">
      <w:pPr>
        <w:spacing w:before="100" w:beforeAutospacing="1" w:after="100" w:afterAutospacing="1" w:line="240" w:lineRule="auto"/>
        <w:rPr>
          <w:rFonts w:ascii="VIC" w:eastAsia="Times New Roman" w:hAnsi="VIC" w:cs="Times New Roman"/>
          <w:color w:val="011A3C"/>
          <w:sz w:val="24"/>
          <w:szCs w:val="24"/>
          <w:lang w:val="en" w:eastAsia="en-AU"/>
        </w:rPr>
      </w:pPr>
    </w:p>
    <w:p w14:paraId="2E8C1682" w14:textId="66D715EF" w:rsidR="00AD16F0" w:rsidRPr="004D307F" w:rsidRDefault="005D5E2A" w:rsidP="00B566E7">
      <w:pPr>
        <w:pStyle w:val="Heading2"/>
      </w:pPr>
      <w:r w:rsidRPr="004D307F">
        <w:rPr>
          <w:rFonts w:ascii="VIC" w:hAnsi="VIC"/>
        </w:rPr>
        <w:br w:type="page"/>
      </w:r>
      <w:bookmarkStart w:id="40" w:name="_Toc106793760"/>
      <w:r w:rsidR="00AD16F0" w:rsidRPr="004D307F">
        <w:lastRenderedPageBreak/>
        <w:t>EAL Contingency (Reference 27)</w:t>
      </w:r>
      <w:bookmarkEnd w:id="40"/>
    </w:p>
    <w:p w14:paraId="4BD87BD2" w14:textId="22260F88" w:rsidR="005D5E2A" w:rsidRPr="004D307F" w:rsidRDefault="005D5E2A" w:rsidP="005D5E2A">
      <w:pPr>
        <w:spacing w:before="100" w:beforeAutospacing="1" w:after="100" w:afterAutospacing="1" w:line="288" w:lineRule="atLeast"/>
        <w:outlineLvl w:val="2"/>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EAL Contingency funding is provided, budget allowing, to enable the employment of additional EAL teachers and Multicultural Education Aides where schools experience a significant increase to their EAL student profile after their EAL funding has been established for the year.</w:t>
      </w:r>
    </w:p>
    <w:p w14:paraId="4B12F524"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significant increase</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for a primary, secondary or combined primary/secondary school means that the cohort of additional students, based on the rates and weightings outlined in Reference 26, attract funding above the relevant EAL Index funding threshold (primary or secondary). This means there is no set number of students a school must enrol to be eligible for EAL Contingency. Each student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year level and length of time in Australia determines the level of funding he or she attracts.</w:t>
      </w:r>
    </w:p>
    <w:p w14:paraId="3153355A"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significant increase</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for an English language school or centre or the Virtual EAL New Arrivals Program is one which requires provision of an additional class.</w:t>
      </w:r>
    </w:p>
    <w:p w14:paraId="60329E47" w14:textId="77777777" w:rsidR="005D5E2A" w:rsidRPr="004D307F" w:rsidRDefault="005D5E2A" w:rsidP="005D5E2A">
      <w:pPr>
        <w:spacing w:before="100" w:beforeAutospacing="1" w:after="100" w:afterAutospacing="1" w:line="288" w:lineRule="atLeast"/>
        <w:outlineLvl w:val="2"/>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Applications for contingency funding can be submitted at any time of the school year. </w:t>
      </w:r>
    </w:p>
    <w:p w14:paraId="10EEE8CE" w14:textId="77777777" w:rsidR="005D5E2A" w:rsidRPr="004D307F" w:rsidRDefault="005D5E2A" w:rsidP="00C370BC">
      <w:pPr>
        <w:spacing w:before="100" w:beforeAutospacing="1" w:after="100" w:afterAutospacing="1" w:line="288" w:lineRule="atLeast"/>
        <w:outlineLvl w:val="3"/>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Eligibility</w:t>
      </w:r>
    </w:p>
    <w:p w14:paraId="3865E69A" w14:textId="77777777" w:rsidR="005D5E2A" w:rsidRPr="004D307F" w:rsidRDefault="005D5E2A" w:rsidP="00ED0863">
      <w:pPr>
        <w:numPr>
          <w:ilvl w:val="0"/>
          <w:numId w:val="35"/>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w:t>
      </w:r>
    </w:p>
    <w:p w14:paraId="384C6B87" w14:textId="77777777" w:rsidR="005D5E2A" w:rsidRPr="004D307F" w:rsidRDefault="005D5E2A" w:rsidP="00ED0863">
      <w:pPr>
        <w:numPr>
          <w:ilvl w:val="0"/>
          <w:numId w:val="35"/>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Secondary</w:t>
      </w:r>
    </w:p>
    <w:p w14:paraId="66C5DBC1" w14:textId="77777777" w:rsidR="005D5E2A" w:rsidRPr="004D307F" w:rsidRDefault="005D5E2A" w:rsidP="00ED0863">
      <w:pPr>
        <w:numPr>
          <w:ilvl w:val="0"/>
          <w:numId w:val="35"/>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Primary/Secondary Combined</w:t>
      </w:r>
    </w:p>
    <w:p w14:paraId="4F8C606A" w14:textId="77777777" w:rsidR="005D5E2A" w:rsidRPr="004D307F" w:rsidRDefault="005D5E2A" w:rsidP="00ED0863">
      <w:pPr>
        <w:numPr>
          <w:ilvl w:val="0"/>
          <w:numId w:val="35"/>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English language schools</w:t>
      </w:r>
    </w:p>
    <w:p w14:paraId="575BB286" w14:textId="77777777" w:rsidR="005D5E2A" w:rsidRPr="004D307F" w:rsidRDefault="005D5E2A" w:rsidP="00ED0863">
      <w:pPr>
        <w:numPr>
          <w:ilvl w:val="0"/>
          <w:numId w:val="35"/>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English language centres</w:t>
      </w:r>
    </w:p>
    <w:p w14:paraId="73DCADB8" w14:textId="77777777" w:rsidR="005D5E2A" w:rsidRPr="004D307F" w:rsidRDefault="005D5E2A" w:rsidP="00ED0863">
      <w:pPr>
        <w:numPr>
          <w:ilvl w:val="0"/>
          <w:numId w:val="35"/>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Virtual EAL New Arrivals Program</w:t>
      </w:r>
    </w:p>
    <w:p w14:paraId="74017363" w14:textId="77777777" w:rsidR="005D5E2A" w:rsidRPr="004D307F" w:rsidRDefault="005D5E2A" w:rsidP="00C370BC">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Applications</w:t>
      </w:r>
    </w:p>
    <w:p w14:paraId="76B48D6E"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 and secondary schools that have enrolled an increased number of students since their EAL Index funding was established by the preceding year</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August census may apply for EAL contingency funding. Each application is assessed based on the additional students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eligibility for EAL Index level funding and the rates and weightings outlined in Reference 26.</w:t>
      </w:r>
    </w:p>
    <w:p w14:paraId="07A2A788"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New primary and secondary schools will not have participated in the preceding August census. They can apply for EAL contingency funding to establish their EAL program following the February school census.</w:t>
      </w:r>
    </w:p>
    <w:p w14:paraId="0601B58C" w14:textId="6BE83CDF"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To apply, primary and secondary schools should run a Contingency Report ST21038 from CASES21 and email this with a request to be considered for EAL contingency funding to the EAL Unit at</w:t>
      </w:r>
      <w:r w:rsidRPr="004D307F">
        <w:rPr>
          <w:rFonts w:ascii="Calibri" w:eastAsia="Times New Roman" w:hAnsi="Calibri" w:cs="Calibri" w:hint="eastAsia"/>
          <w:color w:val="011A3C"/>
          <w:sz w:val="24"/>
          <w:szCs w:val="24"/>
          <w:lang w:val="en" w:eastAsia="en-AU"/>
        </w:rPr>
        <w:t> </w:t>
      </w:r>
      <w:hyperlink r:id="rId66" w:history="1">
        <w:r w:rsidRPr="004D307F">
          <w:rPr>
            <w:rFonts w:ascii="VIC" w:eastAsia="Times New Roman" w:hAnsi="VIC" w:cs="Times New Roman"/>
            <w:color w:val="011A3C"/>
            <w:sz w:val="24"/>
            <w:szCs w:val="24"/>
            <w:lang w:val="en" w:eastAsia="en-AU"/>
          </w:rPr>
          <w:t>eal@education.vic.gov.au</w:t>
        </w:r>
      </w:hyperlink>
      <w:r w:rsidRPr="004D307F">
        <w:rPr>
          <w:rFonts w:ascii="VIC" w:eastAsia="Times New Roman" w:hAnsi="VIC" w:cs="Times New Roman"/>
          <w:color w:val="011A3C"/>
          <w:sz w:val="24"/>
          <w:szCs w:val="24"/>
          <w:lang w:val="en" w:eastAsia="en-AU"/>
        </w:rPr>
        <w:t>. The ST21038 report is used to compare current enrolments with enrolments from the preceding August census to determine if an increase beyond the relevant threshold has been reached. Applications from new schools are assessed based on the student numbers in the ST21038 report.</w:t>
      </w:r>
    </w:p>
    <w:p w14:paraId="0A9E64A0"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English language schools and centres should use the Request for EAL Contingency Funding for New Arrivals Provision form to discuss changed provision needs with their Regional Service Support Branch Manager, then email the form to:  </w:t>
      </w:r>
      <w:hyperlink r:id="rId67" w:history="1">
        <w:r w:rsidRPr="004D307F">
          <w:rPr>
            <w:rFonts w:ascii="VIC" w:eastAsia="Times New Roman" w:hAnsi="VIC" w:cs="Times New Roman"/>
            <w:color w:val="011A3C"/>
            <w:sz w:val="24"/>
            <w:szCs w:val="24"/>
            <w:lang w:val="en" w:eastAsia="en-AU"/>
          </w:rPr>
          <w:t>eal@education.vic.gov.au</w:t>
        </w:r>
      </w:hyperlink>
    </w:p>
    <w:p w14:paraId="7986FA68"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that apply within the first five weeks of term and meet eligibility requirements are funded for that term and any other remaining terms in the school year.</w:t>
      </w:r>
    </w:p>
    <w:p w14:paraId="4A414F08"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that apply in week 6 or beyond and meet eligibility requirements are funded for the following and any remaining terms of the school year.</w:t>
      </w:r>
    </w:p>
    <w:p w14:paraId="4681CB6F" w14:textId="7B4904FB"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All schools are notified when their request has been assessed, with further notification of their total funding after it has been approved. Payment is made through the </w:t>
      </w:r>
      <w:r w:rsidR="001B66F8" w:rsidRPr="004D307F">
        <w:rPr>
          <w:rFonts w:ascii="VIC" w:eastAsia="Times New Roman" w:hAnsi="VIC" w:cs="Times New Roman"/>
          <w:color w:val="011A3C"/>
          <w:sz w:val="24"/>
          <w:szCs w:val="24"/>
          <w:lang w:val="en" w:eastAsia="en-AU"/>
        </w:rPr>
        <w:t>Student Resource Package (</w:t>
      </w:r>
      <w:r w:rsidRPr="004D307F">
        <w:rPr>
          <w:rFonts w:ascii="VIC" w:eastAsia="Times New Roman" w:hAnsi="VIC" w:cs="Times New Roman"/>
          <w:color w:val="011A3C"/>
          <w:sz w:val="24"/>
          <w:szCs w:val="24"/>
          <w:lang w:val="en" w:eastAsia="en-AU"/>
        </w:rPr>
        <w:t>SRP</w:t>
      </w:r>
      <w:r w:rsidR="001B66F8" w:rsidRPr="004D307F">
        <w:rPr>
          <w:rFonts w:ascii="VIC" w:eastAsia="Times New Roman" w:hAnsi="VIC" w:cs="Times New Roman"/>
          <w:color w:val="011A3C"/>
          <w:sz w:val="24"/>
          <w:szCs w:val="24"/>
          <w:lang w:val="en" w:eastAsia="en-AU"/>
        </w:rPr>
        <w:t>)</w:t>
      </w:r>
      <w:r w:rsidRPr="004D307F">
        <w:rPr>
          <w:rFonts w:ascii="VIC" w:eastAsia="Times New Roman" w:hAnsi="VIC" w:cs="Times New Roman"/>
          <w:color w:val="011A3C"/>
          <w:sz w:val="24"/>
          <w:szCs w:val="24"/>
          <w:lang w:val="en" w:eastAsia="en-AU"/>
        </w:rPr>
        <w:t xml:space="preserve"> at the end of each applicable term.</w:t>
      </w:r>
    </w:p>
    <w:p w14:paraId="7C663FE1" w14:textId="77777777" w:rsidR="005D5E2A" w:rsidRPr="004D307F" w:rsidRDefault="005D5E2A" w:rsidP="005A7E0A">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Calculation</w:t>
      </w:r>
    </w:p>
    <w:p w14:paraId="79ADA3C7" w14:textId="77777777" w:rsidR="005D5E2A" w:rsidRPr="004D307F" w:rsidRDefault="005D5E2A" w:rsidP="00C370BC">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EAL Contingency = FTE allocation * Average teacher rate</w:t>
      </w:r>
    </w:p>
    <w:p w14:paraId="1571120A" w14:textId="77777777" w:rsidR="005D5E2A" w:rsidRPr="004D307F" w:rsidRDefault="005D5E2A" w:rsidP="00C370BC">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For primary and secondary schools, EAL contingency is calculated based on the change in the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EAL student profile between the previous August census and the date of application, as outlined above.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Any additional entitlement to EAL Index funding using the levels and weightings outlined in Reference 26, is converted to FTE and paid pro-rata for the remainder of the school year. </w:t>
      </w:r>
    </w:p>
    <w:p w14:paraId="2DCDD024"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 and secondary FTE allocations are calculated separately.</w:t>
      </w:r>
    </w:p>
    <w:p w14:paraId="4BB6CBFF" w14:textId="77777777" w:rsidR="005D5E2A" w:rsidRPr="004D307F" w:rsidRDefault="005D5E2A" w:rsidP="00C370BC">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For English language schools and centres and the Virtual EAL New Arrivals Program, each additional class to be provided attracts 1.0 FTE at the average teacher rate, paid pro-rata for the period for which the class will be required.</w:t>
      </w:r>
    </w:p>
    <w:p w14:paraId="771DE4EE" w14:textId="77777777" w:rsidR="00000933" w:rsidRDefault="00000933">
      <w:pPr>
        <w:rPr>
          <w:rFonts w:ascii="VIC" w:eastAsia="Times New Roman" w:hAnsi="VIC" w:cs="Times New Roman"/>
          <w:b/>
          <w:bCs/>
          <w:color w:val="011A3C"/>
          <w:sz w:val="27"/>
          <w:szCs w:val="27"/>
          <w:lang w:val="en" w:eastAsia="en-AU"/>
        </w:rPr>
      </w:pPr>
      <w:r>
        <w:rPr>
          <w:rFonts w:ascii="VIC" w:eastAsia="Times New Roman" w:hAnsi="VIC" w:cs="Times New Roman"/>
          <w:b/>
          <w:bCs/>
          <w:color w:val="011A3C"/>
          <w:sz w:val="27"/>
          <w:szCs w:val="27"/>
          <w:lang w:val="en" w:eastAsia="en-AU"/>
        </w:rPr>
        <w:br w:type="page"/>
      </w:r>
    </w:p>
    <w:p w14:paraId="3EBCC416" w14:textId="09896615" w:rsidR="005D5E2A" w:rsidRPr="004D307F" w:rsidRDefault="005D5E2A" w:rsidP="00C370BC">
      <w:pPr>
        <w:spacing w:before="100" w:beforeAutospacing="1" w:after="100" w:afterAutospacing="1" w:line="288" w:lineRule="atLeast"/>
        <w:outlineLvl w:val="3"/>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lastRenderedPageBreak/>
        <w:t>Rates</w:t>
      </w:r>
      <w:r w:rsidRPr="004D307F">
        <w:rPr>
          <w:rFonts w:ascii="Calibri" w:eastAsia="Times New Roman" w:hAnsi="Calibri" w:cs="Calibri" w:hint="eastAsia"/>
          <w:b/>
          <w:bCs/>
          <w:color w:val="011A3C"/>
          <w:sz w:val="27"/>
          <w:szCs w:val="27"/>
          <w:lang w:val="en" w:eastAsia="en-AU"/>
        </w:rPr>
        <w:t> </w:t>
      </w:r>
      <w:r w:rsidRPr="004D307F">
        <w:rPr>
          <w:rFonts w:ascii="VIC" w:eastAsia="Times New Roman" w:hAnsi="VIC" w:cs="Times New Roman" w:hint="eastAsia"/>
          <w:b/>
          <w:bCs/>
          <w:color w:val="011A3C"/>
          <w:sz w:val="27"/>
          <w:szCs w:val="27"/>
          <w:lang w:val="en" w:eastAsia="en-AU"/>
        </w:rPr>
        <w:t>—</w:t>
      </w:r>
      <w:r w:rsidRPr="004D307F">
        <w:rPr>
          <w:rFonts w:ascii="Calibri" w:eastAsia="Times New Roman" w:hAnsi="Calibri" w:cs="Calibri" w:hint="eastAsia"/>
          <w:b/>
          <w:bCs/>
          <w:color w:val="011A3C"/>
          <w:sz w:val="27"/>
          <w:szCs w:val="27"/>
          <w:lang w:val="en" w:eastAsia="en-AU"/>
        </w:rPr>
        <w:t> </w:t>
      </w:r>
      <w:r w:rsidRPr="004D307F">
        <w:rPr>
          <w:rFonts w:ascii="VIC" w:eastAsia="Times New Roman" w:hAnsi="VIC" w:cs="Times New Roman"/>
          <w:b/>
          <w:bCs/>
          <w:color w:val="011A3C"/>
          <w:sz w:val="27"/>
          <w:szCs w:val="27"/>
          <w:lang w:val="en" w:eastAsia="en-AU"/>
        </w:rPr>
        <w:t>202</w:t>
      </w:r>
      <w:r w:rsidR="008A501C" w:rsidRPr="004D307F">
        <w:rPr>
          <w:rFonts w:ascii="VIC" w:eastAsia="Times New Roman" w:hAnsi="VIC" w:cs="Times New Roman"/>
          <w:b/>
          <w:bCs/>
          <w:color w:val="011A3C"/>
          <w:sz w:val="27"/>
          <w:szCs w:val="27"/>
          <w:lang w:val="en" w:eastAsia="en-AU"/>
        </w:rPr>
        <w:t>2</w:t>
      </w:r>
    </w:p>
    <w:p w14:paraId="6ABB60A6" w14:textId="77777777" w:rsidR="005D5E2A" w:rsidRPr="004D307F" w:rsidRDefault="005D5E2A" w:rsidP="005D5E2A">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 xml:space="preserve">List 1: </w:t>
      </w:r>
      <w:bookmarkStart w:id="41" w:name="_Hlk81828572"/>
      <w:r w:rsidRPr="004D307F">
        <w:rPr>
          <w:rFonts w:ascii="VIC" w:eastAsia="Times New Roman" w:hAnsi="VIC" w:cs="Times New Roman"/>
          <w:b/>
          <w:bCs/>
          <w:color w:val="011A3C"/>
          <w:sz w:val="24"/>
          <w:szCs w:val="24"/>
          <w:lang w:val="en" w:eastAsia="en-AU"/>
        </w:rPr>
        <w:t>EAL Index funding thresholds</w:t>
      </w:r>
      <w:bookmarkEnd w:id="41"/>
    </w:p>
    <w:p w14:paraId="3177A649" w14:textId="377295BA" w:rsidR="005D5E2A" w:rsidRPr="004D307F" w:rsidRDefault="005D5E2A" w:rsidP="00ED0863">
      <w:pPr>
        <w:numPr>
          <w:ilvl w:val="0"/>
          <w:numId w:val="30"/>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Primary </w:t>
      </w:r>
      <w:r w:rsidRPr="004D307F">
        <w:rPr>
          <w:rFonts w:ascii="VIC" w:eastAsia="Times New Roman" w:hAnsi="VIC" w:cs="Times New Roman" w:hint="eastAsia"/>
          <w:color w:val="011A3C"/>
          <w:sz w:val="24"/>
          <w:szCs w:val="24"/>
          <w:lang w:val="en" w:eastAsia="en-AU"/>
        </w:rPr>
        <w:t>—</w:t>
      </w:r>
      <w:r w:rsidR="008552BC" w:rsidRPr="004D307F">
        <w:rPr>
          <w:rFonts w:ascii="VIC" w:eastAsia="Times New Roman" w:hAnsi="VIC" w:cs="Times New Roman"/>
          <w:color w:val="011A3C"/>
          <w:sz w:val="24"/>
          <w:szCs w:val="24"/>
          <w:lang w:val="en" w:eastAsia="en-AU"/>
        </w:rPr>
        <w:t xml:space="preserve"> </w:t>
      </w:r>
      <w:r w:rsidR="008E4E70" w:rsidRPr="004D307F">
        <w:rPr>
          <w:rFonts w:ascii="VIC" w:eastAsia="Times New Roman" w:hAnsi="VIC" w:cs="Times New Roman"/>
          <w:color w:val="011A3C"/>
          <w:sz w:val="24"/>
          <w:szCs w:val="24"/>
          <w:lang w:val="en" w:eastAsia="en-AU"/>
        </w:rPr>
        <w:t>$</w:t>
      </w:r>
      <w:r w:rsidR="005965D3" w:rsidRPr="004D307F">
        <w:rPr>
          <w:rFonts w:ascii="VIC" w:eastAsia="Times New Roman" w:hAnsi="VIC" w:cs="Times New Roman"/>
          <w:color w:val="011A3C"/>
          <w:sz w:val="24"/>
          <w:szCs w:val="24"/>
          <w:lang w:val="en" w:eastAsia="en-AU"/>
        </w:rPr>
        <w:t>25,634.61</w:t>
      </w:r>
    </w:p>
    <w:p w14:paraId="5632FA29" w14:textId="41E6E07B" w:rsidR="005D5E2A" w:rsidRPr="004D307F" w:rsidRDefault="005D5E2A" w:rsidP="00ED0863">
      <w:pPr>
        <w:numPr>
          <w:ilvl w:val="0"/>
          <w:numId w:val="30"/>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Secondary </w:t>
      </w:r>
      <w:r w:rsidRPr="004D307F">
        <w:rPr>
          <w:rFonts w:ascii="VIC" w:eastAsia="Times New Roman" w:hAnsi="VIC" w:cs="Times New Roman" w:hint="eastAsia"/>
          <w:color w:val="011A3C"/>
          <w:sz w:val="24"/>
          <w:szCs w:val="24"/>
          <w:lang w:val="en" w:eastAsia="en-AU"/>
        </w:rPr>
        <w:t>—</w:t>
      </w:r>
      <w:r w:rsidR="008552BC" w:rsidRPr="004D307F">
        <w:rPr>
          <w:rFonts w:ascii="VIC" w:eastAsia="Times New Roman" w:hAnsi="VIC" w:cs="Times New Roman"/>
          <w:color w:val="011A3C"/>
          <w:sz w:val="24"/>
          <w:szCs w:val="24"/>
          <w:lang w:val="en" w:eastAsia="en-AU"/>
        </w:rPr>
        <w:t xml:space="preserve"> </w:t>
      </w:r>
      <w:r w:rsidR="008E4E70" w:rsidRPr="004D307F">
        <w:rPr>
          <w:rFonts w:ascii="VIC" w:eastAsia="Times New Roman" w:hAnsi="VIC" w:cs="Times New Roman"/>
          <w:color w:val="011A3C"/>
          <w:sz w:val="24"/>
          <w:szCs w:val="24"/>
          <w:lang w:val="en" w:eastAsia="en-AU"/>
        </w:rPr>
        <w:t>$</w:t>
      </w:r>
      <w:r w:rsidR="005965D3" w:rsidRPr="004D307F">
        <w:rPr>
          <w:rFonts w:ascii="VIC" w:eastAsia="Times New Roman" w:hAnsi="VIC" w:cs="Times New Roman"/>
          <w:color w:val="011A3C"/>
          <w:sz w:val="24"/>
          <w:szCs w:val="24"/>
          <w:lang w:val="en" w:eastAsia="en-AU"/>
        </w:rPr>
        <w:t>48,891.69</w:t>
      </w:r>
    </w:p>
    <w:p w14:paraId="1CB9E72C" w14:textId="77777777" w:rsidR="005D5E2A" w:rsidRPr="004D307F" w:rsidRDefault="005D5E2A" w:rsidP="00C370BC">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List 2: Average Teacher Rates</w:t>
      </w:r>
    </w:p>
    <w:p w14:paraId="22E653D6" w14:textId="513E955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Primary schools receive a total of </w:t>
      </w:r>
      <w:r w:rsidR="008552BC" w:rsidRPr="004D307F">
        <w:rPr>
          <w:rFonts w:ascii="VIC" w:eastAsia="Times New Roman" w:hAnsi="VIC" w:cs="Times New Roman"/>
          <w:color w:val="011A3C"/>
          <w:sz w:val="24"/>
          <w:szCs w:val="24"/>
          <w:lang w:val="en" w:eastAsia="en-AU"/>
        </w:rPr>
        <w:t>$</w:t>
      </w:r>
      <w:r w:rsidR="00DB7539" w:rsidRPr="004D307F">
        <w:rPr>
          <w:rFonts w:ascii="VIC" w:eastAsia="Times New Roman" w:hAnsi="VIC" w:cs="Times New Roman"/>
          <w:color w:val="011A3C"/>
          <w:sz w:val="24"/>
          <w:szCs w:val="24"/>
          <w:lang w:val="en" w:eastAsia="en-AU"/>
        </w:rPr>
        <w:t>121,5</w:t>
      </w:r>
      <w:r w:rsidR="00BA44E5" w:rsidRPr="004D307F">
        <w:rPr>
          <w:rFonts w:ascii="VIC" w:eastAsia="Times New Roman" w:hAnsi="VIC" w:cs="Times New Roman"/>
          <w:color w:val="011A3C"/>
          <w:sz w:val="24"/>
          <w:szCs w:val="24"/>
          <w:lang w:val="en" w:eastAsia="en-AU"/>
        </w:rPr>
        <w:t>81</w:t>
      </w:r>
      <w:r w:rsidR="008552BC"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made up of:</w:t>
      </w:r>
    </w:p>
    <w:p w14:paraId="792AEBD7" w14:textId="2F9BDC3B" w:rsidR="005D5E2A" w:rsidRPr="004D307F" w:rsidRDefault="005D5E2A" w:rsidP="00ED0863">
      <w:pPr>
        <w:numPr>
          <w:ilvl w:val="0"/>
          <w:numId w:val="36"/>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Credit ($): </w:t>
      </w:r>
      <w:r w:rsidR="00DB7539" w:rsidRPr="004D307F">
        <w:rPr>
          <w:rFonts w:ascii="VIC" w:eastAsia="Times New Roman" w:hAnsi="VIC" w:cs="Times New Roman"/>
          <w:color w:val="011A3C"/>
          <w:sz w:val="24"/>
          <w:szCs w:val="24"/>
          <w:lang w:val="en" w:eastAsia="en-AU"/>
        </w:rPr>
        <w:t>118,496</w:t>
      </w:r>
    </w:p>
    <w:p w14:paraId="7EA692A9" w14:textId="68F40F75" w:rsidR="005D5E2A" w:rsidRPr="004D307F" w:rsidRDefault="005D5E2A" w:rsidP="00ED0863">
      <w:pPr>
        <w:numPr>
          <w:ilvl w:val="0"/>
          <w:numId w:val="36"/>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Cash ($): </w:t>
      </w:r>
      <w:r w:rsidR="00DB7539" w:rsidRPr="004D307F">
        <w:rPr>
          <w:rFonts w:ascii="VIC" w:eastAsia="Times New Roman" w:hAnsi="VIC" w:cs="Times New Roman"/>
          <w:color w:val="011A3C"/>
          <w:sz w:val="24"/>
          <w:szCs w:val="24"/>
          <w:lang w:val="en" w:eastAsia="en-AU"/>
        </w:rPr>
        <w:t>3,0</w:t>
      </w:r>
      <w:r w:rsidR="00BA44E5" w:rsidRPr="004D307F">
        <w:rPr>
          <w:rFonts w:ascii="VIC" w:eastAsia="Times New Roman" w:hAnsi="VIC" w:cs="Times New Roman"/>
          <w:color w:val="011A3C"/>
          <w:sz w:val="24"/>
          <w:szCs w:val="24"/>
          <w:lang w:val="en" w:eastAsia="en-AU"/>
        </w:rPr>
        <w:t>85</w:t>
      </w:r>
    </w:p>
    <w:p w14:paraId="57554B77" w14:textId="7601E812"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Secondary schools receive a total of </w:t>
      </w:r>
      <w:r w:rsidR="008552BC" w:rsidRPr="004D307F">
        <w:rPr>
          <w:rFonts w:ascii="VIC" w:eastAsia="Times New Roman" w:hAnsi="VIC" w:cs="Times New Roman"/>
          <w:color w:val="011A3C"/>
          <w:sz w:val="24"/>
          <w:szCs w:val="24"/>
          <w:lang w:val="en" w:eastAsia="en-AU"/>
        </w:rPr>
        <w:t>$</w:t>
      </w:r>
      <w:r w:rsidR="00DB7539" w:rsidRPr="004D307F">
        <w:rPr>
          <w:rFonts w:ascii="VIC" w:eastAsia="Times New Roman" w:hAnsi="VIC" w:cs="Times New Roman"/>
          <w:color w:val="011A3C"/>
          <w:sz w:val="24"/>
          <w:szCs w:val="24"/>
          <w:lang w:val="en" w:eastAsia="en-AU"/>
        </w:rPr>
        <w:t>121,1</w:t>
      </w:r>
      <w:r w:rsidR="00BA44E5" w:rsidRPr="004D307F">
        <w:rPr>
          <w:rFonts w:ascii="VIC" w:eastAsia="Times New Roman" w:hAnsi="VIC" w:cs="Times New Roman"/>
          <w:color w:val="011A3C"/>
          <w:sz w:val="24"/>
          <w:szCs w:val="24"/>
          <w:lang w:val="en" w:eastAsia="en-AU"/>
        </w:rPr>
        <w:t>49</w:t>
      </w:r>
      <w:r w:rsidR="008552BC"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made up of:</w:t>
      </w:r>
    </w:p>
    <w:p w14:paraId="7D6419C1" w14:textId="77777777" w:rsidR="008552BC" w:rsidRPr="004D307F" w:rsidRDefault="005D5E2A" w:rsidP="00ED0863">
      <w:pPr>
        <w:numPr>
          <w:ilvl w:val="0"/>
          <w:numId w:val="36"/>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Credit ($): </w:t>
      </w:r>
      <w:r w:rsidR="00DB7539" w:rsidRPr="004D307F">
        <w:rPr>
          <w:rFonts w:ascii="VIC" w:eastAsia="Times New Roman" w:hAnsi="VIC" w:cs="Times New Roman"/>
          <w:color w:val="011A3C"/>
          <w:sz w:val="24"/>
          <w:szCs w:val="24"/>
          <w:lang w:val="en" w:eastAsia="en-AU"/>
        </w:rPr>
        <w:t>119,535</w:t>
      </w:r>
    </w:p>
    <w:p w14:paraId="269EC976" w14:textId="6D326FA2" w:rsidR="008552BC" w:rsidRPr="004D307F" w:rsidRDefault="005D5E2A" w:rsidP="00ED0863">
      <w:pPr>
        <w:numPr>
          <w:ilvl w:val="0"/>
          <w:numId w:val="36"/>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Cash ($): </w:t>
      </w:r>
      <w:r w:rsidR="00DB7539" w:rsidRPr="004D307F">
        <w:rPr>
          <w:rFonts w:ascii="VIC" w:eastAsia="Times New Roman" w:hAnsi="VIC" w:cs="Times New Roman"/>
          <w:color w:val="011A3C"/>
          <w:sz w:val="24"/>
          <w:szCs w:val="24"/>
          <w:lang w:val="en" w:eastAsia="en-AU"/>
        </w:rPr>
        <w:t>1,</w:t>
      </w:r>
      <w:r w:rsidR="00BA44E5" w:rsidRPr="004D307F">
        <w:rPr>
          <w:rFonts w:ascii="VIC" w:eastAsia="Times New Roman" w:hAnsi="VIC" w:cs="Times New Roman"/>
          <w:color w:val="011A3C"/>
          <w:sz w:val="24"/>
          <w:szCs w:val="24"/>
          <w:lang w:val="en" w:eastAsia="en-AU"/>
        </w:rPr>
        <w:t>614</w:t>
      </w:r>
    </w:p>
    <w:p w14:paraId="2D95572A" w14:textId="692AB641" w:rsidR="0076693A" w:rsidRPr="004D307F" w:rsidRDefault="005D5E2A" w:rsidP="003F76E5">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Teacher</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salary charges to schools will continue to be based on actual payroll debits for individual staff as reflected on eduPay. This includes the actual cost of annual leave loading and all allowances, such as higher duties and special payments. Also included are non-cash benefits for teachers.</w:t>
      </w:r>
    </w:p>
    <w:bookmarkEnd w:id="38"/>
    <w:p w14:paraId="64278694" w14:textId="77777777" w:rsidR="009E615E" w:rsidRPr="004D307F" w:rsidRDefault="009E615E" w:rsidP="003F76E5">
      <w:pPr>
        <w:spacing w:before="100" w:beforeAutospacing="1" w:after="100" w:afterAutospacing="1" w:line="240" w:lineRule="auto"/>
        <w:rPr>
          <w:rFonts w:ascii="VIC" w:eastAsia="Times New Roman" w:hAnsi="VIC" w:cs="Times New Roman"/>
          <w:color w:val="011A3C"/>
          <w:sz w:val="24"/>
          <w:szCs w:val="24"/>
          <w:lang w:val="en" w:eastAsia="en-AU"/>
        </w:rPr>
      </w:pPr>
    </w:p>
    <w:p w14:paraId="437DFFEA" w14:textId="77777777" w:rsidR="005D5E2A" w:rsidRPr="004D307F" w:rsidRDefault="005D5E2A">
      <w:pPr>
        <w:rPr>
          <w:rFonts w:asciiTheme="majorHAnsi" w:eastAsia="Times New Roman" w:hAnsiTheme="majorHAnsi" w:cs="Times New Roman"/>
          <w:b/>
          <w:bCs/>
          <w:kern w:val="36"/>
          <w:sz w:val="48"/>
          <w:szCs w:val="48"/>
          <w:lang w:eastAsia="en-AU"/>
        </w:rPr>
      </w:pPr>
      <w:r w:rsidRPr="004D307F">
        <w:br w:type="page"/>
      </w:r>
    </w:p>
    <w:p w14:paraId="3DD39C0E" w14:textId="75AE814B" w:rsidR="000E377B" w:rsidRPr="004D307F" w:rsidRDefault="000E377B" w:rsidP="00B566E7">
      <w:pPr>
        <w:pStyle w:val="Heading2"/>
      </w:pPr>
      <w:bookmarkStart w:id="42" w:name="_Hlk76723291"/>
      <w:bookmarkStart w:id="43" w:name="_Toc106793761"/>
      <w:r w:rsidRPr="004D307F">
        <w:lastRenderedPageBreak/>
        <w:t xml:space="preserve">Disability Inclusion Tier 2 School Level Funding </w:t>
      </w:r>
      <w:bookmarkEnd w:id="42"/>
      <w:r w:rsidRPr="004D307F">
        <w:t>(Reference 137)</w:t>
      </w:r>
      <w:bookmarkEnd w:id="43"/>
    </w:p>
    <w:p w14:paraId="61BAA8B7" w14:textId="77777777" w:rsidR="00AF025A" w:rsidRPr="004D307F" w:rsidRDefault="00AF025A" w:rsidP="00AF025A">
      <w:pPr>
        <w:rPr>
          <w:lang w:val="en" w:eastAsia="en-AU"/>
        </w:rPr>
      </w:pPr>
    </w:p>
    <w:p w14:paraId="7A16A2AB" w14:textId="5BC7D986" w:rsidR="000E377B" w:rsidRPr="004D307F" w:rsidRDefault="000E377B" w:rsidP="004D307F">
      <w:pPr>
        <w:spacing w:before="120" w:after="120" w:line="360" w:lineRule="atLeast"/>
        <w:rPr>
          <w:rFonts w:ascii="VIC" w:eastAsia="Arial" w:hAnsi="VIC" w:cs="Times New Roman"/>
          <w:color w:val="9454C3"/>
          <w:sz w:val="24"/>
          <w:szCs w:val="24"/>
          <w:u w:val="single"/>
          <w:lang w:val="en-GB"/>
        </w:rPr>
      </w:pPr>
      <w:r w:rsidRPr="004D307F">
        <w:rPr>
          <w:rFonts w:ascii="VIC" w:eastAsia="Arial" w:hAnsi="VIC" w:cs="Times New Roman"/>
          <w:color w:val="011A3C"/>
          <w:sz w:val="24"/>
          <w:szCs w:val="24"/>
          <w:lang w:val="en-GB"/>
        </w:rPr>
        <w:t>The Disability Inclusion reform package will introduce a new funding and support model for students with disability over a staged rollout between 2021 to 2025. Refer to:</w:t>
      </w:r>
      <w:r w:rsidRPr="004D307F">
        <w:rPr>
          <w:rFonts w:ascii="VIC" w:eastAsia="Arial" w:hAnsi="VIC" w:cs="Times New Roman"/>
          <w:color w:val="011A3C"/>
          <w:szCs w:val="24"/>
          <w:lang w:val="en-GB"/>
        </w:rPr>
        <w:t xml:space="preserve"> </w:t>
      </w:r>
      <w:r w:rsidRPr="004D307F">
        <w:rPr>
          <w:rFonts w:ascii="VIC" w:eastAsia="Arial" w:hAnsi="VIC" w:cs="Times New Roman"/>
          <w:sz w:val="24"/>
          <w:szCs w:val="24"/>
          <w:lang w:val="en-GB"/>
        </w:rPr>
        <w:fldChar w:fldCharType="begin"/>
      </w:r>
      <w:r w:rsidRPr="004D307F">
        <w:rPr>
          <w:rFonts w:ascii="VIC" w:eastAsia="Arial" w:hAnsi="VIC" w:cs="Times New Roman"/>
          <w:sz w:val="24"/>
          <w:szCs w:val="24"/>
          <w:lang w:val="en-GB"/>
        </w:rPr>
        <w:instrText xml:space="preserve"> HYPERLINK "https://www2.education.vic.gov.au/pal/disability-inclusion-funding-support/policy" </w:instrText>
      </w:r>
      <w:r w:rsidRPr="004D307F">
        <w:rPr>
          <w:rFonts w:ascii="VIC" w:eastAsia="Arial" w:hAnsi="VIC" w:cs="Times New Roman"/>
          <w:sz w:val="24"/>
          <w:szCs w:val="24"/>
          <w:lang w:val="en-GB"/>
        </w:rPr>
        <w:fldChar w:fldCharType="separate"/>
      </w:r>
      <w:r w:rsidRPr="004318A7">
        <w:rPr>
          <w:rStyle w:val="Hyperlink"/>
          <w:rFonts w:ascii="VIC" w:hAnsi="VIC"/>
          <w:sz w:val="24"/>
          <w:szCs w:val="24"/>
        </w:rPr>
        <w:t>Disability Inclusion Funding and Support</w:t>
      </w:r>
      <w:r w:rsidR="004318A7">
        <w:rPr>
          <w:rStyle w:val="Hyperlink"/>
          <w:rFonts w:ascii="VIC" w:hAnsi="VIC"/>
          <w:sz w:val="24"/>
          <w:szCs w:val="24"/>
        </w:rPr>
        <w:t>.</w:t>
      </w:r>
    </w:p>
    <w:p w14:paraId="516B754D"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sz w:val="24"/>
          <w:szCs w:val="24"/>
          <w:lang w:val="en-GB"/>
        </w:rPr>
        <w:fldChar w:fldCharType="end"/>
      </w:r>
      <w:r w:rsidRPr="004D307F">
        <w:rPr>
          <w:rFonts w:ascii="VIC" w:eastAsia="Arial" w:hAnsi="VIC" w:cs="Times New Roman"/>
          <w:color w:val="011A3C"/>
          <w:sz w:val="24"/>
          <w:szCs w:val="24"/>
          <w:lang w:val="en-GB"/>
        </w:rPr>
        <w:t xml:space="preserve">Tier 2 school-level funding builds on the </w:t>
      </w:r>
      <w:hyperlink r:id="rId68" w:history="1">
        <w:r w:rsidRPr="004D307F">
          <w:rPr>
            <w:rStyle w:val="Hyperlink"/>
            <w:rFonts w:ascii="VIC" w:eastAsia="Arial" w:hAnsi="VIC" w:cs="Times New Roman"/>
            <w:sz w:val="24"/>
            <w:szCs w:val="24"/>
            <w:lang w:val="en-GB"/>
          </w:rPr>
          <w:t>Core student learning allocation</w:t>
        </w:r>
      </w:hyperlink>
      <w:r w:rsidRPr="004D307F">
        <w:rPr>
          <w:rFonts w:ascii="VIC" w:eastAsia="Arial" w:hAnsi="VIC" w:cs="Times New Roman"/>
          <w:color w:val="011A3C"/>
          <w:sz w:val="24"/>
          <w:szCs w:val="24"/>
          <w:lang w:val="en-GB"/>
        </w:rPr>
        <w:t xml:space="preserve"> funding by recognising that additional funding will further strengthen school capacity (staff time and resources) and capability (staff skills and knowledge) to better meet the needs of students with disability. This also recognises that to meet the diverse needs of students with disability, increasing frequency and intensity of support can be required.</w:t>
      </w:r>
    </w:p>
    <w:p w14:paraId="227FFC7E"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It is important to note that Tier 2 school level funding builds on the quality teaching and differentiated practice for all students, including students with disability delivered through Core student learning allocation funding.</w:t>
      </w:r>
    </w:p>
    <w:p w14:paraId="2306285F"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 xml:space="preserve">Schools will use Tier 2 funding to develop more inclusive education environments, with flexibility to tailor support to their local context and needs of their student cohort. </w:t>
      </w:r>
      <w:r w:rsidRPr="004D307F">
        <w:rPr>
          <w:rFonts w:ascii="VIC" w:eastAsia="Times New Roman" w:hAnsi="VIC" w:cs="Times New Roman"/>
          <w:color w:val="011A3C"/>
          <w:sz w:val="24"/>
          <w:szCs w:val="24"/>
          <w:lang w:eastAsia="en-AU"/>
        </w:rPr>
        <w:t>Refer to the</w:t>
      </w:r>
      <w:r w:rsidRPr="004D307F">
        <w:rPr>
          <w:rFonts w:ascii="Calibri" w:eastAsia="Times New Roman" w:hAnsi="Calibri" w:cs="Calibri" w:hint="eastAsia"/>
          <w:color w:val="011A3C"/>
          <w:sz w:val="24"/>
          <w:szCs w:val="24"/>
          <w:lang w:eastAsia="en-AU"/>
        </w:rPr>
        <w:t> </w:t>
      </w:r>
      <w:hyperlink r:id="rId69" w:history="1">
        <w:r w:rsidRPr="004318A7">
          <w:rPr>
            <w:rStyle w:val="Hyperlink"/>
            <w:rFonts w:ascii="VIC" w:hAnsi="VIC"/>
            <w:sz w:val="24"/>
            <w:szCs w:val="24"/>
          </w:rPr>
          <w:t>Disability Inclusion Funding and Support Guidance tab</w:t>
        </w:r>
      </w:hyperlink>
      <w:r w:rsidRPr="004D307F">
        <w:rPr>
          <w:rFonts w:ascii="VIC" w:eastAsia="Times New Roman" w:hAnsi="VIC" w:cs="Times New Roman"/>
          <w:color w:val="011A3C"/>
          <w:sz w:val="24"/>
          <w:szCs w:val="24"/>
          <w:lang w:eastAsia="en-AU"/>
        </w:rPr>
        <w:t xml:space="preserve"> for Tier 2 funding and support implementation.</w:t>
      </w:r>
    </w:p>
    <w:p w14:paraId="3E4779A3"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 xml:space="preserve">Schools must make reasonable adjustments to ensure that students with disability can access and participate in education on the same basis as students without disability, regardless of the availability of additional funding. Refer to: </w:t>
      </w:r>
      <w:hyperlink r:id="rId70" w:history="1">
        <w:r w:rsidRPr="004318A7">
          <w:rPr>
            <w:rStyle w:val="Hyperlink"/>
            <w:rFonts w:ascii="VIC" w:hAnsi="VIC"/>
            <w:sz w:val="24"/>
            <w:szCs w:val="24"/>
          </w:rPr>
          <w:t>Students with Disability</w:t>
        </w:r>
      </w:hyperlink>
      <w:r w:rsidRPr="004D307F">
        <w:rPr>
          <w:rFonts w:ascii="VIC" w:eastAsia="Arial" w:hAnsi="VIC" w:cs="Times New Roman"/>
          <w:color w:val="011A3C"/>
          <w:sz w:val="24"/>
          <w:szCs w:val="24"/>
          <w:lang w:val="en-GB"/>
        </w:rPr>
        <w:t>.</w:t>
      </w:r>
    </w:p>
    <w:p w14:paraId="7057A51C" w14:textId="77777777" w:rsidR="000E377B" w:rsidRPr="004D307F" w:rsidRDefault="000E377B" w:rsidP="004D307F">
      <w:pPr>
        <w:spacing w:before="100" w:beforeAutospacing="1" w:after="100" w:afterAutospacing="1" w:line="288" w:lineRule="atLeast"/>
        <w:outlineLvl w:val="3"/>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Eligibility</w:t>
      </w:r>
    </w:p>
    <w:p w14:paraId="6D662000"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The following school types are eligible for Tier 2 school-level funding:</w:t>
      </w:r>
    </w:p>
    <w:p w14:paraId="01E69185" w14:textId="77777777" w:rsidR="000E377B" w:rsidRPr="004D307F" w:rsidRDefault="000E377B" w:rsidP="00ED0863">
      <w:pPr>
        <w:numPr>
          <w:ilvl w:val="0"/>
          <w:numId w:val="157"/>
        </w:numPr>
        <w:spacing w:before="120" w:after="120" w:line="360" w:lineRule="atLeast"/>
        <w:ind w:left="714" w:hanging="357"/>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Primary</w:t>
      </w:r>
    </w:p>
    <w:p w14:paraId="056955FD" w14:textId="77777777" w:rsidR="000E377B" w:rsidRPr="004D307F" w:rsidRDefault="000E377B" w:rsidP="00ED0863">
      <w:pPr>
        <w:numPr>
          <w:ilvl w:val="0"/>
          <w:numId w:val="157"/>
        </w:numPr>
        <w:spacing w:before="120" w:after="120" w:line="360" w:lineRule="atLeast"/>
        <w:ind w:left="714" w:hanging="357"/>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Secondary</w:t>
      </w:r>
    </w:p>
    <w:p w14:paraId="35148702" w14:textId="77777777" w:rsidR="000E377B" w:rsidRPr="004D307F" w:rsidRDefault="000E377B" w:rsidP="00ED0863">
      <w:pPr>
        <w:numPr>
          <w:ilvl w:val="0"/>
          <w:numId w:val="157"/>
        </w:numPr>
        <w:spacing w:before="120" w:after="120" w:line="360" w:lineRule="atLeast"/>
        <w:ind w:left="714" w:hanging="357"/>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 xml:space="preserve">Primary/Secondary Combined </w:t>
      </w:r>
    </w:p>
    <w:p w14:paraId="6F8C15C1" w14:textId="77777777" w:rsidR="000E377B" w:rsidRPr="004D307F" w:rsidRDefault="000E377B" w:rsidP="00ED0863">
      <w:pPr>
        <w:numPr>
          <w:ilvl w:val="0"/>
          <w:numId w:val="157"/>
        </w:numPr>
        <w:spacing w:before="120" w:after="120" w:line="360" w:lineRule="atLeast"/>
        <w:ind w:left="714" w:hanging="357"/>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 xml:space="preserve">Specialist </w:t>
      </w:r>
    </w:p>
    <w:p w14:paraId="6C2B8D5A"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Funding is allocated as a credit and cash allocation.</w:t>
      </w:r>
    </w:p>
    <w:p w14:paraId="26EEF36E" w14:textId="77777777" w:rsidR="000E377B" w:rsidRPr="004D307F" w:rsidRDefault="000E377B" w:rsidP="004D307F">
      <w:pPr>
        <w:spacing w:before="100" w:beforeAutospacing="1" w:after="100" w:afterAutospacing="1" w:line="288" w:lineRule="atLeast"/>
        <w:outlineLvl w:val="3"/>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Tier 2 school-level formula</w:t>
      </w:r>
    </w:p>
    <w:p w14:paraId="37FD831A"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Tier 2 funding is calculated using a formula, which is comprised of two parts:</w:t>
      </w:r>
    </w:p>
    <w:p w14:paraId="139B4282" w14:textId="77777777" w:rsidR="000E377B" w:rsidRPr="004D307F" w:rsidRDefault="000E377B" w:rsidP="00ED0863">
      <w:pPr>
        <w:numPr>
          <w:ilvl w:val="0"/>
          <w:numId w:val="153"/>
        </w:numPr>
        <w:spacing w:before="120" w:after="120" w:line="360" w:lineRule="atLeast"/>
        <w:ind w:left="714" w:hanging="357"/>
        <w:contextualSpacing/>
        <w:jc w:val="both"/>
        <w:rPr>
          <w:rFonts w:ascii="VIC" w:eastAsia="Arial" w:hAnsi="VIC" w:cs="Times New Roman"/>
          <w:color w:val="011A3C"/>
          <w:sz w:val="24"/>
        </w:rPr>
      </w:pPr>
      <w:r w:rsidRPr="004D307F">
        <w:rPr>
          <w:rFonts w:ascii="VIC" w:eastAsia="Arial" w:hAnsi="VIC" w:cs="Times New Roman"/>
          <w:color w:val="011A3C"/>
          <w:sz w:val="24"/>
        </w:rPr>
        <w:lastRenderedPageBreak/>
        <w:t xml:space="preserve">Part 1: a </w:t>
      </w:r>
      <w:r w:rsidRPr="004D307F">
        <w:rPr>
          <w:rFonts w:ascii="VIC" w:eastAsia="Arial" w:hAnsi="VIC" w:cs="Times New Roman"/>
          <w:b/>
          <w:bCs/>
          <w:color w:val="011A3C"/>
          <w:sz w:val="24"/>
        </w:rPr>
        <w:t>base</w:t>
      </w:r>
      <w:r w:rsidRPr="004D307F">
        <w:rPr>
          <w:rFonts w:ascii="VIC" w:eastAsia="Arial" w:hAnsi="VIC" w:cs="Times New Roman"/>
          <w:color w:val="011A3C"/>
          <w:sz w:val="24"/>
        </w:rPr>
        <w:t xml:space="preserve"> funding component, which ensures all schools have a basic level of resources required to enhance overall school-level capacity to provide inclusive education and engage in new Disability Inclusion processes.</w:t>
      </w:r>
    </w:p>
    <w:p w14:paraId="46532255" w14:textId="77777777" w:rsidR="000E377B" w:rsidRPr="004D307F" w:rsidRDefault="000E377B" w:rsidP="00ED0863">
      <w:pPr>
        <w:numPr>
          <w:ilvl w:val="0"/>
          <w:numId w:val="153"/>
        </w:numPr>
        <w:spacing w:before="120" w:after="120" w:line="360" w:lineRule="atLeast"/>
        <w:ind w:left="714" w:hanging="357"/>
        <w:jc w:val="both"/>
        <w:rPr>
          <w:rFonts w:ascii="VIC" w:eastAsia="Arial" w:hAnsi="VIC" w:cs="Times New Roman"/>
          <w:color w:val="011A3C"/>
          <w:sz w:val="24"/>
        </w:rPr>
      </w:pPr>
      <w:r w:rsidRPr="004D307F">
        <w:rPr>
          <w:rFonts w:ascii="VIC" w:eastAsia="Arial" w:hAnsi="VIC" w:cs="Times New Roman"/>
          <w:color w:val="011A3C"/>
          <w:sz w:val="24"/>
        </w:rPr>
        <w:t xml:space="preserve">Part 2: a </w:t>
      </w:r>
      <w:r w:rsidRPr="004D307F">
        <w:rPr>
          <w:rFonts w:ascii="VIC" w:eastAsia="Arial" w:hAnsi="VIC" w:cs="Times New Roman"/>
          <w:b/>
          <w:bCs/>
          <w:color w:val="011A3C"/>
          <w:sz w:val="24"/>
        </w:rPr>
        <w:t>variable</w:t>
      </w:r>
      <w:r w:rsidRPr="004D307F">
        <w:rPr>
          <w:rFonts w:ascii="VIC" w:eastAsia="Arial" w:hAnsi="VIC" w:cs="Times New Roman"/>
          <w:color w:val="011A3C"/>
          <w:sz w:val="24"/>
        </w:rPr>
        <w:t xml:space="preserve"> funding component, which builds on the base component to provide additional resources calculated based on the school</w:t>
      </w:r>
      <w:r w:rsidRPr="004D307F">
        <w:rPr>
          <w:rFonts w:ascii="VIC" w:eastAsia="Arial" w:hAnsi="VIC" w:cs="Times New Roman" w:hint="eastAsia"/>
          <w:color w:val="011A3C"/>
          <w:sz w:val="24"/>
        </w:rPr>
        <w:t>’</w:t>
      </w:r>
      <w:r w:rsidRPr="004D307F">
        <w:rPr>
          <w:rFonts w:ascii="VIC" w:eastAsia="Arial" w:hAnsi="VIC" w:cs="Times New Roman"/>
          <w:color w:val="011A3C"/>
          <w:sz w:val="24"/>
        </w:rPr>
        <w:t>s characteristics, to support schools to further enhance capacity and strengthen adjustments for students with disability. This means schools will have resources to continue to build school capacity in line with their unique school attributes. Funding in this component varies across schools based on the estimated prevalence of need for adjustment at a school level.</w:t>
      </w:r>
    </w:p>
    <w:p w14:paraId="7E58FE0D" w14:textId="77777777" w:rsidR="000E377B" w:rsidRPr="004D307F" w:rsidRDefault="000E377B" w:rsidP="004D307F">
      <w:pPr>
        <w:spacing w:before="120" w:after="120" w:line="360" w:lineRule="atLeast"/>
        <w:outlineLvl w:val="2"/>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Part 1: Base funding component</w:t>
      </w:r>
    </w:p>
    <w:p w14:paraId="369F2D54" w14:textId="77777777" w:rsidR="00400982" w:rsidRPr="004D307F" w:rsidRDefault="00400982" w:rsidP="004D307F">
      <w:pPr>
        <w:spacing w:before="120" w:after="120" w:line="360" w:lineRule="atLeast"/>
        <w:rPr>
          <w:rFonts w:ascii="VIC" w:eastAsia="Arial" w:hAnsi="VIC" w:cs="Times New Roman"/>
          <w:color w:val="011A3C"/>
          <w:sz w:val="24"/>
          <w:szCs w:val="24"/>
          <w:lang w:val="en-GB" w:eastAsia="en-AU"/>
        </w:rPr>
      </w:pPr>
      <w:r w:rsidRPr="004D307F">
        <w:rPr>
          <w:rFonts w:ascii="VIC" w:eastAsia="Arial" w:hAnsi="VIC" w:cs="Times New Roman"/>
          <w:color w:val="011A3C"/>
          <w:sz w:val="24"/>
          <w:szCs w:val="24"/>
          <w:lang w:val="en-GB" w:eastAsia="en-AU"/>
        </w:rPr>
        <w:t xml:space="preserve">This component allocates each school a </w:t>
      </w:r>
      <w:r w:rsidRPr="004D307F">
        <w:rPr>
          <w:rFonts w:ascii="VIC" w:eastAsia="Arial" w:hAnsi="VIC" w:cs="Times New Roman" w:hint="eastAsia"/>
          <w:color w:val="011A3C"/>
          <w:sz w:val="24"/>
          <w:szCs w:val="24"/>
          <w:lang w:val="en-GB" w:eastAsia="en-AU"/>
        </w:rPr>
        <w:t>‘</w:t>
      </w:r>
      <w:r w:rsidRPr="004D307F">
        <w:rPr>
          <w:rFonts w:ascii="VIC" w:eastAsia="Arial" w:hAnsi="VIC" w:cs="Times New Roman"/>
          <w:color w:val="011A3C"/>
          <w:sz w:val="24"/>
          <w:szCs w:val="24"/>
          <w:lang w:val="en-GB" w:eastAsia="en-AU"/>
        </w:rPr>
        <w:t>base amount</w:t>
      </w:r>
      <w:r w:rsidRPr="004D307F">
        <w:rPr>
          <w:rFonts w:ascii="VIC" w:eastAsia="Arial" w:hAnsi="VIC" w:cs="Times New Roman" w:hint="eastAsia"/>
          <w:color w:val="011A3C"/>
          <w:sz w:val="24"/>
          <w:szCs w:val="24"/>
          <w:lang w:val="en-GB" w:eastAsia="en-AU"/>
        </w:rPr>
        <w:t>’</w:t>
      </w:r>
      <w:r w:rsidRPr="004D307F">
        <w:rPr>
          <w:rFonts w:ascii="VIC" w:eastAsia="Arial" w:hAnsi="VIC" w:cs="Times New Roman"/>
          <w:color w:val="011A3C"/>
          <w:sz w:val="24"/>
          <w:szCs w:val="24"/>
          <w:lang w:val="en-GB" w:eastAsia="en-AU"/>
        </w:rPr>
        <w:t xml:space="preserve"> based on enrolments that increases linearly up to 100 enrolments, as outlined below:</w:t>
      </w:r>
    </w:p>
    <w:p w14:paraId="139AC9A8" w14:textId="77777777" w:rsidR="00400982" w:rsidRPr="004D307F" w:rsidRDefault="00400982" w:rsidP="00ED0863">
      <w:pPr>
        <w:pStyle w:val="ListParagraph"/>
        <w:numPr>
          <w:ilvl w:val="0"/>
          <w:numId w:val="165"/>
        </w:numPr>
        <w:spacing w:before="120" w:after="120" w:line="360" w:lineRule="atLeast"/>
        <w:rPr>
          <w:rFonts w:ascii="VIC" w:eastAsia="Arial" w:hAnsi="VIC" w:cs="Times New Roman"/>
          <w:color w:val="011A3C"/>
          <w:sz w:val="24"/>
          <w:szCs w:val="24"/>
          <w:lang w:val="en-GB" w:eastAsia="en-AU"/>
        </w:rPr>
      </w:pPr>
      <w:r w:rsidRPr="004D307F">
        <w:rPr>
          <w:rFonts w:ascii="VIC" w:eastAsia="Arial" w:hAnsi="VIC" w:cs="Times New Roman"/>
          <w:color w:val="011A3C"/>
          <w:sz w:val="24"/>
          <w:szCs w:val="24"/>
          <w:lang w:val="en-GB" w:eastAsia="en-AU"/>
        </w:rPr>
        <w:t>schools with 5 students or less, the base amount is $5,202</w:t>
      </w:r>
    </w:p>
    <w:p w14:paraId="3436F937" w14:textId="77777777" w:rsidR="00400982" w:rsidRPr="004D307F" w:rsidRDefault="00400982" w:rsidP="00ED0863">
      <w:pPr>
        <w:pStyle w:val="ListParagraph"/>
        <w:numPr>
          <w:ilvl w:val="0"/>
          <w:numId w:val="165"/>
        </w:numPr>
        <w:spacing w:before="120" w:after="120" w:line="360" w:lineRule="atLeast"/>
        <w:rPr>
          <w:rFonts w:ascii="VIC" w:eastAsia="Arial" w:hAnsi="VIC" w:cs="Times New Roman"/>
          <w:color w:val="011A3C"/>
          <w:sz w:val="24"/>
          <w:szCs w:val="24"/>
          <w:lang w:val="en-GB" w:eastAsia="en-AU"/>
        </w:rPr>
      </w:pPr>
      <w:r w:rsidRPr="004D307F">
        <w:rPr>
          <w:rFonts w:ascii="VIC" w:eastAsia="Arial" w:hAnsi="VIC" w:cs="Times New Roman"/>
          <w:color w:val="011A3C"/>
          <w:sz w:val="24"/>
          <w:szCs w:val="24"/>
          <w:lang w:val="en-GB" w:eastAsia="en-AU"/>
        </w:rPr>
        <w:t xml:space="preserve">schools with between 6 and 99 enrolments, the base amount is $5,202 + (number enrolments − 5) </w:t>
      </w:r>
      <w:r w:rsidRPr="004D307F">
        <w:rPr>
          <w:rFonts w:ascii="VIC" w:eastAsia="Arial" w:hAnsi="VIC" w:cs="Times New Roman" w:hint="eastAsia"/>
          <w:color w:val="011A3C"/>
          <w:sz w:val="24"/>
          <w:szCs w:val="24"/>
          <w:lang w:val="en-GB" w:eastAsia="en-AU"/>
        </w:rPr>
        <w:t>×</w:t>
      </w:r>
      <w:r w:rsidRPr="004D307F">
        <w:rPr>
          <w:rFonts w:ascii="VIC" w:eastAsia="Arial" w:hAnsi="VIC" w:cs="Times New Roman"/>
          <w:color w:val="011A3C"/>
          <w:sz w:val="24"/>
          <w:szCs w:val="24"/>
          <w:lang w:val="en-GB" w:eastAsia="en-AU"/>
        </w:rPr>
        <w:t xml:space="preserve"> $273.79</w:t>
      </w:r>
    </w:p>
    <w:p w14:paraId="3C037BE3" w14:textId="77777777" w:rsidR="00400982" w:rsidRPr="004D307F" w:rsidRDefault="00400982" w:rsidP="00ED0863">
      <w:pPr>
        <w:pStyle w:val="ListParagraph"/>
        <w:numPr>
          <w:ilvl w:val="0"/>
          <w:numId w:val="165"/>
        </w:numPr>
        <w:spacing w:before="120" w:after="120" w:line="360" w:lineRule="atLeast"/>
        <w:rPr>
          <w:rFonts w:ascii="VIC" w:eastAsia="Arial" w:hAnsi="VIC" w:cs="Times New Roman"/>
          <w:color w:val="011A3C"/>
          <w:sz w:val="24"/>
          <w:szCs w:val="24"/>
          <w:lang w:val="en-GB" w:eastAsia="en-AU"/>
        </w:rPr>
      </w:pPr>
      <w:r w:rsidRPr="004D307F">
        <w:rPr>
          <w:rFonts w:ascii="VIC" w:eastAsia="Arial" w:hAnsi="VIC" w:cs="Times New Roman"/>
          <w:color w:val="011A3C"/>
          <w:sz w:val="24"/>
          <w:szCs w:val="24"/>
          <w:lang w:val="en-GB" w:eastAsia="en-AU"/>
        </w:rPr>
        <w:t>schools with 100 students or more, the base amount is capped at a maximum of $31,212*.</w:t>
      </w:r>
    </w:p>
    <w:p w14:paraId="6CB48330" w14:textId="77777777" w:rsidR="00400982" w:rsidRPr="004D307F" w:rsidRDefault="00400982" w:rsidP="004D307F">
      <w:pPr>
        <w:spacing w:before="120" w:after="120" w:line="360" w:lineRule="atLeast"/>
        <w:rPr>
          <w:rFonts w:ascii="VIC" w:eastAsia="Arial" w:hAnsi="VIC" w:cs="Times New Roman"/>
          <w:color w:val="011A3C"/>
          <w:sz w:val="24"/>
          <w:szCs w:val="24"/>
          <w:lang w:val="en-GB" w:eastAsia="en-AU"/>
        </w:rPr>
      </w:pPr>
      <w:r w:rsidRPr="004D307F">
        <w:rPr>
          <w:rFonts w:ascii="VIC" w:eastAsia="Arial" w:hAnsi="VIC" w:cs="Times New Roman"/>
          <w:color w:val="011A3C"/>
          <w:sz w:val="24"/>
          <w:szCs w:val="24"/>
          <w:lang w:val="en-GB" w:eastAsia="en-AU"/>
        </w:rPr>
        <w:t>*Due to their special circumstances, the capping of $31,212 will not apply to the total base allocation of a mainstream school which also has a special development campus. The base allocation will be calculated separately for enrolments of special development campuses of mainstream schools.</w:t>
      </w:r>
    </w:p>
    <w:p w14:paraId="0A1DA5B6" w14:textId="77777777" w:rsidR="000E377B" w:rsidRPr="004D307F" w:rsidRDefault="000E377B" w:rsidP="004D307F">
      <w:pPr>
        <w:spacing w:before="120" w:after="120" w:line="360" w:lineRule="atLeast"/>
        <w:outlineLvl w:val="2"/>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Part 2: Variable funding component</w:t>
      </w:r>
    </w:p>
    <w:p w14:paraId="2E6AF0D0" w14:textId="77777777" w:rsidR="000E377B" w:rsidRPr="004D307F" w:rsidRDefault="000E377B" w:rsidP="004D307F">
      <w:pPr>
        <w:spacing w:before="120" w:after="120" w:line="360" w:lineRule="atLeast"/>
        <w:rPr>
          <w:rFonts w:ascii="VIC" w:eastAsia="Arial" w:hAnsi="VIC" w:cs="Times New Roman"/>
          <w:color w:val="011A3C"/>
          <w:sz w:val="24"/>
          <w:szCs w:val="24"/>
          <w:lang w:val="en-GB" w:eastAsia="en-AU"/>
        </w:rPr>
      </w:pPr>
      <w:r w:rsidRPr="004D307F">
        <w:rPr>
          <w:rFonts w:ascii="VIC" w:eastAsia="Arial" w:hAnsi="VIC" w:cs="Times New Roman"/>
          <w:color w:val="011A3C"/>
          <w:sz w:val="24"/>
          <w:szCs w:val="24"/>
          <w:lang w:val="en-GB" w:eastAsia="en-AU"/>
        </w:rPr>
        <w:t>The variable funding component takes the characteristics of students in a school and uses these measures to calculate an allocation of funding. This component is calculated based on:</w:t>
      </w:r>
    </w:p>
    <w:p w14:paraId="57A53028" w14:textId="77777777" w:rsidR="000E377B" w:rsidRPr="004D307F" w:rsidRDefault="000E377B" w:rsidP="00ED0863">
      <w:pPr>
        <w:numPr>
          <w:ilvl w:val="0"/>
          <w:numId w:val="154"/>
        </w:numPr>
        <w:spacing w:before="120" w:after="120" w:line="360" w:lineRule="atLeast"/>
        <w:contextualSpacing/>
        <w:rPr>
          <w:rFonts w:ascii="VIC" w:eastAsia="Arial" w:hAnsi="VIC" w:cs="Times New Roman"/>
          <w:color w:val="011A3C"/>
          <w:sz w:val="24"/>
          <w:lang w:eastAsia="en-AU"/>
        </w:rPr>
      </w:pPr>
      <w:r w:rsidRPr="004D307F">
        <w:rPr>
          <w:rFonts w:ascii="VIC" w:eastAsia="Arial" w:hAnsi="VIC" w:cs="Times New Roman"/>
          <w:color w:val="011A3C"/>
          <w:sz w:val="24"/>
          <w:lang w:eastAsia="en-AU"/>
        </w:rPr>
        <w:t>An index, calculated using statistical weights based on:</w:t>
      </w:r>
    </w:p>
    <w:p w14:paraId="77354B24" w14:textId="77777777" w:rsidR="000E377B" w:rsidRPr="004D307F" w:rsidRDefault="000E377B" w:rsidP="00ED0863">
      <w:pPr>
        <w:numPr>
          <w:ilvl w:val="0"/>
          <w:numId w:val="155"/>
        </w:numPr>
        <w:spacing w:before="120" w:after="120" w:line="360" w:lineRule="atLeast"/>
        <w:contextualSpacing/>
        <w:rPr>
          <w:rFonts w:ascii="VIC" w:eastAsia="Arial" w:hAnsi="VIC" w:cs="Times New Roman"/>
          <w:color w:val="011A3C"/>
          <w:sz w:val="24"/>
          <w:lang w:eastAsia="en-AU"/>
        </w:rPr>
      </w:pPr>
      <w:r w:rsidRPr="004D307F">
        <w:rPr>
          <w:rFonts w:ascii="VIC" w:eastAsia="Arial" w:hAnsi="VIC" w:cs="Times New Roman"/>
          <w:color w:val="011A3C"/>
          <w:sz w:val="24"/>
          <w:lang w:eastAsia="en-AU"/>
        </w:rPr>
        <w:t xml:space="preserve">Student Family Education (SFE) </w:t>
      </w:r>
      <w:r w:rsidRPr="004D307F">
        <w:rPr>
          <w:rFonts w:ascii="VIC" w:eastAsia="Arial" w:hAnsi="VIC" w:cs="Times New Roman" w:hint="eastAsia"/>
          <w:color w:val="011A3C"/>
          <w:sz w:val="24"/>
          <w:lang w:eastAsia="en-AU"/>
        </w:rPr>
        <w:t>–</w:t>
      </w:r>
      <w:r w:rsidRPr="004D307F">
        <w:rPr>
          <w:rFonts w:ascii="VIC" w:eastAsia="Arial" w:hAnsi="VIC" w:cs="Times New Roman"/>
          <w:color w:val="011A3C"/>
          <w:sz w:val="24"/>
          <w:lang w:eastAsia="en-AU"/>
        </w:rPr>
        <w:t xml:space="preserve"> which is an indicator of socio-educational disadvantage</w:t>
      </w:r>
    </w:p>
    <w:p w14:paraId="52909166" w14:textId="77777777" w:rsidR="000E377B" w:rsidRPr="004D307F" w:rsidRDefault="000E377B" w:rsidP="00ED0863">
      <w:pPr>
        <w:numPr>
          <w:ilvl w:val="0"/>
          <w:numId w:val="155"/>
        </w:numPr>
        <w:spacing w:before="120" w:after="120" w:line="360" w:lineRule="atLeast"/>
        <w:contextualSpacing/>
        <w:rPr>
          <w:rFonts w:ascii="VIC" w:eastAsia="Arial" w:hAnsi="VIC" w:cs="Times New Roman"/>
          <w:color w:val="011A3C"/>
          <w:sz w:val="24"/>
          <w:lang w:eastAsia="en-AU"/>
        </w:rPr>
      </w:pPr>
      <w:r w:rsidRPr="004D307F">
        <w:rPr>
          <w:rFonts w:ascii="VIC" w:eastAsia="Arial" w:hAnsi="VIC" w:cs="Times New Roman"/>
          <w:color w:val="011A3C"/>
          <w:sz w:val="24"/>
          <w:lang w:eastAsia="en-AU"/>
        </w:rPr>
        <w:t>School type (primary)</w:t>
      </w:r>
    </w:p>
    <w:p w14:paraId="0F26D07F" w14:textId="77777777" w:rsidR="000E377B" w:rsidRPr="004D307F" w:rsidRDefault="000E377B" w:rsidP="00ED0863">
      <w:pPr>
        <w:numPr>
          <w:ilvl w:val="0"/>
          <w:numId w:val="155"/>
        </w:numPr>
        <w:spacing w:before="120" w:after="120" w:line="360" w:lineRule="atLeast"/>
        <w:contextualSpacing/>
        <w:rPr>
          <w:rFonts w:ascii="VIC" w:eastAsia="Arial" w:hAnsi="VIC" w:cs="Times New Roman"/>
          <w:color w:val="011A3C"/>
          <w:sz w:val="24"/>
          <w:lang w:eastAsia="en-AU"/>
        </w:rPr>
      </w:pPr>
      <w:r w:rsidRPr="004D307F">
        <w:rPr>
          <w:rFonts w:ascii="VIC" w:eastAsia="Arial" w:hAnsi="VIC" w:cs="Times New Roman"/>
          <w:color w:val="011A3C"/>
          <w:sz w:val="24"/>
          <w:lang w:eastAsia="en-AU"/>
        </w:rPr>
        <w:t>School size (small school with less than 100 enrolments)</w:t>
      </w:r>
    </w:p>
    <w:p w14:paraId="5F1954D4" w14:textId="77777777" w:rsidR="000E377B" w:rsidRPr="004D307F" w:rsidRDefault="000E377B" w:rsidP="00ED0863">
      <w:pPr>
        <w:numPr>
          <w:ilvl w:val="0"/>
          <w:numId w:val="154"/>
        </w:numPr>
        <w:spacing w:before="120" w:after="120" w:line="360" w:lineRule="atLeast"/>
        <w:contextualSpacing/>
        <w:rPr>
          <w:rFonts w:ascii="VIC" w:eastAsia="Arial" w:hAnsi="VIC" w:cs="Times New Roman"/>
          <w:color w:val="011A3C"/>
          <w:sz w:val="24"/>
          <w:lang w:eastAsia="en-AU"/>
        </w:rPr>
      </w:pPr>
      <w:r w:rsidRPr="004D307F">
        <w:rPr>
          <w:rFonts w:ascii="VIC" w:eastAsia="Arial" w:hAnsi="VIC" w:cs="Times New Roman"/>
          <w:color w:val="011A3C"/>
          <w:sz w:val="24"/>
          <w:lang w:eastAsia="en-AU"/>
        </w:rPr>
        <w:t>number of enrolled students</w:t>
      </w:r>
    </w:p>
    <w:p w14:paraId="69D827CC" w14:textId="77777777" w:rsidR="000E377B" w:rsidRPr="004D307F" w:rsidRDefault="000E377B" w:rsidP="00ED0863">
      <w:pPr>
        <w:numPr>
          <w:ilvl w:val="0"/>
          <w:numId w:val="154"/>
        </w:numPr>
        <w:spacing w:before="120" w:after="120" w:line="360" w:lineRule="atLeast"/>
        <w:contextualSpacing/>
        <w:rPr>
          <w:rFonts w:ascii="VIC" w:eastAsia="Arial" w:hAnsi="VIC" w:cs="Times New Roman"/>
          <w:color w:val="011A3C"/>
          <w:sz w:val="24"/>
          <w:lang w:eastAsia="en-AU"/>
        </w:rPr>
      </w:pPr>
      <w:r w:rsidRPr="004D307F">
        <w:rPr>
          <w:rFonts w:ascii="VIC" w:eastAsia="Arial" w:hAnsi="VIC" w:cs="Times New Roman"/>
          <w:color w:val="011A3C"/>
          <w:sz w:val="24"/>
          <w:lang w:eastAsia="en-AU"/>
        </w:rPr>
        <w:t>a variable funding rate</w:t>
      </w:r>
    </w:p>
    <w:p w14:paraId="247BB4B2"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lastRenderedPageBreak/>
        <w:t>The index value is multiplied by the number of enrolments in the school and the variable funding rate to calculate the school-level funding amount.</w:t>
      </w:r>
    </w:p>
    <w:p w14:paraId="38CFE69C" w14:textId="77777777" w:rsidR="000E377B" w:rsidRPr="004D307F" w:rsidRDefault="000E377B" w:rsidP="004D307F">
      <w:pPr>
        <w:spacing w:before="100" w:beforeAutospacing="1" w:after="100" w:afterAutospacing="1" w:line="360" w:lineRule="atLeast"/>
        <w:outlineLvl w:val="2"/>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Index Calculation</w:t>
      </w:r>
    </w:p>
    <w:p w14:paraId="1ACEAF43"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The index is calculated using the weights for the index categories outlined in Table 1 below. The weights are used directly within the funding formula.</w:t>
      </w:r>
    </w:p>
    <w:p w14:paraId="062666D9"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 xml:space="preserve">For SFE, the weight is multiplied by the share of students in each SFE category (SFE 1 </w:t>
      </w:r>
      <w:r w:rsidRPr="004D307F">
        <w:rPr>
          <w:rFonts w:ascii="VIC" w:eastAsia="Arial" w:hAnsi="VIC" w:cs="Times New Roman" w:hint="eastAsia"/>
          <w:color w:val="011A3C"/>
          <w:sz w:val="24"/>
          <w:szCs w:val="24"/>
          <w:lang w:val="en-GB"/>
        </w:rPr>
        <w:t>–</w:t>
      </w:r>
      <w:r w:rsidRPr="004D307F">
        <w:rPr>
          <w:rFonts w:ascii="VIC" w:eastAsia="Arial" w:hAnsi="VIC" w:cs="Times New Roman"/>
          <w:color w:val="011A3C"/>
          <w:sz w:val="24"/>
          <w:szCs w:val="24"/>
          <w:lang w:val="en-GB"/>
        </w:rPr>
        <w:t xml:space="preserve"> SFE 7). </w:t>
      </w:r>
    </w:p>
    <w:p w14:paraId="0A444D94"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Weights result in the allocation of relatively more funding to schools with those attributes.</w:t>
      </w:r>
    </w:p>
    <w:p w14:paraId="5A150C88" w14:textId="2E814788" w:rsidR="00AF025A"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Each school</w:t>
      </w:r>
      <w:r w:rsidRPr="004D307F">
        <w:rPr>
          <w:rFonts w:ascii="VIC" w:eastAsia="Arial" w:hAnsi="VIC" w:cs="Times New Roman" w:hint="eastAsia"/>
          <w:color w:val="011A3C"/>
          <w:sz w:val="24"/>
          <w:szCs w:val="24"/>
          <w:lang w:val="en-GB"/>
        </w:rPr>
        <w:t>’</w:t>
      </w:r>
      <w:r w:rsidRPr="004D307F">
        <w:rPr>
          <w:rFonts w:ascii="VIC" w:eastAsia="Arial" w:hAnsi="VIC" w:cs="Times New Roman"/>
          <w:color w:val="011A3C"/>
          <w:sz w:val="24"/>
          <w:szCs w:val="24"/>
          <w:lang w:val="en-GB"/>
        </w:rPr>
        <w:t>s index value is updated each year based on the latest available data.</w:t>
      </w:r>
    </w:p>
    <w:p w14:paraId="15F7334C" w14:textId="39E8653A" w:rsidR="000E377B" w:rsidRPr="004D307F" w:rsidRDefault="000E377B" w:rsidP="004D307F">
      <w:pPr>
        <w:spacing w:before="120" w:after="200" w:line="360" w:lineRule="atLeast"/>
        <w:rPr>
          <w:rFonts w:ascii="VIC" w:eastAsia="Arial" w:hAnsi="VIC" w:cs="Times New Roman"/>
          <w:i/>
          <w:iCs/>
          <w:color w:val="011A3C"/>
          <w:sz w:val="24"/>
          <w:szCs w:val="24"/>
        </w:rPr>
      </w:pPr>
      <w:r w:rsidRPr="004D307F">
        <w:rPr>
          <w:rFonts w:ascii="VIC" w:eastAsia="Arial" w:hAnsi="VIC" w:cs="Times New Roman"/>
          <w:i/>
          <w:iCs/>
          <w:color w:val="011A3C"/>
          <w:sz w:val="24"/>
          <w:szCs w:val="24"/>
          <w:lang w:val="en-GB"/>
        </w:rPr>
        <w:t xml:space="preserve">Table </w:t>
      </w:r>
      <w:r w:rsidRPr="004D307F">
        <w:rPr>
          <w:rFonts w:ascii="VIC" w:eastAsia="Arial" w:hAnsi="VIC" w:cs="Times New Roman"/>
          <w:i/>
          <w:iCs/>
          <w:color w:val="011A3C"/>
          <w:sz w:val="24"/>
          <w:szCs w:val="24"/>
          <w:lang w:val="en-GB"/>
        </w:rPr>
        <w:fldChar w:fldCharType="begin"/>
      </w:r>
      <w:r w:rsidRPr="004D307F">
        <w:rPr>
          <w:rFonts w:ascii="VIC" w:eastAsia="Arial" w:hAnsi="VIC" w:cs="Times New Roman"/>
          <w:i/>
          <w:iCs/>
          <w:color w:val="011A3C"/>
          <w:sz w:val="24"/>
          <w:szCs w:val="24"/>
          <w:lang w:val="en-GB"/>
        </w:rPr>
        <w:instrText xml:space="preserve"> SEQ Table \* ARABIC </w:instrText>
      </w:r>
      <w:r w:rsidRPr="004D307F">
        <w:rPr>
          <w:rFonts w:ascii="VIC" w:eastAsia="Arial" w:hAnsi="VIC" w:cs="Times New Roman"/>
          <w:i/>
          <w:iCs/>
          <w:color w:val="011A3C"/>
          <w:sz w:val="24"/>
          <w:szCs w:val="24"/>
          <w:lang w:val="en-GB"/>
        </w:rPr>
        <w:fldChar w:fldCharType="separate"/>
      </w:r>
      <w:r w:rsidR="00B82F7D">
        <w:rPr>
          <w:rFonts w:ascii="VIC" w:eastAsia="Arial" w:hAnsi="VIC" w:cs="Times New Roman"/>
          <w:i/>
          <w:iCs/>
          <w:noProof/>
          <w:color w:val="011A3C"/>
          <w:sz w:val="24"/>
          <w:szCs w:val="24"/>
          <w:lang w:val="en-GB"/>
        </w:rPr>
        <w:t>1</w:t>
      </w:r>
      <w:r w:rsidRPr="004D307F">
        <w:rPr>
          <w:rFonts w:ascii="VIC" w:eastAsia="Arial" w:hAnsi="VIC" w:cs="Times New Roman"/>
          <w:i/>
          <w:iCs/>
          <w:color w:val="011A3C"/>
          <w:sz w:val="24"/>
          <w:szCs w:val="24"/>
          <w:lang w:val="en-GB"/>
        </w:rPr>
        <w:fldChar w:fldCharType="end"/>
      </w:r>
      <w:r w:rsidRPr="004D307F">
        <w:rPr>
          <w:rFonts w:ascii="VIC" w:eastAsia="Arial" w:hAnsi="VIC" w:cs="Times New Roman"/>
          <w:i/>
          <w:iCs/>
          <w:color w:val="011A3C"/>
          <w:sz w:val="24"/>
          <w:szCs w:val="24"/>
        </w:rPr>
        <w:t>: Index categories and weightings</w:t>
      </w:r>
    </w:p>
    <w:tbl>
      <w:tblPr>
        <w:tblW w:w="9275" w:type="dxa"/>
        <w:tblCellMar>
          <w:left w:w="0" w:type="dxa"/>
          <w:right w:w="0" w:type="dxa"/>
        </w:tblCellMar>
        <w:tblLook w:val="0600" w:firstRow="0" w:lastRow="0" w:firstColumn="0" w:lastColumn="0" w:noHBand="1" w:noVBand="1"/>
      </w:tblPr>
      <w:tblGrid>
        <w:gridCol w:w="6792"/>
        <w:gridCol w:w="2483"/>
      </w:tblGrid>
      <w:tr w:rsidR="000E377B" w:rsidRPr="004D307F" w14:paraId="26313DD9"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4777B6F6"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b/>
                <w:bCs/>
                <w:color w:val="011A3C"/>
                <w:sz w:val="24"/>
                <w:szCs w:val="24"/>
                <w:lang w:val="en-GB"/>
              </w:rPr>
              <w:t>Index categories</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56B2D8BA"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b/>
                <w:bCs/>
                <w:color w:val="011A3C"/>
                <w:sz w:val="24"/>
                <w:szCs w:val="24"/>
                <w:lang w:val="en-GB"/>
              </w:rPr>
              <w:t>Weighting</w:t>
            </w:r>
            <w:r w:rsidRPr="004D307F">
              <w:rPr>
                <w:rFonts w:ascii="Calibri" w:eastAsia="Arial" w:hAnsi="Calibri" w:cs="Calibri" w:hint="eastAsia"/>
                <w:b/>
                <w:bCs/>
                <w:color w:val="011A3C"/>
                <w:sz w:val="24"/>
                <w:szCs w:val="24"/>
                <w:lang w:val="en-GB"/>
              </w:rPr>
              <w:t> </w:t>
            </w:r>
          </w:p>
        </w:tc>
      </w:tr>
      <w:tr w:rsidR="000E377B" w:rsidRPr="004D307F" w14:paraId="4CC43C4F" w14:textId="77777777" w:rsidTr="00C55926">
        <w:trPr>
          <w:trHeight w:val="19"/>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4A1E8559"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SFE 1,2 (Year 9 or below or Year 10 or equivalent)</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0FEE872B"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0.1800</w:t>
            </w:r>
          </w:p>
        </w:tc>
      </w:tr>
      <w:tr w:rsidR="000E377B" w:rsidRPr="004D307F" w14:paraId="05C7C525"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1F4A8BAD"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SFE 3,4 (Year 11 or equivalent or Year 12 or equivalent)</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09DD31AF"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0.1158</w:t>
            </w:r>
          </w:p>
        </w:tc>
      </w:tr>
      <w:tr w:rsidR="000E377B" w:rsidRPr="004D307F" w14:paraId="594363DD"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5BE2C341"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SFE 5 (Certificate I to IV)</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256971E7"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0.1127</w:t>
            </w:r>
          </w:p>
        </w:tc>
      </w:tr>
      <w:tr w:rsidR="000E377B" w:rsidRPr="004D307F" w14:paraId="303EDA60"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095AF0ED"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SFE 6,7</w:t>
            </w:r>
            <w:r w:rsidRPr="004D307F">
              <w:rPr>
                <w:rFonts w:ascii="VIC" w:eastAsia="Arial" w:hAnsi="VIC" w:cs="Times New Roman"/>
                <w:b/>
                <w:bCs/>
                <w:color w:val="011A3C"/>
                <w:sz w:val="24"/>
                <w:szCs w:val="24"/>
                <w:lang w:val="en-GB"/>
              </w:rPr>
              <w:t xml:space="preserve"> </w:t>
            </w:r>
            <w:r w:rsidRPr="004D307F">
              <w:rPr>
                <w:rFonts w:ascii="VIC" w:eastAsia="Arial" w:hAnsi="VIC" w:cs="Times New Roman"/>
                <w:color w:val="011A3C"/>
                <w:sz w:val="24"/>
                <w:szCs w:val="24"/>
                <w:lang w:val="en-GB"/>
              </w:rPr>
              <w:t>(Diploma or above)</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00D96D32"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0.0117</w:t>
            </w:r>
          </w:p>
        </w:tc>
      </w:tr>
      <w:tr w:rsidR="000E377B" w:rsidRPr="004D307F" w14:paraId="413657A5"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764C6C17"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School enrolments (&lt;100 enrolments)</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6CDBA42E"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0.0202</w:t>
            </w:r>
          </w:p>
        </w:tc>
      </w:tr>
      <w:tr w:rsidR="000E377B" w:rsidRPr="004D307F" w14:paraId="017DB809"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5CCD342D"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Primary school</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47577704"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0.0348</w:t>
            </w:r>
          </w:p>
        </w:tc>
      </w:tr>
    </w:tbl>
    <w:p w14:paraId="4BE68A8C" w14:textId="77777777" w:rsidR="000E377B" w:rsidRPr="004D307F" w:rsidRDefault="000E377B" w:rsidP="004D307F">
      <w:pPr>
        <w:spacing w:before="100" w:beforeAutospacing="1" w:after="100" w:afterAutospacing="1" w:line="288" w:lineRule="atLeast"/>
        <w:outlineLvl w:val="3"/>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Tier 2 school-level funding calculation</w:t>
      </w:r>
    </w:p>
    <w:p w14:paraId="665E00E3"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 xml:space="preserve">Total Tier 2 school-level funding is calculated as: </w:t>
      </w:r>
    </w:p>
    <w:p w14:paraId="3F54F11C" w14:textId="77777777" w:rsidR="000E377B" w:rsidRPr="004D307F" w:rsidRDefault="000E377B" w:rsidP="00ED0863">
      <w:pPr>
        <w:numPr>
          <w:ilvl w:val="0"/>
          <w:numId w:val="156"/>
        </w:numPr>
        <w:spacing w:before="120" w:after="120" w:line="360" w:lineRule="atLeast"/>
        <w:contextualSpacing/>
        <w:rPr>
          <w:rFonts w:ascii="VIC" w:eastAsia="Arial" w:hAnsi="VIC" w:cs="Times New Roman"/>
          <w:color w:val="011A3C"/>
          <w:sz w:val="24"/>
        </w:rPr>
      </w:pPr>
      <w:r w:rsidRPr="004D307F">
        <w:rPr>
          <w:rFonts w:ascii="VIC" w:eastAsia="Arial" w:hAnsi="VIC" w:cs="Times New Roman"/>
          <w:color w:val="011A3C"/>
          <w:sz w:val="24"/>
        </w:rPr>
        <w:t xml:space="preserve">Base funding component + (Index x Enrolments x Variable Funding Rate). </w:t>
      </w:r>
    </w:p>
    <w:p w14:paraId="253C855D" w14:textId="0F578137" w:rsidR="003E37AA" w:rsidRPr="004D307F" w:rsidRDefault="000E377B" w:rsidP="00ED0863">
      <w:pPr>
        <w:numPr>
          <w:ilvl w:val="0"/>
          <w:numId w:val="156"/>
        </w:numPr>
        <w:spacing w:before="120" w:after="240" w:line="360" w:lineRule="atLeast"/>
        <w:ind w:left="714" w:hanging="357"/>
        <w:rPr>
          <w:rFonts w:ascii="VIC" w:eastAsia="Times New Roman" w:hAnsi="VIC" w:cs="Times New Roman"/>
          <w:b/>
          <w:bCs/>
          <w:color w:val="011A3C"/>
          <w:sz w:val="24"/>
          <w:szCs w:val="24"/>
          <w:lang w:val="en" w:eastAsia="en-AU"/>
        </w:rPr>
      </w:pPr>
      <w:r w:rsidRPr="004D307F">
        <w:rPr>
          <w:rFonts w:ascii="VIC" w:eastAsia="Arial" w:hAnsi="VIC" w:cs="Times New Roman"/>
          <w:color w:val="011A3C"/>
          <w:sz w:val="24"/>
        </w:rPr>
        <w:t>Where: the variable funding rate for 202</w:t>
      </w:r>
      <w:r w:rsidR="001112BF" w:rsidRPr="004D307F">
        <w:rPr>
          <w:rFonts w:ascii="VIC" w:eastAsia="Arial" w:hAnsi="VIC" w:cs="Times New Roman"/>
          <w:color w:val="011A3C"/>
          <w:sz w:val="24"/>
        </w:rPr>
        <w:t>2</w:t>
      </w:r>
      <w:r w:rsidRPr="004D307F">
        <w:rPr>
          <w:rFonts w:ascii="VIC" w:eastAsia="Arial" w:hAnsi="VIC" w:cs="Times New Roman"/>
          <w:color w:val="011A3C"/>
          <w:sz w:val="24"/>
        </w:rPr>
        <w:t xml:space="preserve"> is $</w:t>
      </w:r>
      <w:r w:rsidR="00400982" w:rsidRPr="004D307F">
        <w:rPr>
          <w:rFonts w:ascii="VIC" w:eastAsia="Arial" w:hAnsi="VIC" w:cs="Times New Roman"/>
          <w:color w:val="011A3C"/>
          <w:sz w:val="24"/>
        </w:rPr>
        <w:t>4</w:t>
      </w:r>
      <w:r w:rsidRPr="004D307F">
        <w:rPr>
          <w:rFonts w:ascii="VIC" w:eastAsia="Arial" w:hAnsi="VIC" w:cs="Times New Roman"/>
          <w:color w:val="011A3C"/>
          <w:sz w:val="24"/>
        </w:rPr>
        <w:t>,</w:t>
      </w:r>
      <w:r w:rsidR="00400982" w:rsidRPr="004D307F">
        <w:rPr>
          <w:rFonts w:ascii="VIC" w:eastAsia="Arial" w:hAnsi="VIC" w:cs="Times New Roman"/>
          <w:color w:val="011A3C"/>
          <w:sz w:val="24"/>
        </w:rPr>
        <w:t>60</w:t>
      </w:r>
      <w:r w:rsidRPr="004D307F">
        <w:rPr>
          <w:rFonts w:ascii="VIC" w:eastAsia="Arial" w:hAnsi="VIC" w:cs="Times New Roman"/>
          <w:color w:val="011A3C"/>
          <w:sz w:val="24"/>
        </w:rPr>
        <w:t xml:space="preserve">0. </w:t>
      </w:r>
    </w:p>
    <w:p w14:paraId="3576A4E2" w14:textId="498F9B10" w:rsidR="000E377B" w:rsidRPr="004D307F" w:rsidRDefault="000E377B" w:rsidP="004D307F">
      <w:pPr>
        <w:spacing w:before="120" w:after="0" w:line="360" w:lineRule="atLeast"/>
        <w:outlineLvl w:val="2"/>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Example of Tier 2 school-level funding calculation for a school</w:t>
      </w:r>
    </w:p>
    <w:p w14:paraId="23A04460"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 xml:space="preserve">Consider a </w:t>
      </w:r>
      <w:r w:rsidRPr="004D307F">
        <w:rPr>
          <w:rFonts w:ascii="VIC" w:eastAsia="Arial" w:hAnsi="VIC" w:cs="Times New Roman"/>
          <w:color w:val="011A3C"/>
          <w:sz w:val="24"/>
          <w:szCs w:val="24"/>
          <w:u w:val="single"/>
          <w:lang w:val="en-GB"/>
        </w:rPr>
        <w:t>primary</w:t>
      </w:r>
      <w:r w:rsidRPr="004D307F">
        <w:rPr>
          <w:rFonts w:ascii="VIC" w:eastAsia="Arial" w:hAnsi="VIC" w:cs="Times New Roman"/>
          <w:color w:val="011A3C"/>
          <w:sz w:val="24"/>
          <w:szCs w:val="24"/>
          <w:lang w:val="en-GB"/>
        </w:rPr>
        <w:t xml:space="preserve"> school with </w:t>
      </w:r>
      <w:r w:rsidRPr="004D307F">
        <w:rPr>
          <w:rFonts w:ascii="VIC" w:eastAsia="Arial" w:hAnsi="VIC" w:cs="Times New Roman"/>
          <w:color w:val="011A3C"/>
          <w:sz w:val="24"/>
          <w:szCs w:val="24"/>
          <w:u w:val="single"/>
          <w:lang w:val="en-GB"/>
        </w:rPr>
        <w:t>90 enrolments</w:t>
      </w:r>
      <w:r w:rsidRPr="004D307F">
        <w:rPr>
          <w:rFonts w:ascii="VIC" w:eastAsia="Arial" w:hAnsi="VIC" w:cs="Times New Roman"/>
          <w:color w:val="011A3C"/>
          <w:sz w:val="24"/>
          <w:szCs w:val="24"/>
          <w:lang w:val="en-GB"/>
        </w:rPr>
        <w:t xml:space="preserve"> and the following </w:t>
      </w:r>
      <w:r w:rsidRPr="004D307F">
        <w:rPr>
          <w:rFonts w:ascii="VIC" w:eastAsia="Arial" w:hAnsi="VIC" w:cs="Times New Roman"/>
          <w:color w:val="011A3C"/>
          <w:sz w:val="24"/>
          <w:szCs w:val="24"/>
          <w:u w:val="single"/>
          <w:lang w:val="en-GB"/>
        </w:rPr>
        <w:t>SFE</w:t>
      </w:r>
      <w:r w:rsidRPr="004D307F">
        <w:rPr>
          <w:rFonts w:ascii="VIC" w:eastAsia="Arial" w:hAnsi="VIC" w:cs="Times New Roman"/>
          <w:color w:val="011A3C"/>
          <w:sz w:val="24"/>
          <w:szCs w:val="24"/>
          <w:lang w:val="en-GB"/>
        </w:rPr>
        <w:t xml:space="preserve"> distribution: 15% of enrolments are in SFE 1 and SFE 2 category; 15% of </w:t>
      </w:r>
      <w:r w:rsidRPr="004D307F">
        <w:rPr>
          <w:rFonts w:ascii="VIC" w:eastAsia="Arial" w:hAnsi="VIC" w:cs="Times New Roman"/>
          <w:color w:val="011A3C"/>
          <w:sz w:val="24"/>
          <w:szCs w:val="24"/>
          <w:lang w:val="en-GB"/>
        </w:rPr>
        <w:lastRenderedPageBreak/>
        <w:t xml:space="preserve">enrolments are in SFE 3 and SFE 4 category; 25% of enrolments are in SFE 5 category; 45% of enrolments are in SFE 6 and SFE 7 category. </w:t>
      </w:r>
    </w:p>
    <w:p w14:paraId="02C85325" w14:textId="77777777" w:rsidR="000E377B" w:rsidRPr="004D307F" w:rsidRDefault="000E377B" w:rsidP="004D307F">
      <w:pPr>
        <w:spacing w:before="120" w:after="120" w:line="360" w:lineRule="atLeast"/>
        <w:rPr>
          <w:rFonts w:ascii="VIC" w:eastAsia="Arial" w:hAnsi="VIC" w:cs="Times New Roman"/>
          <w:b/>
          <w:bCs/>
          <w:color w:val="011A3C"/>
          <w:sz w:val="24"/>
          <w:szCs w:val="24"/>
          <w:lang w:val="en-GB"/>
        </w:rPr>
      </w:pPr>
      <w:r w:rsidRPr="004D307F">
        <w:rPr>
          <w:rFonts w:ascii="VIC" w:eastAsia="Arial" w:hAnsi="VIC" w:cs="Times New Roman"/>
          <w:b/>
          <w:bCs/>
          <w:color w:val="011A3C"/>
          <w:sz w:val="24"/>
          <w:szCs w:val="24"/>
          <w:lang w:val="en-GB"/>
        </w:rPr>
        <w:t>Base calculation</w:t>
      </w:r>
    </w:p>
    <w:p w14:paraId="5A2A5AD4"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The base would be calculated as:</w:t>
      </w:r>
    </w:p>
    <w:p w14:paraId="3E56AEC5" w14:textId="77777777" w:rsidR="00ED2F0A" w:rsidRPr="004D307F" w:rsidRDefault="00ED2F0A" w:rsidP="004D307F">
      <w:pPr>
        <w:pStyle w:val="NormalWeb"/>
        <w:spacing w:before="120" w:beforeAutospacing="0" w:line="360" w:lineRule="atLeast"/>
        <w:rPr>
          <w:rFonts w:ascii="VIC" w:hAnsi="VIC"/>
          <w:color w:val="011A3C"/>
        </w:rPr>
      </w:pPr>
      <w:r w:rsidRPr="004D307F">
        <w:rPr>
          <w:rFonts w:ascii="VIC" w:hAnsi="VIC"/>
          <w:color w:val="011A3C"/>
        </w:rPr>
        <w:t xml:space="preserve">$5,202 + (90 − 5 enrolments = 85 enrolments) </w:t>
      </w:r>
      <w:r w:rsidRPr="004D307F">
        <w:rPr>
          <w:rFonts w:ascii="VIC" w:hAnsi="VIC" w:hint="eastAsia"/>
          <w:color w:val="011A3C"/>
        </w:rPr>
        <w:t>×</w:t>
      </w:r>
      <w:r w:rsidRPr="004D307F">
        <w:rPr>
          <w:rFonts w:ascii="VIC" w:hAnsi="VIC"/>
          <w:color w:val="011A3C"/>
        </w:rPr>
        <w:t xml:space="preserve"> $273.79 = $28,474.15</w:t>
      </w:r>
    </w:p>
    <w:p w14:paraId="58A5EB7A" w14:textId="77777777" w:rsidR="000E377B" w:rsidRPr="004D307F" w:rsidRDefault="000E377B" w:rsidP="004D307F">
      <w:pPr>
        <w:spacing w:before="120" w:after="120" w:line="360" w:lineRule="atLeast"/>
        <w:rPr>
          <w:rFonts w:ascii="VIC" w:eastAsia="Arial" w:hAnsi="VIC" w:cs="Times New Roman"/>
          <w:b/>
          <w:bCs/>
          <w:color w:val="011A3C"/>
          <w:sz w:val="24"/>
          <w:szCs w:val="24"/>
          <w:lang w:val="en-GB"/>
        </w:rPr>
      </w:pPr>
      <w:r w:rsidRPr="004D307F">
        <w:rPr>
          <w:rFonts w:ascii="VIC" w:eastAsia="Arial" w:hAnsi="VIC" w:cs="Times New Roman"/>
          <w:b/>
          <w:bCs/>
          <w:color w:val="011A3C"/>
          <w:sz w:val="24"/>
          <w:szCs w:val="24"/>
          <w:lang w:val="en-GB"/>
        </w:rPr>
        <w:t>Index calculation</w:t>
      </w:r>
    </w:p>
    <w:p w14:paraId="70478A5F"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 xml:space="preserve">The index would be calculated as: </w:t>
      </w:r>
    </w:p>
    <w:p w14:paraId="21692E3A" w14:textId="12A12CEF" w:rsidR="00AF025A" w:rsidRPr="004D307F" w:rsidRDefault="000E377B" w:rsidP="004D307F">
      <w:pPr>
        <w:spacing w:before="120" w:after="120" w:line="360" w:lineRule="atLeast"/>
        <w:rPr>
          <w:rFonts w:ascii="VIC" w:eastAsia="Arial" w:hAnsi="VIC" w:cs="Times New Roman"/>
          <w:b/>
          <w:bCs/>
          <w:color w:val="011A3C"/>
          <w:sz w:val="24"/>
          <w:szCs w:val="24"/>
          <w:lang w:val="en-GB"/>
        </w:rPr>
      </w:pPr>
      <w:r w:rsidRPr="004D307F">
        <w:rPr>
          <w:rFonts w:ascii="VIC" w:eastAsia="Arial" w:hAnsi="VIC" w:cs="Times New Roman"/>
          <w:color w:val="011A3C"/>
          <w:sz w:val="24"/>
          <w:szCs w:val="24"/>
          <w:lang w:val="en-GB"/>
        </w:rPr>
        <w:t xml:space="preserve">(15% x 0.1800) + (15% x 0.1158) + (25% x 0.1127) + (45% x 0.0117) + (1 x 0.0202) + (1 x 0.0348) = </w:t>
      </w:r>
      <w:r w:rsidRPr="004D307F">
        <w:rPr>
          <w:rFonts w:ascii="VIC" w:eastAsia="Arial" w:hAnsi="VIC" w:cs="Times New Roman"/>
          <w:b/>
          <w:bCs/>
          <w:color w:val="011A3C"/>
          <w:sz w:val="24"/>
          <w:szCs w:val="24"/>
          <w:lang w:val="en-GB"/>
        </w:rPr>
        <w:t>0.1328</w:t>
      </w:r>
    </w:p>
    <w:p w14:paraId="6EC01BB0" w14:textId="77777777" w:rsidR="000E377B" w:rsidRPr="004D307F" w:rsidRDefault="000E377B" w:rsidP="004D307F">
      <w:pPr>
        <w:spacing w:before="120" w:after="120" w:line="360" w:lineRule="atLeast"/>
        <w:rPr>
          <w:rFonts w:ascii="VIC" w:eastAsia="Arial" w:hAnsi="VIC" w:cs="Times New Roman"/>
          <w:b/>
          <w:bCs/>
          <w:color w:val="011A3C"/>
          <w:sz w:val="24"/>
          <w:szCs w:val="24"/>
          <w:lang w:val="en-GB"/>
        </w:rPr>
      </w:pPr>
      <w:r w:rsidRPr="004D307F">
        <w:rPr>
          <w:rFonts w:ascii="VIC" w:eastAsia="Arial" w:hAnsi="VIC" w:cs="Times New Roman"/>
          <w:b/>
          <w:bCs/>
          <w:color w:val="011A3C"/>
          <w:sz w:val="24"/>
          <w:szCs w:val="24"/>
          <w:lang w:val="en-GB"/>
        </w:rPr>
        <w:t>Total annual school allocation</w:t>
      </w:r>
    </w:p>
    <w:p w14:paraId="5AF33236"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 xml:space="preserve">Total Tier 2 funding for the example school would be: </w:t>
      </w:r>
    </w:p>
    <w:p w14:paraId="3C664A64" w14:textId="53EE611E" w:rsidR="001112BF" w:rsidRPr="004D307F" w:rsidRDefault="00ED2F0A" w:rsidP="004D307F">
      <w:pPr>
        <w:pStyle w:val="NormalWeb"/>
        <w:spacing w:before="120" w:beforeAutospacing="0" w:line="360" w:lineRule="atLeast"/>
        <w:rPr>
          <w:rFonts w:eastAsia="Arial"/>
        </w:rPr>
      </w:pPr>
      <w:r w:rsidRPr="004D307F">
        <w:rPr>
          <w:rFonts w:ascii="VIC" w:hAnsi="VIC"/>
          <w:color w:val="011A3C"/>
        </w:rPr>
        <w:t xml:space="preserve">$28,474.15 + (0.1328 </w:t>
      </w:r>
      <w:r w:rsidRPr="004D307F">
        <w:rPr>
          <w:rFonts w:ascii="VIC" w:hAnsi="VIC" w:hint="eastAsia"/>
          <w:color w:val="011A3C"/>
        </w:rPr>
        <w:t>×</w:t>
      </w:r>
      <w:r w:rsidRPr="004D307F">
        <w:rPr>
          <w:rFonts w:ascii="VIC" w:hAnsi="VIC"/>
          <w:color w:val="011A3C"/>
        </w:rPr>
        <w:t xml:space="preserve"> 90 </w:t>
      </w:r>
      <w:r w:rsidRPr="004D307F">
        <w:rPr>
          <w:rFonts w:ascii="VIC" w:hAnsi="VIC" w:hint="eastAsia"/>
          <w:color w:val="011A3C"/>
        </w:rPr>
        <w:t>×</w:t>
      </w:r>
      <w:r w:rsidRPr="004D307F">
        <w:rPr>
          <w:rFonts w:ascii="VIC" w:hAnsi="VIC"/>
          <w:color w:val="011A3C"/>
        </w:rPr>
        <w:t xml:space="preserve"> $4,600) = $83,453.35*</w:t>
      </w:r>
    </w:p>
    <w:p w14:paraId="51B519A8" w14:textId="223A1FDA" w:rsidR="00E072B7" w:rsidRPr="004D307F" w:rsidRDefault="000E377B" w:rsidP="004D307F">
      <w:pPr>
        <w:spacing w:line="360" w:lineRule="atLeast"/>
        <w:rPr>
          <w:rFonts w:ascii="VIC-Regular" w:eastAsia="Times New Roman" w:hAnsi="VIC-Regular" w:cs="Times New Roman"/>
          <w:color w:val="011A3C"/>
          <w:sz w:val="20"/>
          <w:szCs w:val="20"/>
          <w:lang w:val="en" w:eastAsia="en-AU"/>
        </w:rPr>
      </w:pPr>
      <w:r w:rsidRPr="004D307F">
        <w:rPr>
          <w:rFonts w:ascii="VIC-Regular" w:eastAsia="Times New Roman" w:hAnsi="VIC-Regular" w:cs="Times New Roman"/>
          <w:color w:val="011A3C"/>
          <w:sz w:val="20"/>
          <w:szCs w:val="20"/>
          <w:lang w:val="en" w:eastAsia="en-AU"/>
        </w:rPr>
        <w:t>*Note this value includes salary on-costs. The central oncosts are not reflected in school budgets.</w:t>
      </w:r>
    </w:p>
    <w:p w14:paraId="2583175C" w14:textId="77777777" w:rsidR="00987916" w:rsidRPr="004D307F" w:rsidRDefault="00987916" w:rsidP="00B566E7">
      <w:pPr>
        <w:pStyle w:val="Heading2"/>
      </w:pPr>
      <w:r w:rsidRPr="004D307F">
        <w:br w:type="page"/>
      </w:r>
    </w:p>
    <w:p w14:paraId="3BB9A787" w14:textId="6A99B35E" w:rsidR="00AD6B17" w:rsidRPr="004D307F" w:rsidRDefault="00AD6B17" w:rsidP="004D307F">
      <w:pPr>
        <w:pStyle w:val="Heading2"/>
      </w:pPr>
      <w:bookmarkStart w:id="44" w:name="_Toc106793762"/>
      <w:r w:rsidRPr="004D307F">
        <w:lastRenderedPageBreak/>
        <w:t xml:space="preserve">Disability Inclusion Tier 3 student-level funding (Reference </w:t>
      </w:r>
      <w:r w:rsidR="00DF6FB6" w:rsidRPr="004D307F">
        <w:t>138</w:t>
      </w:r>
      <w:r w:rsidRPr="004D307F">
        <w:t>)</w:t>
      </w:r>
      <w:bookmarkEnd w:id="44"/>
      <w:r w:rsidRPr="004D307F">
        <w:t> </w:t>
      </w:r>
    </w:p>
    <w:p w14:paraId="5C5CC700"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The Disability Inclusion reform package introduces a new funding and support model for students with disability over a staged rollout between 2021 to 2025. Refer to:</w:t>
      </w:r>
      <w:r w:rsidRPr="004D307F">
        <w:rPr>
          <w:rFonts w:ascii="Calibri" w:eastAsia="Times New Roman" w:hAnsi="Calibri" w:cs="Calibri"/>
          <w:color w:val="011A3C"/>
          <w:sz w:val="24"/>
          <w:szCs w:val="24"/>
          <w:lang w:eastAsia="en-AU"/>
        </w:rPr>
        <w:t> </w:t>
      </w:r>
      <w:hyperlink r:id="rId71" w:history="1">
        <w:r w:rsidRPr="004D307F">
          <w:rPr>
            <w:rStyle w:val="Hyperlink"/>
            <w:rFonts w:ascii="VIC" w:hAnsi="VIC" w:cs="Arial"/>
            <w:color w:val="1855BF"/>
            <w:sz w:val="24"/>
            <w:szCs w:val="24"/>
          </w:rPr>
          <w:t>Disability Inclusion Funding and Support</w:t>
        </w:r>
      </w:hyperlink>
      <w:r w:rsidRPr="004D307F">
        <w:rPr>
          <w:rFonts w:ascii="VIC" w:eastAsia="Times New Roman" w:hAnsi="VIC" w:cs="Arial"/>
          <w:color w:val="011A3C"/>
          <w:sz w:val="24"/>
          <w:szCs w:val="24"/>
          <w:lang w:eastAsia="en-AU"/>
        </w:rPr>
        <w:t>.</w:t>
      </w:r>
    </w:p>
    <w:p w14:paraId="6E4B267C"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 xml:space="preserve">Tier 3 individual-level funding builds on the </w:t>
      </w:r>
      <w:hyperlink r:id="rId72" w:history="1">
        <w:r w:rsidRPr="004D307F">
          <w:rPr>
            <w:rStyle w:val="Hyperlink"/>
            <w:rFonts w:ascii="VIC" w:hAnsi="VIC" w:cs="Arial"/>
            <w:color w:val="1855BF"/>
            <w:sz w:val="24"/>
            <w:szCs w:val="24"/>
          </w:rPr>
          <w:t>core student learning allocation</w:t>
        </w:r>
      </w:hyperlink>
      <w:r w:rsidRPr="004D307F">
        <w:rPr>
          <w:rFonts w:ascii="Calibri" w:eastAsia="Times New Roman" w:hAnsi="Calibri" w:cs="Calibri"/>
          <w:color w:val="011A3C"/>
          <w:sz w:val="24"/>
          <w:szCs w:val="24"/>
          <w:lang w:eastAsia="en-AU"/>
        </w:rPr>
        <w:t> </w:t>
      </w:r>
      <w:r w:rsidRPr="004D307F">
        <w:rPr>
          <w:rFonts w:ascii="VIC" w:eastAsia="Times New Roman" w:hAnsi="VIC" w:cs="Arial"/>
          <w:color w:val="011A3C"/>
          <w:sz w:val="24"/>
          <w:szCs w:val="24"/>
          <w:lang w:eastAsia="en-AU"/>
        </w:rPr>
        <w:t xml:space="preserve">and </w:t>
      </w:r>
      <w:hyperlink r:id="rId73" w:history="1">
        <w:r w:rsidRPr="004D307F">
          <w:rPr>
            <w:rStyle w:val="Hyperlink"/>
            <w:rFonts w:ascii="VIC" w:hAnsi="VIC" w:cs="Arial"/>
            <w:sz w:val="24"/>
            <w:szCs w:val="24"/>
          </w:rPr>
          <w:t>Tier 2</w:t>
        </w:r>
      </w:hyperlink>
      <w:r w:rsidRPr="004D307F">
        <w:rPr>
          <w:rFonts w:ascii="VIC" w:eastAsia="Times New Roman" w:hAnsi="VIC" w:cs="Arial"/>
          <w:color w:val="011A3C"/>
          <w:sz w:val="24"/>
          <w:szCs w:val="24"/>
          <w:lang w:eastAsia="en-AU"/>
        </w:rPr>
        <w:t xml:space="preserve"> funding, providing individualised funding to support students with high and complex needs relating to their disability. Through the Disability Inclusion reform rollout period, the Tier 3 student-level funding will gradually replace the existing individualised disability funding provided through the </w:t>
      </w:r>
      <w:hyperlink r:id="rId74" w:history="1">
        <w:r w:rsidRPr="004D307F">
          <w:rPr>
            <w:rStyle w:val="Hyperlink"/>
            <w:rFonts w:ascii="VIC" w:hAnsi="VIC" w:cs="Arial"/>
            <w:sz w:val="24"/>
            <w:szCs w:val="24"/>
          </w:rPr>
          <w:t>Program for Students with Disabilities</w:t>
        </w:r>
      </w:hyperlink>
      <w:r w:rsidRPr="004D307F">
        <w:rPr>
          <w:rFonts w:ascii="VIC" w:eastAsia="Times New Roman" w:hAnsi="VIC" w:cs="Arial"/>
          <w:color w:val="011A3C"/>
          <w:sz w:val="24"/>
          <w:szCs w:val="24"/>
          <w:lang w:eastAsia="en-AU"/>
        </w:rPr>
        <w:t>.</w:t>
      </w:r>
    </w:p>
    <w:p w14:paraId="54105AEE" w14:textId="0AB2B3FE"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Tier 3 allocations are based on</w:t>
      </w:r>
      <w:r w:rsidRPr="004D307F">
        <w:rPr>
          <w:rFonts w:ascii="VIC" w:hAnsi="VIC"/>
        </w:rPr>
        <w:t xml:space="preserve"> </w:t>
      </w:r>
      <w:r w:rsidRPr="004D307F">
        <w:rPr>
          <w:rFonts w:ascii="VIC" w:eastAsia="Times New Roman" w:hAnsi="VIC" w:cs="Arial"/>
          <w:color w:val="011A3C"/>
          <w:sz w:val="24"/>
          <w:szCs w:val="24"/>
          <w:lang w:eastAsia="en-AU"/>
        </w:rPr>
        <w:t xml:space="preserve">the strengths and needs of students with disabilities and the associated levels of adjustment captured in the </w:t>
      </w:r>
      <w:r w:rsidRPr="000F2A00">
        <w:rPr>
          <w:rFonts w:ascii="VIC" w:hAnsi="VIC" w:cs="Arial"/>
          <w:sz w:val="24"/>
          <w:szCs w:val="24"/>
        </w:rPr>
        <w:t>Disability Inclusion Profile</w:t>
      </w:r>
      <w:r w:rsidRPr="004D307F">
        <w:rPr>
          <w:rFonts w:ascii="VIC" w:eastAsia="Times New Roman" w:hAnsi="VIC" w:cs="Arial"/>
          <w:color w:val="011A3C"/>
          <w:sz w:val="24"/>
          <w:szCs w:val="24"/>
          <w:lang w:eastAsia="en-AU"/>
        </w:rPr>
        <w:t xml:space="preserve"> (the Profile). The Profile record levels of adjustment against 31 educational activities, across 6 domains. Refer to: </w:t>
      </w:r>
      <w:hyperlink r:id="rId75" w:history="1">
        <w:r w:rsidRPr="004D307F">
          <w:rPr>
            <w:rStyle w:val="Hyperlink"/>
            <w:rFonts w:ascii="VIC" w:hAnsi="VIC" w:cs="Arial"/>
            <w:sz w:val="24"/>
            <w:szCs w:val="24"/>
          </w:rPr>
          <w:t>Disability Inclusion Profile</w:t>
        </w:r>
      </w:hyperlink>
      <w:r w:rsidRPr="004D307F">
        <w:rPr>
          <w:rFonts w:ascii="VIC" w:eastAsia="Times New Roman" w:hAnsi="VIC" w:cs="Arial"/>
          <w:color w:val="011A3C"/>
          <w:sz w:val="24"/>
          <w:szCs w:val="24"/>
          <w:lang w:eastAsia="en-AU"/>
        </w:rPr>
        <w:t xml:space="preserve">. </w:t>
      </w:r>
    </w:p>
    <w:p w14:paraId="127D4E48" w14:textId="77777777" w:rsidR="00AD6B17" w:rsidRPr="004D307F" w:rsidRDefault="00AD6B17" w:rsidP="004D307F">
      <w:pPr>
        <w:spacing w:before="100" w:beforeAutospacing="1" w:after="100" w:afterAutospacing="1" w:line="288" w:lineRule="atLeast"/>
        <w:outlineLvl w:val="3"/>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Eligibility</w:t>
      </w:r>
    </w:p>
    <w:p w14:paraId="6C30D042"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The following school types are eligible for Tier 3 funding:</w:t>
      </w:r>
    </w:p>
    <w:p w14:paraId="27B26558" w14:textId="5D29DE16" w:rsidR="00AD6B17" w:rsidRPr="004D307F" w:rsidRDefault="00AD6B17" w:rsidP="00ED0863">
      <w:pPr>
        <w:numPr>
          <w:ilvl w:val="0"/>
          <w:numId w:val="168"/>
        </w:num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 xml:space="preserve">Primary (excluding </w:t>
      </w:r>
      <w:r w:rsidR="00AC2E56">
        <w:rPr>
          <w:rFonts w:ascii="VIC" w:eastAsia="Times New Roman" w:hAnsi="VIC" w:cs="Arial"/>
          <w:color w:val="011A3C"/>
          <w:sz w:val="24"/>
          <w:szCs w:val="24"/>
          <w:lang w:eastAsia="en-AU"/>
        </w:rPr>
        <w:t>d</w:t>
      </w:r>
      <w:r w:rsidRPr="004D307F">
        <w:rPr>
          <w:rFonts w:ascii="VIC" w:eastAsia="Times New Roman" w:hAnsi="VIC" w:cs="Arial"/>
          <w:color w:val="011A3C"/>
          <w:sz w:val="24"/>
          <w:szCs w:val="24"/>
          <w:lang w:eastAsia="en-AU"/>
        </w:rPr>
        <w:t>eaf facilities)</w:t>
      </w:r>
    </w:p>
    <w:p w14:paraId="01E6B411" w14:textId="77777777" w:rsidR="00AD6B17" w:rsidRPr="004D307F" w:rsidRDefault="00AD6B17" w:rsidP="00ED0863">
      <w:pPr>
        <w:numPr>
          <w:ilvl w:val="0"/>
          <w:numId w:val="168"/>
        </w:num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Secondary</w:t>
      </w:r>
    </w:p>
    <w:p w14:paraId="0A96B484" w14:textId="77777777" w:rsidR="00AD6B17" w:rsidRPr="004D307F" w:rsidRDefault="00AD6B17" w:rsidP="00ED0863">
      <w:pPr>
        <w:numPr>
          <w:ilvl w:val="0"/>
          <w:numId w:val="168"/>
        </w:num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Primary/Secondary Combined</w:t>
      </w:r>
    </w:p>
    <w:p w14:paraId="5297D23E" w14:textId="77777777" w:rsidR="00AD6B17" w:rsidRPr="004D307F" w:rsidRDefault="00AD6B17" w:rsidP="00ED0863">
      <w:pPr>
        <w:numPr>
          <w:ilvl w:val="0"/>
          <w:numId w:val="168"/>
        </w:num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Specialist</w:t>
      </w:r>
    </w:p>
    <w:p w14:paraId="25697E64"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A student is considered eligible for Tier 3 dependent meeting two criteria summarised as follows:</w:t>
      </w:r>
    </w:p>
    <w:p w14:paraId="5B227FC5" w14:textId="77777777" w:rsidR="00AD6B17" w:rsidRPr="004D307F" w:rsidRDefault="00AD6B17" w:rsidP="00ED0863">
      <w:pPr>
        <w:pStyle w:val="ListParagraph"/>
        <w:numPr>
          <w:ilvl w:val="0"/>
          <w:numId w:val="169"/>
        </w:num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Evidence of disability or functional need as determined by (at least one of):</w:t>
      </w:r>
    </w:p>
    <w:p w14:paraId="558C804E" w14:textId="77777777" w:rsidR="00AD6B17" w:rsidRPr="004D307F" w:rsidRDefault="00AD6B17" w:rsidP="00ED0863">
      <w:pPr>
        <w:pStyle w:val="ListParagraph"/>
        <w:numPr>
          <w:ilvl w:val="1"/>
          <w:numId w:val="169"/>
        </w:num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measured functional capacity limit (Vineland Composite score of 70 or below)</w:t>
      </w:r>
    </w:p>
    <w:p w14:paraId="0A232514" w14:textId="77777777" w:rsidR="00AD6B17" w:rsidRPr="004D307F" w:rsidRDefault="00AD6B17" w:rsidP="00ED0863">
      <w:pPr>
        <w:pStyle w:val="ListParagraph"/>
        <w:numPr>
          <w:ilvl w:val="1"/>
          <w:numId w:val="169"/>
        </w:num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 xml:space="preserve">evidence of a diagnosed condition </w:t>
      </w:r>
    </w:p>
    <w:p w14:paraId="01522398" w14:textId="77777777" w:rsidR="00AD6B17" w:rsidRPr="004D307F" w:rsidRDefault="00AD6B17" w:rsidP="00ED0863">
      <w:pPr>
        <w:pStyle w:val="ListParagraph"/>
        <w:numPr>
          <w:ilvl w:val="1"/>
          <w:numId w:val="169"/>
        </w:num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enhanced moderation pathway</w:t>
      </w:r>
    </w:p>
    <w:p w14:paraId="472C41F4" w14:textId="77777777" w:rsidR="00AD6B17" w:rsidRPr="004D307F" w:rsidRDefault="00AD6B17" w:rsidP="00ED0863">
      <w:pPr>
        <w:pStyle w:val="ListParagraph"/>
        <w:numPr>
          <w:ilvl w:val="0"/>
          <w:numId w:val="169"/>
        </w:num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Profile-related (at least one of):</w:t>
      </w:r>
    </w:p>
    <w:p w14:paraId="07EB0F47" w14:textId="59ADDA40" w:rsidR="00AD6B17" w:rsidRPr="004D307F" w:rsidRDefault="000C1ED7" w:rsidP="00ED0863">
      <w:pPr>
        <w:pStyle w:val="ListParagraph"/>
        <w:numPr>
          <w:ilvl w:val="1"/>
          <w:numId w:val="169"/>
        </w:numPr>
        <w:spacing w:before="100" w:beforeAutospacing="1" w:after="100" w:afterAutospacing="1" w:line="360" w:lineRule="atLeast"/>
        <w:rPr>
          <w:rFonts w:ascii="VIC" w:eastAsia="Times New Roman" w:hAnsi="VIC" w:cs="Arial"/>
          <w:color w:val="011A3C"/>
          <w:sz w:val="24"/>
          <w:szCs w:val="24"/>
          <w:lang w:eastAsia="en-AU"/>
        </w:rPr>
      </w:pPr>
      <w:r w:rsidRPr="000C1ED7">
        <w:rPr>
          <w:rFonts w:ascii="VIC" w:eastAsia="Times New Roman" w:hAnsi="VIC" w:cs="Arial"/>
          <w:color w:val="011A3C"/>
          <w:sz w:val="24"/>
          <w:szCs w:val="24"/>
          <w:lang w:eastAsia="en-AU"/>
        </w:rPr>
        <w:lastRenderedPageBreak/>
        <w:t>greater than or equal to</w:t>
      </w:r>
      <w:r w:rsidR="00AD6B17" w:rsidRPr="004D307F">
        <w:rPr>
          <w:rFonts w:ascii="VIC" w:eastAsia="Times New Roman" w:hAnsi="VIC" w:cs="Arial"/>
          <w:color w:val="011A3C"/>
          <w:sz w:val="24"/>
          <w:szCs w:val="24"/>
          <w:lang w:eastAsia="en-AU"/>
        </w:rPr>
        <w:t xml:space="preserve"> 8 educational activities requiring Substantial or higher adjustment </w:t>
      </w:r>
    </w:p>
    <w:p w14:paraId="5FB5C95E" w14:textId="46007686" w:rsidR="00AD6B17" w:rsidRPr="004D307F" w:rsidRDefault="000C1ED7" w:rsidP="00ED0863">
      <w:pPr>
        <w:pStyle w:val="ListParagraph"/>
        <w:numPr>
          <w:ilvl w:val="1"/>
          <w:numId w:val="169"/>
        </w:numPr>
        <w:spacing w:before="100" w:beforeAutospacing="1" w:after="100" w:afterAutospacing="1" w:line="360" w:lineRule="atLeast"/>
        <w:rPr>
          <w:rFonts w:ascii="VIC" w:eastAsia="Times New Roman" w:hAnsi="VIC" w:cs="Arial"/>
          <w:color w:val="011A3C"/>
          <w:sz w:val="24"/>
          <w:szCs w:val="24"/>
          <w:lang w:eastAsia="en-AU"/>
        </w:rPr>
      </w:pPr>
      <w:r w:rsidRPr="000C1ED7">
        <w:rPr>
          <w:rFonts w:ascii="VIC" w:eastAsia="Times New Roman" w:hAnsi="VIC" w:cs="Arial"/>
          <w:color w:val="011A3C"/>
          <w:sz w:val="24"/>
          <w:szCs w:val="24"/>
          <w:lang w:eastAsia="en-AU"/>
        </w:rPr>
        <w:t>greater than or equal to</w:t>
      </w:r>
      <w:r w:rsidR="00AD6B17" w:rsidRPr="004D307F">
        <w:rPr>
          <w:rFonts w:ascii="VIC" w:eastAsia="Times New Roman" w:hAnsi="VIC" w:cs="Arial"/>
          <w:color w:val="011A3C"/>
          <w:sz w:val="24"/>
          <w:szCs w:val="24"/>
          <w:lang w:eastAsia="en-AU"/>
        </w:rPr>
        <w:t xml:space="preserve"> 3 educational activities requiring Extensive adjustment</w:t>
      </w:r>
    </w:p>
    <w:p w14:paraId="4913575D" w14:textId="53F5B79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 xml:space="preserve">For more information on Tier 3 eligibility refer to: </w:t>
      </w:r>
      <w:hyperlink r:id="rId76" w:history="1">
        <w:r w:rsidRPr="004D307F">
          <w:rPr>
            <w:rStyle w:val="Hyperlink"/>
            <w:rFonts w:ascii="VIC" w:hAnsi="VIC" w:cs="Arial"/>
            <w:sz w:val="24"/>
            <w:szCs w:val="24"/>
          </w:rPr>
          <w:t>Disability Inclusion Funding and Support</w:t>
        </w:r>
      </w:hyperlink>
      <w:r w:rsidRPr="004D307F">
        <w:rPr>
          <w:rFonts w:ascii="VIC" w:eastAsia="Times New Roman" w:hAnsi="VIC" w:cs="Arial"/>
          <w:color w:val="011A3C"/>
          <w:sz w:val="24"/>
          <w:szCs w:val="24"/>
          <w:lang w:eastAsia="en-AU"/>
        </w:rPr>
        <w:t>.</w:t>
      </w:r>
    </w:p>
    <w:p w14:paraId="060B5485" w14:textId="77777777" w:rsidR="00AD6B17" w:rsidRPr="004D307F" w:rsidRDefault="00AD6B17" w:rsidP="004D307F">
      <w:pPr>
        <w:spacing w:before="100" w:beforeAutospacing="1" w:after="100" w:afterAutospacing="1" w:line="288" w:lineRule="atLeast"/>
        <w:outlineLvl w:val="3"/>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Tier 3 calculation</w:t>
      </w:r>
    </w:p>
    <w:p w14:paraId="7BB61B99"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Tier 3 funding is calculated using the following formula:</w:t>
      </w:r>
    </w:p>
    <w:p w14:paraId="144DC002" w14:textId="0E295FB6"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 xml:space="preserve">Tier 3 funding </w:t>
      </w:r>
      <w:r w:rsidRPr="004D307F">
        <w:rPr>
          <w:rFonts w:ascii="VIC" w:eastAsia="Times New Roman" w:hAnsi="VIC" w:cs="Arial"/>
          <w:color w:val="011A3C"/>
          <w:sz w:val="24"/>
          <w:szCs w:val="24"/>
          <w:lang w:eastAsia="en-AU"/>
        </w:rPr>
        <w:tab/>
        <w:t xml:space="preserve">= weighted score </w:t>
      </w:r>
      <w:r w:rsidR="003457D4" w:rsidRPr="003457D4">
        <w:rPr>
          <w:rFonts w:ascii="VIC" w:eastAsia="Times New Roman" w:hAnsi="VIC" w:cs="Arial"/>
          <w:color w:val="011A3C"/>
          <w:sz w:val="24"/>
          <w:szCs w:val="24"/>
          <w:lang w:eastAsia="en-AU"/>
        </w:rPr>
        <w:t>×</w:t>
      </w:r>
      <w:r w:rsidRPr="004D307F">
        <w:rPr>
          <w:rFonts w:ascii="VIC" w:eastAsia="Times New Roman" w:hAnsi="VIC" w:cs="Arial"/>
          <w:color w:val="011A3C"/>
          <w:sz w:val="24"/>
          <w:szCs w:val="24"/>
          <w:lang w:eastAsia="en-AU"/>
        </w:rPr>
        <w:t xml:space="preserve"> funding rate </w:t>
      </w:r>
    </w:p>
    <w:p w14:paraId="05CBD749" w14:textId="77777777" w:rsidR="00AD6B17" w:rsidRPr="004D307F" w:rsidRDefault="00AD6B17" w:rsidP="004D307F">
      <w:pPr>
        <w:spacing w:before="120" w:after="120" w:line="360" w:lineRule="atLeast"/>
        <w:rPr>
          <w:rFonts w:ascii="VIC" w:eastAsia="Arial" w:hAnsi="VIC" w:cs="Times New Roman"/>
          <w:b/>
          <w:bCs/>
          <w:color w:val="011A3C"/>
          <w:sz w:val="24"/>
          <w:szCs w:val="24"/>
          <w:lang w:val="en-GB"/>
        </w:rPr>
      </w:pPr>
      <w:r w:rsidRPr="004D307F">
        <w:rPr>
          <w:rFonts w:ascii="VIC" w:eastAsia="Arial" w:hAnsi="VIC" w:cs="Times New Roman"/>
          <w:b/>
          <w:bCs/>
          <w:color w:val="011A3C"/>
          <w:sz w:val="24"/>
          <w:szCs w:val="24"/>
          <w:lang w:val="en-GB"/>
        </w:rPr>
        <w:t>Weighted score</w:t>
      </w:r>
    </w:p>
    <w:p w14:paraId="780EB4BA"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 xml:space="preserve">The weighted score is calculated using a student’s Profile. The Profile records levels of adjustment against 31 educational activities, across 6 domains. The levels of adjustment are given a numerical score ranging from 0 (Present Environment of Supports) to 4 (Extensive Adjustments). </w:t>
      </w:r>
    </w:p>
    <w:p w14:paraId="67384006"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 xml:space="preserve">These unweighted scores are then weighted according to their domain and standardised. Weightings balance funding requirements across domains. For example, activities in the Self-care Domain will be weighted differently compared to those in the Learning and Applying Knowledge Domain. </w:t>
      </w:r>
    </w:p>
    <w:p w14:paraId="73FD1B24" w14:textId="77777777" w:rsidR="00AD6B17" w:rsidRPr="004D307F" w:rsidRDefault="00AD6B17" w:rsidP="004D307F">
      <w:pPr>
        <w:spacing w:before="120" w:after="120" w:line="360" w:lineRule="atLeast"/>
        <w:rPr>
          <w:rFonts w:ascii="VIC" w:eastAsia="Arial" w:hAnsi="VIC" w:cs="Times New Roman"/>
          <w:b/>
          <w:bCs/>
          <w:color w:val="011A3C"/>
          <w:sz w:val="24"/>
          <w:szCs w:val="24"/>
          <w:lang w:val="en-GB"/>
        </w:rPr>
      </w:pPr>
      <w:r w:rsidRPr="004D307F">
        <w:rPr>
          <w:rFonts w:ascii="VIC" w:eastAsia="Arial" w:hAnsi="VIC" w:cs="Times New Roman"/>
          <w:b/>
          <w:bCs/>
          <w:color w:val="011A3C"/>
          <w:sz w:val="24"/>
          <w:szCs w:val="24"/>
          <w:lang w:val="en-GB"/>
        </w:rPr>
        <w:t>Funding rate</w:t>
      </w:r>
    </w:p>
    <w:p w14:paraId="500722AC"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A flat rate of $630 applies in 2022.</w:t>
      </w:r>
    </w:p>
    <w:p w14:paraId="3CC9FE38" w14:textId="77777777" w:rsidR="00AD6B17" w:rsidRPr="004D307F" w:rsidRDefault="00AD6B17" w:rsidP="004D307F">
      <w:pPr>
        <w:spacing w:before="120" w:after="120" w:line="360" w:lineRule="atLeast"/>
        <w:rPr>
          <w:rFonts w:ascii="VIC" w:eastAsia="Arial" w:hAnsi="VIC" w:cs="Times New Roman"/>
          <w:b/>
          <w:bCs/>
          <w:color w:val="011A3C"/>
          <w:sz w:val="24"/>
          <w:szCs w:val="24"/>
          <w:lang w:val="en-GB"/>
        </w:rPr>
      </w:pPr>
      <w:r w:rsidRPr="004D307F">
        <w:rPr>
          <w:rFonts w:ascii="VIC" w:eastAsia="Arial" w:hAnsi="VIC" w:cs="Times New Roman"/>
          <w:b/>
          <w:bCs/>
          <w:color w:val="011A3C"/>
          <w:sz w:val="24"/>
          <w:szCs w:val="24"/>
          <w:lang w:val="en-GB"/>
        </w:rPr>
        <w:t>Annual allocation</w:t>
      </w:r>
    </w:p>
    <w:p w14:paraId="7773E15A" w14:textId="7AC751A4"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Annual allocation</w:t>
      </w:r>
      <w:r w:rsidRPr="004D307F">
        <w:rPr>
          <w:rFonts w:ascii="VIC" w:eastAsia="Times New Roman" w:hAnsi="VIC" w:cs="Arial"/>
          <w:color w:val="011A3C"/>
          <w:sz w:val="24"/>
          <w:szCs w:val="24"/>
          <w:lang w:eastAsia="en-AU"/>
        </w:rPr>
        <w:tab/>
        <w:t>= Tier 3 funding * enrolment time fraction * portion of the year funding is active</w:t>
      </w:r>
    </w:p>
    <w:p w14:paraId="339941C4"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The annual allocation factors in the student’s enrolment time fraction at the school and the portion of the year for which the Profile is active. For example, a Profile with an associated Tier 3 funding start date of Term 2 would be active for 3 terms (0.75) of the year, then typically active for the whole year (4 terms = 1) in the following years.</w:t>
      </w:r>
    </w:p>
    <w:p w14:paraId="197CD0A6"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p>
    <w:p w14:paraId="645D3EFA" w14:textId="77777777" w:rsidR="00AD6B17" w:rsidRPr="004D307F" w:rsidRDefault="00AD6B17" w:rsidP="004D307F">
      <w:pPr>
        <w:spacing w:before="100" w:beforeAutospacing="1" w:after="100" w:afterAutospacing="1" w:line="288" w:lineRule="atLeast"/>
        <w:outlineLvl w:val="3"/>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lastRenderedPageBreak/>
        <w:t>Example of Tier 3 student-level funding calculation</w:t>
      </w:r>
    </w:p>
    <w:p w14:paraId="6845F261"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A student with disability undertakes a Profile process. The Profile record levels of adjustment against 31 educational activities, across 6 domains. The student’s Profile shows the student receives an ‘extensive’ level of adjustment against educational activities in the Communication and Self-care domains.</w:t>
      </w:r>
    </w:p>
    <w:p w14:paraId="5E707337"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There is evidence of the student having a functional need as indicated by the Vineland and the Profile contains 5 Extensive and 7 Substantial levels of adjustment, meaning the student meets the Tier 3 student-level funding eligibility criteria. The Profile is finalised with a Tier 3 funding start date of Term 2</w:t>
      </w:r>
    </w:p>
    <w:p w14:paraId="1B00E81D" w14:textId="77777777" w:rsidR="00AD6B17" w:rsidRPr="004D307F" w:rsidRDefault="00AD6B17" w:rsidP="004D307F">
      <w:pPr>
        <w:spacing w:before="120" w:after="120" w:line="360" w:lineRule="atLeast"/>
        <w:rPr>
          <w:rFonts w:ascii="VIC" w:eastAsia="Arial" w:hAnsi="VIC" w:cs="Times New Roman"/>
          <w:b/>
          <w:bCs/>
          <w:color w:val="011A3C"/>
          <w:sz w:val="24"/>
          <w:szCs w:val="24"/>
          <w:lang w:val="en-GB"/>
        </w:rPr>
      </w:pPr>
      <w:r w:rsidRPr="004D307F">
        <w:rPr>
          <w:rFonts w:ascii="VIC" w:eastAsia="Arial" w:hAnsi="VIC" w:cs="Times New Roman"/>
          <w:b/>
          <w:bCs/>
          <w:color w:val="011A3C"/>
          <w:sz w:val="24"/>
          <w:szCs w:val="24"/>
          <w:lang w:val="en-GB"/>
        </w:rPr>
        <w:t>Weighted score calculation</w:t>
      </w:r>
    </w:p>
    <w:p w14:paraId="0CD55FEE" w14:textId="49EDBEA9" w:rsidR="00AD6B17" w:rsidRPr="004D307F" w:rsidRDefault="00AD6B17" w:rsidP="004D307F">
      <w:pPr>
        <w:spacing w:before="100" w:beforeAutospacing="1" w:after="100" w:afterAutospacing="1" w:line="360" w:lineRule="atLeast"/>
        <w:outlineLvl w:val="3"/>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The student’s levels of adjustment across the 31 educational activities transformed into scores between 0</w:t>
      </w:r>
      <w:r w:rsidR="003457D4">
        <w:rPr>
          <w:rFonts w:ascii="VIC" w:eastAsia="Times New Roman" w:hAnsi="VIC" w:cs="Arial"/>
          <w:color w:val="011A3C"/>
          <w:sz w:val="24"/>
          <w:szCs w:val="24"/>
          <w:lang w:eastAsia="en-AU"/>
        </w:rPr>
        <w:t xml:space="preserve"> to </w:t>
      </w:r>
      <w:r w:rsidRPr="004D307F">
        <w:rPr>
          <w:rFonts w:ascii="VIC" w:eastAsia="Times New Roman" w:hAnsi="VIC" w:cs="Arial"/>
          <w:color w:val="011A3C"/>
          <w:sz w:val="24"/>
          <w:szCs w:val="24"/>
          <w:lang w:eastAsia="en-AU"/>
        </w:rPr>
        <w:t>4 and are weighted based on their domain and standardised to produce a total weighted score of 47.25.</w:t>
      </w:r>
    </w:p>
    <w:p w14:paraId="70CDD432" w14:textId="77777777" w:rsidR="00AD6B17" w:rsidRPr="004D307F" w:rsidRDefault="00AD6B17" w:rsidP="004D307F">
      <w:pPr>
        <w:spacing w:before="120" w:after="120" w:line="360" w:lineRule="atLeast"/>
        <w:rPr>
          <w:rFonts w:ascii="VIC" w:eastAsia="Arial" w:hAnsi="VIC" w:cs="Times New Roman"/>
          <w:b/>
          <w:bCs/>
          <w:color w:val="011A3C"/>
          <w:sz w:val="24"/>
          <w:szCs w:val="24"/>
          <w:lang w:val="en-GB"/>
        </w:rPr>
      </w:pPr>
      <w:r w:rsidRPr="004D307F">
        <w:rPr>
          <w:rFonts w:ascii="VIC" w:eastAsia="Arial" w:hAnsi="VIC" w:cs="Times New Roman"/>
          <w:b/>
          <w:bCs/>
          <w:color w:val="011A3C"/>
          <w:sz w:val="24"/>
          <w:szCs w:val="24"/>
          <w:lang w:val="en-GB"/>
        </w:rPr>
        <w:t>Allocation calculation</w:t>
      </w:r>
    </w:p>
    <w:p w14:paraId="23527ED9"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The allocation would be calculated as:</w:t>
      </w:r>
    </w:p>
    <w:p w14:paraId="2ED907E6" w14:textId="2555E506"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Tier 3 funding</w:t>
      </w:r>
      <w:r w:rsidRPr="004D307F">
        <w:rPr>
          <w:rFonts w:ascii="VIC" w:eastAsia="Times New Roman" w:hAnsi="VIC" w:cs="Arial"/>
          <w:color w:val="011A3C"/>
          <w:sz w:val="24"/>
          <w:szCs w:val="24"/>
          <w:lang w:eastAsia="en-AU"/>
        </w:rPr>
        <w:tab/>
        <w:t>= weighted score</w:t>
      </w:r>
      <w:r w:rsidRPr="004D307F">
        <w:rPr>
          <w:rFonts w:ascii="VIC" w:eastAsia="Times New Roman" w:hAnsi="VIC" w:cs="Arial"/>
          <w:color w:val="011A3C"/>
          <w:sz w:val="24"/>
          <w:szCs w:val="24"/>
          <w:lang w:eastAsia="en-AU"/>
        </w:rPr>
        <w:tab/>
      </w:r>
      <w:r w:rsidR="003457D4" w:rsidRPr="003457D4">
        <w:rPr>
          <w:rFonts w:ascii="VIC" w:eastAsia="Times New Roman" w:hAnsi="VIC" w:cs="Arial"/>
          <w:color w:val="011A3C"/>
          <w:sz w:val="24"/>
          <w:szCs w:val="24"/>
          <w:lang w:eastAsia="en-AU"/>
        </w:rPr>
        <w:t>×</w:t>
      </w:r>
      <w:r w:rsidRPr="004D307F">
        <w:rPr>
          <w:rFonts w:ascii="VIC" w:eastAsia="Times New Roman" w:hAnsi="VIC" w:cs="Arial"/>
          <w:color w:val="011A3C"/>
          <w:sz w:val="24"/>
          <w:szCs w:val="24"/>
          <w:lang w:eastAsia="en-AU"/>
        </w:rPr>
        <w:tab/>
        <w:t>funding rate</w:t>
      </w:r>
    </w:p>
    <w:p w14:paraId="5710DDD1" w14:textId="132195B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ab/>
      </w:r>
      <w:r w:rsidRPr="004D307F">
        <w:rPr>
          <w:rFonts w:ascii="VIC" w:eastAsia="Times New Roman" w:hAnsi="VIC" w:cs="Arial"/>
          <w:color w:val="011A3C"/>
          <w:sz w:val="24"/>
          <w:szCs w:val="24"/>
          <w:lang w:eastAsia="en-AU"/>
        </w:rPr>
        <w:tab/>
      </w:r>
      <w:r w:rsidRPr="004D307F">
        <w:rPr>
          <w:rFonts w:ascii="VIC" w:eastAsia="Times New Roman" w:hAnsi="VIC" w:cs="Arial"/>
          <w:color w:val="011A3C"/>
          <w:sz w:val="24"/>
          <w:szCs w:val="24"/>
          <w:lang w:eastAsia="en-AU"/>
        </w:rPr>
        <w:tab/>
        <w:t>= 47.25</w:t>
      </w:r>
      <w:r w:rsidRPr="004D307F">
        <w:rPr>
          <w:rFonts w:ascii="VIC" w:eastAsia="Times New Roman" w:hAnsi="VIC" w:cs="Arial"/>
          <w:color w:val="011A3C"/>
          <w:sz w:val="24"/>
          <w:szCs w:val="24"/>
          <w:lang w:eastAsia="en-AU"/>
        </w:rPr>
        <w:tab/>
      </w:r>
      <w:r w:rsidRPr="004D307F">
        <w:rPr>
          <w:rFonts w:ascii="VIC" w:eastAsia="Times New Roman" w:hAnsi="VIC" w:cs="Arial"/>
          <w:color w:val="011A3C"/>
          <w:sz w:val="24"/>
          <w:szCs w:val="24"/>
          <w:lang w:eastAsia="en-AU"/>
        </w:rPr>
        <w:tab/>
      </w:r>
      <w:r w:rsidR="003457D4" w:rsidRPr="003457D4">
        <w:rPr>
          <w:rFonts w:ascii="VIC" w:eastAsia="Times New Roman" w:hAnsi="VIC" w:cs="Arial"/>
          <w:color w:val="011A3C"/>
          <w:sz w:val="24"/>
          <w:szCs w:val="24"/>
          <w:lang w:eastAsia="en-AU"/>
        </w:rPr>
        <w:t>×</w:t>
      </w:r>
      <w:r w:rsidRPr="004D307F">
        <w:rPr>
          <w:rFonts w:ascii="VIC" w:eastAsia="Times New Roman" w:hAnsi="VIC" w:cs="Arial"/>
          <w:color w:val="011A3C"/>
          <w:sz w:val="24"/>
          <w:szCs w:val="24"/>
          <w:lang w:eastAsia="en-AU"/>
        </w:rPr>
        <w:tab/>
        <w:t>$630</w:t>
      </w:r>
    </w:p>
    <w:p w14:paraId="3D1A7DE8"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ab/>
      </w:r>
      <w:r w:rsidRPr="004D307F">
        <w:rPr>
          <w:rFonts w:ascii="VIC" w:eastAsia="Times New Roman" w:hAnsi="VIC" w:cs="Arial"/>
          <w:color w:val="011A3C"/>
          <w:sz w:val="24"/>
          <w:szCs w:val="24"/>
          <w:lang w:eastAsia="en-AU"/>
        </w:rPr>
        <w:tab/>
      </w:r>
      <w:r w:rsidRPr="004D307F">
        <w:rPr>
          <w:rFonts w:ascii="VIC" w:eastAsia="Times New Roman" w:hAnsi="VIC" w:cs="Arial"/>
          <w:color w:val="011A3C"/>
          <w:sz w:val="24"/>
          <w:szCs w:val="24"/>
          <w:lang w:eastAsia="en-AU"/>
        </w:rPr>
        <w:tab/>
        <w:t>= $29,767.50</w:t>
      </w:r>
    </w:p>
    <w:p w14:paraId="3C5D0519"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The allocation that the student attracts for the year is determined as follows:</w:t>
      </w:r>
    </w:p>
    <w:p w14:paraId="5799656D" w14:textId="3A63BA0B"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Annual allocation</w:t>
      </w:r>
      <w:r w:rsidRPr="004D307F">
        <w:rPr>
          <w:rFonts w:ascii="VIC" w:eastAsia="Times New Roman" w:hAnsi="VIC" w:cs="Arial"/>
          <w:color w:val="011A3C"/>
          <w:sz w:val="24"/>
          <w:szCs w:val="24"/>
          <w:lang w:eastAsia="en-AU"/>
        </w:rPr>
        <w:tab/>
        <w:t xml:space="preserve">= annual rate </w:t>
      </w:r>
      <w:r w:rsidR="003457D4" w:rsidRPr="003457D4">
        <w:rPr>
          <w:rFonts w:ascii="VIC" w:eastAsia="Times New Roman" w:hAnsi="VIC" w:cs="Arial"/>
          <w:color w:val="011A3C"/>
          <w:sz w:val="24"/>
          <w:szCs w:val="24"/>
          <w:lang w:eastAsia="en-AU"/>
        </w:rPr>
        <w:t>×</w:t>
      </w:r>
      <w:r w:rsidRPr="004D307F">
        <w:rPr>
          <w:rFonts w:ascii="VIC" w:eastAsia="Times New Roman" w:hAnsi="VIC" w:cs="Arial"/>
          <w:color w:val="011A3C"/>
          <w:sz w:val="24"/>
          <w:szCs w:val="24"/>
          <w:lang w:eastAsia="en-AU"/>
        </w:rPr>
        <w:t xml:space="preserve"> enrolment time fraction </w:t>
      </w:r>
      <w:r w:rsidR="003457D4" w:rsidRPr="003457D4">
        <w:rPr>
          <w:rFonts w:ascii="VIC" w:eastAsia="Times New Roman" w:hAnsi="VIC" w:cs="Arial"/>
          <w:color w:val="011A3C"/>
          <w:sz w:val="24"/>
          <w:szCs w:val="24"/>
          <w:lang w:eastAsia="en-AU"/>
        </w:rPr>
        <w:t>×</w:t>
      </w:r>
    </w:p>
    <w:p w14:paraId="32D4DC2B"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ab/>
      </w:r>
      <w:r w:rsidRPr="004D307F">
        <w:rPr>
          <w:rFonts w:ascii="VIC" w:eastAsia="Times New Roman" w:hAnsi="VIC" w:cs="Arial"/>
          <w:color w:val="011A3C"/>
          <w:sz w:val="24"/>
          <w:szCs w:val="24"/>
          <w:lang w:eastAsia="en-AU"/>
        </w:rPr>
        <w:tab/>
      </w:r>
      <w:r w:rsidRPr="004D307F">
        <w:rPr>
          <w:rFonts w:ascii="VIC" w:eastAsia="Times New Roman" w:hAnsi="VIC" w:cs="Arial"/>
          <w:color w:val="011A3C"/>
          <w:sz w:val="24"/>
          <w:szCs w:val="24"/>
          <w:lang w:eastAsia="en-AU"/>
        </w:rPr>
        <w:tab/>
        <w:t xml:space="preserve">  portion of the year funding is active</w:t>
      </w:r>
    </w:p>
    <w:p w14:paraId="2B0F21BC" w14:textId="3AC377CF"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ab/>
      </w:r>
      <w:r w:rsidRPr="004D307F">
        <w:rPr>
          <w:rFonts w:ascii="VIC" w:eastAsia="Times New Roman" w:hAnsi="VIC" w:cs="Arial"/>
          <w:color w:val="011A3C"/>
          <w:sz w:val="24"/>
          <w:szCs w:val="24"/>
          <w:lang w:eastAsia="en-AU"/>
        </w:rPr>
        <w:tab/>
      </w:r>
      <w:r w:rsidRPr="004D307F">
        <w:rPr>
          <w:rFonts w:ascii="VIC" w:eastAsia="Times New Roman" w:hAnsi="VIC" w:cs="Arial"/>
          <w:color w:val="011A3C"/>
          <w:sz w:val="24"/>
          <w:szCs w:val="24"/>
          <w:lang w:eastAsia="en-AU"/>
        </w:rPr>
        <w:tab/>
        <w:t xml:space="preserve">= $29,767.50 </w:t>
      </w:r>
      <w:r w:rsidR="003457D4" w:rsidRPr="003457D4">
        <w:rPr>
          <w:rFonts w:ascii="VIC" w:eastAsia="Times New Roman" w:hAnsi="VIC" w:cs="Arial"/>
          <w:color w:val="011A3C"/>
          <w:sz w:val="24"/>
          <w:szCs w:val="24"/>
          <w:lang w:eastAsia="en-AU"/>
        </w:rPr>
        <w:t>×</w:t>
      </w:r>
      <w:r w:rsidRPr="004D307F">
        <w:rPr>
          <w:rFonts w:ascii="VIC" w:eastAsia="Times New Roman" w:hAnsi="VIC" w:cs="Arial"/>
          <w:color w:val="011A3C"/>
          <w:sz w:val="24"/>
          <w:szCs w:val="24"/>
          <w:lang w:eastAsia="en-AU"/>
        </w:rPr>
        <w:t xml:space="preserve"> 1 </w:t>
      </w:r>
      <w:r w:rsidR="003457D4" w:rsidRPr="003457D4">
        <w:rPr>
          <w:rFonts w:ascii="VIC" w:eastAsia="Times New Roman" w:hAnsi="VIC" w:cs="Arial"/>
          <w:color w:val="011A3C"/>
          <w:sz w:val="24"/>
          <w:szCs w:val="24"/>
          <w:lang w:eastAsia="en-AU"/>
        </w:rPr>
        <w:t>×</w:t>
      </w:r>
      <w:r w:rsidRPr="004D307F">
        <w:rPr>
          <w:rFonts w:ascii="VIC" w:eastAsia="Times New Roman" w:hAnsi="VIC" w:cs="Arial"/>
          <w:color w:val="011A3C"/>
          <w:sz w:val="24"/>
          <w:szCs w:val="24"/>
          <w:lang w:eastAsia="en-AU"/>
        </w:rPr>
        <w:t xml:space="preserve"> 0.75</w:t>
      </w:r>
    </w:p>
    <w:p w14:paraId="7E8DE10A"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ab/>
      </w:r>
      <w:r w:rsidRPr="004D307F">
        <w:rPr>
          <w:rFonts w:ascii="VIC" w:eastAsia="Times New Roman" w:hAnsi="VIC" w:cs="Arial"/>
          <w:color w:val="011A3C"/>
          <w:sz w:val="24"/>
          <w:szCs w:val="24"/>
          <w:lang w:eastAsia="en-AU"/>
        </w:rPr>
        <w:tab/>
      </w:r>
      <w:r w:rsidRPr="004D307F">
        <w:rPr>
          <w:rFonts w:ascii="VIC" w:eastAsia="Times New Roman" w:hAnsi="VIC" w:cs="Arial"/>
          <w:color w:val="011A3C"/>
          <w:sz w:val="24"/>
          <w:szCs w:val="24"/>
          <w:lang w:eastAsia="en-AU"/>
        </w:rPr>
        <w:tab/>
        <w:t>= $22,325.63</w:t>
      </w:r>
    </w:p>
    <w:p w14:paraId="129CA62E" w14:textId="02B3864C"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 xml:space="preserve">The Student Support Group (SSG) is notified by the school contact of the Tier 3 funding via the School Resource Notification, which provides an indication </w:t>
      </w:r>
      <w:r w:rsidRPr="004D307F">
        <w:rPr>
          <w:rFonts w:ascii="VIC" w:eastAsia="Times New Roman" w:hAnsi="VIC" w:cs="Arial"/>
          <w:color w:val="011A3C"/>
          <w:sz w:val="24"/>
          <w:szCs w:val="24"/>
          <w:lang w:eastAsia="en-AU"/>
        </w:rPr>
        <w:lastRenderedPageBreak/>
        <w:t>of the annual rate. The allocation is then typically reflected in the school’s budget at the end of the term.</w:t>
      </w:r>
    </w:p>
    <w:p w14:paraId="1E9FF6E6" w14:textId="77777777" w:rsidR="00AD6B17" w:rsidRPr="004D307F" w:rsidRDefault="00AD6B17" w:rsidP="004D307F">
      <w:pPr>
        <w:spacing w:before="100" w:beforeAutospacing="1" w:after="100" w:afterAutospacing="1" w:line="288" w:lineRule="atLeast"/>
        <w:outlineLvl w:val="3"/>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Enrolment, budget and reporting information</w:t>
      </w:r>
    </w:p>
    <w:p w14:paraId="79CF9444"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Tier 3 funding allocations are made according to Profiles completed prior to budget-critical dates early in each term.</w:t>
      </w:r>
    </w:p>
    <w:p w14:paraId="2B77F62E"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The Indicative Student Resource Package (SRP) is based on Profile and enrolment information as at Term 3 the year prior. Allocations are updated in the Confirmed SRP, capturing enrolment and application changes that occur between Term 3 and Term 1.</w:t>
      </w:r>
    </w:p>
    <w:p w14:paraId="342C17C1"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 xml:space="preserve">Where enrolment details are not correct in CASES21 prior to budget critical dates each term, Tier 3 student-level funding cannot be guaranteed. Enrolment details for new or current students must be promptly uploaded from CASES21. </w:t>
      </w:r>
    </w:p>
    <w:p w14:paraId="1A98272D"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Where a student transfers during the school year, resources remaining for the year will be adjusted and made available to the new school from the commencement of the next school term. The SRP is revised at the end of each term to capture these changes.</w:t>
      </w:r>
    </w:p>
    <w:p w14:paraId="5A239794"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Schools should make local arrangements to transfer resources for enrolment changes occurring during term.</w:t>
      </w:r>
    </w:p>
    <w:p w14:paraId="227AE561"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Where agreement has been reached that a student is enrolled and attends two schools, the allocation will be provided on a pro-rata basis consistent with the enrolment details contained in CASES21.</w:t>
      </w:r>
    </w:p>
    <w:p w14:paraId="724D256D" w14:textId="589679DA" w:rsidR="007B0EF6" w:rsidRPr="00C16001" w:rsidRDefault="00AD6B17" w:rsidP="00C16001">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 xml:space="preserve">Schools are provided with School Resource Notifications providing an indication of a student’s annual rate at finalisation of their Disability Inclusion Profile. Accurate allocation information is provided to schools through termly Tier 3 student-level funding allocation reports. Allocation detail in these reports should be reviewed against School Resource Notifications and students’ CASES enrolment information, and any queries raised through an email to the </w:t>
      </w:r>
      <w:hyperlink r:id="rId77" w:history="1">
        <w:r w:rsidRPr="004D307F">
          <w:rPr>
            <w:rStyle w:val="Hyperlink"/>
            <w:rFonts w:ascii="VIC" w:hAnsi="VIC" w:cs="Arial"/>
            <w:sz w:val="24"/>
            <w:szCs w:val="24"/>
          </w:rPr>
          <w:t>Disability Inclusion Outcomes mailbox</w:t>
        </w:r>
      </w:hyperlink>
      <w:r w:rsidRPr="004D307F">
        <w:rPr>
          <w:rFonts w:ascii="VIC" w:eastAsia="Times New Roman" w:hAnsi="VIC" w:cs="Arial"/>
          <w:color w:val="011A3C"/>
          <w:sz w:val="24"/>
          <w:szCs w:val="24"/>
          <w:lang w:eastAsia="en-AU"/>
        </w:rPr>
        <w:t>. Reconciliation requests can be logged via the DET Service Gateway and will only be considered on a one-term basis. Requests for budget adjustments cannot be considered beyond the previous term.</w:t>
      </w:r>
      <w:r w:rsidR="007B0EF6" w:rsidRPr="004D307F">
        <w:br w:type="page"/>
      </w:r>
    </w:p>
    <w:p w14:paraId="71655CB5" w14:textId="77F0D10D" w:rsidR="00ED4312" w:rsidRPr="004D307F" w:rsidRDefault="00ED4312" w:rsidP="000F3581">
      <w:pPr>
        <w:pStyle w:val="Heading1"/>
      </w:pPr>
      <w:bookmarkStart w:id="45" w:name="_Toc106793763"/>
      <w:r w:rsidRPr="004D307F">
        <w:lastRenderedPageBreak/>
        <w:t>School Infrastructure</w:t>
      </w:r>
      <w:bookmarkEnd w:id="45"/>
      <w:r w:rsidRPr="004D307F">
        <w:t xml:space="preserve"> </w:t>
      </w:r>
    </w:p>
    <w:p w14:paraId="19C0FD4F" w14:textId="77777777" w:rsidR="00ED4312" w:rsidRPr="004D307F" w:rsidRDefault="00ED4312" w:rsidP="004D307F">
      <w:pPr>
        <w:spacing w:before="100" w:beforeAutospacing="1" w:after="100" w:afterAutospacing="1" w:line="312" w:lineRule="atLeast"/>
        <w:outlineLvl w:val="1"/>
        <w:rPr>
          <w:rFonts w:ascii="VIC" w:eastAsia="Times New Roman" w:hAnsi="VIC" w:cs="Times New Roman"/>
          <w:b/>
          <w:bCs/>
          <w:sz w:val="36"/>
          <w:szCs w:val="36"/>
          <w:lang w:val="en"/>
        </w:rPr>
      </w:pPr>
      <w:r w:rsidRPr="004D307F">
        <w:rPr>
          <w:rFonts w:ascii="VIC" w:eastAsia="Times New Roman" w:hAnsi="VIC" w:cs="Times New Roman"/>
          <w:sz w:val="36"/>
          <w:szCs w:val="36"/>
          <w:lang w:val="en" w:eastAsia="en-AU"/>
        </w:rPr>
        <w:t>Policy</w:t>
      </w:r>
    </w:p>
    <w:p w14:paraId="1BC26F35" w14:textId="77777777" w:rsidR="00ED4312" w:rsidRPr="004D307F" w:rsidRDefault="00ED4312" w:rsidP="00ED4312">
      <w:pPr>
        <w:pStyle w:val="NormalWeb"/>
        <w:spacing w:line="360" w:lineRule="atLeast"/>
        <w:rPr>
          <w:rFonts w:ascii="VIC-Regular" w:hAnsi="VIC-Regular"/>
          <w:color w:val="011A3C"/>
          <w:lang w:val="en"/>
        </w:rPr>
      </w:pPr>
      <w:r w:rsidRPr="004D307F">
        <w:rPr>
          <w:rFonts w:ascii="VIC-Regular" w:hAnsi="VIC-Regular"/>
          <w:color w:val="011A3C"/>
          <w:lang w:val="en"/>
        </w:rPr>
        <w:t>This policy provides information about how funding is allocated to schools through the Student Resource Package for school infrastructure.</w:t>
      </w:r>
    </w:p>
    <w:p w14:paraId="0D30FDE1" w14:textId="77777777" w:rsidR="00ED4312" w:rsidRPr="004D307F" w:rsidRDefault="00ED4312" w:rsidP="004D307F">
      <w:pPr>
        <w:spacing w:before="100" w:beforeAutospacing="1" w:after="100" w:afterAutospacing="1" w:line="312" w:lineRule="atLeast"/>
        <w:outlineLvl w:val="1"/>
        <w:rPr>
          <w:rFonts w:ascii="VIC" w:eastAsia="Times New Roman" w:hAnsi="VIC" w:cs="Times New Roman"/>
          <w:sz w:val="36"/>
          <w:szCs w:val="36"/>
          <w:lang w:val="en"/>
        </w:rPr>
      </w:pPr>
      <w:r w:rsidRPr="004D307F">
        <w:rPr>
          <w:rFonts w:ascii="VIC" w:eastAsia="Times New Roman" w:hAnsi="VIC" w:cs="Times New Roman"/>
          <w:sz w:val="36"/>
          <w:szCs w:val="36"/>
          <w:lang w:val="en" w:eastAsia="en-AU"/>
        </w:rPr>
        <w:t>Details</w:t>
      </w:r>
    </w:p>
    <w:p w14:paraId="2B884801" w14:textId="2FB78CEE" w:rsidR="00ED4312" w:rsidRPr="004D307F" w:rsidRDefault="00ED4312" w:rsidP="00ED4312">
      <w:pPr>
        <w:pStyle w:val="NormalWeb"/>
        <w:spacing w:line="360" w:lineRule="atLeast"/>
        <w:rPr>
          <w:rFonts w:ascii="VIC-Regular" w:hAnsi="VIC-Regular"/>
          <w:color w:val="011A3C"/>
          <w:lang w:val="en"/>
        </w:rPr>
      </w:pPr>
      <w:r w:rsidRPr="004D307F">
        <w:rPr>
          <w:rFonts w:ascii="VIC-Regular" w:hAnsi="VIC-Regular"/>
          <w:color w:val="011A3C"/>
          <w:lang w:val="en"/>
        </w:rPr>
        <w:t xml:space="preserve">‘School based funding’ is one of three categories of funding provided for by the Student Resource Package (SRP). Funding for ‘school infrastructure’ is one type of school-based funding provided to schools. The other type of </w:t>
      </w:r>
      <w:r w:rsidR="00AF025A" w:rsidRPr="004D307F">
        <w:rPr>
          <w:rFonts w:ascii="VIC-Regular" w:hAnsi="VIC-Regular"/>
          <w:color w:val="011A3C"/>
          <w:lang w:val="en"/>
        </w:rPr>
        <w:t>school-based</w:t>
      </w:r>
      <w:r w:rsidRPr="004D307F">
        <w:rPr>
          <w:rFonts w:ascii="VIC-Regular" w:hAnsi="VIC-Regular"/>
          <w:color w:val="011A3C"/>
          <w:lang w:val="en"/>
        </w:rPr>
        <w:t xml:space="preserve"> funding is funding for School Specific Programs.</w:t>
      </w:r>
    </w:p>
    <w:p w14:paraId="263F08BC" w14:textId="1087F21C" w:rsidR="00ED4312" w:rsidRPr="004D307F" w:rsidRDefault="00ED4312" w:rsidP="00ED4312">
      <w:pPr>
        <w:pStyle w:val="NormalWeb"/>
        <w:spacing w:line="360" w:lineRule="atLeast"/>
        <w:rPr>
          <w:rFonts w:ascii="VIC-Regular" w:hAnsi="VIC-Regular"/>
          <w:color w:val="011A3C"/>
          <w:lang w:val="en"/>
        </w:rPr>
      </w:pPr>
      <w:r w:rsidRPr="004D307F">
        <w:rPr>
          <w:rFonts w:ascii="VIC-Regular" w:hAnsi="VIC-Regular"/>
          <w:color w:val="011A3C"/>
          <w:lang w:val="en"/>
        </w:rPr>
        <w:t xml:space="preserve">The school infrastructure component provides funding for school facilities and programs specific to individual schools. The </w:t>
      </w:r>
      <w:r w:rsidR="009C379F" w:rsidRPr="004D307F">
        <w:rPr>
          <w:rFonts w:ascii="VIC-Regular" w:hAnsi="VIC-Regular"/>
          <w:color w:val="011A3C"/>
          <w:lang w:val="en"/>
        </w:rPr>
        <w:t xml:space="preserve">infrastructure </w:t>
      </w:r>
      <w:r w:rsidR="00D97AC3" w:rsidRPr="004D307F">
        <w:rPr>
          <w:rFonts w:ascii="VIC-Regular" w:hAnsi="VIC-Regular"/>
          <w:color w:val="011A3C"/>
          <w:lang w:val="en"/>
        </w:rPr>
        <w:t>section provides</w:t>
      </w:r>
      <w:r w:rsidRPr="004D307F">
        <w:rPr>
          <w:rFonts w:ascii="VIC-Regular" w:hAnsi="VIC-Regular"/>
          <w:color w:val="011A3C"/>
          <w:lang w:val="en"/>
        </w:rPr>
        <w:t xml:space="preserve"> information about the following specific types of infrastructure funding:</w:t>
      </w:r>
    </w:p>
    <w:p w14:paraId="5B3EDAE1" w14:textId="77777777" w:rsidR="00ED4312" w:rsidRPr="004D307F" w:rsidRDefault="00ED4312" w:rsidP="00ED0863">
      <w:pPr>
        <w:numPr>
          <w:ilvl w:val="0"/>
          <w:numId w:val="123"/>
        </w:numPr>
        <w:spacing w:before="100" w:beforeAutospacing="1" w:after="100" w:afterAutospacing="1" w:line="360" w:lineRule="atLeast"/>
        <w:rPr>
          <w:rFonts w:ascii="VIC-Regular" w:hAnsi="VIC-Regular"/>
          <w:color w:val="011A3C"/>
          <w:lang w:val="en"/>
        </w:rPr>
      </w:pPr>
      <w:r w:rsidRPr="004D307F">
        <w:rPr>
          <w:rFonts w:ascii="VIC-Regular" w:hAnsi="VIC-Regular"/>
          <w:color w:val="011A3C"/>
          <w:lang w:val="en"/>
        </w:rPr>
        <w:t>Contract cleaning</w:t>
      </w:r>
    </w:p>
    <w:p w14:paraId="155FC7A0" w14:textId="77777777" w:rsidR="00ED4312" w:rsidRPr="004D307F" w:rsidRDefault="00ED4312" w:rsidP="00ED0863">
      <w:pPr>
        <w:numPr>
          <w:ilvl w:val="0"/>
          <w:numId w:val="123"/>
        </w:numPr>
        <w:spacing w:before="100" w:beforeAutospacing="1" w:after="100" w:afterAutospacing="1" w:line="360" w:lineRule="atLeast"/>
        <w:rPr>
          <w:rFonts w:ascii="VIC-Regular" w:hAnsi="VIC-Regular"/>
          <w:color w:val="011A3C"/>
          <w:lang w:val="en"/>
        </w:rPr>
      </w:pPr>
      <w:r w:rsidRPr="004D307F">
        <w:rPr>
          <w:rFonts w:ascii="VIC-Regular" w:hAnsi="VIC-Regular"/>
          <w:color w:val="011A3C"/>
          <w:lang w:val="en"/>
        </w:rPr>
        <w:t>Cross infection prevention allowance</w:t>
      </w:r>
    </w:p>
    <w:p w14:paraId="167A0F75" w14:textId="77777777" w:rsidR="00ED4312" w:rsidRPr="004D307F" w:rsidRDefault="00ED4312" w:rsidP="00ED0863">
      <w:pPr>
        <w:numPr>
          <w:ilvl w:val="0"/>
          <w:numId w:val="123"/>
        </w:numPr>
        <w:spacing w:before="100" w:beforeAutospacing="1" w:after="100" w:afterAutospacing="1" w:line="360" w:lineRule="atLeast"/>
        <w:rPr>
          <w:rFonts w:ascii="VIC-Regular" w:hAnsi="VIC-Regular"/>
          <w:color w:val="011A3C"/>
          <w:lang w:val="en"/>
        </w:rPr>
      </w:pPr>
      <w:r w:rsidRPr="004D307F">
        <w:rPr>
          <w:rFonts w:ascii="VIC-Regular" w:hAnsi="VIC-Regular"/>
          <w:color w:val="011A3C"/>
          <w:lang w:val="en"/>
        </w:rPr>
        <w:t>Cleaning minimum allowance</w:t>
      </w:r>
    </w:p>
    <w:p w14:paraId="63AFB62C" w14:textId="77777777" w:rsidR="00ED4312" w:rsidRPr="004D307F" w:rsidRDefault="00ED4312" w:rsidP="00ED0863">
      <w:pPr>
        <w:numPr>
          <w:ilvl w:val="0"/>
          <w:numId w:val="123"/>
        </w:numPr>
        <w:spacing w:before="100" w:beforeAutospacing="1" w:after="100" w:afterAutospacing="1" w:line="360" w:lineRule="atLeast"/>
        <w:rPr>
          <w:rFonts w:ascii="VIC-Regular" w:hAnsi="VIC-Regular"/>
          <w:color w:val="011A3C"/>
          <w:lang w:val="en"/>
        </w:rPr>
      </w:pPr>
      <w:r w:rsidRPr="004D307F">
        <w:rPr>
          <w:rFonts w:ascii="VIC-Regular" w:hAnsi="VIC-Regular"/>
          <w:color w:val="011A3C"/>
          <w:lang w:val="en"/>
        </w:rPr>
        <w:t>Grounds allowance</w:t>
      </w:r>
    </w:p>
    <w:p w14:paraId="66EC9870" w14:textId="77777777" w:rsidR="00ED4312" w:rsidRPr="004D307F" w:rsidRDefault="00ED4312" w:rsidP="00ED0863">
      <w:pPr>
        <w:numPr>
          <w:ilvl w:val="0"/>
          <w:numId w:val="123"/>
        </w:numPr>
        <w:spacing w:before="100" w:beforeAutospacing="1" w:after="100" w:afterAutospacing="1" w:line="360" w:lineRule="atLeast"/>
        <w:rPr>
          <w:rFonts w:ascii="VIC-Regular" w:hAnsi="VIC-Regular"/>
          <w:color w:val="011A3C"/>
          <w:lang w:val="en"/>
        </w:rPr>
      </w:pPr>
      <w:r w:rsidRPr="004D307F">
        <w:rPr>
          <w:rFonts w:ascii="VIC-Regular" w:hAnsi="VIC-Regular"/>
          <w:color w:val="011A3C"/>
          <w:lang w:val="en"/>
        </w:rPr>
        <w:t>Building area allowance</w:t>
      </w:r>
    </w:p>
    <w:p w14:paraId="1DA0F474" w14:textId="77777777" w:rsidR="00ED4312" w:rsidRPr="004D307F" w:rsidRDefault="00ED4312" w:rsidP="00ED0863">
      <w:pPr>
        <w:numPr>
          <w:ilvl w:val="0"/>
          <w:numId w:val="123"/>
        </w:numPr>
        <w:spacing w:before="100" w:beforeAutospacing="1" w:after="100" w:afterAutospacing="1" w:line="360" w:lineRule="atLeast"/>
        <w:rPr>
          <w:rFonts w:ascii="VIC-Regular" w:hAnsi="VIC-Regular"/>
          <w:color w:val="011A3C"/>
          <w:lang w:val="en"/>
        </w:rPr>
      </w:pPr>
      <w:r w:rsidRPr="004D307F">
        <w:rPr>
          <w:rFonts w:ascii="VIC-Regular" w:hAnsi="VIC-Regular"/>
          <w:color w:val="011A3C"/>
          <w:lang w:val="en"/>
        </w:rPr>
        <w:t>Split-site/Multi-site allowance</w:t>
      </w:r>
    </w:p>
    <w:p w14:paraId="42CED1F8" w14:textId="77777777" w:rsidR="00ED4312" w:rsidRPr="004D307F" w:rsidRDefault="00ED4312" w:rsidP="00ED0863">
      <w:pPr>
        <w:numPr>
          <w:ilvl w:val="0"/>
          <w:numId w:val="123"/>
        </w:numPr>
        <w:spacing w:before="100" w:beforeAutospacing="1" w:after="100" w:afterAutospacing="1" w:line="360" w:lineRule="atLeast"/>
        <w:rPr>
          <w:rFonts w:ascii="VIC-Regular" w:hAnsi="VIC-Regular"/>
          <w:color w:val="011A3C"/>
          <w:lang w:val="en"/>
        </w:rPr>
      </w:pPr>
      <w:r w:rsidRPr="004D307F">
        <w:rPr>
          <w:rFonts w:ascii="VIC-Regular" w:hAnsi="VIC-Regular"/>
          <w:color w:val="011A3C"/>
          <w:lang w:val="en"/>
        </w:rPr>
        <w:t>Utilities</w:t>
      </w:r>
    </w:p>
    <w:p w14:paraId="1359EA0B" w14:textId="77777777" w:rsidR="00ED4312" w:rsidRPr="004D307F" w:rsidRDefault="00ED4312" w:rsidP="00ED0863">
      <w:pPr>
        <w:numPr>
          <w:ilvl w:val="0"/>
          <w:numId w:val="123"/>
        </w:numPr>
        <w:spacing w:before="100" w:beforeAutospacing="1" w:after="100" w:afterAutospacing="1" w:line="360" w:lineRule="atLeast"/>
        <w:rPr>
          <w:rFonts w:ascii="VIC-Regular" w:hAnsi="VIC-Regular"/>
          <w:color w:val="011A3C"/>
          <w:lang w:val="en"/>
        </w:rPr>
      </w:pPr>
      <w:r w:rsidRPr="004D307F">
        <w:rPr>
          <w:rFonts w:ascii="VIC-Regular" w:hAnsi="VIC-Regular"/>
          <w:color w:val="011A3C"/>
          <w:lang w:val="en"/>
        </w:rPr>
        <w:t>Maintenance</w:t>
      </w:r>
    </w:p>
    <w:p w14:paraId="7B745E64" w14:textId="4A5FDA23" w:rsidR="00ED4312" w:rsidRPr="004D307F" w:rsidRDefault="00ED4312" w:rsidP="00ED0863">
      <w:pPr>
        <w:numPr>
          <w:ilvl w:val="0"/>
          <w:numId w:val="123"/>
        </w:numPr>
        <w:spacing w:before="100" w:beforeAutospacing="1" w:after="100" w:afterAutospacing="1" w:line="360" w:lineRule="atLeast"/>
        <w:rPr>
          <w:rFonts w:ascii="VIC-Regular" w:hAnsi="VIC-Regular"/>
          <w:color w:val="011A3C"/>
          <w:lang w:val="en"/>
        </w:rPr>
      </w:pPr>
      <w:r w:rsidRPr="004D307F">
        <w:rPr>
          <w:rFonts w:ascii="VIC-Regular" w:hAnsi="VIC-Regular"/>
          <w:color w:val="011A3C"/>
          <w:lang w:val="en"/>
        </w:rPr>
        <w:t xml:space="preserve">Annual contracts and </w:t>
      </w:r>
      <w:r w:rsidR="009C379F" w:rsidRPr="004D307F">
        <w:rPr>
          <w:rFonts w:ascii="VIC-Regular" w:hAnsi="VIC-Regular"/>
          <w:color w:val="011A3C"/>
          <w:lang w:val="en"/>
        </w:rPr>
        <w:t>Essential Safety Measures (ESM)</w:t>
      </w:r>
    </w:p>
    <w:p w14:paraId="3A561D96" w14:textId="77777777" w:rsidR="00ED4312" w:rsidRPr="004D307F" w:rsidRDefault="00ED4312" w:rsidP="00ED0863">
      <w:pPr>
        <w:numPr>
          <w:ilvl w:val="0"/>
          <w:numId w:val="123"/>
        </w:numPr>
        <w:spacing w:before="100" w:beforeAutospacing="1" w:after="100" w:afterAutospacing="1" w:line="360" w:lineRule="atLeast"/>
        <w:rPr>
          <w:rFonts w:ascii="VIC-Regular" w:hAnsi="VIC-Regular"/>
          <w:color w:val="011A3C"/>
          <w:lang w:val="en"/>
        </w:rPr>
      </w:pPr>
      <w:r w:rsidRPr="004D307F">
        <w:rPr>
          <w:rFonts w:ascii="VIC-Regular" w:hAnsi="VIC-Regular"/>
          <w:color w:val="011A3C"/>
          <w:lang w:val="en"/>
        </w:rPr>
        <w:t>Workers’ compensation</w:t>
      </w:r>
    </w:p>
    <w:p w14:paraId="4564E8F4" w14:textId="12F818A6" w:rsidR="00D97AC3" w:rsidRPr="004D307F" w:rsidRDefault="00ED4312" w:rsidP="000D106B">
      <w:pPr>
        <w:pStyle w:val="NormalWeb"/>
        <w:spacing w:line="360" w:lineRule="atLeast"/>
        <w:rPr>
          <w:rFonts w:ascii="VIC-Regular" w:hAnsi="VIC-Regular"/>
          <w:color w:val="011A3C"/>
          <w:lang w:val="en"/>
        </w:rPr>
      </w:pPr>
      <w:r w:rsidRPr="004D307F">
        <w:rPr>
          <w:rFonts w:ascii="VIC-Regular" w:hAnsi="VIC-Regular"/>
          <w:color w:val="011A3C"/>
          <w:lang w:val="en"/>
        </w:rPr>
        <w:t>Schools are expected to use SRP funds for the purpose for which it was allocated.</w:t>
      </w:r>
    </w:p>
    <w:p w14:paraId="67A6CF74" w14:textId="77777777" w:rsidR="00D97AC3" w:rsidRPr="004D307F" w:rsidRDefault="00D97AC3">
      <w:pPr>
        <w:rPr>
          <w:rFonts w:asciiTheme="majorHAnsi" w:eastAsia="Times New Roman" w:hAnsiTheme="majorHAnsi" w:cstheme="majorBidi"/>
          <w:b/>
          <w:color w:val="2F5496" w:themeColor="accent1" w:themeShade="BF"/>
          <w:sz w:val="36"/>
          <w:szCs w:val="26"/>
          <w:lang w:val="en" w:eastAsia="en-AU"/>
        </w:rPr>
      </w:pPr>
      <w:r w:rsidRPr="004D307F">
        <w:br w:type="page"/>
      </w:r>
    </w:p>
    <w:p w14:paraId="04BC7847" w14:textId="77777777" w:rsidR="00F01BB5" w:rsidRPr="004D307F" w:rsidRDefault="00F01BB5" w:rsidP="00901FCB">
      <w:pPr>
        <w:pStyle w:val="Heading2"/>
      </w:pPr>
      <w:bookmarkStart w:id="46" w:name="_Toc106793764"/>
      <w:bookmarkStart w:id="47" w:name="_Hlk83632973"/>
      <w:r w:rsidRPr="004D307F">
        <w:lastRenderedPageBreak/>
        <w:t>Contract cleaning (Reference 28)</w:t>
      </w:r>
      <w:bookmarkEnd w:id="46"/>
    </w:p>
    <w:p w14:paraId="4D5EE9B9" w14:textId="77777777" w:rsidR="00F01BB5" w:rsidRPr="004D307F" w:rsidRDefault="00F01BB5" w:rsidP="004D307F">
      <w:pPr>
        <w:spacing w:before="100" w:beforeAutospacing="1" w:after="100" w:afterAutospacing="1" w:line="360" w:lineRule="atLeast"/>
        <w:outlineLvl w:val="2"/>
        <w:rPr>
          <w:rFonts w:ascii="VIC-Bold" w:eastAsia="Times New Roman" w:hAnsi="VIC-Bold" w:cs="Times New Roman"/>
          <w:b/>
          <w:bCs/>
          <w:color w:val="011A3C"/>
          <w:sz w:val="27"/>
          <w:szCs w:val="27"/>
          <w:lang w:val="en" w:eastAsia="en-AU"/>
        </w:rPr>
      </w:pPr>
      <w:bookmarkStart w:id="48" w:name="_Hlk97902551"/>
      <w:r w:rsidRPr="004D307F">
        <w:rPr>
          <w:rFonts w:ascii="VIC-Bold" w:eastAsia="Times New Roman" w:hAnsi="VIC-Bold" w:cs="Times New Roman"/>
          <w:b/>
          <w:bCs/>
          <w:color w:val="011A3C"/>
          <w:sz w:val="27"/>
          <w:szCs w:val="27"/>
          <w:lang w:val="en" w:eastAsia="en-AU"/>
        </w:rPr>
        <w:t>Funding for contract cleaning</w:t>
      </w:r>
    </w:p>
    <w:p w14:paraId="4D39454F" w14:textId="77777777" w:rsidR="00F01BB5" w:rsidRPr="004D307F" w:rsidRDefault="00F01BB5" w:rsidP="005A7E0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 funding for contract cleaning is included in the SRP based on normal and low-use areas as determined by cleanable spaces identified in the </w:t>
      </w:r>
      <w:hyperlink r:id="rId78" w:history="1">
        <w:r w:rsidRPr="004D307F">
          <w:rPr>
            <w:rFonts w:ascii="VIC-Regular" w:eastAsia="Times New Roman" w:hAnsi="VIC-Regular" w:cs="Times New Roman"/>
            <w:color w:val="011A3C"/>
            <w:sz w:val="24"/>
            <w:szCs w:val="24"/>
            <w:lang w:val="en" w:eastAsia="en-AU"/>
          </w:rPr>
          <w:t>school's facilities schedule</w:t>
        </w:r>
      </w:hyperlink>
      <w:r w:rsidRPr="004D307F">
        <w:rPr>
          <w:rFonts w:ascii="VIC-Regular" w:eastAsia="Times New Roman" w:hAnsi="VIC-Regular" w:cs="Times New Roman"/>
          <w:color w:val="011A3C"/>
          <w:sz w:val="24"/>
          <w:szCs w:val="24"/>
          <w:lang w:val="en" w:eastAsia="en-AU"/>
        </w:rPr>
        <w:t>.</w:t>
      </w:r>
    </w:p>
    <w:p w14:paraId="2924BF24" w14:textId="77777777" w:rsidR="00F01BB5" w:rsidRPr="004D307F" w:rsidRDefault="00F01BB5"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cleaning allocation </w:t>
      </w:r>
      <w:r w:rsidRPr="004D307F">
        <w:rPr>
          <w:rFonts w:ascii="VIC-Regular" w:eastAsia="Times New Roman" w:hAnsi="VIC-Regular" w:cs="Times New Roman"/>
          <w:color w:val="011A3C"/>
          <w:sz w:val="24"/>
          <w:szCs w:val="24"/>
          <w:u w:val="single"/>
          <w:lang w:val="en" w:eastAsia="en-AU"/>
        </w:rPr>
        <w:t>does not</w:t>
      </w:r>
      <w:r w:rsidRPr="004D307F">
        <w:rPr>
          <w:rFonts w:ascii="VIC-Regular" w:eastAsia="Times New Roman" w:hAnsi="VIC-Regular" w:cs="Times New Roman"/>
          <w:color w:val="011A3C"/>
          <w:sz w:val="24"/>
          <w:szCs w:val="24"/>
          <w:lang w:val="en" w:eastAsia="en-AU"/>
        </w:rPr>
        <w:t xml:space="preserve"> include provision for the cost of school consumables such as toilet paper, paper towels, soap, disinfectant blocks, hand sanitiser, or bin liners. Funding for these items is in the cash component of the Student Resource Package.</w:t>
      </w:r>
    </w:p>
    <w:p w14:paraId="01C5A0F2" w14:textId="77777777" w:rsidR="00F01BB5" w:rsidRPr="004D307F" w:rsidRDefault="00F01BB5"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49" w:name="_Hlk97901985"/>
      <w:r w:rsidRPr="004D307F">
        <w:rPr>
          <w:rFonts w:ascii="VIC-Regular" w:eastAsia="Times New Roman" w:hAnsi="VIC-Regular" w:cs="Times New Roman"/>
          <w:color w:val="011A3C"/>
          <w:sz w:val="24"/>
          <w:szCs w:val="24"/>
          <w:lang w:val="en" w:eastAsia="en-AU"/>
        </w:rPr>
        <w:t>The Cleaning Model excludes the provision of cleaning services for school owned assets and the use of school facilities that are outside the normal school (such as external hirer, fetes, sports events, and out of hours use).</w:t>
      </w:r>
    </w:p>
    <w:bookmarkEnd w:id="49"/>
    <w:p w14:paraId="15BC27BA" w14:textId="77777777" w:rsidR="00F01BB5" w:rsidRPr="004D307F" w:rsidRDefault="00F01BB5"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Confirmed SRP is based on the February Census. As with other elements of the SRP, the contract cleaning allocation is subject to change based on confirmed enrolments as per the February census.</w:t>
      </w:r>
    </w:p>
    <w:p w14:paraId="6E4CCCCF" w14:textId="77777777" w:rsidR="00F01BB5" w:rsidRPr="004D307F" w:rsidRDefault="00F01BB5"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Contract cleaning allocations are adjusted for any building configuration changes that occur. Where the cleanable area is reduced, the area change is applied from the following term onwards. Where the cleanable area is increased, the cleaning area change is applied from the beginning of the term in which the change was made.</w:t>
      </w:r>
    </w:p>
    <w:p w14:paraId="135A018F" w14:textId="77777777" w:rsidR="00F01BB5" w:rsidRPr="004D307F" w:rsidRDefault="00F01BB5"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50" w:name="_Hlk97902021"/>
      <w:r w:rsidRPr="004D307F">
        <w:rPr>
          <w:rFonts w:ascii="VIC-Regular" w:eastAsia="Times New Roman" w:hAnsi="VIC-Regular" w:cs="Times New Roman"/>
          <w:color w:val="011A3C"/>
          <w:sz w:val="24"/>
          <w:szCs w:val="24"/>
          <w:lang w:val="en" w:eastAsia="en-AU"/>
        </w:rPr>
        <w:t xml:space="preserve">With the introduction of the Victorian Government school cleaning reform, metropolitan schools are advised of the equivalent SRP funding. However, funding for cleaning is no longer provided directly to metropolitan schools as part of their student resource packages (SRP) but is held centrally, so the Department can pay the metropolitan school cleaning companies directly.   </w:t>
      </w:r>
    </w:p>
    <w:bookmarkEnd w:id="50"/>
    <w:p w14:paraId="7EFA9533" w14:textId="77777777" w:rsidR="00F01BB5" w:rsidRPr="004D307F" w:rsidRDefault="00F01BB5" w:rsidP="004D307F">
      <w:pPr>
        <w:spacing w:before="100" w:beforeAutospacing="1" w:after="100" w:afterAutospacing="1" w:line="360"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information for this program</w:t>
      </w:r>
    </w:p>
    <w:p w14:paraId="6E3AC5F4" w14:textId="77777777" w:rsidR="00F01BB5" w:rsidRPr="004D307F" w:rsidRDefault="00F01BB5" w:rsidP="004D307F">
      <w:pPr>
        <w:spacing w:before="100" w:beforeAutospacing="1" w:after="100" w:afterAutospacing="1" w:line="360"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Total cleaning area</w:t>
      </w:r>
    </w:p>
    <w:p w14:paraId="5FC9085E" w14:textId="77777777" w:rsidR="00F01BB5" w:rsidRPr="004D307F" w:rsidRDefault="00F01BB5" w:rsidP="005A7E0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This is the total of the cleanable areas of the school as per the School Cleanable Area Report (CAR). The Total Cleaning Area used to calculate your budget which is contained in your Student Resource Package Budget advice notice and in the Quarterly Cash Grant advice. Any subsequent changes will be reflected in your School Cleanable Area Report (CAR).  The CAR lists all rooms at a school and their cleanable eligibility, to provide a total cleanable area for the school. It is provided to schools by the VSBA each month through the School Facility Profile website.  </w:t>
      </w:r>
    </w:p>
    <w:p w14:paraId="3E52D930" w14:textId="77777777" w:rsidR="00F01BB5" w:rsidRPr="004D307F" w:rsidRDefault="00F01BB5" w:rsidP="004D307F">
      <w:pPr>
        <w:spacing w:before="100" w:beforeAutospacing="1" w:after="100" w:afterAutospacing="1" w:line="360"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lastRenderedPageBreak/>
        <w:t>Cleaning area entitlement</w:t>
      </w:r>
    </w:p>
    <w:p w14:paraId="0B62D484" w14:textId="77777777" w:rsidR="00F01BB5" w:rsidRPr="004D307F" w:rsidRDefault="00F01BB5" w:rsidP="005A7E0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cleaning area entitlement (normal use) for both secondary and primary schools is allocated in square metres according to enrolment bands of 25 students.</w:t>
      </w:r>
    </w:p>
    <w:p w14:paraId="697F89C4" w14:textId="77777777" w:rsidR="00F01BB5" w:rsidRPr="004D307F" w:rsidRDefault="00F01BB5"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cleanable area in excess of entitlement is deemed as low use area.</w:t>
      </w:r>
    </w:p>
    <w:p w14:paraId="5CD51EC9" w14:textId="77777777" w:rsidR="00F01BB5" w:rsidRPr="004D307F" w:rsidRDefault="00F01BB5"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For enrolment or area entitlements, see: </w:t>
      </w:r>
      <w:hyperlink r:id="rId79" w:history="1">
        <w:r w:rsidRPr="004D307F">
          <w:rPr>
            <w:rFonts w:ascii="VIC-Regular" w:eastAsia="Times New Roman" w:hAnsi="VIC-Regular" w:cs="Times New Roman"/>
            <w:color w:val="011A3C"/>
            <w:sz w:val="24"/>
            <w:szCs w:val="24"/>
            <w:lang w:val="en" w:eastAsia="en-AU"/>
          </w:rPr>
          <w:t>Contract Cleaning Schedule spreadsheet</w:t>
        </w:r>
      </w:hyperlink>
    </w:p>
    <w:p w14:paraId="770AE526" w14:textId="77777777" w:rsidR="00F01BB5" w:rsidRPr="004D307F" w:rsidRDefault="00F01BB5"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a small number of primary schools disadvantaged by the 1:25 Schedule introduced in 2001 additional m2 area is added to the school’s entitlement on AIMS to restore the school to the better of the former entitlement schedules. The adjustment is removed when the school moves into line with the 1:25 Schedule due to enrolment changes or if the school undergoes a facilities provision or upgrade program.</w:t>
      </w:r>
    </w:p>
    <w:p w14:paraId="7805E4BA" w14:textId="77777777" w:rsidR="00F01BB5" w:rsidRPr="004D307F" w:rsidRDefault="00F01BB5" w:rsidP="004D307F">
      <w:pPr>
        <w:spacing w:before="100" w:beforeAutospacing="1" w:after="100" w:afterAutospacing="1" w:line="360"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Building area changes</w:t>
      </w:r>
    </w:p>
    <w:p w14:paraId="1524B294" w14:textId="77777777" w:rsidR="00F01BB5" w:rsidRPr="004D307F" w:rsidRDefault="00F01BB5" w:rsidP="005A7E0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budget impact of area changes notified depends on whether the areas are part of the school’s area entitlement and whether they involve designated cleanable areas. Where areas change, schools should refer to the School Cleanable Area Report (CAR). </w:t>
      </w:r>
    </w:p>
    <w:p w14:paraId="3BE386BF" w14:textId="77777777" w:rsidR="00F01BB5" w:rsidRPr="004D307F" w:rsidRDefault="00F01BB5"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If changes are required to the CAR or SAMS Plan, the school should download the latest SAMS plan, mark the areas that have changed or are missing, scan and forward to the information and Analysis Unit (IAU) at </w:t>
      </w:r>
      <w:hyperlink r:id="rId80" w:history="1">
        <w:r w:rsidRPr="004D307F">
          <w:rPr>
            <w:rFonts w:ascii="VIC-Regular" w:eastAsia="Times New Roman" w:hAnsi="VIC-Regular" w:cs="Times New Roman"/>
            <w:color w:val="0563C1" w:themeColor="hyperlink"/>
            <w:sz w:val="24"/>
            <w:szCs w:val="24"/>
            <w:u w:val="single"/>
            <w:lang w:val="en" w:eastAsia="en-AU"/>
          </w:rPr>
          <w:t>sams@education.vic.gov.au</w:t>
        </w:r>
      </w:hyperlink>
      <w:r w:rsidRPr="004D307F">
        <w:rPr>
          <w:rFonts w:ascii="VIC-Regular" w:eastAsia="Times New Roman" w:hAnsi="VIC-Regular" w:cs="Times New Roman"/>
          <w:color w:val="011A3C"/>
          <w:sz w:val="24"/>
          <w:szCs w:val="24"/>
          <w:lang w:val="en" w:eastAsia="en-AU"/>
        </w:rPr>
        <w:t>. It may take a few weeks for changes to appear due to the time required to obtain architectural plans and other documentation which confirm the exact changes and building room measurements.</w:t>
      </w:r>
    </w:p>
    <w:p w14:paraId="22B522F5" w14:textId="77777777" w:rsidR="00F01BB5" w:rsidRPr="004D307F" w:rsidRDefault="00F01BB5"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Concurrently, the school should contact the School Cleaning Unit (</w:t>
      </w:r>
      <w:hyperlink r:id="rId81" w:history="1">
        <w:r w:rsidRPr="004D307F">
          <w:rPr>
            <w:rFonts w:ascii="VIC-Regular" w:eastAsia="Times New Roman" w:hAnsi="VIC-Regular" w:cs="Times New Roman"/>
            <w:color w:val="0563C1" w:themeColor="hyperlink"/>
            <w:sz w:val="24"/>
            <w:szCs w:val="24"/>
            <w:u w:val="single"/>
            <w:lang w:val="en" w:eastAsia="en-AU"/>
          </w:rPr>
          <w:t>cleaning@education.vic.gov.au</w:t>
        </w:r>
      </w:hyperlink>
      <w:r w:rsidRPr="004D307F">
        <w:rPr>
          <w:rFonts w:ascii="VIC-Regular" w:eastAsia="Times New Roman" w:hAnsi="VIC-Regular" w:cs="Times New Roman"/>
          <w:color w:val="011A3C"/>
          <w:sz w:val="24"/>
          <w:szCs w:val="24"/>
          <w:lang w:val="en" w:eastAsia="en-AU"/>
        </w:rPr>
        <w:t xml:space="preserve">) and their cleaning services provider to ensure and the areas are included in the cleaning schedule.  </w:t>
      </w:r>
    </w:p>
    <w:p w14:paraId="1A0AD51E" w14:textId="77777777" w:rsidR="00F01BB5" w:rsidRPr="004D307F" w:rsidRDefault="00F01BB5"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calculated at the Indicative, Confirmed and Revised cycles; funding and is allocated through cash funding.</w:t>
      </w:r>
    </w:p>
    <w:bookmarkEnd w:id="48"/>
    <w:p w14:paraId="5B2C742D" w14:textId="77777777" w:rsidR="00F01BB5" w:rsidRPr="004D307F" w:rsidRDefault="00F01BB5" w:rsidP="00F01BB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5371B704"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[Normal_Use_Area] x [Normal_Use_Rate] plus [Low_Use_Area] x [Low_Use_Rate]</w:t>
      </w:r>
    </w:p>
    <w:p w14:paraId="4C86F808" w14:textId="77777777" w:rsidR="00F01BB5" w:rsidRPr="004D307F" w:rsidRDefault="00F01BB5" w:rsidP="00C96EF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Refer to Rates Section for stipulated minimum dollar allocation.</w:t>
      </w:r>
    </w:p>
    <w:p w14:paraId="70E6341A" w14:textId="77777777" w:rsidR="00F01BB5" w:rsidRPr="004D307F" w:rsidRDefault="00F01BB5" w:rsidP="00C96EF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Entitlement cannot exceed Total Cleanable Area.</w:t>
      </w:r>
    </w:p>
    <w:p w14:paraId="4A69CA8C" w14:textId="77777777" w:rsidR="00F01BB5" w:rsidRPr="004D307F" w:rsidRDefault="00F01BB5" w:rsidP="00F01BB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lastRenderedPageBreak/>
        <w:t>Rates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43"/>
        <w:gridCol w:w="1725"/>
        <w:gridCol w:w="1348"/>
      </w:tblGrid>
      <w:tr w:rsidR="000F3581" w:rsidRPr="004D307F" w14:paraId="049FBAA2" w14:textId="77777777" w:rsidTr="001B1487">
        <w:trPr>
          <w:tblHeader/>
        </w:trPr>
        <w:tc>
          <w:tcPr>
            <w:tcW w:w="0" w:type="auto"/>
            <w:hideMark/>
          </w:tcPr>
          <w:p w14:paraId="578C3580" w14:textId="77777777" w:rsidR="00F01BB5" w:rsidRPr="004D307F" w:rsidRDefault="00F01BB5" w:rsidP="001B1487">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Campus Type</w:t>
            </w:r>
          </w:p>
        </w:tc>
        <w:tc>
          <w:tcPr>
            <w:tcW w:w="0" w:type="auto"/>
            <w:hideMark/>
          </w:tcPr>
          <w:p w14:paraId="38ED44C5" w14:textId="77777777" w:rsidR="00F01BB5" w:rsidRPr="004D307F" w:rsidRDefault="00F01BB5" w:rsidP="001B1487">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Normal Use ($)</w:t>
            </w:r>
          </w:p>
        </w:tc>
        <w:tc>
          <w:tcPr>
            <w:tcW w:w="0" w:type="auto"/>
            <w:hideMark/>
          </w:tcPr>
          <w:p w14:paraId="0174082C" w14:textId="77777777" w:rsidR="00F01BB5" w:rsidRPr="004D307F" w:rsidRDefault="00F01BB5" w:rsidP="001B1487">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Low Use ($)</w:t>
            </w:r>
          </w:p>
        </w:tc>
      </w:tr>
      <w:tr w:rsidR="000F3581" w:rsidRPr="004D307F" w14:paraId="5F710A20" w14:textId="77777777" w:rsidTr="001B1487">
        <w:tc>
          <w:tcPr>
            <w:tcW w:w="0" w:type="auto"/>
            <w:hideMark/>
          </w:tcPr>
          <w:p w14:paraId="11A185EF" w14:textId="77777777" w:rsidR="00F01BB5" w:rsidRPr="004D307F" w:rsidRDefault="00F01BB5" w:rsidP="001B148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Special Development School, Day Special and Special</w:t>
            </w:r>
          </w:p>
        </w:tc>
        <w:tc>
          <w:tcPr>
            <w:tcW w:w="0" w:type="auto"/>
            <w:hideMark/>
          </w:tcPr>
          <w:p w14:paraId="7C9BE9AD" w14:textId="77777777" w:rsidR="00F01BB5" w:rsidRPr="004D307F" w:rsidRDefault="00F01BB5" w:rsidP="001B148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29.70</w:t>
            </w:r>
          </w:p>
        </w:tc>
        <w:tc>
          <w:tcPr>
            <w:tcW w:w="0" w:type="auto"/>
            <w:hideMark/>
          </w:tcPr>
          <w:p w14:paraId="04609979" w14:textId="77777777" w:rsidR="00F01BB5" w:rsidRPr="004D307F" w:rsidRDefault="00F01BB5" w:rsidP="001B148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N/A</w:t>
            </w:r>
          </w:p>
        </w:tc>
      </w:tr>
      <w:tr w:rsidR="000F3581" w:rsidRPr="004D307F" w14:paraId="32513FD2" w14:textId="77777777" w:rsidTr="001B1487">
        <w:tc>
          <w:tcPr>
            <w:tcW w:w="0" w:type="auto"/>
            <w:hideMark/>
          </w:tcPr>
          <w:p w14:paraId="6F6E84FF" w14:textId="77777777" w:rsidR="00F01BB5" w:rsidRPr="004D307F" w:rsidRDefault="00F01BB5" w:rsidP="001B148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All Others</w:t>
            </w:r>
          </w:p>
        </w:tc>
        <w:tc>
          <w:tcPr>
            <w:tcW w:w="0" w:type="auto"/>
            <w:hideMark/>
          </w:tcPr>
          <w:p w14:paraId="7DF115B5" w14:textId="77777777" w:rsidR="00F01BB5" w:rsidRPr="004D307F" w:rsidRDefault="00F01BB5" w:rsidP="001B148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27.67</w:t>
            </w:r>
          </w:p>
        </w:tc>
        <w:tc>
          <w:tcPr>
            <w:tcW w:w="0" w:type="auto"/>
            <w:hideMark/>
          </w:tcPr>
          <w:p w14:paraId="24DAB053" w14:textId="77777777" w:rsidR="00F01BB5" w:rsidRPr="004D307F" w:rsidRDefault="00F01BB5" w:rsidP="001B148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5.93</w:t>
            </w:r>
          </w:p>
        </w:tc>
      </w:tr>
      <w:tr w:rsidR="000F3581" w:rsidRPr="004D307F" w14:paraId="2E2D1AB4" w14:textId="77777777" w:rsidTr="001B1487">
        <w:tc>
          <w:tcPr>
            <w:tcW w:w="0" w:type="auto"/>
            <w:hideMark/>
          </w:tcPr>
          <w:p w14:paraId="64C8FA61" w14:textId="77777777" w:rsidR="00F01BB5" w:rsidRPr="004D307F" w:rsidRDefault="00F01BB5" w:rsidP="001B148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Small schools under 372m</w:t>
            </w:r>
            <w:r w:rsidRPr="004D307F">
              <w:rPr>
                <w:rFonts w:ascii="VIC-Regular" w:eastAsia="Times New Roman" w:hAnsi="VIC-Regular" w:cs="Times New Roman"/>
                <w:color w:val="323E4F" w:themeColor="text2" w:themeShade="BF"/>
                <w:sz w:val="18"/>
                <w:szCs w:val="18"/>
                <w:vertAlign w:val="superscript"/>
                <w:lang w:eastAsia="en-AU"/>
              </w:rPr>
              <w:t>2</w:t>
            </w:r>
          </w:p>
        </w:tc>
        <w:tc>
          <w:tcPr>
            <w:tcW w:w="0" w:type="auto"/>
            <w:hideMark/>
          </w:tcPr>
          <w:p w14:paraId="0D3A4544" w14:textId="77777777" w:rsidR="00F01BB5" w:rsidRPr="004D307F" w:rsidRDefault="00F01BB5" w:rsidP="001B148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22.35</w:t>
            </w:r>
          </w:p>
        </w:tc>
        <w:tc>
          <w:tcPr>
            <w:tcW w:w="0" w:type="auto"/>
            <w:hideMark/>
          </w:tcPr>
          <w:p w14:paraId="0F7FF602" w14:textId="77777777" w:rsidR="00F01BB5" w:rsidRPr="004D307F" w:rsidRDefault="00F01BB5" w:rsidP="001B148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N/A</w:t>
            </w:r>
          </w:p>
        </w:tc>
      </w:tr>
      <w:tr w:rsidR="000F3581" w:rsidRPr="004D307F" w14:paraId="0E48B900" w14:textId="77777777" w:rsidTr="001B1487">
        <w:tc>
          <w:tcPr>
            <w:tcW w:w="0" w:type="auto"/>
            <w:hideMark/>
          </w:tcPr>
          <w:p w14:paraId="09A790CB" w14:textId="77777777" w:rsidR="00F01BB5" w:rsidRPr="004D307F" w:rsidRDefault="00F01BB5" w:rsidP="001B148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Minimum Allocation</w:t>
            </w:r>
          </w:p>
        </w:tc>
        <w:tc>
          <w:tcPr>
            <w:tcW w:w="0" w:type="auto"/>
            <w:hideMark/>
          </w:tcPr>
          <w:p w14:paraId="7C6A67BA" w14:textId="77777777" w:rsidR="00F01BB5" w:rsidRPr="004D307F" w:rsidRDefault="00F01BB5" w:rsidP="001B148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5,839</w:t>
            </w:r>
          </w:p>
        </w:tc>
        <w:tc>
          <w:tcPr>
            <w:tcW w:w="0" w:type="auto"/>
            <w:hideMark/>
          </w:tcPr>
          <w:p w14:paraId="191A3C50" w14:textId="77777777" w:rsidR="00F01BB5" w:rsidRPr="004D307F" w:rsidRDefault="00F01BB5" w:rsidP="001B148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N/A</w:t>
            </w:r>
          </w:p>
        </w:tc>
      </w:tr>
    </w:tbl>
    <w:p w14:paraId="79575B2D" w14:textId="77777777" w:rsidR="00F01BB5" w:rsidRPr="004D307F" w:rsidRDefault="00F01BB5" w:rsidP="00F01BB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Notes</w:t>
      </w:r>
    </w:p>
    <w:p w14:paraId="2751BE1E"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Split site and multi-campus locations are calculated as separate entities.</w:t>
      </w:r>
    </w:p>
    <w:p w14:paraId="05F7469D" w14:textId="77777777" w:rsidR="00F01BB5" w:rsidRPr="004D307F" w:rsidRDefault="00F01BB5" w:rsidP="00F01BB5">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Expenditure should be allocated in CASES21 to the following:</w:t>
      </w:r>
    </w:p>
    <w:p w14:paraId="7A5CB3F9" w14:textId="77777777" w:rsidR="00F01BB5" w:rsidRPr="004D307F" w:rsidRDefault="00F01BB5" w:rsidP="00ED0863">
      <w:pPr>
        <w:numPr>
          <w:ilvl w:val="0"/>
          <w:numId w:val="3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Sub Program Code: 6001 – Building Services and Utilities</w:t>
      </w:r>
    </w:p>
    <w:p w14:paraId="51714779" w14:textId="77777777" w:rsidR="00F01BB5" w:rsidRPr="004D307F" w:rsidRDefault="00F01BB5" w:rsidP="00ED0863">
      <w:pPr>
        <w:numPr>
          <w:ilvl w:val="0"/>
          <w:numId w:val="3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General Ledger Account Code: 86502 – Contract Cleaning</w:t>
      </w:r>
    </w:p>
    <w:bookmarkEnd w:id="47"/>
    <w:p w14:paraId="407EED08" w14:textId="77777777" w:rsidR="007B0EF6" w:rsidRPr="004D307F" w:rsidRDefault="007B0EF6" w:rsidP="00B566E7">
      <w:pPr>
        <w:pStyle w:val="Heading2"/>
      </w:pPr>
      <w:r w:rsidRPr="004D307F">
        <w:br w:type="page"/>
      </w:r>
    </w:p>
    <w:p w14:paraId="68651DE2" w14:textId="554A2F27" w:rsidR="0076693A" w:rsidRPr="004D307F" w:rsidRDefault="0076693A" w:rsidP="00B566E7">
      <w:pPr>
        <w:pStyle w:val="Heading2"/>
      </w:pPr>
      <w:bookmarkStart w:id="51" w:name="_Toc106793765"/>
      <w:bookmarkStart w:id="52" w:name="_Hlk65739654"/>
      <w:r w:rsidRPr="004D307F">
        <w:lastRenderedPageBreak/>
        <w:t>Cross Infection Prevention Allowance (Reference 29)</w:t>
      </w:r>
      <w:bookmarkEnd w:id="51"/>
    </w:p>
    <w:p w14:paraId="737AFC94" w14:textId="7599FDD2" w:rsidR="00EA42F1" w:rsidRPr="004D307F" w:rsidRDefault="00EA42F1" w:rsidP="00EA42F1">
      <w:pPr>
        <w:pStyle w:val="NormalWeb"/>
        <w:spacing w:line="360" w:lineRule="atLeast"/>
        <w:rPr>
          <w:rFonts w:ascii="VIC-Regular" w:hAnsi="VIC-Regular"/>
          <w:color w:val="011A3C"/>
          <w:lang w:val="en"/>
        </w:rPr>
      </w:pPr>
      <w:r w:rsidRPr="004D307F">
        <w:rPr>
          <w:rFonts w:ascii="VIC-Regular" w:hAnsi="VIC-Regular"/>
          <w:color w:val="011A3C"/>
          <w:lang w:val="en"/>
        </w:rPr>
        <w:t>Additional cleaning funds are provided to special developmental schools and physical disability special schools to reduce the risk of cross infection.</w:t>
      </w:r>
    </w:p>
    <w:p w14:paraId="0DB6AC8D" w14:textId="77777777" w:rsidR="00CC07DD" w:rsidRPr="004D307F" w:rsidRDefault="00CC07DD" w:rsidP="00CC07DD">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Expenditure should be allocated in CASES21 to the following:</w:t>
      </w:r>
    </w:p>
    <w:p w14:paraId="3406612F" w14:textId="77777777" w:rsidR="00CC07DD" w:rsidRPr="004D307F" w:rsidRDefault="00CC07DD" w:rsidP="00ED0863">
      <w:pPr>
        <w:numPr>
          <w:ilvl w:val="0"/>
          <w:numId w:val="3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Sub Program Code: 6001 – Building Services and Utilities</w:t>
      </w:r>
    </w:p>
    <w:p w14:paraId="2FAB453F" w14:textId="73CB183F" w:rsidR="00CC07DD" w:rsidRPr="004D307F" w:rsidRDefault="00CC07DD" w:rsidP="00ED0863">
      <w:pPr>
        <w:numPr>
          <w:ilvl w:val="0"/>
          <w:numId w:val="3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General Ledger Account Code: 86502 – Contract Cleaning</w:t>
      </w:r>
    </w:p>
    <w:p w14:paraId="5B11933F" w14:textId="77777777" w:rsidR="00EA42F1" w:rsidRPr="004D307F" w:rsidRDefault="00EA42F1" w:rsidP="00EA42F1">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4C4AB300" w14:textId="3788AEB4" w:rsidR="00EA42F1" w:rsidRPr="004D307F" w:rsidRDefault="006C1522" w:rsidP="00EA42F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w:t>
      </w:r>
      <w:r w:rsidR="00EA42F1" w:rsidRPr="004D307F">
        <w:rPr>
          <w:rFonts w:ascii="VIC-Regular" w:eastAsia="Times New Roman" w:hAnsi="VIC-Regular" w:cs="Times New Roman"/>
          <w:color w:val="011A3C"/>
          <w:sz w:val="24"/>
          <w:szCs w:val="24"/>
          <w:lang w:val="en" w:eastAsia="en-AU"/>
        </w:rPr>
        <w:t>with the following campus types are eligible for Cross Infection Prevention Allowance at campus level:</w:t>
      </w:r>
    </w:p>
    <w:p w14:paraId="68C1DC0B" w14:textId="77777777" w:rsidR="00EA42F1" w:rsidRPr="004D307F" w:rsidRDefault="00EA42F1" w:rsidP="00ED0863">
      <w:pPr>
        <w:numPr>
          <w:ilvl w:val="0"/>
          <w:numId w:val="52"/>
        </w:numPr>
        <w:spacing w:before="100" w:beforeAutospacing="1" w:after="100" w:afterAutospacing="1" w:line="360" w:lineRule="atLeast"/>
        <w:contextualSpacing/>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 development</w:t>
      </w:r>
    </w:p>
    <w:p w14:paraId="7023720D" w14:textId="04A021A0" w:rsidR="00EA42F1" w:rsidRPr="004D307F" w:rsidRDefault="00EA42F1" w:rsidP="00ED0863">
      <w:pPr>
        <w:numPr>
          <w:ilvl w:val="0"/>
          <w:numId w:val="52"/>
        </w:numPr>
        <w:spacing w:before="100" w:beforeAutospacing="1" w:after="100" w:afterAutospacing="1" w:line="360" w:lineRule="atLeast"/>
        <w:contextualSpacing/>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Disability</w:t>
      </w:r>
    </w:p>
    <w:p w14:paraId="0E36BACA" w14:textId="030A244E" w:rsidR="00FC586C" w:rsidRPr="004D307F" w:rsidRDefault="00FC586C" w:rsidP="00ED0863">
      <w:pPr>
        <w:numPr>
          <w:ilvl w:val="0"/>
          <w:numId w:val="52"/>
        </w:numPr>
        <w:spacing w:before="100" w:beforeAutospacing="1" w:after="100" w:afterAutospacing="1" w:line="360" w:lineRule="atLeast"/>
        <w:contextualSpacing/>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Day Special</w:t>
      </w:r>
    </w:p>
    <w:p w14:paraId="371F835B" w14:textId="62C23020" w:rsidR="00FC586C" w:rsidRPr="004D307F" w:rsidRDefault="00FC586C" w:rsidP="00ED0863">
      <w:pPr>
        <w:numPr>
          <w:ilvl w:val="0"/>
          <w:numId w:val="52"/>
        </w:numPr>
        <w:spacing w:before="100" w:beforeAutospacing="1" w:after="100" w:afterAutospacing="1" w:line="360" w:lineRule="atLeast"/>
        <w:contextualSpacing/>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w:t>
      </w:r>
    </w:p>
    <w:p w14:paraId="339AD141" w14:textId="78BB68C5" w:rsidR="004C0591" w:rsidRPr="004D307F" w:rsidRDefault="00EA42F1" w:rsidP="00EA42F1">
      <w:pPr>
        <w:pStyle w:val="Heading3"/>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Funding is calculated at the Indicative, Confirmed and Revised cycles,</w:t>
      </w:r>
      <w:r w:rsidR="00796B97" w:rsidRPr="004D307F">
        <w:rPr>
          <w:rFonts w:ascii="VIC-Regular" w:eastAsia="Times New Roman" w:hAnsi="VIC-Regular" w:cs="Times New Roman"/>
          <w:color w:val="011A3C"/>
          <w:lang w:val="en" w:eastAsia="en-AU"/>
        </w:rPr>
        <w:t xml:space="preserve"> and</w:t>
      </w:r>
      <w:r w:rsidRPr="004D307F">
        <w:rPr>
          <w:rFonts w:ascii="VIC-Regular" w:eastAsia="Times New Roman" w:hAnsi="VIC-Regular" w:cs="Times New Roman"/>
          <w:color w:val="011A3C"/>
          <w:lang w:val="en" w:eastAsia="en-AU"/>
        </w:rPr>
        <w:t xml:space="preserve"> is provided through cash funding.</w:t>
      </w:r>
      <w:r w:rsidR="004C0591" w:rsidRPr="004D307F">
        <w:rPr>
          <w:rFonts w:ascii="VIC-Regular" w:eastAsia="Times New Roman" w:hAnsi="VIC-Regular" w:cs="Times New Roman"/>
          <w:color w:val="011A3C"/>
          <w:lang w:val="en" w:eastAsia="en-AU"/>
        </w:rPr>
        <w:t xml:space="preserve"> </w:t>
      </w:r>
    </w:p>
    <w:p w14:paraId="5038B672" w14:textId="48AF4155" w:rsidR="00EA42F1" w:rsidRPr="004D307F" w:rsidRDefault="00EA42F1" w:rsidP="00B846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w:t>
      </w:r>
      <w:r w:rsidR="001C7C81" w:rsidRPr="004D307F">
        <w:rPr>
          <w:rFonts w:ascii="VIC-Bold" w:eastAsia="Times New Roman" w:hAnsi="VIC-Bold" w:cs="Times New Roman"/>
          <w:b/>
          <w:bCs/>
          <w:color w:val="011A3C"/>
          <w:sz w:val="27"/>
          <w:szCs w:val="27"/>
          <w:lang w:val="en" w:eastAsia="en-AU"/>
        </w:rPr>
        <w:t>2</w:t>
      </w:r>
    </w:p>
    <w:p w14:paraId="0A386788" w14:textId="066A25C9" w:rsidR="0076693A" w:rsidRPr="004D307F" w:rsidRDefault="00117C90" w:rsidP="00ED0863">
      <w:pPr>
        <w:pStyle w:val="NoSpacing"/>
        <w:numPr>
          <w:ilvl w:val="0"/>
          <w:numId w:val="138"/>
        </w:numPr>
      </w:pPr>
      <w:r w:rsidRPr="004D307F">
        <w:rPr>
          <w:lang w:val="en" w:eastAsia="en-AU"/>
        </w:rPr>
        <w:t xml:space="preserve">A flat rate is provided for </w:t>
      </w:r>
      <w:r w:rsidR="008E7838" w:rsidRPr="004D307F">
        <w:rPr>
          <w:lang w:val="en" w:eastAsia="en-AU"/>
        </w:rPr>
        <w:t xml:space="preserve">eligible </w:t>
      </w:r>
      <w:r w:rsidR="008F4825" w:rsidRPr="004D307F">
        <w:rPr>
          <w:lang w:val="en" w:eastAsia="en-AU"/>
        </w:rPr>
        <w:t xml:space="preserve">schools - </w:t>
      </w:r>
      <w:r w:rsidR="00337C31" w:rsidRPr="004D307F">
        <w:rPr>
          <w:sz w:val="24"/>
          <w:szCs w:val="24"/>
          <w:lang w:val="en"/>
        </w:rPr>
        <w:t>$</w:t>
      </w:r>
      <w:r w:rsidR="00990116" w:rsidRPr="004D307F">
        <w:rPr>
          <w:sz w:val="24"/>
          <w:szCs w:val="24"/>
          <w:lang w:val="en"/>
        </w:rPr>
        <w:t>13,</w:t>
      </w:r>
      <w:r w:rsidR="001C7C81" w:rsidRPr="004D307F">
        <w:rPr>
          <w:sz w:val="24"/>
          <w:szCs w:val="24"/>
          <w:lang w:val="en"/>
        </w:rPr>
        <w:t>5</w:t>
      </w:r>
      <w:r w:rsidR="00990116" w:rsidRPr="004D307F">
        <w:rPr>
          <w:sz w:val="24"/>
          <w:szCs w:val="24"/>
          <w:lang w:val="en"/>
        </w:rPr>
        <w:t>59</w:t>
      </w:r>
      <w:r w:rsidR="0076693A" w:rsidRPr="004D307F">
        <w:br w:type="page"/>
      </w:r>
    </w:p>
    <w:p w14:paraId="30E88C9F" w14:textId="4BFED6E9" w:rsidR="0076693A" w:rsidRPr="004D307F" w:rsidRDefault="0076693A" w:rsidP="00B566E7">
      <w:pPr>
        <w:pStyle w:val="Heading2"/>
      </w:pPr>
      <w:bookmarkStart w:id="53" w:name="_Toc106793766"/>
      <w:bookmarkEnd w:id="52"/>
      <w:r w:rsidRPr="004D307F">
        <w:lastRenderedPageBreak/>
        <w:t>Cleaning Minimum Allowance (Reference 30)</w:t>
      </w:r>
      <w:bookmarkEnd w:id="53"/>
    </w:p>
    <w:p w14:paraId="64677CC9" w14:textId="641CE5CB"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 minimum </w:t>
      </w:r>
      <w:r w:rsidR="008E7838" w:rsidRPr="004D307F">
        <w:rPr>
          <w:rFonts w:ascii="VIC-Regular" w:eastAsia="Times New Roman" w:hAnsi="VIC-Regular" w:cs="Times New Roman"/>
          <w:color w:val="011A3C"/>
          <w:sz w:val="24"/>
          <w:szCs w:val="24"/>
          <w:lang w:val="en" w:eastAsia="en-AU"/>
        </w:rPr>
        <w:t xml:space="preserve">allowance </w:t>
      </w:r>
      <w:r w:rsidRPr="004D307F">
        <w:rPr>
          <w:rFonts w:ascii="VIC-Regular" w:eastAsia="Times New Roman" w:hAnsi="VIC-Regular" w:cs="Times New Roman"/>
          <w:color w:val="011A3C"/>
          <w:sz w:val="24"/>
          <w:szCs w:val="24"/>
          <w:lang w:val="en" w:eastAsia="en-AU"/>
        </w:rPr>
        <w:t xml:space="preserve">is applied to schools and </w:t>
      </w:r>
      <w:r w:rsidR="008F4825" w:rsidRPr="004D307F">
        <w:rPr>
          <w:rFonts w:ascii="VIC-Regular" w:eastAsia="Times New Roman" w:hAnsi="VIC-Regular" w:cs="Times New Roman"/>
          <w:color w:val="011A3C"/>
          <w:sz w:val="24"/>
          <w:szCs w:val="24"/>
          <w:lang w:val="en" w:eastAsia="en-AU"/>
        </w:rPr>
        <w:t>centres, that</w:t>
      </w:r>
      <w:r w:rsidR="00E14875"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are not included in the metropolitan area-based cleaning model.  </w:t>
      </w:r>
    </w:p>
    <w:p w14:paraId="6068086E" w14:textId="77777777" w:rsidR="00CC07DD" w:rsidRPr="004D307F" w:rsidRDefault="00CC07DD" w:rsidP="00CC07DD">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Expenditure should be allocated in CASES21 to the following:</w:t>
      </w:r>
    </w:p>
    <w:p w14:paraId="121860DF" w14:textId="77777777" w:rsidR="00CC07DD" w:rsidRPr="004D307F" w:rsidRDefault="00CC07DD" w:rsidP="00ED0863">
      <w:pPr>
        <w:pStyle w:val="ListParagraph"/>
        <w:numPr>
          <w:ilvl w:val="0"/>
          <w:numId w:val="138"/>
        </w:num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Sub Program Code: 6001 – Building Services and Utilities</w:t>
      </w:r>
    </w:p>
    <w:p w14:paraId="1DF57B8B" w14:textId="132C956D" w:rsidR="00CC07DD" w:rsidRPr="004D307F" w:rsidRDefault="00CC07DD" w:rsidP="00ED0863">
      <w:pPr>
        <w:pStyle w:val="ListParagraph"/>
        <w:numPr>
          <w:ilvl w:val="0"/>
          <w:numId w:val="138"/>
        </w:num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General Ledger Account Code: 86502 – Contract Cleaning</w:t>
      </w:r>
    </w:p>
    <w:p w14:paraId="242EC633" w14:textId="21F194C0" w:rsidR="00947063" w:rsidRPr="004D307F" w:rsidRDefault="00947063"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Confirmed and Revised cycles, </w:t>
      </w:r>
      <w:r w:rsidR="00083F97" w:rsidRPr="004D307F">
        <w:rPr>
          <w:rFonts w:ascii="VIC-Regular" w:eastAsia="Times New Roman" w:hAnsi="VIC-Regular" w:cs="Times New Roman"/>
          <w:color w:val="011A3C"/>
          <w:sz w:val="24"/>
          <w:szCs w:val="24"/>
          <w:lang w:val="en" w:eastAsia="en-AU"/>
        </w:rPr>
        <w:t xml:space="preserve">and </w:t>
      </w:r>
      <w:r w:rsidRPr="004D307F">
        <w:rPr>
          <w:rFonts w:ascii="VIC-Regular" w:eastAsia="Times New Roman" w:hAnsi="VIC-Regular" w:cs="Times New Roman"/>
          <w:color w:val="011A3C"/>
          <w:sz w:val="24"/>
          <w:szCs w:val="24"/>
          <w:lang w:val="en" w:eastAsia="en-AU"/>
        </w:rPr>
        <w:t>provided through cash funding.</w:t>
      </w:r>
    </w:p>
    <w:p w14:paraId="712B20BB" w14:textId="4BE4452B" w:rsidR="0076693A" w:rsidRPr="004D307F"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w:t>
      </w:r>
      <w:r w:rsidR="00083F97" w:rsidRPr="004D307F">
        <w:rPr>
          <w:rFonts w:ascii="VIC-Bold" w:eastAsia="Times New Roman" w:hAnsi="VIC-Bold" w:cs="Times New Roman"/>
          <w:b/>
          <w:bCs/>
          <w:color w:val="011A3C"/>
          <w:sz w:val="27"/>
          <w:szCs w:val="27"/>
          <w:lang w:val="en" w:eastAsia="en-AU"/>
        </w:rPr>
        <w:t>2</w:t>
      </w:r>
    </w:p>
    <w:p w14:paraId="1DA7A916" w14:textId="0F3E5E09" w:rsidR="0076693A" w:rsidRPr="004D307F" w:rsidRDefault="0076693A" w:rsidP="00550811">
      <w:pPr>
        <w:spacing w:before="100" w:beforeAutospacing="1" w:after="100" w:afterAutospacing="1" w:line="360" w:lineRule="atLeast"/>
      </w:pPr>
      <w:r w:rsidRPr="004D307F">
        <w:rPr>
          <w:rFonts w:ascii="VIC-Regular" w:eastAsia="Times New Roman" w:hAnsi="VIC-Regular" w:cs="Times New Roman"/>
          <w:color w:val="011A3C"/>
          <w:sz w:val="24"/>
          <w:szCs w:val="24"/>
          <w:lang w:val="en" w:eastAsia="en-AU"/>
        </w:rPr>
        <w:t xml:space="preserve">Minimum: </w:t>
      </w:r>
      <w:r w:rsidR="00337C31" w:rsidRPr="004D307F">
        <w:rPr>
          <w:rFonts w:ascii="VIC-Regular" w:eastAsia="Times New Roman" w:hAnsi="VIC-Regular" w:cs="Times New Roman"/>
          <w:color w:val="011A3C"/>
          <w:sz w:val="24"/>
          <w:szCs w:val="24"/>
          <w:lang w:val="en" w:eastAsia="en-AU"/>
        </w:rPr>
        <w:t>$</w:t>
      </w:r>
      <w:r w:rsidR="00550811" w:rsidRPr="004D307F">
        <w:rPr>
          <w:rFonts w:ascii="VIC-Regular" w:eastAsia="Times New Roman" w:hAnsi="VIC-Regular" w:cs="Times New Roman"/>
          <w:color w:val="011A3C"/>
          <w:sz w:val="24"/>
          <w:szCs w:val="24"/>
          <w:lang w:val="en" w:eastAsia="en-AU"/>
        </w:rPr>
        <w:t>5,</w:t>
      </w:r>
      <w:r w:rsidR="00083F97" w:rsidRPr="004D307F">
        <w:rPr>
          <w:rFonts w:ascii="VIC-Regular" w:eastAsia="Times New Roman" w:hAnsi="VIC-Regular" w:cs="Times New Roman"/>
          <w:color w:val="011A3C"/>
          <w:sz w:val="24"/>
          <w:szCs w:val="24"/>
          <w:lang w:val="en" w:eastAsia="en-AU"/>
        </w:rPr>
        <w:t>839</w:t>
      </w:r>
    </w:p>
    <w:p w14:paraId="440E7F11" w14:textId="77777777" w:rsidR="0076693A" w:rsidRPr="004D307F" w:rsidRDefault="0076693A" w:rsidP="0076693A">
      <w:r w:rsidRPr="004D307F">
        <w:br w:type="page"/>
      </w:r>
    </w:p>
    <w:p w14:paraId="7D56A57B" w14:textId="77777777" w:rsidR="00F01BB5" w:rsidRPr="004D307F" w:rsidRDefault="00F01BB5" w:rsidP="00901FCB">
      <w:pPr>
        <w:pStyle w:val="Heading2"/>
      </w:pPr>
      <w:bookmarkStart w:id="54" w:name="_Toc106793767"/>
      <w:r w:rsidRPr="004D307F">
        <w:lastRenderedPageBreak/>
        <w:t>Grounds Allowance (Reference 31)</w:t>
      </w:r>
      <w:bookmarkEnd w:id="54"/>
    </w:p>
    <w:p w14:paraId="00174E35" w14:textId="77777777" w:rsidR="00F01BB5" w:rsidRPr="004D307F" w:rsidRDefault="00F01BB5" w:rsidP="00F01BB5"/>
    <w:p w14:paraId="7A6FAEC7" w14:textId="680D9880" w:rsidR="00F01BB5" w:rsidRPr="004D307F" w:rsidRDefault="009B124F" w:rsidP="00F01BB5">
      <w:pPr>
        <w:rPr>
          <w:rFonts w:ascii="VIC-Regular" w:hAnsi="VIC-Regular" w:cs="Times New Roman"/>
          <w:color w:val="011A3C"/>
          <w:sz w:val="24"/>
          <w:szCs w:val="24"/>
        </w:rPr>
      </w:pPr>
      <w:r w:rsidRPr="009B124F">
        <w:rPr>
          <w:rFonts w:ascii="VIC-Regular" w:eastAsia="Times New Roman" w:hAnsi="VIC-Regular" w:cs="Times New Roman"/>
          <w:color w:val="011A3C"/>
          <w:sz w:val="24"/>
          <w:szCs w:val="24"/>
          <w:lang w:val="en" w:eastAsia="en-AU"/>
        </w:rPr>
        <w:t>The Student Resource Package (SRP)</w:t>
      </w:r>
      <w:r>
        <w:rPr>
          <w:rFonts w:ascii="VIC-Regular" w:eastAsia="Times New Roman" w:hAnsi="VIC-Regular" w:cs="Times New Roman"/>
          <w:color w:val="011A3C"/>
          <w:sz w:val="24"/>
          <w:szCs w:val="24"/>
          <w:lang w:val="en" w:eastAsia="en-AU"/>
        </w:rPr>
        <w:t xml:space="preserve"> </w:t>
      </w:r>
      <w:r w:rsidR="00F01BB5" w:rsidRPr="004D307F">
        <w:rPr>
          <w:rFonts w:ascii="VIC-Regular" w:eastAsia="Times New Roman" w:hAnsi="VIC-Regular" w:cs="Times New Roman"/>
          <w:color w:val="011A3C"/>
          <w:sz w:val="24"/>
          <w:szCs w:val="24"/>
          <w:lang w:val="en" w:eastAsia="en-AU"/>
        </w:rPr>
        <w:t>Grounds Allowance is provided to schools to ensure the grounds of the school are properly maintained.</w:t>
      </w:r>
    </w:p>
    <w:p w14:paraId="2990FABB" w14:textId="77777777" w:rsidR="00F01BB5" w:rsidRPr="004D307F" w:rsidRDefault="00F01BB5" w:rsidP="00F01BB5">
      <w:pPr>
        <w:rPr>
          <w:rFonts w:ascii="VIC-Regular" w:hAnsi="VIC-Regular" w:cs="Times New Roman"/>
          <w:color w:val="011A3C"/>
          <w:sz w:val="24"/>
          <w:szCs w:val="24"/>
        </w:rPr>
      </w:pPr>
      <w:r w:rsidRPr="004D307F">
        <w:rPr>
          <w:rFonts w:ascii="VIC-Regular" w:eastAsia="Times New Roman" w:hAnsi="VIC-Regular" w:cs="Times New Roman"/>
          <w:color w:val="011A3C"/>
          <w:sz w:val="24"/>
          <w:szCs w:val="24"/>
          <w:lang w:val="en" w:eastAsia="en-AU"/>
        </w:rPr>
        <w:t>The types of specific tasks that should be undertaken include:</w:t>
      </w:r>
    </w:p>
    <w:p w14:paraId="39EF91B4" w14:textId="77777777" w:rsidR="00F01BB5" w:rsidRPr="004D307F" w:rsidRDefault="00F01BB5" w:rsidP="00F01BB5">
      <w:pPr>
        <w:rPr>
          <w:rFonts w:ascii="VIC-Regular" w:hAnsi="VIC-Regular" w:cs="Times New Roman"/>
          <w:color w:val="011A3C"/>
          <w:sz w:val="24"/>
          <w:szCs w:val="24"/>
        </w:rPr>
      </w:pPr>
      <w:r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ab/>
        <w:t>lawn mowing</w:t>
      </w:r>
    </w:p>
    <w:p w14:paraId="36B581F4" w14:textId="77777777" w:rsidR="00F01BB5" w:rsidRPr="004D307F" w:rsidRDefault="00F01BB5" w:rsidP="00F01BB5">
      <w:pPr>
        <w:rPr>
          <w:rFonts w:ascii="VIC-Regular" w:hAnsi="VIC-Regular" w:cs="Times New Roman"/>
          <w:color w:val="011A3C"/>
          <w:sz w:val="24"/>
          <w:szCs w:val="24"/>
        </w:rPr>
      </w:pPr>
      <w:r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ab/>
        <w:t>landscaping services</w:t>
      </w:r>
    </w:p>
    <w:p w14:paraId="6C474621" w14:textId="77777777" w:rsidR="00F01BB5" w:rsidRPr="004D307F" w:rsidRDefault="00F01BB5" w:rsidP="00F01BB5">
      <w:pPr>
        <w:rPr>
          <w:rFonts w:ascii="VIC-Regular" w:hAnsi="VIC-Regular" w:cs="Times New Roman"/>
          <w:color w:val="011A3C"/>
          <w:sz w:val="24"/>
          <w:szCs w:val="24"/>
        </w:rPr>
      </w:pPr>
      <w:r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ab/>
        <w:t>sports field maintenance</w:t>
      </w:r>
    </w:p>
    <w:p w14:paraId="055A4DB0" w14:textId="77777777" w:rsidR="00F01BB5" w:rsidRPr="004D307F" w:rsidRDefault="00F01BB5" w:rsidP="00F01BB5">
      <w:pPr>
        <w:rPr>
          <w:rFonts w:ascii="VIC-Regular" w:hAnsi="VIC-Regular" w:cs="Times New Roman"/>
          <w:color w:val="011A3C"/>
          <w:sz w:val="24"/>
          <w:szCs w:val="24"/>
        </w:rPr>
      </w:pPr>
      <w:r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ab/>
        <w:t>tree management</w:t>
      </w:r>
    </w:p>
    <w:p w14:paraId="7463096A" w14:textId="77777777" w:rsidR="00F01BB5" w:rsidRPr="004D307F" w:rsidRDefault="00F01BB5" w:rsidP="00F01BB5">
      <w:pPr>
        <w:rPr>
          <w:rFonts w:ascii="VIC-Regular" w:hAnsi="VIC-Regular" w:cs="Times New Roman"/>
          <w:color w:val="011A3C"/>
          <w:sz w:val="24"/>
          <w:szCs w:val="24"/>
        </w:rPr>
      </w:pPr>
      <w:r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ab/>
        <w:t>drainage and flooding issues</w:t>
      </w:r>
    </w:p>
    <w:p w14:paraId="166D155B" w14:textId="226077A3" w:rsidR="00F01BB5" w:rsidRPr="004D307F" w:rsidRDefault="00F01BB5" w:rsidP="00F01BB5">
      <w:pPr>
        <w:rPr>
          <w:rFonts w:eastAsia="Times New Roman"/>
          <w:lang w:val="en" w:eastAsia="en-AU"/>
        </w:rPr>
      </w:pPr>
      <w:r w:rsidRPr="004D307F">
        <w:rPr>
          <w:rFonts w:ascii="VIC-Regular" w:eastAsia="Times New Roman" w:hAnsi="VIC-Regular" w:cs="Times New Roman"/>
          <w:color w:val="011A3C"/>
          <w:sz w:val="24"/>
          <w:szCs w:val="24"/>
          <w:lang w:val="en" w:eastAsia="en-AU"/>
        </w:rPr>
        <w:t xml:space="preserve">Schools that have already taken part in the Rolling Facilities Evaluation should be using the School Maintenance Plan portal to plan and schedule maintenance tasks. For further information refer to </w:t>
      </w:r>
      <w:hyperlink r:id="rId82" w:history="1">
        <w:r w:rsidRPr="009B124F">
          <w:rPr>
            <w:rStyle w:val="Hyperlink"/>
            <w:rFonts w:ascii="VIC-Regular" w:eastAsia="Times New Roman" w:hAnsi="VIC-Regular" w:cs="Times New Roman"/>
            <w:sz w:val="24"/>
            <w:szCs w:val="24"/>
            <w:lang w:val="en" w:eastAsia="en-AU"/>
          </w:rPr>
          <w:t>School Maintenance Plans</w:t>
        </w:r>
      </w:hyperlink>
      <w:r w:rsidRPr="004D307F">
        <w:rPr>
          <w:rFonts w:ascii="VIC-Regular" w:eastAsia="Times New Roman" w:hAnsi="VIC-Regular" w:cs="Times New Roman"/>
          <w:color w:val="011A3C"/>
          <w:sz w:val="24"/>
          <w:szCs w:val="24"/>
          <w:lang w:val="en" w:eastAsia="en-AU"/>
        </w:rPr>
        <w:t>.</w:t>
      </w:r>
    </w:p>
    <w:p w14:paraId="71D9029F" w14:textId="77777777" w:rsidR="00F01BB5" w:rsidRPr="004D307F" w:rsidRDefault="00F01BB5" w:rsidP="00F01BB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2D46814D"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Grounds Area (m2) x Grounds Allowance Rate</w:t>
      </w:r>
    </w:p>
    <w:p w14:paraId="04DB446A" w14:textId="77777777" w:rsidR="00F01BB5" w:rsidRPr="004D307F" w:rsidRDefault="00F01BB5" w:rsidP="00F01BB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2022</w:t>
      </w:r>
    </w:p>
    <w:p w14:paraId="6ADC3706" w14:textId="77777777" w:rsidR="00F01BB5" w:rsidRPr="004D307F" w:rsidRDefault="00F01BB5" w:rsidP="00F01BB5">
      <w:pPr>
        <w:spacing w:before="100" w:beforeAutospacing="1" w:after="100" w:afterAutospacing="1" w:line="288" w:lineRule="atLeast"/>
        <w:outlineLvl w:val="3"/>
        <w:rPr>
          <w:rFonts w:ascii="VIC-Regular" w:eastAsia="Times New Roman" w:hAnsi="VIC-Regular" w:cs="Times New Roman"/>
          <w:color w:val="011A3C"/>
          <w:sz w:val="24"/>
          <w:szCs w:val="24"/>
          <w:lang w:val="en" w:eastAsia="en-AU"/>
        </w:rPr>
      </w:pPr>
      <w:r w:rsidRPr="004D307F">
        <w:rPr>
          <w:rFonts w:ascii="VIC-Bold" w:eastAsia="Times New Roman" w:hAnsi="VIC-Bold" w:cs="Times New Roman"/>
          <w:color w:val="011A3C"/>
          <w:sz w:val="24"/>
          <w:szCs w:val="24"/>
          <w:lang w:val="en" w:eastAsia="en-AU"/>
        </w:rPr>
        <w:t>Grounds Allowance Rate =</w:t>
      </w:r>
      <w:r w:rsidRPr="004D307F">
        <w:rPr>
          <w:rFonts w:ascii="VIC-Regular" w:eastAsia="Times New Roman" w:hAnsi="VIC-Regular" w:cs="Times New Roman"/>
          <w:color w:val="011A3C"/>
          <w:sz w:val="24"/>
          <w:szCs w:val="24"/>
          <w:lang w:val="en" w:eastAsia="en-AU"/>
        </w:rPr>
        <w:t xml:space="preserve"> 0.210 cents per square metre</w:t>
      </w:r>
    </w:p>
    <w:p w14:paraId="1D37DAF1" w14:textId="77777777" w:rsidR="00F01BB5" w:rsidRPr="004D307F" w:rsidRDefault="00F01BB5" w:rsidP="00F01BB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Funding allocation</w:t>
      </w:r>
    </w:p>
    <w:p w14:paraId="02D70979" w14:textId="77777777" w:rsidR="00F01BB5" w:rsidRPr="004D307F" w:rsidRDefault="00F01BB5" w:rsidP="00F01BB5">
      <w:pPr>
        <w:rPr>
          <w:rFonts w:ascii="VIC-Regular" w:eastAsia="Times New Roman" w:hAnsi="VIC-Regular" w:cs="Times New Roman"/>
          <w:color w:val="011A3C"/>
          <w:sz w:val="24"/>
          <w:szCs w:val="24"/>
          <w:lang w:val="en" w:eastAsia="en-AU"/>
        </w:rPr>
      </w:pPr>
      <w:r w:rsidRPr="004D307F">
        <w:rPr>
          <w:rFonts w:ascii="Cambria Math" w:eastAsia="Times New Roman" w:hAnsi="Cambria Math" w:cs="Cambria Math"/>
          <w:color w:val="011A3C"/>
          <w:sz w:val="24"/>
          <w:szCs w:val="24"/>
          <w:lang w:val="en" w:eastAsia="en-AU"/>
        </w:rPr>
        <w:t>​</w:t>
      </w:r>
      <w:r w:rsidRPr="004D307F">
        <w:rPr>
          <w:rFonts w:ascii="VIC-Regular" w:eastAsia="Times New Roman" w:hAnsi="VIC-Regular" w:cs="Times New Roman"/>
          <w:color w:val="011A3C"/>
          <w:sz w:val="24"/>
          <w:szCs w:val="24"/>
          <w:lang w:val="en" w:eastAsia="en-AU"/>
        </w:rPr>
        <w:t>Expenditure should be allocated in CASES21 to the following:</w:t>
      </w:r>
    </w:p>
    <w:p w14:paraId="0E932A19" w14:textId="77777777" w:rsidR="00F01BB5" w:rsidRPr="004D307F" w:rsidRDefault="00F01BB5" w:rsidP="00ED0863">
      <w:pPr>
        <w:numPr>
          <w:ilvl w:val="0"/>
          <w:numId w:val="38"/>
        </w:numPr>
        <w:spacing w:after="0" w:line="240" w:lineRule="auto"/>
        <w:contextualSpacing/>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Sub Program Code: 6502 – Grounds</w:t>
      </w:r>
    </w:p>
    <w:p w14:paraId="3EC2AAF8" w14:textId="77777777" w:rsidR="00F01BB5" w:rsidRPr="004D307F" w:rsidRDefault="00F01BB5" w:rsidP="00ED0863">
      <w:pPr>
        <w:numPr>
          <w:ilvl w:val="0"/>
          <w:numId w:val="38"/>
        </w:numPr>
        <w:spacing w:after="0" w:line="240" w:lineRule="auto"/>
        <w:contextualSpacing/>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General Ledger Account Code: 86505 – Ground Work</w:t>
      </w:r>
    </w:p>
    <w:p w14:paraId="4D25CB2D" w14:textId="77777777" w:rsidR="00F01BB5" w:rsidRPr="004D307F" w:rsidRDefault="00F01BB5" w:rsidP="00F01BB5">
      <w:pPr>
        <w:spacing w:after="0" w:line="240" w:lineRule="auto"/>
        <w:ind w:left="720"/>
        <w:contextualSpacing/>
        <w:rPr>
          <w:rFonts w:ascii="VIC-Regular" w:eastAsia="Times New Roman" w:hAnsi="VIC-Regular" w:cs="Times New Roman"/>
          <w:color w:val="011A3C"/>
          <w:sz w:val="24"/>
          <w:szCs w:val="24"/>
          <w:lang w:eastAsia="en-AU"/>
        </w:rPr>
      </w:pPr>
    </w:p>
    <w:p w14:paraId="05FD36A4" w14:textId="42B990F1" w:rsidR="005965D3" w:rsidRPr="004D307F" w:rsidRDefault="00F01BB5" w:rsidP="00C116FE">
      <w:pPr>
        <w:rPr>
          <w:lang w:val="en" w:eastAsia="en-AU"/>
        </w:rPr>
      </w:pPr>
      <w:r w:rsidRPr="004D307F">
        <w:rPr>
          <w:rFonts w:ascii="VIC-Regular" w:eastAsia="Times New Roman" w:hAnsi="VIC-Regular" w:cs="Times New Roman"/>
          <w:color w:val="011A3C"/>
          <w:sz w:val="24"/>
          <w:szCs w:val="24"/>
          <w:lang w:val="en" w:eastAsia="en-AU"/>
        </w:rPr>
        <w:t>SRP funding for Grounds Allowance is calculated at the Confirmed cycle using updated data and may be updated at the Revised cycle and is allocated through cash funding. Grounds area is sourced from the Victorian Schools Building Authority annually.</w:t>
      </w:r>
    </w:p>
    <w:p w14:paraId="4019614C" w14:textId="77777777" w:rsidR="007B0EF6" w:rsidRPr="004D307F" w:rsidRDefault="007B0EF6" w:rsidP="00F01BB5">
      <w:pPr>
        <w:keepNext/>
        <w:keepLines/>
        <w:spacing w:before="40" w:after="0"/>
        <w:outlineLvl w:val="1"/>
        <w:rPr>
          <w:rFonts w:asciiTheme="majorHAnsi" w:eastAsia="Times New Roman" w:hAnsiTheme="majorHAnsi" w:cstheme="majorBidi"/>
          <w:b/>
          <w:color w:val="2F5496" w:themeColor="accent1" w:themeShade="BF"/>
          <w:sz w:val="36"/>
          <w:szCs w:val="26"/>
          <w:lang w:val="en" w:eastAsia="en-AU"/>
        </w:rPr>
      </w:pPr>
      <w:bookmarkStart w:id="55" w:name="_Hlk50213227"/>
      <w:r w:rsidRPr="004D307F">
        <w:rPr>
          <w:rFonts w:asciiTheme="majorHAnsi" w:eastAsia="Times New Roman" w:hAnsiTheme="majorHAnsi" w:cstheme="majorBidi"/>
          <w:b/>
          <w:color w:val="2F5496" w:themeColor="accent1" w:themeShade="BF"/>
          <w:sz w:val="36"/>
          <w:szCs w:val="26"/>
          <w:lang w:val="en" w:eastAsia="en-AU"/>
        </w:rPr>
        <w:br w:type="page"/>
      </w:r>
    </w:p>
    <w:p w14:paraId="3144FD97" w14:textId="3B6F83A0" w:rsidR="00F01BB5" w:rsidRPr="004D307F" w:rsidRDefault="00F01BB5" w:rsidP="00901FCB">
      <w:pPr>
        <w:pStyle w:val="Heading2"/>
      </w:pPr>
      <w:bookmarkStart w:id="56" w:name="_Toc106793768"/>
      <w:r w:rsidRPr="004D307F">
        <w:lastRenderedPageBreak/>
        <w:t>Building Area Allowance (Reference 32)</w:t>
      </w:r>
      <w:bookmarkEnd w:id="56"/>
    </w:p>
    <w:p w14:paraId="3EC15AB4" w14:textId="77777777" w:rsidR="00F01BB5" w:rsidRPr="004D307F" w:rsidRDefault="00F01BB5" w:rsidP="00F01BB5">
      <w:pPr>
        <w:spacing w:after="0" w:line="240" w:lineRule="auto"/>
        <w:rPr>
          <w:rFonts w:ascii="VIC-Regular" w:eastAsia="Times New Roman" w:hAnsi="VIC-Regular" w:cs="Times New Roman"/>
          <w:color w:val="011A3C"/>
          <w:sz w:val="24"/>
          <w:szCs w:val="24"/>
          <w:lang w:val="en" w:eastAsia="en-AU"/>
        </w:rPr>
      </w:pPr>
    </w:p>
    <w:p w14:paraId="1AC184DC" w14:textId="77777777" w:rsidR="00F01BB5" w:rsidRPr="004D307F" w:rsidRDefault="00F01BB5" w:rsidP="00F01BB5">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for the building area allowance is on the basis of the school’s total building area in square metres. Total building area is sourced from the VSBA annually.</w:t>
      </w:r>
    </w:p>
    <w:p w14:paraId="0D129AC1" w14:textId="77777777" w:rsidR="00F01BB5" w:rsidRPr="004D307F" w:rsidRDefault="00F01BB5" w:rsidP="00F01BB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1DC7A5BF" w14:textId="77777777" w:rsidR="00F01BB5" w:rsidRPr="004D307F" w:rsidRDefault="00F01BB5" w:rsidP="00F01BB5">
      <w:pPr>
        <w:keepNext/>
        <w:keepLines/>
        <w:spacing w:before="40" w:after="0"/>
        <w:outlineLvl w:val="2"/>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All campus types listed below are eligible for Building Area Allowance funding provided at campus level. </w:t>
      </w:r>
    </w:p>
    <w:p w14:paraId="0F2E5CBE" w14:textId="77777777" w:rsidR="00F01BB5" w:rsidRPr="004D307F" w:rsidRDefault="00F01BB5" w:rsidP="00ED0863">
      <w:pPr>
        <w:numPr>
          <w:ilvl w:val="0"/>
          <w:numId w:val="1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Day special</w:t>
      </w:r>
    </w:p>
    <w:p w14:paraId="00A89C06" w14:textId="77777777" w:rsidR="00F01BB5" w:rsidRPr="004D307F" w:rsidRDefault="00F01BB5" w:rsidP="00ED0863">
      <w:pPr>
        <w:numPr>
          <w:ilvl w:val="0"/>
          <w:numId w:val="1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 development school</w:t>
      </w:r>
    </w:p>
    <w:p w14:paraId="5F765218" w14:textId="77777777" w:rsidR="00F01BB5" w:rsidRPr="004D307F" w:rsidRDefault="00F01BB5" w:rsidP="00ED0863">
      <w:pPr>
        <w:numPr>
          <w:ilvl w:val="0"/>
          <w:numId w:val="1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Physical disability</w:t>
      </w:r>
    </w:p>
    <w:p w14:paraId="59383A3C" w14:textId="77777777" w:rsidR="00F01BB5" w:rsidRPr="004D307F" w:rsidRDefault="00F01BB5" w:rsidP="00ED0863">
      <w:pPr>
        <w:numPr>
          <w:ilvl w:val="0"/>
          <w:numId w:val="1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w:t>
      </w:r>
    </w:p>
    <w:p w14:paraId="5D1EFB18" w14:textId="77777777" w:rsidR="00F01BB5" w:rsidRPr="004D307F" w:rsidRDefault="00F01BB5" w:rsidP="00ED0863">
      <w:pPr>
        <w:numPr>
          <w:ilvl w:val="0"/>
          <w:numId w:val="1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Hospital special</w:t>
      </w:r>
    </w:p>
    <w:p w14:paraId="0893A5C2" w14:textId="77777777" w:rsidR="00F01BB5" w:rsidRPr="004D307F" w:rsidRDefault="00F01BB5" w:rsidP="00ED0863">
      <w:pPr>
        <w:numPr>
          <w:ilvl w:val="0"/>
          <w:numId w:val="1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Deaf</w:t>
      </w:r>
    </w:p>
    <w:p w14:paraId="234AB562" w14:textId="77777777" w:rsidR="00F01BB5" w:rsidRPr="004D307F" w:rsidRDefault="00F01BB5" w:rsidP="00ED0863">
      <w:pPr>
        <w:numPr>
          <w:ilvl w:val="0"/>
          <w:numId w:val="1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Language</w:t>
      </w:r>
    </w:p>
    <w:p w14:paraId="041D2308" w14:textId="77777777" w:rsidR="00F01BB5" w:rsidRPr="004D307F" w:rsidRDefault="00F01BB5" w:rsidP="00ED0863">
      <w:pPr>
        <w:numPr>
          <w:ilvl w:val="0"/>
          <w:numId w:val="1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Youth training centre</w:t>
      </w:r>
    </w:p>
    <w:p w14:paraId="6CD5A6BF" w14:textId="77777777" w:rsidR="00F01BB5" w:rsidRPr="004D307F" w:rsidRDefault="00F01BB5" w:rsidP="00F01BB5">
      <w:pPr>
        <w:keepNext/>
        <w:keepLines/>
        <w:spacing w:before="40" w:after="0"/>
        <w:outlineLvl w:val="2"/>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calculated at the Indicative cycle only and allocated through cash funding.</w:t>
      </w:r>
    </w:p>
    <w:p w14:paraId="5B6ADA1B" w14:textId="77777777" w:rsidR="00F01BB5" w:rsidRPr="004D307F" w:rsidRDefault="00F01BB5" w:rsidP="00F01BB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2D3E2D3A"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Building Area square metres x Building Area Allowance Rate</w:t>
      </w:r>
    </w:p>
    <w:p w14:paraId="4559E7BB" w14:textId="77777777" w:rsidR="00F01BB5" w:rsidRPr="004D307F" w:rsidRDefault="00F01BB5" w:rsidP="00F01BB5">
      <w:pPr>
        <w:keepNext/>
        <w:keepLines/>
        <w:spacing w:before="40" w:after="0"/>
        <w:outlineLvl w:val="2"/>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Rates 2022 ($/m2 annually)</w:t>
      </w:r>
    </w:p>
    <w:p w14:paraId="251BCCB9" w14:textId="77777777" w:rsidR="00F01BB5" w:rsidRPr="004D307F" w:rsidRDefault="00F01BB5" w:rsidP="00ED0863">
      <w:pPr>
        <w:numPr>
          <w:ilvl w:val="0"/>
          <w:numId w:val="1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$3.02/m2</w:t>
      </w:r>
    </w:p>
    <w:p w14:paraId="6A20AAF1" w14:textId="4DE78564" w:rsidR="00F01BB5" w:rsidRPr="004D307F" w:rsidRDefault="00F01BB5" w:rsidP="00B129DC">
      <w:pPr>
        <w:pStyle w:val="NormalWeb"/>
        <w:spacing w:line="360" w:lineRule="atLeast"/>
        <w:rPr>
          <w:rFonts w:ascii="VIC-Regular" w:hAnsi="VIC-Regular"/>
          <w:color w:val="323E4F" w:themeColor="text2" w:themeShade="BF"/>
          <w:lang w:val="en"/>
        </w:rPr>
      </w:pPr>
      <w:r w:rsidRPr="004D307F">
        <w:rPr>
          <w:rFonts w:ascii="Calibri" w:hAnsi="Calibri" w:cs="Calibri"/>
          <w:color w:val="323E4F" w:themeColor="text2" w:themeShade="BF"/>
        </w:rPr>
        <w:t>Example: A Special Development campus with a total building area of 1,000 sqm x $3.02 = $3,002</w:t>
      </w:r>
      <w:bookmarkEnd w:id="55"/>
    </w:p>
    <w:p w14:paraId="07F10C26" w14:textId="3991C8F1" w:rsidR="0076693A" w:rsidRPr="004D307F" w:rsidRDefault="0076693A" w:rsidP="0076693A"/>
    <w:p w14:paraId="19221484" w14:textId="77777777" w:rsidR="007B0EF6" w:rsidRPr="004D307F" w:rsidRDefault="007B0EF6" w:rsidP="00B566E7">
      <w:pPr>
        <w:pStyle w:val="Heading2"/>
      </w:pPr>
      <w:r w:rsidRPr="004D307F">
        <w:br w:type="page"/>
      </w:r>
    </w:p>
    <w:p w14:paraId="456BC8B3" w14:textId="588FA10B" w:rsidR="0076693A" w:rsidRPr="004D307F" w:rsidRDefault="0076693A" w:rsidP="00B566E7">
      <w:pPr>
        <w:pStyle w:val="Heading2"/>
      </w:pPr>
      <w:bookmarkStart w:id="57" w:name="_Toc106793769"/>
      <w:r w:rsidRPr="004D307F">
        <w:lastRenderedPageBreak/>
        <w:t>Split-Site/Multi-Site Allowance (Reference 33)</w:t>
      </w:r>
      <w:bookmarkEnd w:id="57"/>
    </w:p>
    <w:p w14:paraId="52FF4C06" w14:textId="4D82476E"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Split-site/multi-site allowances are paid to designated primary, P-12 and secondary colleges which are not being funded for a separate enrolment linked base (</w:t>
      </w:r>
      <w:hyperlink r:id="rId83" w:history="1">
        <w:r w:rsidRPr="004D307F">
          <w:rPr>
            <w:rFonts w:ascii="VIC-Regular" w:eastAsia="Times New Roman" w:hAnsi="VIC-Regular" w:cs="Times New Roman"/>
            <w:color w:val="011A3C"/>
            <w:sz w:val="24"/>
            <w:szCs w:val="24"/>
            <w:lang w:val="en" w:eastAsia="en-AU"/>
          </w:rPr>
          <w:t>Reference 2</w:t>
        </w:r>
      </w:hyperlink>
      <w:r w:rsidRPr="004D307F">
        <w:rPr>
          <w:rFonts w:ascii="VIC-Regular" w:eastAsia="Times New Roman" w:hAnsi="VIC-Regular" w:cs="Times New Roman"/>
          <w:color w:val="011A3C"/>
          <w:sz w:val="24"/>
          <w:szCs w:val="24"/>
          <w:lang w:val="en" w:eastAsia="en-AU"/>
        </w:rPr>
        <w:t>).</w:t>
      </w:r>
      <w:r w:rsidR="007F1D90" w:rsidRPr="004D307F">
        <w:rPr>
          <w:rFonts w:ascii="VIC-Regular" w:eastAsia="Times New Roman" w:hAnsi="VIC-Regular" w:cs="Times New Roman"/>
          <w:color w:val="011A3C"/>
          <w:sz w:val="24"/>
          <w:szCs w:val="24"/>
          <w:lang w:val="en" w:eastAsia="en-AU"/>
        </w:rPr>
        <w:t xml:space="preserve"> Specialist and Language Schools are also eligible if applied criteria is satisfied. </w:t>
      </w:r>
    </w:p>
    <w:p w14:paraId="27146995"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school may be eligible for the allowance if:</w:t>
      </w:r>
    </w:p>
    <w:p w14:paraId="55234614" w14:textId="77777777" w:rsidR="0076693A" w:rsidRPr="004D307F" w:rsidRDefault="0076693A" w:rsidP="00ED0863">
      <w:pPr>
        <w:numPr>
          <w:ilvl w:val="0"/>
          <w:numId w:val="3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it is a specialist school operating on sites that are more than one kilometre apart (not including base rooms)</w:t>
      </w:r>
    </w:p>
    <w:p w14:paraId="45445C02"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or</w:t>
      </w:r>
    </w:p>
    <w:p w14:paraId="6A8AA465" w14:textId="5DBEB46F" w:rsidR="0076693A" w:rsidRPr="004D307F" w:rsidRDefault="0076693A" w:rsidP="00ED0863">
      <w:pPr>
        <w:numPr>
          <w:ilvl w:val="0"/>
          <w:numId w:val="4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configuration of the school represents a historical merging of two or more schools</w:t>
      </w:r>
    </w:p>
    <w:p w14:paraId="63D1B791"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or</w:t>
      </w:r>
    </w:p>
    <w:p w14:paraId="7F7C1FB2" w14:textId="77777777" w:rsidR="0076693A" w:rsidRPr="004D307F" w:rsidRDefault="0076693A" w:rsidP="00ED0863">
      <w:pPr>
        <w:numPr>
          <w:ilvl w:val="0"/>
          <w:numId w:val="4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it has classrooms operating on two or more sites e.g. separated by at least a road or an oval (not including alternative settings attached to schools).</w:t>
      </w:r>
    </w:p>
    <w:p w14:paraId="57D8F0B1"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Note:</w:t>
      </w:r>
    </w:p>
    <w:p w14:paraId="3896880C"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Includes P–12 colleges that have more than one primary school site.</w:t>
      </w:r>
    </w:p>
    <w:p w14:paraId="01EE14B9" w14:textId="5B4DDC3B"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(b) For approved secondary colleges formed through the merger of secondary colleges on adjacent sites, this item is replaced by a $</w:t>
      </w:r>
      <w:r w:rsidR="00691ECB" w:rsidRPr="004D307F">
        <w:rPr>
          <w:rFonts w:ascii="VIC-Regular" w:eastAsia="Times New Roman" w:hAnsi="VIC-Regular" w:cs="Times New Roman"/>
          <w:color w:val="011A3C"/>
          <w:sz w:val="24"/>
          <w:szCs w:val="24"/>
          <w:lang w:val="en" w:eastAsia="en-AU"/>
        </w:rPr>
        <w:t>60,154</w:t>
      </w:r>
      <w:r w:rsidRPr="004D307F">
        <w:rPr>
          <w:rFonts w:ascii="VIC-Regular" w:eastAsia="Times New Roman" w:hAnsi="VIC-Regular" w:cs="Times New Roman"/>
          <w:color w:val="011A3C"/>
          <w:sz w:val="24"/>
          <w:szCs w:val="24"/>
          <w:lang w:val="en" w:eastAsia="en-AU"/>
        </w:rPr>
        <w:t xml:space="preserve"> site allowance.</w:t>
      </w:r>
    </w:p>
    <w:p w14:paraId="259DA0F3" w14:textId="408A07FA" w:rsidR="0076693A" w:rsidRPr="004D307F" w:rsidRDefault="007F1D90"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58" w:name="_Hlk47010300"/>
      <w:r w:rsidRPr="004D307F">
        <w:rPr>
          <w:rFonts w:ascii="VIC-Regular" w:eastAsia="Times New Roman" w:hAnsi="VIC-Regular" w:cs="Times New Roman"/>
          <w:color w:val="011A3C"/>
          <w:sz w:val="24"/>
          <w:szCs w:val="24"/>
          <w:lang w:val="en" w:eastAsia="en-AU"/>
        </w:rPr>
        <w:t>Funding is calculated at the Indicative cycle and allocated through cash funding</w:t>
      </w:r>
      <w:bookmarkEnd w:id="58"/>
      <w:r w:rsidRPr="004D307F">
        <w:rPr>
          <w:rFonts w:ascii="VIC-Regular" w:eastAsia="Times New Roman" w:hAnsi="VIC-Regular" w:cs="Times New Roman"/>
          <w:color w:val="011A3C"/>
          <w:sz w:val="24"/>
          <w:szCs w:val="24"/>
          <w:lang w:val="en" w:eastAsia="en-AU"/>
        </w:rPr>
        <w:t>.</w:t>
      </w:r>
    </w:p>
    <w:p w14:paraId="2B345669" w14:textId="5506A956" w:rsidR="0076693A" w:rsidRPr="004D307F"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w:t>
      </w:r>
      <w:r w:rsidR="00691ECB" w:rsidRPr="004D307F">
        <w:rPr>
          <w:rFonts w:ascii="VIC-Bold" w:eastAsia="Times New Roman" w:hAnsi="VIC-Bold" w:cs="Times New Roman"/>
          <w:b/>
          <w:bCs/>
          <w:color w:val="011A3C"/>
          <w:sz w:val="27"/>
          <w:szCs w:val="27"/>
          <w:lang w:val="en" w:eastAsia="en-AU"/>
        </w:rPr>
        <w:t>2</w:t>
      </w:r>
    </w:p>
    <w:p w14:paraId="11E3B33E" w14:textId="77777777" w:rsidR="0076693A" w:rsidRPr="004D307F"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b/>
          <w:bCs/>
          <w:color w:val="011A3C"/>
          <w:sz w:val="24"/>
          <w:szCs w:val="24"/>
          <w:lang w:val="en" w:eastAsia="en-AU"/>
        </w:rPr>
        <w:t>Primary school</w:t>
      </w:r>
      <w:r w:rsidRPr="004D307F">
        <w:rPr>
          <w:rFonts w:ascii="VIC-Bold" w:eastAsia="Times New Roman" w:hAnsi="VIC-Bold" w:cs="Times New Roman"/>
          <w:color w:val="011A3C"/>
          <w:sz w:val="24"/>
          <w:szCs w:val="24"/>
          <w:lang w:val="en" w:eastAsia="en-AU"/>
        </w:rPr>
        <w:t xml:space="preserve"> (includes P–12 colleges that have more than one primary site)</w:t>
      </w:r>
    </w:p>
    <w:p w14:paraId="676014BB" w14:textId="7B9B2347" w:rsidR="0076693A" w:rsidRPr="004D307F" w:rsidRDefault="00B614CB" w:rsidP="00ED0863">
      <w:pPr>
        <w:numPr>
          <w:ilvl w:val="0"/>
          <w:numId w:val="4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w:t>
      </w:r>
      <w:r w:rsidR="00550811" w:rsidRPr="004D307F">
        <w:rPr>
          <w:rFonts w:ascii="VIC-Regular" w:eastAsia="Times New Roman" w:hAnsi="VIC-Regular" w:cs="Times New Roman"/>
          <w:color w:val="011A3C"/>
          <w:sz w:val="24"/>
          <w:szCs w:val="24"/>
          <w:lang w:val="en" w:eastAsia="en-AU"/>
        </w:rPr>
        <w:t>6,</w:t>
      </w:r>
      <w:r w:rsidR="00691ECB" w:rsidRPr="004D307F">
        <w:rPr>
          <w:rFonts w:ascii="VIC-Regular" w:eastAsia="Times New Roman" w:hAnsi="VIC-Regular" w:cs="Times New Roman"/>
          <w:color w:val="011A3C"/>
          <w:sz w:val="24"/>
          <w:szCs w:val="24"/>
          <w:lang w:val="en" w:eastAsia="en-AU"/>
        </w:rPr>
        <w:t>664</w:t>
      </w:r>
      <w:r w:rsidR="008F4825" w:rsidRPr="004D307F">
        <w:rPr>
          <w:rFonts w:ascii="VIC-Regular" w:eastAsia="Times New Roman" w:hAnsi="VIC-Regular" w:cs="Times New Roman"/>
          <w:color w:val="011A3C"/>
          <w:sz w:val="24"/>
          <w:szCs w:val="24"/>
          <w:lang w:val="en" w:eastAsia="en-AU"/>
        </w:rPr>
        <w:t xml:space="preserve"> </w:t>
      </w:r>
      <w:r w:rsidR="0076693A" w:rsidRPr="004D307F">
        <w:rPr>
          <w:rFonts w:ascii="VIC-Regular" w:eastAsia="Times New Roman" w:hAnsi="VIC-Regular" w:cs="Times New Roman"/>
          <w:color w:val="011A3C"/>
          <w:sz w:val="24"/>
          <w:szCs w:val="24"/>
          <w:lang w:val="en" w:eastAsia="en-AU"/>
        </w:rPr>
        <w:t>per annum for the second site</w:t>
      </w:r>
    </w:p>
    <w:p w14:paraId="6C084783" w14:textId="09A54F3C" w:rsidR="0076693A" w:rsidRPr="004D307F" w:rsidRDefault="00B614CB" w:rsidP="00ED0863">
      <w:pPr>
        <w:numPr>
          <w:ilvl w:val="0"/>
          <w:numId w:val="4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w:t>
      </w:r>
      <w:r w:rsidR="00550811" w:rsidRPr="004D307F">
        <w:rPr>
          <w:rFonts w:ascii="VIC-Regular" w:eastAsia="Times New Roman" w:hAnsi="VIC-Regular" w:cs="Times New Roman"/>
          <w:color w:val="011A3C"/>
          <w:sz w:val="24"/>
          <w:szCs w:val="24"/>
          <w:lang w:val="en" w:eastAsia="en-AU"/>
        </w:rPr>
        <w:t>3,</w:t>
      </w:r>
      <w:r w:rsidR="00691ECB" w:rsidRPr="004D307F">
        <w:rPr>
          <w:rFonts w:ascii="VIC-Regular" w:eastAsia="Times New Roman" w:hAnsi="VIC-Regular" w:cs="Times New Roman"/>
          <w:color w:val="011A3C"/>
          <w:sz w:val="24"/>
          <w:szCs w:val="24"/>
          <w:lang w:val="en" w:eastAsia="en-AU"/>
        </w:rPr>
        <w:t>333</w:t>
      </w:r>
      <w:r w:rsidR="008F4825" w:rsidRPr="004D307F">
        <w:rPr>
          <w:rFonts w:ascii="VIC-Regular" w:eastAsia="Times New Roman" w:hAnsi="VIC-Regular" w:cs="Times New Roman"/>
          <w:color w:val="011A3C"/>
          <w:sz w:val="24"/>
          <w:szCs w:val="24"/>
          <w:lang w:val="en" w:eastAsia="en-AU"/>
        </w:rPr>
        <w:t xml:space="preserve"> </w:t>
      </w:r>
      <w:r w:rsidR="0076693A" w:rsidRPr="004D307F">
        <w:rPr>
          <w:rFonts w:ascii="VIC-Regular" w:eastAsia="Times New Roman" w:hAnsi="VIC-Regular" w:cs="Times New Roman"/>
          <w:color w:val="011A3C"/>
          <w:sz w:val="24"/>
          <w:szCs w:val="24"/>
          <w:lang w:val="en" w:eastAsia="en-AU"/>
        </w:rPr>
        <w:t>per annum for each subsequent site</w:t>
      </w:r>
    </w:p>
    <w:p w14:paraId="14AC56EB" w14:textId="77777777" w:rsidR="0076693A" w:rsidRPr="004D307F"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b/>
          <w:bCs/>
          <w:color w:val="011A3C"/>
          <w:sz w:val="24"/>
          <w:szCs w:val="24"/>
          <w:lang w:val="en" w:eastAsia="en-AU"/>
        </w:rPr>
        <w:t>P–12 school</w:t>
      </w:r>
    </w:p>
    <w:p w14:paraId="66F816D5" w14:textId="25DD6EC4" w:rsidR="00B846F8" w:rsidRPr="004D307F" w:rsidRDefault="00B614CB" w:rsidP="00ED0863">
      <w:pPr>
        <w:numPr>
          <w:ilvl w:val="0"/>
          <w:numId w:val="4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$10,</w:t>
      </w:r>
      <w:r w:rsidR="00691ECB" w:rsidRPr="004D307F">
        <w:rPr>
          <w:rFonts w:ascii="VIC-Regular" w:eastAsia="Times New Roman" w:hAnsi="VIC-Regular" w:cs="Times New Roman"/>
          <w:color w:val="011A3C"/>
          <w:sz w:val="24"/>
          <w:szCs w:val="24"/>
          <w:lang w:val="en" w:eastAsia="en-AU"/>
        </w:rPr>
        <w:t>515</w:t>
      </w:r>
      <w:r w:rsidR="008F4825" w:rsidRPr="004D307F">
        <w:rPr>
          <w:rFonts w:ascii="VIC-Regular" w:eastAsia="Times New Roman" w:hAnsi="VIC-Regular" w:cs="Times New Roman"/>
          <w:color w:val="011A3C"/>
          <w:sz w:val="24"/>
          <w:szCs w:val="24"/>
          <w:lang w:val="en" w:eastAsia="en-AU"/>
        </w:rPr>
        <w:t xml:space="preserve"> </w:t>
      </w:r>
      <w:r w:rsidR="0076693A" w:rsidRPr="004D307F">
        <w:rPr>
          <w:rFonts w:ascii="VIC-Regular" w:eastAsia="Times New Roman" w:hAnsi="VIC-Regular" w:cs="Times New Roman"/>
          <w:color w:val="011A3C"/>
          <w:sz w:val="24"/>
          <w:szCs w:val="24"/>
          <w:lang w:val="en" w:eastAsia="en-AU"/>
        </w:rPr>
        <w:t>per annum for each additional site</w:t>
      </w:r>
    </w:p>
    <w:p w14:paraId="37AEEF0F" w14:textId="079E8244" w:rsidR="0076693A" w:rsidRPr="004D307F"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b/>
          <w:bCs/>
          <w:color w:val="011A3C"/>
          <w:sz w:val="24"/>
          <w:szCs w:val="24"/>
          <w:lang w:val="en" w:eastAsia="en-AU"/>
        </w:rPr>
        <w:t>Secondary college</w:t>
      </w:r>
    </w:p>
    <w:p w14:paraId="4D15E23F" w14:textId="3AEF10FF" w:rsidR="0076693A" w:rsidRPr="004D307F" w:rsidRDefault="00B614CB" w:rsidP="00ED0863">
      <w:pPr>
        <w:numPr>
          <w:ilvl w:val="0"/>
          <w:numId w:val="4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$10,</w:t>
      </w:r>
      <w:r w:rsidR="00691ECB" w:rsidRPr="004D307F">
        <w:rPr>
          <w:rFonts w:ascii="VIC-Regular" w:eastAsia="Times New Roman" w:hAnsi="VIC-Regular" w:cs="Times New Roman"/>
          <w:color w:val="011A3C"/>
          <w:sz w:val="24"/>
          <w:szCs w:val="24"/>
          <w:lang w:val="en" w:eastAsia="en-AU"/>
        </w:rPr>
        <w:t>515</w:t>
      </w:r>
      <w:r w:rsidR="008F4825" w:rsidRPr="004D307F">
        <w:rPr>
          <w:rFonts w:ascii="VIC-Regular" w:eastAsia="Times New Roman" w:hAnsi="VIC-Regular" w:cs="Times New Roman"/>
          <w:color w:val="011A3C"/>
          <w:sz w:val="24"/>
          <w:szCs w:val="24"/>
          <w:lang w:val="en" w:eastAsia="en-AU"/>
        </w:rPr>
        <w:t xml:space="preserve"> </w:t>
      </w:r>
      <w:r w:rsidR="0076693A" w:rsidRPr="004D307F">
        <w:rPr>
          <w:rFonts w:ascii="VIC-Regular" w:eastAsia="Times New Roman" w:hAnsi="VIC-Regular" w:cs="Times New Roman"/>
          <w:color w:val="011A3C"/>
          <w:sz w:val="24"/>
          <w:szCs w:val="24"/>
          <w:lang w:val="en" w:eastAsia="en-AU"/>
        </w:rPr>
        <w:t>per annum for each additional site</w:t>
      </w:r>
    </w:p>
    <w:p w14:paraId="061F0547" w14:textId="77777777" w:rsidR="007F1D90" w:rsidRPr="004D307F" w:rsidRDefault="007F1D90" w:rsidP="007F1D9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b/>
          <w:bCs/>
          <w:color w:val="011A3C"/>
          <w:sz w:val="24"/>
          <w:szCs w:val="24"/>
          <w:lang w:val="en" w:eastAsia="en-AU"/>
        </w:rPr>
        <w:t>Language school</w:t>
      </w:r>
    </w:p>
    <w:p w14:paraId="1A7B4551" w14:textId="006BDE88" w:rsidR="007F1D90" w:rsidRPr="004D307F" w:rsidRDefault="00B614CB" w:rsidP="00ED0863">
      <w:pPr>
        <w:numPr>
          <w:ilvl w:val="0"/>
          <w:numId w:val="4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$10,</w:t>
      </w:r>
      <w:r w:rsidR="00691ECB" w:rsidRPr="004D307F">
        <w:rPr>
          <w:rFonts w:ascii="VIC-Regular" w:eastAsia="Times New Roman" w:hAnsi="VIC-Regular" w:cs="Times New Roman"/>
          <w:color w:val="011A3C"/>
          <w:sz w:val="24"/>
          <w:szCs w:val="24"/>
          <w:lang w:val="en" w:eastAsia="en-AU"/>
        </w:rPr>
        <w:t>515</w:t>
      </w:r>
      <w:r w:rsidR="008F4825" w:rsidRPr="004D307F">
        <w:rPr>
          <w:rFonts w:ascii="VIC-Regular" w:eastAsia="Times New Roman" w:hAnsi="VIC-Regular" w:cs="Times New Roman"/>
          <w:color w:val="011A3C"/>
          <w:sz w:val="24"/>
          <w:szCs w:val="24"/>
          <w:lang w:val="en" w:eastAsia="en-AU"/>
        </w:rPr>
        <w:t xml:space="preserve"> </w:t>
      </w:r>
      <w:r w:rsidR="007F1D90" w:rsidRPr="004D307F">
        <w:rPr>
          <w:rFonts w:ascii="VIC-Regular" w:eastAsia="Times New Roman" w:hAnsi="VIC-Regular" w:cs="Times New Roman"/>
          <w:color w:val="011A3C"/>
          <w:sz w:val="24"/>
          <w:szCs w:val="24"/>
          <w:lang w:val="en" w:eastAsia="en-AU"/>
        </w:rPr>
        <w:t>per annum for each additional site</w:t>
      </w:r>
    </w:p>
    <w:p w14:paraId="7740ADDF" w14:textId="48E1D37D" w:rsidR="0076693A" w:rsidRPr="004D307F" w:rsidRDefault="0076693A" w:rsidP="0076693A">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Special School</w:t>
      </w:r>
    </w:p>
    <w:p w14:paraId="52F30820" w14:textId="4544BD5B" w:rsidR="0076693A" w:rsidRPr="004D307F" w:rsidRDefault="00B614CB" w:rsidP="00ED0863">
      <w:pPr>
        <w:numPr>
          <w:ilvl w:val="0"/>
          <w:numId w:val="4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$2,9</w:t>
      </w:r>
      <w:r w:rsidR="00691ECB" w:rsidRPr="004D307F">
        <w:rPr>
          <w:rFonts w:ascii="VIC-Regular" w:eastAsia="Times New Roman" w:hAnsi="VIC-Regular" w:cs="Times New Roman"/>
          <w:color w:val="011A3C"/>
          <w:sz w:val="24"/>
          <w:szCs w:val="24"/>
          <w:lang w:val="en" w:eastAsia="en-AU"/>
        </w:rPr>
        <w:t>54</w:t>
      </w:r>
      <w:r w:rsidR="008F4825" w:rsidRPr="004D307F">
        <w:rPr>
          <w:rFonts w:ascii="VIC-Regular" w:eastAsia="Times New Roman" w:hAnsi="VIC-Regular" w:cs="Times New Roman"/>
          <w:color w:val="011A3C"/>
          <w:sz w:val="24"/>
          <w:szCs w:val="24"/>
          <w:lang w:val="en" w:eastAsia="en-AU"/>
        </w:rPr>
        <w:t xml:space="preserve"> </w:t>
      </w:r>
      <w:r w:rsidR="0076693A" w:rsidRPr="004D307F">
        <w:rPr>
          <w:rFonts w:ascii="VIC-Regular" w:eastAsia="Times New Roman" w:hAnsi="VIC-Regular" w:cs="Times New Roman"/>
          <w:color w:val="011A3C"/>
          <w:sz w:val="24"/>
          <w:szCs w:val="24"/>
          <w:lang w:val="en" w:eastAsia="en-AU"/>
        </w:rPr>
        <w:t>per annum for each additional site</w:t>
      </w:r>
    </w:p>
    <w:p w14:paraId="508B86A5" w14:textId="347DB1A7" w:rsidR="0076693A" w:rsidRPr="004D307F" w:rsidRDefault="00B614CB" w:rsidP="0076693A">
      <w:r w:rsidRPr="004D307F">
        <w:rPr>
          <w:color w:val="323E4F" w:themeColor="text2" w:themeShade="BF"/>
        </w:rPr>
        <w:t xml:space="preserve">Note – A stocktake of schools is scheduled to occur during 2021 and schools currently receiving this allocation will be assessed and sites no longer operational will have funding discontinued from 2022.  </w:t>
      </w:r>
      <w:r w:rsidR="0076693A" w:rsidRPr="004D307F">
        <w:br w:type="page"/>
      </w:r>
    </w:p>
    <w:p w14:paraId="13B94BAD" w14:textId="59D475A3" w:rsidR="0076693A" w:rsidRPr="004D307F" w:rsidRDefault="0076693A" w:rsidP="00B566E7">
      <w:pPr>
        <w:pStyle w:val="Heading2"/>
      </w:pPr>
      <w:bookmarkStart w:id="59" w:name="_Toc106793770"/>
      <w:r w:rsidRPr="004D307F">
        <w:lastRenderedPageBreak/>
        <w:t>Utilities (Reference 34)</w:t>
      </w:r>
      <w:bookmarkEnd w:id="59"/>
    </w:p>
    <w:p w14:paraId="4698D642"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Utilities funding is provided as a cash allocation as part of a school’s Student Resource Package (SRP) under the School Infrastructure items. Funding is distributed through the quarterly cash grant.</w:t>
      </w:r>
    </w:p>
    <w:p w14:paraId="70607478"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Utilities funding is provided for the following items.</w:t>
      </w:r>
    </w:p>
    <w:p w14:paraId="3F611F46" w14:textId="77777777" w:rsidR="0076693A" w:rsidRPr="004D307F" w:rsidRDefault="0076693A" w:rsidP="00ED0863">
      <w:pPr>
        <w:numPr>
          <w:ilvl w:val="0"/>
          <w:numId w:val="4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Electricity</w:t>
      </w:r>
    </w:p>
    <w:p w14:paraId="0BF987B1" w14:textId="77777777" w:rsidR="0076693A" w:rsidRPr="004D307F" w:rsidRDefault="0076693A" w:rsidP="00ED0863">
      <w:pPr>
        <w:numPr>
          <w:ilvl w:val="0"/>
          <w:numId w:val="4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Natural and LPG Gas</w:t>
      </w:r>
    </w:p>
    <w:p w14:paraId="7ED73ACF" w14:textId="77777777" w:rsidR="0076693A" w:rsidRPr="004D307F" w:rsidRDefault="0076693A" w:rsidP="00ED0863">
      <w:pPr>
        <w:numPr>
          <w:ilvl w:val="0"/>
          <w:numId w:val="4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Water/rates</w:t>
      </w:r>
    </w:p>
    <w:p w14:paraId="21F8092B" w14:textId="77777777" w:rsidR="0076693A" w:rsidRPr="004D307F" w:rsidRDefault="0076693A" w:rsidP="00ED0863">
      <w:pPr>
        <w:numPr>
          <w:ilvl w:val="0"/>
          <w:numId w:val="4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Refuse and Garbage</w:t>
      </w:r>
    </w:p>
    <w:p w14:paraId="438474BD"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Telephones and sanitation costs are not included under the utilities budget.</w:t>
      </w:r>
    </w:p>
    <w:p w14:paraId="4B7F4064"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utilities budget is based on historical spending plus indexation. It is not formula driven and therefore is not automatically adjusted to reflect changes in a school’s profile.</w:t>
      </w:r>
    </w:p>
    <w:p w14:paraId="6BD60BF9"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that have undergone building configuration changes or had major works that have materially impacted on utility costs may be eligible for an ongoing utilities budget adjustment to help support those additional costs.</w:t>
      </w:r>
    </w:p>
    <w:p w14:paraId="0D9652E2" w14:textId="77777777" w:rsidR="0076693A" w:rsidRPr="004D307F"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Energy Supplement</w:t>
      </w:r>
    </w:p>
    <w:p w14:paraId="31981140" w14:textId="56E3E8D8" w:rsidR="00397125" w:rsidRPr="004D307F" w:rsidRDefault="00397125" w:rsidP="0039712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 202</w:t>
      </w:r>
      <w:r w:rsidR="004650F7" w:rsidRPr="004D307F">
        <w:rPr>
          <w:rFonts w:ascii="VIC-Regular" w:eastAsia="Times New Roman" w:hAnsi="VIC-Regular" w:cs="Times New Roman"/>
          <w:color w:val="011A3C"/>
          <w:sz w:val="24"/>
          <w:szCs w:val="24"/>
          <w:lang w:val="en" w:eastAsia="en-AU"/>
        </w:rPr>
        <w:t>0 and 2021</w:t>
      </w:r>
      <w:r w:rsidRPr="004D307F">
        <w:rPr>
          <w:rFonts w:ascii="VIC-Regular" w:eastAsia="Times New Roman" w:hAnsi="VIC-Regular" w:cs="Times New Roman"/>
          <w:color w:val="011A3C"/>
          <w:sz w:val="24"/>
          <w:szCs w:val="24"/>
          <w:lang w:val="en" w:eastAsia="en-AU"/>
        </w:rPr>
        <w:t>, $</w:t>
      </w:r>
      <w:r w:rsidR="004650F7" w:rsidRPr="004D307F">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xml:space="preserve">5m </w:t>
      </w:r>
      <w:r w:rsidR="004650F7" w:rsidRPr="004D307F">
        <w:rPr>
          <w:rFonts w:ascii="VIC-Regular" w:eastAsia="Times New Roman" w:hAnsi="VIC-Regular" w:cs="Times New Roman"/>
          <w:color w:val="011A3C"/>
          <w:sz w:val="24"/>
          <w:szCs w:val="24"/>
          <w:lang w:val="en" w:eastAsia="en-AU"/>
        </w:rPr>
        <w:t xml:space="preserve">in total </w:t>
      </w:r>
      <w:r w:rsidRPr="004D307F">
        <w:rPr>
          <w:rFonts w:ascii="VIC-Regular" w:eastAsia="Times New Roman" w:hAnsi="VIC-Regular" w:cs="Times New Roman"/>
          <w:color w:val="011A3C"/>
          <w:sz w:val="24"/>
          <w:szCs w:val="24"/>
          <w:lang w:val="en" w:eastAsia="en-AU"/>
        </w:rPr>
        <w:t>w</w:t>
      </w:r>
      <w:r w:rsidR="004650F7" w:rsidRPr="004D307F">
        <w:rPr>
          <w:rFonts w:ascii="VIC-Regular" w:eastAsia="Times New Roman" w:hAnsi="VIC-Regular" w:cs="Times New Roman"/>
          <w:color w:val="011A3C"/>
          <w:sz w:val="24"/>
          <w:szCs w:val="24"/>
          <w:lang w:val="en" w:eastAsia="en-AU"/>
        </w:rPr>
        <w:t>as</w:t>
      </w:r>
      <w:r w:rsidRPr="004D307F">
        <w:rPr>
          <w:rFonts w:ascii="VIC-Regular" w:eastAsia="Times New Roman" w:hAnsi="VIC-Regular" w:cs="Times New Roman"/>
          <w:color w:val="011A3C"/>
          <w:sz w:val="24"/>
          <w:szCs w:val="24"/>
          <w:lang w:val="en" w:eastAsia="en-AU"/>
        </w:rPr>
        <w:t xml:space="preserve"> distributed to schools experiencing a significant utilities funding shortfall </w:t>
      </w:r>
      <w:r w:rsidR="004650F7" w:rsidRPr="004D307F">
        <w:rPr>
          <w:rFonts w:ascii="VIC-Regular" w:eastAsia="Times New Roman" w:hAnsi="VIC-Regular" w:cs="Times New Roman"/>
          <w:color w:val="011A3C"/>
          <w:sz w:val="24"/>
          <w:szCs w:val="24"/>
          <w:lang w:val="en" w:eastAsia="en-AU"/>
        </w:rPr>
        <w:t>because of rising energy costs. This supplementary funding was once</w:t>
      </w:r>
      <w:r w:rsidR="00B241D3" w:rsidRPr="004D307F">
        <w:rPr>
          <w:rFonts w:ascii="VIC-Regular" w:eastAsia="Times New Roman" w:hAnsi="VIC-Regular" w:cs="Times New Roman"/>
          <w:color w:val="011A3C"/>
          <w:sz w:val="24"/>
          <w:szCs w:val="24"/>
          <w:lang w:val="en" w:eastAsia="en-AU"/>
        </w:rPr>
        <w:t>-</w:t>
      </w:r>
      <w:r w:rsidR="004650F7" w:rsidRPr="004D307F">
        <w:rPr>
          <w:rFonts w:ascii="VIC-Regular" w:eastAsia="Times New Roman" w:hAnsi="VIC-Regular" w:cs="Times New Roman"/>
          <w:color w:val="011A3C"/>
          <w:sz w:val="24"/>
          <w:szCs w:val="24"/>
          <w:lang w:val="en" w:eastAsia="en-AU"/>
        </w:rPr>
        <w:t>off and school</w:t>
      </w:r>
      <w:r w:rsidR="00B241D3" w:rsidRPr="004D307F">
        <w:rPr>
          <w:rFonts w:ascii="VIC-Regular" w:eastAsia="Times New Roman" w:hAnsi="VIC-Regular" w:cs="Times New Roman"/>
          <w:color w:val="011A3C"/>
          <w:sz w:val="24"/>
          <w:szCs w:val="24"/>
          <w:lang w:val="en" w:eastAsia="en-AU"/>
        </w:rPr>
        <w:t>'</w:t>
      </w:r>
      <w:r w:rsidR="004650F7" w:rsidRPr="004D307F">
        <w:rPr>
          <w:rFonts w:ascii="VIC-Regular" w:eastAsia="Times New Roman" w:hAnsi="VIC-Regular" w:cs="Times New Roman"/>
          <w:color w:val="011A3C"/>
          <w:sz w:val="24"/>
          <w:szCs w:val="24"/>
          <w:lang w:val="en" w:eastAsia="en-AU"/>
        </w:rPr>
        <w:t>s 2022 utilities budgets will revert to 2019 funding levels with the addition of yearly indexation.</w:t>
      </w:r>
      <w:r w:rsidRPr="004D307F">
        <w:rPr>
          <w:rFonts w:ascii="VIC-Regular" w:eastAsia="Times New Roman" w:hAnsi="VIC-Regular" w:cs="Times New Roman"/>
          <w:color w:val="011A3C"/>
          <w:sz w:val="24"/>
          <w:szCs w:val="24"/>
          <w:lang w:val="en" w:eastAsia="en-AU"/>
        </w:rPr>
        <w:t xml:space="preserve"> </w:t>
      </w:r>
    </w:p>
    <w:p w14:paraId="775523F1" w14:textId="4E0A2188" w:rsidR="0076693A" w:rsidRPr="004D307F"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Whole of Victorian Government Energy Contracts</w:t>
      </w:r>
    </w:p>
    <w:p w14:paraId="28370218" w14:textId="34A2C71E" w:rsidR="00B846F8" w:rsidRPr="004D307F" w:rsidRDefault="0076693A"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Department is currently a participant in Whole of Victorian Government contracts that cover the supply of electricity and natural gas to all school sites (meters).</w:t>
      </w:r>
    </w:p>
    <w:p w14:paraId="6C4FEC47" w14:textId="754D0EA0" w:rsidR="0076693A" w:rsidRPr="004D307F"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Electricity</w:t>
      </w:r>
    </w:p>
    <w:p w14:paraId="51284924"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 xml:space="preserve">1. Red Energy </w:t>
      </w:r>
      <w:r w:rsidRPr="004D307F">
        <w:rPr>
          <w:rFonts w:ascii="VIC-Regular" w:eastAsia="Times New Roman" w:hAnsi="VIC-Regular" w:cs="Times New Roman"/>
          <w:color w:val="011A3C"/>
          <w:sz w:val="24"/>
          <w:szCs w:val="24"/>
          <w:lang w:val="en" w:eastAsia="en-AU"/>
        </w:rPr>
        <w:t>is our retailer for schools (meters) that consume &gt;40 MWh pa.</w:t>
      </w:r>
    </w:p>
    <w:p w14:paraId="118AD2E8" w14:textId="77777777" w:rsidR="0076693A" w:rsidRPr="004D307F"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color w:val="011A3C"/>
          <w:sz w:val="24"/>
          <w:szCs w:val="24"/>
          <w:lang w:val="en" w:eastAsia="en-AU"/>
        </w:rPr>
        <w:t>Contacts for billing enquiries</w:t>
      </w:r>
    </w:p>
    <w:p w14:paraId="15C9C62E" w14:textId="739E63EA" w:rsidR="0076693A" w:rsidRPr="004D307F" w:rsidRDefault="004650F7"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Akhil Arora</w:t>
      </w:r>
      <w:r w:rsidR="0076693A" w:rsidRPr="004D307F">
        <w:rPr>
          <w:rFonts w:ascii="VIC-Regular" w:eastAsia="Times New Roman" w:hAnsi="VIC-Regular" w:cs="Times New Roman"/>
          <w:color w:val="011A3C"/>
          <w:sz w:val="24"/>
          <w:szCs w:val="24"/>
          <w:lang w:val="en" w:eastAsia="en-AU"/>
        </w:rPr>
        <w:t xml:space="preserve">/Taimur Khan — email: </w:t>
      </w:r>
      <w:hyperlink r:id="rId84" w:history="1">
        <w:r w:rsidR="0076693A" w:rsidRPr="004D307F">
          <w:rPr>
            <w:rFonts w:ascii="VIC-Regular" w:eastAsia="Times New Roman" w:hAnsi="VIC-Regular" w:cs="Times New Roman"/>
            <w:color w:val="011A3C"/>
            <w:sz w:val="24"/>
            <w:szCs w:val="24"/>
            <w:lang w:val="en" w:eastAsia="en-AU"/>
          </w:rPr>
          <w:t>business@redenergy.com.au</w:t>
        </w:r>
      </w:hyperlink>
      <w:r w:rsidR="0076693A" w:rsidRPr="004D307F">
        <w:rPr>
          <w:rFonts w:ascii="VIC-Regular" w:eastAsia="Times New Roman" w:hAnsi="VIC-Regular" w:cs="Times New Roman"/>
          <w:color w:val="011A3C"/>
          <w:sz w:val="24"/>
          <w:szCs w:val="24"/>
          <w:lang w:val="en" w:eastAsia="en-AU"/>
        </w:rPr>
        <w:t xml:space="preserve">  ph: </w:t>
      </w:r>
      <w:hyperlink r:id="rId85" w:history="1">
        <w:r w:rsidR="0076693A" w:rsidRPr="004D307F">
          <w:rPr>
            <w:rFonts w:ascii="VIC-Regular" w:eastAsia="Times New Roman" w:hAnsi="VIC-Regular" w:cs="Times New Roman"/>
            <w:color w:val="011A3C"/>
            <w:sz w:val="24"/>
            <w:szCs w:val="24"/>
            <w:lang w:val="en" w:eastAsia="en-AU"/>
          </w:rPr>
          <w:t>1300 322 067</w:t>
        </w:r>
      </w:hyperlink>
    </w:p>
    <w:p w14:paraId="78C49984"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lastRenderedPageBreak/>
        <w:t>2. AGL</w:t>
      </w:r>
      <w:r w:rsidRPr="004D307F">
        <w:rPr>
          <w:rFonts w:ascii="VIC-Regular" w:eastAsia="Times New Roman" w:hAnsi="VIC-Regular" w:cs="Times New Roman"/>
          <w:color w:val="011A3C"/>
          <w:sz w:val="24"/>
          <w:szCs w:val="24"/>
          <w:lang w:val="en" w:eastAsia="en-AU"/>
        </w:rPr>
        <w:t xml:space="preserve"> is our retailer for schools (meters) that consume &lt;40 MWh pa</w:t>
      </w:r>
    </w:p>
    <w:p w14:paraId="29424FBF" w14:textId="77777777" w:rsidR="0076693A" w:rsidRPr="004D307F"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color w:val="011A3C"/>
          <w:sz w:val="24"/>
          <w:szCs w:val="24"/>
          <w:lang w:val="en" w:eastAsia="en-AU"/>
        </w:rPr>
        <w:t>Contacts for billing enquiries</w:t>
      </w:r>
    </w:p>
    <w:p w14:paraId="6FFA105A" w14:textId="010AF19E"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Email: </w:t>
      </w:r>
      <w:hyperlink r:id="rId86" w:history="1">
        <w:r w:rsidRPr="004D307F">
          <w:rPr>
            <w:rFonts w:ascii="VIC-Regular" w:eastAsia="Times New Roman" w:hAnsi="VIC-Regular" w:cs="Times New Roman"/>
            <w:color w:val="011A3C"/>
            <w:sz w:val="24"/>
            <w:szCs w:val="24"/>
            <w:lang w:val="en" w:eastAsia="en-AU"/>
          </w:rPr>
          <w:t>vicgov@agl.com.au</w:t>
        </w:r>
      </w:hyperlink>
      <w:r w:rsidRPr="004D307F">
        <w:rPr>
          <w:rFonts w:ascii="VIC-Regular" w:eastAsia="Times New Roman" w:hAnsi="VIC-Regular" w:cs="Times New Roman"/>
          <w:color w:val="011A3C"/>
          <w:sz w:val="24"/>
          <w:szCs w:val="24"/>
          <w:lang w:val="en" w:eastAsia="en-AU"/>
        </w:rPr>
        <w:t xml:space="preserve"> ph: </w:t>
      </w:r>
      <w:hyperlink r:id="rId87" w:history="1">
        <w:r w:rsidRPr="004D307F">
          <w:rPr>
            <w:rFonts w:ascii="VIC-Regular" w:eastAsia="Times New Roman" w:hAnsi="VIC-Regular" w:cs="Times New Roman"/>
            <w:color w:val="011A3C"/>
            <w:sz w:val="24"/>
            <w:szCs w:val="24"/>
            <w:lang w:val="en" w:eastAsia="en-AU"/>
          </w:rPr>
          <w:t>1300 793 477</w:t>
        </w:r>
      </w:hyperlink>
    </w:p>
    <w:p w14:paraId="67522ED9" w14:textId="77777777" w:rsidR="0076693A" w:rsidRPr="004D307F"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Natural Gas</w:t>
      </w:r>
      <w:r w:rsidRPr="004D307F">
        <w:rPr>
          <w:rFonts w:ascii="VIC-Bold" w:eastAsia="Times New Roman" w:hAnsi="VIC-Bold" w:cs="Times New Roman" w:hint="eastAsia"/>
          <w:b/>
          <w:bCs/>
          <w:color w:val="011A3C"/>
          <w:sz w:val="27"/>
          <w:szCs w:val="27"/>
          <w:lang w:val="en" w:eastAsia="en-AU"/>
        </w:rPr>
        <w:t>  </w:t>
      </w:r>
    </w:p>
    <w:p w14:paraId="56DC393C" w14:textId="5A2E4B2A"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Origin Energy is the provider of Natural Gas under a Whole of Government contract arrangement.</w:t>
      </w:r>
    </w:p>
    <w:p w14:paraId="598C9D0B" w14:textId="3954DA98"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contract commence</w:t>
      </w:r>
      <w:r w:rsidR="00397125" w:rsidRPr="004D307F">
        <w:rPr>
          <w:rFonts w:ascii="VIC-Regular" w:eastAsia="Times New Roman" w:hAnsi="VIC-Regular" w:cs="Times New Roman"/>
          <w:color w:val="011A3C"/>
          <w:sz w:val="24"/>
          <w:szCs w:val="24"/>
          <w:lang w:val="en" w:eastAsia="en-AU"/>
        </w:rPr>
        <w:t>d</w:t>
      </w:r>
      <w:r w:rsidRPr="004D307F">
        <w:rPr>
          <w:rFonts w:ascii="VIC-Regular" w:eastAsia="Times New Roman" w:hAnsi="VIC-Regular" w:cs="Times New Roman"/>
          <w:color w:val="011A3C"/>
          <w:sz w:val="24"/>
          <w:szCs w:val="24"/>
          <w:lang w:val="en" w:eastAsia="en-AU"/>
        </w:rPr>
        <w:t xml:space="preserve"> on 1 January 2020 and runs initially for two years.</w:t>
      </w:r>
    </w:p>
    <w:p w14:paraId="02719E92" w14:textId="77777777" w:rsidR="0076693A" w:rsidRPr="004D307F"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color w:val="011A3C"/>
          <w:sz w:val="24"/>
          <w:szCs w:val="24"/>
          <w:lang w:val="en" w:eastAsia="en-AU"/>
        </w:rPr>
        <w:t>Contacts for transfer, billing and new connection enquiries</w:t>
      </w:r>
    </w:p>
    <w:p w14:paraId="5BDCE5E8"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Email: </w:t>
      </w:r>
      <w:hyperlink r:id="rId88" w:history="1">
        <w:r w:rsidRPr="004D307F">
          <w:rPr>
            <w:rFonts w:ascii="VIC-Regular" w:eastAsia="Times New Roman" w:hAnsi="VIC-Regular" w:cs="Times New Roman"/>
            <w:color w:val="011A3C"/>
            <w:sz w:val="24"/>
            <w:szCs w:val="24"/>
            <w:lang w:val="en" w:eastAsia="en-AU"/>
          </w:rPr>
          <w:t>vicgovernment@originenergy.com.au</w:t>
        </w:r>
      </w:hyperlink>
    </w:p>
    <w:p w14:paraId="48E4BA67" w14:textId="63BD962C" w:rsidR="007F1D90"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Phone: </w:t>
      </w:r>
      <w:hyperlink r:id="rId89" w:history="1">
        <w:r w:rsidRPr="004D307F">
          <w:rPr>
            <w:rFonts w:ascii="VIC-Regular" w:eastAsia="Times New Roman" w:hAnsi="VIC-Regular" w:cs="Times New Roman"/>
            <w:color w:val="011A3C"/>
            <w:sz w:val="24"/>
            <w:szCs w:val="24"/>
            <w:lang w:val="en" w:eastAsia="en-AU"/>
          </w:rPr>
          <w:t>1800 319 299</w:t>
        </w:r>
      </w:hyperlink>
    </w:p>
    <w:p w14:paraId="060FC52B" w14:textId="77720884" w:rsidR="007F1D90" w:rsidRPr="004D307F" w:rsidRDefault="007F1D90" w:rsidP="007F1D90">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further tariff and contract information, see: </w:t>
      </w:r>
      <w:hyperlink r:id="rId90" w:history="1">
        <w:r w:rsidRPr="004D307F">
          <w:rPr>
            <w:rStyle w:val="Hyperlink"/>
            <w:rFonts w:ascii="Times New Roman" w:hAnsi="Times New Roman"/>
          </w:rPr>
          <w:t>Student Resource Package</w:t>
        </w:r>
      </w:hyperlink>
      <w:r w:rsidRPr="004D307F">
        <w:rPr>
          <w:rFonts w:ascii="VIC-Regular" w:eastAsia="Times New Roman" w:hAnsi="VIC-Regular" w:cs="Times New Roman"/>
          <w:color w:val="011A3C"/>
          <w:sz w:val="24"/>
          <w:szCs w:val="24"/>
          <w:lang w:val="en" w:eastAsia="en-AU"/>
        </w:rPr>
        <w:t> (school user log in required).</w:t>
      </w:r>
    </w:p>
    <w:p w14:paraId="687990B6" w14:textId="104C191D"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Any school not supplied under the relevant Whole of Victorian Government contract must contact Mr Brett Duff on email: </w:t>
      </w:r>
      <w:hyperlink r:id="rId91" w:history="1"/>
      <w:hyperlink r:id="rId92" w:history="1">
        <w:r w:rsidRPr="004D307F">
          <w:rPr>
            <w:rStyle w:val="Hyperlink"/>
            <w:rFonts w:ascii="Times New Roman" w:eastAsia="Times New Roman" w:hAnsi="Times New Roman" w:cs="Times New Roman"/>
            <w:sz w:val="24"/>
            <w:szCs w:val="24"/>
            <w:lang w:eastAsia="en-AU"/>
          </w:rPr>
          <w:t xml:space="preserve"> Brett.Duff@education</w:t>
        </w:r>
        <w:r w:rsidRPr="004D307F">
          <w:rPr>
            <w:rStyle w:val="Hyperlink"/>
            <w:rFonts w:ascii="VIC-Regular" w:eastAsia="Times New Roman" w:hAnsi="VIC-Regular" w:cs="Times New Roman"/>
            <w:sz w:val="24"/>
            <w:szCs w:val="24"/>
            <w:lang w:val="en" w:eastAsia="en-AU"/>
          </w:rPr>
          <w:t>.vic.gov.au</w:t>
        </w:r>
      </w:hyperlink>
      <w:r w:rsidRPr="004D307F">
        <w:rPr>
          <w:rFonts w:ascii="VIC-Regular" w:eastAsia="Times New Roman" w:hAnsi="VIC-Regular" w:cs="Times New Roman"/>
          <w:color w:val="011A3C"/>
          <w:sz w:val="24"/>
          <w:szCs w:val="24"/>
          <w:lang w:val="en" w:eastAsia="en-AU"/>
        </w:rPr>
        <w:t>, to arrange transition to the appropriate Whole of Victorian Government retailer. All other queries can be directed to the retailer.</w:t>
      </w:r>
    </w:p>
    <w:p w14:paraId="0A8AAB7A" w14:textId="399C7188" w:rsidR="00B846F8" w:rsidRPr="004D307F" w:rsidRDefault="0076693A"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 lieu of schools joining a Whole of Government contract, schools must not sign or negotiate individual or group contracts for the supply of electricity and natural gas irrespective of usage levels as per the Executive Memo 2005/19 Update on the Supply of Electricity and Natural Gas.</w:t>
      </w:r>
    </w:p>
    <w:p w14:paraId="294B2030" w14:textId="615810D5" w:rsidR="0076693A" w:rsidRPr="004D307F" w:rsidRDefault="0076693A" w:rsidP="000D106B">
      <w:pPr>
        <w:keepNext/>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Water</w:t>
      </w:r>
    </w:p>
    <w:p w14:paraId="421E9AF1"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All schools are supplied water by their designated water authority. No government contract is in place for water.</w:t>
      </w:r>
    </w:p>
    <w:p w14:paraId="2B2AF0A9"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To assist schools with managing water costs, we encourage you to join the Schools Water Efficiency Program (SWEP). SWEP is a state government initiative jointly developed and funded by the Department of Environment, Land, Water and Planning (DELWP) and the Department of Education and Training (DET).</w:t>
      </w:r>
    </w:p>
    <w:p w14:paraId="295F4675"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 xml:space="preserve">SWEP provides you with a program to monitor your schools’ water usage to save water, money and educate students about water efficiency concepts. You can register online for SWEP or learn more by visiting </w:t>
      </w:r>
      <w:hyperlink r:id="rId93" w:history="1">
        <w:r w:rsidRPr="004D307F">
          <w:rPr>
            <w:rFonts w:ascii="VIC-Regular" w:eastAsia="Times New Roman" w:hAnsi="VIC-Regular" w:cs="Times New Roman"/>
            <w:color w:val="011A3C"/>
            <w:sz w:val="24"/>
            <w:szCs w:val="24"/>
            <w:lang w:val="en" w:eastAsia="en-AU"/>
          </w:rPr>
          <w:t>www.myswep.com.au</w:t>
        </w:r>
      </w:hyperlink>
      <w:r w:rsidRPr="004D307F">
        <w:rPr>
          <w:rFonts w:ascii="VIC-Regular" w:eastAsia="Times New Roman" w:hAnsi="VIC-Regular" w:cs="Times New Roman"/>
          <w:color w:val="011A3C"/>
          <w:sz w:val="24"/>
          <w:szCs w:val="24"/>
          <w:lang w:val="en" w:eastAsia="en-AU"/>
        </w:rPr>
        <w:t>.</w:t>
      </w:r>
    </w:p>
    <w:p w14:paraId="471EBFC9"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Separately, schools in Victoria are eligible for a rebate on their fixed charges for water and sewer (self supply schools are ineligible). This initiative developed by the State Revenue Office provides a rebate of up to a maximum of $260 yearly. The application form that needs to be submitted to your local water authority can be accessed via the following link: </w:t>
      </w:r>
      <w:hyperlink r:id="rId94" w:history="1">
        <w:r w:rsidRPr="004D307F">
          <w:rPr>
            <w:rFonts w:ascii="VIC-Regular" w:eastAsia="Times New Roman" w:hAnsi="VIC-Regular" w:cs="Times New Roman"/>
            <w:color w:val="011A3C"/>
            <w:sz w:val="24"/>
            <w:szCs w:val="24"/>
            <w:lang w:val="en" w:eastAsia="en-AU"/>
          </w:rPr>
          <w:t xml:space="preserve"> https://www.sro.vic.gov.au/forms/apply-water-and-sewerage-rebate</w:t>
        </w:r>
      </w:hyperlink>
      <w:r w:rsidRPr="004D307F">
        <w:rPr>
          <w:rFonts w:ascii="VIC-Regular" w:eastAsia="Times New Roman" w:hAnsi="VIC-Regular" w:cs="Times New Roman"/>
          <w:color w:val="011A3C"/>
          <w:sz w:val="24"/>
          <w:szCs w:val="24"/>
          <w:lang w:val="en" w:eastAsia="en-AU"/>
        </w:rPr>
        <w:t xml:space="preserve"> or by contacting the State Revenue Office on </w:t>
      </w:r>
      <w:hyperlink r:id="rId95" w:history="1">
        <w:r w:rsidRPr="004D307F">
          <w:rPr>
            <w:rFonts w:ascii="VIC-Regular" w:eastAsia="Times New Roman" w:hAnsi="VIC-Regular" w:cs="Times New Roman"/>
            <w:color w:val="011A3C"/>
            <w:sz w:val="24"/>
            <w:szCs w:val="24"/>
            <w:lang w:val="en" w:eastAsia="en-AU"/>
          </w:rPr>
          <w:t>9628 0301</w:t>
        </w:r>
      </w:hyperlink>
      <w:r w:rsidRPr="004D307F">
        <w:rPr>
          <w:rFonts w:ascii="VIC-Regular" w:eastAsia="Times New Roman" w:hAnsi="VIC-Regular" w:cs="Times New Roman"/>
          <w:color w:val="011A3C"/>
          <w:sz w:val="24"/>
          <w:szCs w:val="24"/>
          <w:lang w:val="en" w:eastAsia="en-AU"/>
        </w:rPr>
        <w:t>.</w:t>
      </w:r>
    </w:p>
    <w:p w14:paraId="01B04E3A" w14:textId="77777777" w:rsidR="0076693A" w:rsidRPr="004D307F"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New schools, refurbishment or major building works</w:t>
      </w:r>
    </w:p>
    <w:p w14:paraId="4C32D082" w14:textId="7B3712BD" w:rsidR="0076693A" w:rsidRPr="004D307F" w:rsidRDefault="0076693A"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Projects of this nature will involve new connections, or upgrades in infrastructure used to supply electricity or natural gas. Where this is the case, schools should make early contact with the appropriate Whole of Victorian Government electricity or natural gas supplier in order to understand both the nature and cost of this aspect of the project.</w:t>
      </w:r>
      <w:r w:rsidRPr="004D307F">
        <w:rPr>
          <w:rFonts w:ascii="VIC-Regular" w:eastAsia="Times New Roman" w:hAnsi="VIC-Regular" w:cs="Times New Roman"/>
          <w:color w:val="011A3C"/>
          <w:sz w:val="24"/>
          <w:szCs w:val="24"/>
          <w:lang w:val="en" w:eastAsia="en-AU"/>
        </w:rPr>
        <w:t> </w:t>
      </w:r>
    </w:p>
    <w:p w14:paraId="5475F8FF" w14:textId="77777777" w:rsidR="0076693A" w:rsidRPr="004D307F" w:rsidRDefault="0076693A" w:rsidP="0076693A">
      <w:r w:rsidRPr="004D307F">
        <w:br w:type="page"/>
      </w:r>
    </w:p>
    <w:p w14:paraId="70BB5F29" w14:textId="77777777" w:rsidR="00F01BB5" w:rsidRPr="004D307F" w:rsidRDefault="00F01BB5" w:rsidP="00B566E7">
      <w:pPr>
        <w:pStyle w:val="Heading2"/>
      </w:pPr>
      <w:bookmarkStart w:id="60" w:name="_Toc106793771"/>
      <w:bookmarkStart w:id="61" w:name="_Hlk50214434"/>
      <w:r w:rsidRPr="004D307F">
        <w:lastRenderedPageBreak/>
        <w:t>Maintenance (Reference 35)</w:t>
      </w:r>
      <w:bookmarkEnd w:id="60"/>
    </w:p>
    <w:p w14:paraId="5F3EA446"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formula for Maintenance and Minor Works funding distributes:</w:t>
      </w:r>
    </w:p>
    <w:p w14:paraId="0130FF5B" w14:textId="77777777" w:rsidR="00F01BB5" w:rsidRPr="004D307F" w:rsidRDefault="00F01BB5" w:rsidP="00ED0863">
      <w:pPr>
        <w:pStyle w:val="ListParagraph"/>
        <w:numPr>
          <w:ilvl w:val="0"/>
          <w:numId w:val="13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50% of the available funds based on areas required for the school’s enrolments (a school’s ‘facility area’ as per the 2018 Facility Area Schedules)</w:t>
      </w:r>
    </w:p>
    <w:p w14:paraId="4FC0E514" w14:textId="77777777" w:rsidR="00F01BB5" w:rsidRPr="004D307F" w:rsidRDefault="00F01BB5" w:rsidP="00ED0863">
      <w:pPr>
        <w:pStyle w:val="ListParagraph"/>
        <w:numPr>
          <w:ilvl w:val="0"/>
          <w:numId w:val="13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25% based on the type of materials used in the construction of the school buildings</w:t>
      </w:r>
    </w:p>
    <w:p w14:paraId="362111C0" w14:textId="77777777" w:rsidR="00F01BB5" w:rsidRPr="004D307F" w:rsidRDefault="00F01BB5" w:rsidP="00ED0863">
      <w:pPr>
        <w:numPr>
          <w:ilvl w:val="0"/>
          <w:numId w:val="4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25% based on the relative age of those buildings</w:t>
      </w:r>
    </w:p>
    <w:p w14:paraId="2DB2BDC1"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Appropriate factors are also applied to cater for the higher costs associated with building works in remote areas.</w:t>
      </w:r>
    </w:p>
    <w:p w14:paraId="3D266822"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formula calculates the facility area for each school, in accordance with the 2018 Facility Schedules that set out the number, type, and area of learning spaces required based on enrolment.</w:t>
      </w:r>
    </w:p>
    <w:p w14:paraId="0575C416"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formula multiplies the actual area of each building by factors for both its building construction material and building age.</w:t>
      </w:r>
    </w:p>
    <w:p w14:paraId="11F02A68"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Student Resource Package (SRP) Maintenance and Minor Works grant is paid on a quarterly basis as part of the SRP</w:t>
      </w:r>
      <w:r w:rsidRPr="004D307F">
        <w:rPr>
          <w:rFonts w:ascii="Calibri" w:eastAsia="Times New Roman" w:hAnsi="Calibri" w:cs="Calibri"/>
          <w:color w:val="011A3C"/>
          <w:sz w:val="24"/>
          <w:szCs w:val="24"/>
          <w:lang w:val="en" w:eastAsia="en-AU"/>
        </w:rPr>
        <w:t> </w:t>
      </w:r>
      <w:r w:rsidRPr="004D307F">
        <w:rPr>
          <w:rFonts w:ascii="VIC-Regular" w:eastAsia="Times New Roman" w:hAnsi="VIC-Regular" w:cs="Times New Roman"/>
          <w:color w:val="011A3C"/>
          <w:sz w:val="24"/>
          <w:szCs w:val="24"/>
          <w:lang w:val="en" w:eastAsia="en-AU"/>
        </w:rPr>
        <w:t>budget cash grant.</w:t>
      </w:r>
    </w:p>
    <w:p w14:paraId="459783EA"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Changes to a schools Maintenance and Minor Works funding allocation between calendar years and /or between indicative and confirmed allocation may</w:t>
      </w:r>
      <w:r w:rsidRPr="004D307F">
        <w:rPr>
          <w:rFonts w:ascii="Calibri" w:eastAsia="Times New Roman" w:hAnsi="Calibri" w:cs="Calibri"/>
          <w:color w:val="011A3C"/>
          <w:sz w:val="24"/>
          <w:szCs w:val="24"/>
          <w:lang w:val="en" w:eastAsia="en-AU"/>
        </w:rPr>
        <w:t> </w:t>
      </w:r>
      <w:r w:rsidRPr="004D307F">
        <w:rPr>
          <w:rFonts w:ascii="VIC-Regular" w:eastAsia="Times New Roman" w:hAnsi="VIC-Regular" w:cs="Times New Roman"/>
          <w:color w:val="011A3C"/>
          <w:sz w:val="24"/>
          <w:szCs w:val="24"/>
          <w:lang w:val="en" w:eastAsia="en-AU"/>
        </w:rPr>
        <w:t>have occurred</w:t>
      </w:r>
      <w:r w:rsidRPr="004D307F">
        <w:rPr>
          <w:rFonts w:ascii="Calibri" w:eastAsia="Times New Roman" w:hAnsi="Calibri" w:cs="Calibri"/>
          <w:color w:val="011A3C"/>
          <w:sz w:val="24"/>
          <w:szCs w:val="24"/>
          <w:lang w:val="en" w:eastAsia="en-AU"/>
        </w:rPr>
        <w:t> </w:t>
      </w:r>
      <w:r w:rsidRPr="004D307F">
        <w:rPr>
          <w:rFonts w:ascii="VIC-Regular" w:eastAsia="Times New Roman" w:hAnsi="VIC-Regular" w:cs="Times New Roman"/>
          <w:color w:val="011A3C"/>
          <w:sz w:val="24"/>
          <w:szCs w:val="24"/>
          <w:lang w:val="en" w:eastAsia="en-AU"/>
        </w:rPr>
        <w:t>due to:</w:t>
      </w:r>
    </w:p>
    <w:p w14:paraId="60AC8152" w14:textId="77777777" w:rsidR="00F01BB5" w:rsidRPr="004D307F" w:rsidRDefault="00F01BB5" w:rsidP="00ED0863">
      <w:pPr>
        <w:numPr>
          <w:ilvl w:val="0"/>
          <w:numId w:val="4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changes to building data</w:t>
      </w:r>
    </w:p>
    <w:p w14:paraId="54EA1468" w14:textId="77777777" w:rsidR="00F01BB5" w:rsidRPr="004D307F" w:rsidRDefault="00F01BB5" w:rsidP="00ED0863">
      <w:pPr>
        <w:numPr>
          <w:ilvl w:val="0"/>
          <w:numId w:val="4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changes to enrolment</w:t>
      </w:r>
    </w:p>
    <w:p w14:paraId="331DD005" w14:textId="77777777" w:rsidR="00F01BB5" w:rsidRPr="004D307F" w:rsidRDefault="00F01BB5" w:rsidP="00ED0863">
      <w:pPr>
        <w:numPr>
          <w:ilvl w:val="0"/>
          <w:numId w:val="4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changes in relocatable buildings</w:t>
      </w:r>
    </w:p>
    <w:p w14:paraId="19C21B6C" w14:textId="77777777" w:rsidR="00F01BB5" w:rsidRPr="004D307F" w:rsidRDefault="00F01BB5" w:rsidP="00ED0863">
      <w:pPr>
        <w:numPr>
          <w:ilvl w:val="0"/>
          <w:numId w:val="4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changes in the state-wide maintenance budget</w:t>
      </w:r>
      <w:r w:rsidRPr="004D307F">
        <w:rPr>
          <w:rFonts w:ascii="Calibri" w:eastAsia="Times New Roman" w:hAnsi="Calibri" w:cs="Calibri"/>
          <w:color w:val="011A3C"/>
          <w:sz w:val="24"/>
          <w:szCs w:val="24"/>
          <w:lang w:val="en" w:eastAsia="en-AU"/>
        </w:rPr>
        <w:t> </w:t>
      </w:r>
    </w:p>
    <w:p w14:paraId="46A2BC46" w14:textId="77777777" w:rsidR="00F01BB5" w:rsidRPr="004D307F" w:rsidRDefault="00F01BB5" w:rsidP="00F01BB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Funding allocation</w:t>
      </w:r>
    </w:p>
    <w:p w14:paraId="6C1DB28D"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All schools are encouraged to undertake proactive maintenance planning, using all available information, including routine maintenance guides and the results of condition assessments. It is vital that schools use their SRP Maintenance and Minor Works allocation for the active and ongoing maintenance of facilities and to prevent potential health and safety issues.</w:t>
      </w:r>
    </w:p>
    <w:p w14:paraId="4A57C55B" w14:textId="2E8B76D9"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that have already taken part in the Rolling Facilities Evaluation should be using the School Maintenance Plan portal to plan or AIMS, if your school has been migrated to AIMS, </w:t>
      </w:r>
      <w:r w:rsidRPr="004D307F">
        <w:rPr>
          <w:rFonts w:ascii="VIC-Regular" w:eastAsia="Times New Roman" w:hAnsi="VIC-Regular" w:cs="Times New Roman"/>
          <w:color w:val="011A3C"/>
          <w:sz w:val="24"/>
          <w:szCs w:val="24"/>
          <w:lang w:val="en" w:eastAsia="en-AU"/>
        </w:rPr>
        <w:lastRenderedPageBreak/>
        <w:t xml:space="preserve">and schedule maintenance tasks. For further information, refer to </w:t>
      </w:r>
      <w:hyperlink r:id="rId96" w:history="1">
        <w:r w:rsidRPr="004D307F">
          <w:rPr>
            <w:rFonts w:ascii="VIC-Regular" w:eastAsia="Times New Roman" w:hAnsi="VIC-Regular" w:cs="Times New Roman"/>
            <w:color w:val="011A3C"/>
            <w:sz w:val="24"/>
            <w:szCs w:val="24"/>
            <w:lang w:val="en" w:eastAsia="en-AU"/>
          </w:rPr>
          <w:t>School Maintenance Plans</w:t>
        </w:r>
      </w:hyperlink>
      <w:r w:rsidRPr="004D307F">
        <w:rPr>
          <w:rFonts w:ascii="VIC-Regular" w:eastAsia="Times New Roman" w:hAnsi="VIC-Regular" w:cs="Times New Roman"/>
          <w:color w:val="011A3C"/>
          <w:sz w:val="24"/>
          <w:szCs w:val="24"/>
          <w:lang w:val="en" w:eastAsia="en-AU"/>
        </w:rPr>
        <w:t xml:space="preserve"> or contact </w:t>
      </w:r>
      <w:hyperlink r:id="rId97" w:history="1">
        <w:r w:rsidRPr="004D307F">
          <w:rPr>
            <w:rStyle w:val="Hyperlink"/>
            <w:rFonts w:ascii="VIC-Regular" w:eastAsia="Times New Roman" w:hAnsi="VIC-Regular" w:cs="Times New Roman"/>
            <w:sz w:val="24"/>
            <w:szCs w:val="24"/>
            <w:lang w:val="en" w:eastAsia="en-AU"/>
          </w:rPr>
          <w:t>vsba.asset.management@education.vic.gov.au</w:t>
        </w:r>
      </w:hyperlink>
    </w:p>
    <w:p w14:paraId="243B10E6" w14:textId="77777777" w:rsidR="00F01BB5" w:rsidRPr="004D307F" w:rsidRDefault="00F01BB5" w:rsidP="00F01BB5">
      <w:pPr>
        <w:rPr>
          <w:rFonts w:ascii="Arial Narrow" w:hAnsi="Arial Narrow"/>
          <w:color w:val="FF0000"/>
        </w:rPr>
      </w:pPr>
      <w:r w:rsidRPr="004D307F">
        <w:rPr>
          <w:rFonts w:ascii="Cambria Math" w:eastAsia="Times New Roman" w:hAnsi="Cambria Math" w:cs="Cambria Math"/>
          <w:color w:val="011A3C"/>
          <w:sz w:val="24"/>
          <w:szCs w:val="24"/>
          <w:lang w:val="en" w:eastAsia="en-AU"/>
        </w:rPr>
        <w:t>​</w:t>
      </w:r>
    </w:p>
    <w:p w14:paraId="0903FD0F" w14:textId="77777777" w:rsidR="00F01BB5" w:rsidRPr="004D307F" w:rsidRDefault="00F01BB5" w:rsidP="00F01BB5">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Expenditure should be allocated in CASES21 to the following:</w:t>
      </w:r>
    </w:p>
    <w:p w14:paraId="790FD015" w14:textId="77777777" w:rsidR="00F01BB5" w:rsidRPr="004D307F" w:rsidRDefault="00F01BB5" w:rsidP="00ED0863">
      <w:pPr>
        <w:pStyle w:val="ListParagraph"/>
        <w:numPr>
          <w:ilvl w:val="0"/>
          <w:numId w:val="148"/>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Sub Program Code: 6201 – Maintenance and Minor Works</w:t>
      </w:r>
    </w:p>
    <w:p w14:paraId="6EAEB933" w14:textId="77777777" w:rsidR="00F01BB5" w:rsidRPr="004D307F" w:rsidRDefault="00F01BB5" w:rsidP="00ED0863">
      <w:pPr>
        <w:pStyle w:val="ListParagraph"/>
        <w:numPr>
          <w:ilvl w:val="0"/>
          <w:numId w:val="148"/>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General Ledger Account Code: 86504 – Building Works</w:t>
      </w:r>
    </w:p>
    <w:p w14:paraId="4003D83B"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SRP funding for Maintenance is calculated at the Indicative and Confirmed cycle and may be updated at the Revised cycle, funding is allocated through cash funding.</w:t>
      </w:r>
    </w:p>
    <w:p w14:paraId="6E8B2F44" w14:textId="77777777" w:rsidR="00F01BB5" w:rsidRPr="004D307F" w:rsidRDefault="00F01BB5" w:rsidP="00F01BB5">
      <w:pPr>
        <w:spacing w:before="100" w:beforeAutospacing="1" w:after="100" w:afterAutospacing="1" w:line="360" w:lineRule="atLeast"/>
        <w:rPr>
          <w:rFonts w:ascii="Calibri" w:eastAsia="Times New Roman" w:hAnsi="Calibri" w:cs="Calibri"/>
          <w:color w:val="323E4F" w:themeColor="text2" w:themeShade="BF"/>
          <w:sz w:val="24"/>
          <w:szCs w:val="24"/>
          <w:lang w:eastAsia="en-AU"/>
        </w:rPr>
      </w:pPr>
    </w:p>
    <w:p w14:paraId="6CA129C1" w14:textId="77777777" w:rsidR="00F01BB5" w:rsidRPr="004D307F" w:rsidRDefault="00F01BB5" w:rsidP="00F01BB5">
      <w:pPr>
        <w:spacing w:before="100" w:beforeAutospacing="1" w:after="100" w:afterAutospacing="1" w:line="360" w:lineRule="atLeast"/>
        <w:rPr>
          <w:rFonts w:ascii="Calibri" w:eastAsia="Times New Roman" w:hAnsi="Calibri" w:cs="Calibri"/>
          <w:color w:val="323E4F" w:themeColor="text2" w:themeShade="BF"/>
          <w:sz w:val="24"/>
          <w:szCs w:val="24"/>
          <w:lang w:eastAsia="en-AU"/>
        </w:rPr>
      </w:pPr>
    </w:p>
    <w:p w14:paraId="261DE07B" w14:textId="2E3C0477" w:rsidR="0076693A" w:rsidRPr="004D307F" w:rsidRDefault="0076693A" w:rsidP="0076693A"/>
    <w:p w14:paraId="583BB42C" w14:textId="77777777" w:rsidR="007B0EF6" w:rsidRPr="004D307F" w:rsidRDefault="007B0EF6">
      <w:pPr>
        <w:rPr>
          <w:rFonts w:asciiTheme="majorHAnsi" w:eastAsia="Calibri" w:hAnsiTheme="majorHAnsi" w:cstheme="majorBidi"/>
          <w:b/>
          <w:color w:val="2F5496" w:themeColor="accent1" w:themeShade="BF"/>
          <w:sz w:val="36"/>
          <w:szCs w:val="26"/>
          <w:lang w:val="en" w:eastAsia="en-AU"/>
        </w:rPr>
      </w:pPr>
      <w:bookmarkStart w:id="62" w:name="_Hlk97907990"/>
      <w:r w:rsidRPr="004D307F">
        <w:br w:type="page"/>
      </w:r>
    </w:p>
    <w:p w14:paraId="1867B7A3" w14:textId="143534EA" w:rsidR="00F01BB5" w:rsidRPr="004D307F" w:rsidRDefault="00F01BB5" w:rsidP="00B566E7">
      <w:pPr>
        <w:pStyle w:val="Heading2"/>
      </w:pPr>
      <w:bookmarkStart w:id="63" w:name="_Toc106793772"/>
      <w:r w:rsidRPr="004D307F">
        <w:lastRenderedPageBreak/>
        <w:t>Annual Contracts and Essential Safety Measures (ACES) (Reference 36)</w:t>
      </w:r>
      <w:bookmarkEnd w:id="63"/>
    </w:p>
    <w:p w14:paraId="5DFC959F"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4D307F">
        <w:rPr>
          <w:rFonts w:ascii="VIC-Regular" w:eastAsia="Times New Roman" w:hAnsi="VIC-Regular" w:cs="Times New Roman"/>
          <w:b/>
          <w:bCs/>
          <w:color w:val="011A3C"/>
          <w:sz w:val="24"/>
          <w:szCs w:val="24"/>
          <w:lang w:val="en" w:eastAsia="en-AU"/>
        </w:rPr>
        <w:t xml:space="preserve">Annual Contracts </w:t>
      </w:r>
    </w:p>
    <w:p w14:paraId="3E04E874"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w:t>
      </w:r>
      <w:r w:rsidRPr="004D307F">
        <w:rPr>
          <w:rFonts w:ascii="Calibri" w:eastAsia="Times New Roman" w:hAnsi="Calibri" w:cs="Calibri"/>
          <w:color w:val="011A3C"/>
          <w:sz w:val="24"/>
          <w:szCs w:val="24"/>
          <w:lang w:val="en" w:eastAsia="en-AU"/>
        </w:rPr>
        <w:t> </w:t>
      </w:r>
      <w:r w:rsidRPr="004D307F">
        <w:rPr>
          <w:rFonts w:ascii="VIC-Regular" w:eastAsia="Times New Roman" w:hAnsi="VIC-Regular" w:cs="Times New Roman"/>
          <w:color w:val="011A3C"/>
          <w:sz w:val="24"/>
          <w:szCs w:val="24"/>
          <w:lang w:val="en" w:eastAsia="en-AU"/>
        </w:rPr>
        <w:t xml:space="preserve">Annual Contracts allocation provides for the routine servicing, inspection, and testing of various items both essential and mandatory. These tasks are: </w:t>
      </w:r>
    </w:p>
    <w:p w14:paraId="5D566F00"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Hygiene requirements (sanitary bins, nappy bins, sharps containers)</w:t>
      </w:r>
    </w:p>
    <w:p w14:paraId="57ED2A11"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Onsite Wastewater Management Systems (OWMS)</w:t>
      </w:r>
    </w:p>
    <w:p w14:paraId="4073AA90"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Private Drinking Water (PDW) </w:t>
      </w:r>
    </w:p>
    <w:p w14:paraId="30632EBB"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Lifts (if required)</w:t>
      </w:r>
    </w:p>
    <w:p w14:paraId="68047C4B"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Termite inspections</w:t>
      </w:r>
    </w:p>
    <w:p w14:paraId="0F214A93" w14:textId="5CA35651"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Heaters (</w:t>
      </w:r>
      <w:r w:rsidR="006C3C0D">
        <w:rPr>
          <w:rFonts w:ascii="VIC-Regular" w:eastAsia="Times New Roman" w:hAnsi="VIC-Regular" w:cs="Times New Roman"/>
          <w:color w:val="011A3C"/>
          <w:sz w:val="24"/>
          <w:szCs w:val="24"/>
          <w:lang w:val="en" w:eastAsia="en-AU"/>
        </w:rPr>
        <w:t>for example,</w:t>
      </w:r>
      <w:r w:rsidRPr="004D307F">
        <w:rPr>
          <w:rFonts w:ascii="VIC-Regular" w:eastAsia="Times New Roman" w:hAnsi="VIC-Regular" w:cs="Times New Roman"/>
          <w:color w:val="011A3C"/>
          <w:sz w:val="24"/>
          <w:szCs w:val="24"/>
          <w:lang w:val="en" w:eastAsia="en-AU"/>
        </w:rPr>
        <w:t xml:space="preserve"> Type A and B Gas Appliances )</w:t>
      </w:r>
    </w:p>
    <w:p w14:paraId="0B36B083"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Air conditioning  </w:t>
      </w:r>
    </w:p>
    <w:p w14:paraId="4C1E5387" w14:textId="013347A2"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Vertical school systems (i.e. centralised Heating, Ventilation, and Air Conditioning systems)</w:t>
      </w:r>
      <w:r w:rsidR="006C3C0D">
        <w:rPr>
          <w:rFonts w:ascii="VIC-Regular" w:eastAsia="Times New Roman" w:hAnsi="VIC-Regular" w:cs="Times New Roman"/>
          <w:color w:val="011A3C"/>
          <w:sz w:val="24"/>
          <w:szCs w:val="24"/>
          <w:lang w:val="en" w:eastAsia="en-AU"/>
        </w:rPr>
        <w:t>.</w:t>
      </w:r>
    </w:p>
    <w:p w14:paraId="427735E3"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Costs associated with repairs for any of the equipment serviced under this component are funded within the maintenance portion of the Student Resource Package (SRP).</w:t>
      </w:r>
    </w:p>
    <w:p w14:paraId="725B291E"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allocation for SRP Annual Contracts includes funding for the servicing of existing annual contracts items mentioned above at eligible schools. This does not include funding for new annual contacts items (for example, funding is to service air conditioning units and not to purchase new air conditioning units).</w:t>
      </w:r>
    </w:p>
    <w:p w14:paraId="2E455411" w14:textId="77777777" w:rsidR="00F01BB5" w:rsidRPr="004D307F" w:rsidRDefault="00901FCB" w:rsidP="00F01BB5">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hyperlink r:id="rId98" w:history="1">
        <w:r w:rsidR="00F01BB5" w:rsidRPr="004D307F">
          <w:rPr>
            <w:rFonts w:ascii="VIC-Regular" w:eastAsia="Times New Roman" w:hAnsi="VIC-Regular" w:cs="Times New Roman"/>
            <w:b/>
            <w:bCs/>
            <w:color w:val="011A3C"/>
            <w:sz w:val="24"/>
            <w:szCs w:val="24"/>
            <w:lang w:val="en" w:eastAsia="en-AU"/>
          </w:rPr>
          <w:t>Essential Safety Measures</w:t>
        </w:r>
      </w:hyperlink>
      <w:r w:rsidR="00F01BB5" w:rsidRPr="004D307F">
        <w:rPr>
          <w:rFonts w:ascii="VIC-Regular" w:eastAsia="Times New Roman" w:hAnsi="VIC-Regular" w:cs="Times New Roman"/>
          <w:b/>
          <w:bCs/>
          <w:color w:val="011A3C"/>
          <w:sz w:val="24"/>
          <w:szCs w:val="24"/>
          <w:lang w:val="en" w:eastAsia="en-AU"/>
        </w:rPr>
        <w:t xml:space="preserve"> (ESM) </w:t>
      </w:r>
    </w:p>
    <w:p w14:paraId="34B6E6DE"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Essential safety measures (ESM) are central to ensuring a safe and healthy environment in Victorian schools, and their maintenance is vital for the life, safety, and health of occupants over the lifetime of school buildings. When correctly maintained, ESM support students, staff and visitors to evacuate safely in the event of a fire.</w:t>
      </w:r>
    </w:p>
    <w:p w14:paraId="67C3B28E"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 line with the Department’s Essential Safety Measures Framework, schools are required to ensure ESM compliance which includes the inspection, testing, rectification maintenance (if required) and recordkeeping of measures.</w:t>
      </w:r>
      <w:r w:rsidRPr="004D307F">
        <w:rPr>
          <w:rFonts w:ascii="Calibri" w:eastAsia="Times New Roman" w:hAnsi="Calibri" w:cs="Calibri"/>
          <w:color w:val="011A3C"/>
          <w:sz w:val="24"/>
          <w:szCs w:val="24"/>
          <w:lang w:val="en" w:eastAsia="en-AU"/>
        </w:rPr>
        <w:t>  </w:t>
      </w:r>
    </w:p>
    <w:p w14:paraId="59A5DE9B" w14:textId="77777777" w:rsidR="00F01BB5" w:rsidRPr="004D307F" w:rsidRDefault="00F01BB5" w:rsidP="00F01BB5">
      <w:pPr>
        <w:keepNext/>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lastRenderedPageBreak/>
        <w:t>Funding allocation</w:t>
      </w:r>
    </w:p>
    <w:p w14:paraId="4B59C529"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ACES SRP funding for any eligible school is allocated in order to cover costs of Annual Contracts and Essential Safety Measures.  Adjustments to the ACES SRP allocation will be made on the basis of enrolment/entitlement area or the provision of new equipment. </w:t>
      </w:r>
    </w:p>
    <w:p w14:paraId="4DEDA277"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Annual Contracts are calculated using a </w:t>
      </w:r>
      <w:r w:rsidRPr="004D307F">
        <w:rPr>
          <w:rFonts w:ascii="VIC-Regular" w:eastAsia="Times New Roman" w:hAnsi="VIC-Regular" w:cs="Times New Roman" w:hint="eastAsia"/>
          <w:color w:val="011A3C"/>
          <w:sz w:val="24"/>
          <w:szCs w:val="24"/>
          <w:lang w:val="en" w:eastAsia="en-AU"/>
        </w:rPr>
        <w:t>‘</w:t>
      </w:r>
      <w:r w:rsidRPr="004D307F">
        <w:rPr>
          <w:rFonts w:ascii="VIC-Regular" w:eastAsia="Times New Roman" w:hAnsi="VIC-Regular" w:cs="Times New Roman"/>
          <w:color w:val="011A3C"/>
          <w:sz w:val="24"/>
          <w:szCs w:val="24"/>
          <w:lang w:val="en" w:eastAsia="en-AU"/>
        </w:rPr>
        <w:t>bottom-up</w:t>
      </w:r>
      <w:r w:rsidRPr="004D307F">
        <w:rPr>
          <w:rFonts w:ascii="VIC-Regular" w:eastAsia="Times New Roman" w:hAnsi="VIC-Regular" w:cs="Times New Roman" w:hint="eastAsia"/>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 formula involving 7 base contracts (as outlined in the Annual Contracts section above, excluding the vertical school allocation).  The formula used to calculate each of the individual contracts is either based on fixed tiers, or a specific funding amount per individual unit present at the school.  </w:t>
      </w:r>
    </w:p>
    <w:p w14:paraId="307E90A3" w14:textId="77777777" w:rsidR="00F01BB5" w:rsidRPr="004D307F" w:rsidRDefault="00F01BB5" w:rsidP="00F01BB5">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each of the annual contract items listed below, a pre-determined dollar/unit rate (with both metro and regional rates) is multiplied by every unit recorded at the school:</w:t>
      </w:r>
    </w:p>
    <w:p w14:paraId="027F9C27"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Onsite Wastewater Management Systems (OWMS) – the number of septic tank units</w:t>
      </w:r>
    </w:p>
    <w:p w14:paraId="74963CF6"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Private Drinking Water (PDW) – the number of potable water drinking tanks </w:t>
      </w:r>
    </w:p>
    <w:p w14:paraId="42AD9D6F"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Lifts - the number of passenger and/or document lifts </w:t>
      </w:r>
    </w:p>
    <w:p w14:paraId="197D83AB"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Heating units – the number of furnace heating units and/or boiling water units </w:t>
      </w:r>
    </w:p>
    <w:p w14:paraId="7F30F083"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Air conditioning units – including evaporative and refrigerative units. </w:t>
      </w:r>
    </w:p>
    <w:p w14:paraId="1387D70A" w14:textId="77777777" w:rsidR="00F01BB5" w:rsidRPr="004D307F" w:rsidRDefault="00F01BB5" w:rsidP="00F01BB5">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following annual contract items are calculated based on their enrolment or building area.  If the school’s enrolment/building area goes above a certain number, the school will receive an increased funding allowance.</w:t>
      </w:r>
    </w:p>
    <w:p w14:paraId="5D516170"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Hygiene requirements (sanitary bins, nappy bins, sharps containers)</w:t>
      </w:r>
    </w:p>
    <w:p w14:paraId="1613F87B" w14:textId="77777777" w:rsidR="00F01BB5" w:rsidRPr="004D307F" w:rsidRDefault="00F01BB5" w:rsidP="00ED0863">
      <w:pPr>
        <w:pStyle w:val="ListParagraph"/>
        <w:numPr>
          <w:ilvl w:val="1"/>
          <w:numId w:val="51"/>
        </w:num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allocation is a fixed amount for schools with less than 400 students, and an increased fixed amount for schools with greater than or equal to 400 students. The amounts are dependent on if the school is metro or rural based.</w:t>
      </w:r>
    </w:p>
    <w:p w14:paraId="173044A7"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Termite inspections</w:t>
      </w:r>
    </w:p>
    <w:p w14:paraId="31C67676" w14:textId="77777777" w:rsidR="00F01BB5" w:rsidRPr="004D307F" w:rsidRDefault="00F01BB5" w:rsidP="00ED0863">
      <w:pPr>
        <w:pStyle w:val="ListParagraph"/>
        <w:numPr>
          <w:ilvl w:val="1"/>
          <w:numId w:val="51"/>
        </w:num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allocation is dependent on the school's total internal floor area. Schools with an area below 2,000m</w:t>
      </w:r>
      <w:r w:rsidRPr="004D307F">
        <w:rPr>
          <w:rFonts w:ascii="VIC-Regular" w:eastAsia="Times New Roman" w:hAnsi="VIC-Regular" w:cs="Times New Roman"/>
          <w:color w:val="011A3C"/>
          <w:sz w:val="24"/>
          <w:szCs w:val="24"/>
          <w:vertAlign w:val="superscript"/>
          <w:lang w:val="en" w:eastAsia="en-AU"/>
        </w:rPr>
        <w:t>2</w:t>
      </w:r>
      <w:r w:rsidRPr="004D307F">
        <w:rPr>
          <w:rFonts w:ascii="VIC-Regular" w:eastAsia="Times New Roman" w:hAnsi="VIC-Regular" w:cs="Times New Roman"/>
          <w:color w:val="011A3C"/>
          <w:sz w:val="24"/>
          <w:szCs w:val="24"/>
          <w:lang w:val="en" w:eastAsia="en-AU"/>
        </w:rPr>
        <w:t xml:space="preserve"> receive a fixed base amount. Schools with an area between 2,000m</w:t>
      </w:r>
      <w:r w:rsidRPr="004D307F">
        <w:rPr>
          <w:rFonts w:ascii="VIC-Regular" w:eastAsia="Times New Roman" w:hAnsi="VIC-Regular" w:cs="Times New Roman"/>
          <w:color w:val="011A3C"/>
          <w:sz w:val="24"/>
          <w:szCs w:val="24"/>
          <w:vertAlign w:val="superscript"/>
          <w:lang w:val="en" w:eastAsia="en-AU"/>
        </w:rPr>
        <w:t>2</w:t>
      </w:r>
      <w:r w:rsidRPr="004D307F">
        <w:rPr>
          <w:rFonts w:ascii="VIC-Regular" w:eastAsia="Times New Roman" w:hAnsi="VIC-Regular" w:cs="Times New Roman"/>
          <w:color w:val="011A3C"/>
          <w:sz w:val="24"/>
          <w:szCs w:val="24"/>
          <w:lang w:val="en" w:eastAsia="en-AU"/>
        </w:rPr>
        <w:t xml:space="preserve"> and 8,000m</w:t>
      </w:r>
      <w:r w:rsidRPr="004D307F">
        <w:rPr>
          <w:rFonts w:ascii="VIC-Regular" w:eastAsia="Times New Roman" w:hAnsi="VIC-Regular" w:cs="Times New Roman"/>
          <w:color w:val="011A3C"/>
          <w:sz w:val="24"/>
          <w:szCs w:val="24"/>
          <w:vertAlign w:val="superscript"/>
          <w:lang w:val="en" w:eastAsia="en-AU"/>
        </w:rPr>
        <w:t>2</w:t>
      </w:r>
      <w:r w:rsidRPr="004D307F">
        <w:rPr>
          <w:rFonts w:ascii="VIC-Regular" w:eastAsia="Times New Roman" w:hAnsi="VIC-Regular" w:cs="Times New Roman"/>
          <w:color w:val="011A3C"/>
          <w:sz w:val="24"/>
          <w:szCs w:val="24"/>
          <w:lang w:val="en" w:eastAsia="en-AU"/>
        </w:rPr>
        <w:t xml:space="preserve"> receive an additional $1,000 on top of the base amount. Schools with an area between 8,000m</w:t>
      </w:r>
      <w:r w:rsidRPr="004D307F">
        <w:rPr>
          <w:rFonts w:ascii="VIC-Regular" w:eastAsia="Times New Roman" w:hAnsi="VIC-Regular" w:cs="Times New Roman"/>
          <w:color w:val="011A3C"/>
          <w:sz w:val="24"/>
          <w:szCs w:val="24"/>
          <w:vertAlign w:val="superscript"/>
          <w:lang w:val="en" w:eastAsia="en-AU"/>
        </w:rPr>
        <w:t>2</w:t>
      </w:r>
      <w:r w:rsidRPr="004D307F">
        <w:rPr>
          <w:rFonts w:ascii="VIC-Regular" w:eastAsia="Times New Roman" w:hAnsi="VIC-Regular" w:cs="Times New Roman"/>
          <w:color w:val="011A3C"/>
          <w:sz w:val="24"/>
          <w:szCs w:val="24"/>
          <w:lang w:val="en" w:eastAsia="en-AU"/>
        </w:rPr>
        <w:t xml:space="preserve"> and 14,000m</w:t>
      </w:r>
      <w:r w:rsidRPr="004D307F">
        <w:rPr>
          <w:rFonts w:ascii="VIC-Regular" w:eastAsia="Times New Roman" w:hAnsi="VIC-Regular" w:cs="Times New Roman"/>
          <w:color w:val="011A3C"/>
          <w:sz w:val="24"/>
          <w:szCs w:val="24"/>
          <w:vertAlign w:val="superscript"/>
          <w:lang w:val="en" w:eastAsia="en-AU"/>
        </w:rPr>
        <w:t>2</w:t>
      </w:r>
      <w:r w:rsidRPr="004D307F">
        <w:rPr>
          <w:rFonts w:ascii="VIC-Regular" w:eastAsia="Times New Roman" w:hAnsi="VIC-Regular" w:cs="Times New Roman"/>
          <w:color w:val="011A3C"/>
          <w:sz w:val="24"/>
          <w:szCs w:val="24"/>
          <w:lang w:val="en" w:eastAsia="en-AU"/>
        </w:rPr>
        <w:t xml:space="preserve"> receive a further $1,000, with the allocation continuously increasing by $1,000 for every subsequent 6,000m</w:t>
      </w:r>
      <w:r w:rsidRPr="004D307F">
        <w:rPr>
          <w:rFonts w:ascii="VIC-Regular" w:eastAsia="Times New Roman" w:hAnsi="VIC-Regular" w:cs="Times New Roman"/>
          <w:color w:val="011A3C"/>
          <w:sz w:val="24"/>
          <w:szCs w:val="24"/>
          <w:vertAlign w:val="superscript"/>
          <w:lang w:val="en" w:eastAsia="en-AU"/>
        </w:rPr>
        <w:t>2</w:t>
      </w:r>
      <w:r w:rsidRPr="004D307F">
        <w:rPr>
          <w:rFonts w:ascii="VIC-Regular" w:eastAsia="Times New Roman" w:hAnsi="VIC-Regular" w:cs="Times New Roman"/>
          <w:color w:val="011A3C"/>
          <w:sz w:val="24"/>
          <w:szCs w:val="24"/>
          <w:lang w:val="en" w:eastAsia="en-AU"/>
        </w:rPr>
        <w:t xml:space="preserve"> threshold crossed.</w:t>
      </w:r>
    </w:p>
    <w:p w14:paraId="25BB64C3"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Instant hot water heating units</w:t>
      </w:r>
    </w:p>
    <w:p w14:paraId="211542CA" w14:textId="77777777" w:rsidR="00F01BB5" w:rsidRPr="004D307F" w:rsidRDefault="00F01BB5" w:rsidP="00ED0863">
      <w:pPr>
        <w:pStyle w:val="ListParagraph"/>
        <w:numPr>
          <w:ilvl w:val="1"/>
          <w:numId w:val="51"/>
        </w:num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allocation is a fixed amount for schools with less than 400 students, and an increased fixed amount for schools with greater than or equal to 400 students. The amounts are dependent on if the school is metro or rural based.</w:t>
      </w:r>
    </w:p>
    <w:p w14:paraId="47B010D4" w14:textId="77777777" w:rsidR="00F01BB5" w:rsidRPr="004D307F" w:rsidRDefault="00F01BB5" w:rsidP="00F01BB5">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Distinct rates have been established for metro versus regional schools to accommodate extra travel requirements by maintenance contractors.</w:t>
      </w:r>
    </w:p>
    <w:p w14:paraId="48827FDD" w14:textId="77777777" w:rsidR="00F01BB5" w:rsidRPr="004D307F" w:rsidRDefault="00F01BB5" w:rsidP="00F01BB5">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school</w:t>
      </w:r>
      <w:r w:rsidRPr="004D307F">
        <w:rPr>
          <w:rFonts w:ascii="VIC-Regular" w:eastAsia="Times New Roman" w:hAnsi="VIC-Regular" w:cs="Times New Roman" w:hint="eastAsia"/>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s eligibility to receive air conditioning funding is determined by the VSBA Heating and Cooling policy in conjunction with the NatHERS zones 20 and 27 as outlined on the </w:t>
      </w:r>
      <w:hyperlink r:id="rId99" w:history="1">
        <w:r w:rsidRPr="004D307F">
          <w:rPr>
            <w:rStyle w:val="Hyperlink"/>
            <w:rFonts w:ascii="VIC-Regular" w:eastAsia="Times New Roman" w:hAnsi="VIC-Regular" w:cs="Times New Roman"/>
            <w:sz w:val="24"/>
            <w:szCs w:val="24"/>
            <w:lang w:val="en" w:eastAsia="en-AU"/>
          </w:rPr>
          <w:t>Nationwide House Energy Rating Scheme site.</w:t>
        </w:r>
      </w:hyperlink>
    </w:p>
    <w:p w14:paraId="51701BDF" w14:textId="77777777" w:rsidR="00F01BB5" w:rsidRPr="004D307F" w:rsidRDefault="00F01BB5" w:rsidP="00F01BB5">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Vertical schools receive a single additional payment to accommodate increased servicing costs associated with residing in a high-rise building. </w:t>
      </w:r>
    </w:p>
    <w:p w14:paraId="54EA2B01" w14:textId="77777777" w:rsidR="00F01BB5" w:rsidRPr="004D307F" w:rsidRDefault="00F01BB5" w:rsidP="00F01BB5">
      <w:pPr>
        <w:rPr>
          <w:rFonts w:ascii="VIC-Regular" w:eastAsia="Times New Roman" w:hAnsi="VIC-Regular" w:cs="Times New Roman"/>
          <w:color w:val="011A3C"/>
          <w:sz w:val="24"/>
          <w:szCs w:val="24"/>
          <w:lang w:val="en" w:eastAsia="en-AU"/>
        </w:rPr>
      </w:pPr>
    </w:p>
    <w:p w14:paraId="36809BE8" w14:textId="77777777" w:rsidR="00F01BB5" w:rsidRPr="004D307F" w:rsidRDefault="00F01BB5" w:rsidP="00F01BB5">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ESM measures funding is calculated based on the size of the school in terms of both floor area (50% of allocation) and the number of buildings (50% of allocation).</w:t>
      </w:r>
    </w:p>
    <w:p w14:paraId="7EE9E540"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Expenditure should be allocated in CASES21 to the following:</w:t>
      </w:r>
    </w:p>
    <w:p w14:paraId="6E0CBD83" w14:textId="77777777" w:rsidR="00F01BB5" w:rsidRPr="004D307F" w:rsidRDefault="00F01BB5" w:rsidP="00ED0863">
      <w:pPr>
        <w:pStyle w:val="ListParagraph"/>
        <w:numPr>
          <w:ilvl w:val="0"/>
          <w:numId w:val="15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Sub Program Code: 6401 – Annual Contracts Essential Safety</w:t>
      </w:r>
    </w:p>
    <w:p w14:paraId="79CF2EC4" w14:textId="77777777" w:rsidR="00F01BB5" w:rsidRPr="004D307F" w:rsidRDefault="00F01BB5" w:rsidP="00ED0863">
      <w:pPr>
        <w:pStyle w:val="ListParagraph"/>
        <w:numPr>
          <w:ilvl w:val="0"/>
          <w:numId w:val="15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General Ledger Account Code: 86500 – Security/Safety/Fire Prevention</w:t>
      </w:r>
    </w:p>
    <w:p w14:paraId="1C420FDD" w14:textId="77777777" w:rsidR="00F01BB5" w:rsidRPr="004D307F" w:rsidRDefault="00F01BB5" w:rsidP="00ED0863">
      <w:pPr>
        <w:pStyle w:val="ListParagraph"/>
        <w:numPr>
          <w:ilvl w:val="0"/>
          <w:numId w:val="15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General Ledger Account Code: 86504 – Building works</w:t>
      </w:r>
    </w:p>
    <w:p w14:paraId="2D675219"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SRP funding for Annual Contracts and Essential Safety Measures is calculated at the Indicative and Confirmed cycle and may be updated at the Revised cycle, and is allocated through cash funding.</w:t>
      </w:r>
    </w:p>
    <w:p w14:paraId="6FC5677D"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For further information, including how to acquit ESM obligations, refer to: </w:t>
      </w:r>
      <w:r w:rsidRPr="004D307F">
        <w:t xml:space="preserve">Annual Contracts contact </w:t>
      </w:r>
      <w:r w:rsidRPr="004D307F">
        <w:rPr>
          <w:rFonts w:ascii="Century Gothic" w:hAnsi="Century Gothic"/>
          <w:b/>
          <w:bCs/>
          <w:color w:val="696B6D"/>
          <w:sz w:val="16"/>
          <w:szCs w:val="16"/>
          <w:lang w:eastAsia="en-AU"/>
        </w:rPr>
        <w:t> </w:t>
      </w:r>
      <w:hyperlink r:id="rId100" w:history="1">
        <w:r w:rsidRPr="004D307F">
          <w:rPr>
            <w:rStyle w:val="Hyperlink"/>
            <w:rFonts w:ascii="Century Gothic" w:hAnsi="Century Gothic"/>
            <w:sz w:val="16"/>
            <w:szCs w:val="16"/>
          </w:rPr>
          <w:t>vsba.annual.contracts@education.vic.gov.au</w:t>
        </w:r>
      </w:hyperlink>
      <w:r w:rsidRPr="004D307F">
        <w:rPr>
          <w:rFonts w:ascii="Century Gothic" w:hAnsi="Century Gothic"/>
          <w:sz w:val="16"/>
          <w:szCs w:val="16"/>
          <w:lang w:eastAsia="en-AU"/>
        </w:rPr>
        <w:t xml:space="preserve"> </w:t>
      </w:r>
      <w:r w:rsidRPr="004D307F">
        <w:rPr>
          <w:rFonts w:ascii="Century Gothic" w:hAnsi="Century Gothic"/>
          <w:color w:val="7F7F7F"/>
          <w:sz w:val="16"/>
          <w:szCs w:val="16"/>
          <w:lang w:eastAsia="en-AU"/>
        </w:rPr>
        <w:t>03 7022 5800</w:t>
      </w:r>
      <w:r w:rsidRPr="004D307F">
        <w:rPr>
          <w:rFonts w:ascii="VIC-Regular" w:eastAsia="Times New Roman" w:hAnsi="VIC-Regular" w:cs="Times New Roman"/>
          <w:color w:val="011A3C"/>
          <w:sz w:val="24"/>
          <w:szCs w:val="24"/>
          <w:lang w:val="en" w:eastAsia="en-AU"/>
        </w:rPr>
        <w:t xml:space="preserve"> Essential Safety Measures policy</w:t>
      </w:r>
      <w:r w:rsidRPr="004D307F">
        <w:rPr>
          <w:rFonts w:ascii="Calibri" w:eastAsia="Times New Roman" w:hAnsi="Calibri" w:cs="Calibri"/>
          <w:color w:val="011A3C"/>
          <w:sz w:val="24"/>
          <w:szCs w:val="24"/>
          <w:lang w:val="en" w:eastAsia="en-AU"/>
        </w:rPr>
        <w:t> </w:t>
      </w:r>
      <w:r w:rsidRPr="004D307F" w:rsidDel="00676498">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 xml:space="preserve">or contact </w:t>
      </w:r>
      <w:hyperlink r:id="rId101" w:history="1">
        <w:r w:rsidRPr="004D307F">
          <w:rPr>
            <w:rStyle w:val="Hyperlink"/>
            <w:rFonts w:ascii="VIC-Regular" w:eastAsia="Times New Roman" w:hAnsi="VIC-Regular" w:cs="Times New Roman"/>
            <w:sz w:val="24"/>
            <w:szCs w:val="24"/>
            <w:lang w:val="en" w:eastAsia="en-AU"/>
          </w:rPr>
          <w:t>essential.safety.measures@education.vic.gov.au</w:t>
        </w:r>
      </w:hyperlink>
    </w:p>
    <w:p w14:paraId="63399E55" w14:textId="436382C7" w:rsidR="0076693A" w:rsidRPr="004D307F" w:rsidRDefault="0076693A" w:rsidP="00B566E7">
      <w:pPr>
        <w:pStyle w:val="Heading2"/>
      </w:pPr>
      <w:bookmarkStart w:id="64" w:name="_Toc106793773"/>
      <w:bookmarkEnd w:id="61"/>
      <w:bookmarkEnd w:id="62"/>
      <w:r w:rsidRPr="004D307F">
        <w:t>Workers’ Compensation (Reference 37)</w:t>
      </w:r>
      <w:bookmarkEnd w:id="64"/>
    </w:p>
    <w:p w14:paraId="347BFFF1" w14:textId="42BEC610" w:rsidR="0076693A" w:rsidRPr="004D307F" w:rsidRDefault="0076693A" w:rsidP="0076693A">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Each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w:t>
      </w:r>
      <w:r w:rsidR="00242599"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orkers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t>
      </w:r>
      <w:r w:rsidR="00242599" w:rsidRPr="004D307F">
        <w:rPr>
          <w:rFonts w:ascii="VIC" w:eastAsia="Times New Roman" w:hAnsi="VIC" w:cs="Times New Roman"/>
          <w:color w:val="011A3C"/>
          <w:sz w:val="24"/>
          <w:szCs w:val="24"/>
          <w:lang w:val="en" w:eastAsia="en-AU"/>
        </w:rPr>
        <w:t>c</w:t>
      </w:r>
      <w:r w:rsidRPr="004D307F">
        <w:rPr>
          <w:rFonts w:ascii="VIC" w:eastAsia="Times New Roman" w:hAnsi="VIC" w:cs="Times New Roman"/>
          <w:color w:val="011A3C"/>
          <w:sz w:val="24"/>
          <w:szCs w:val="24"/>
          <w:lang w:val="en" w:eastAsia="en-AU"/>
        </w:rPr>
        <w:t>ompensation budget allocation has been determined by applying an averaged claim cost rate for each school type to the remuneration of each school.</w:t>
      </w:r>
    </w:p>
    <w:p w14:paraId="14168AF5" w14:textId="7844CB84" w:rsidR="0076693A" w:rsidRPr="004D307F" w:rsidRDefault="0076693A" w:rsidP="0076693A">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amount charged against a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w:t>
      </w:r>
      <w:r w:rsidR="001E12C0"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orkers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t>
      </w:r>
      <w:r w:rsidR="001E12C0" w:rsidRPr="004D307F">
        <w:rPr>
          <w:rFonts w:ascii="VIC" w:eastAsia="Times New Roman" w:hAnsi="VIC" w:cs="Times New Roman"/>
          <w:color w:val="011A3C"/>
          <w:sz w:val="24"/>
          <w:szCs w:val="24"/>
          <w:lang w:val="en" w:eastAsia="en-AU"/>
        </w:rPr>
        <w:t>c</w:t>
      </w:r>
      <w:r w:rsidRPr="004D307F">
        <w:rPr>
          <w:rFonts w:ascii="VIC" w:eastAsia="Times New Roman" w:hAnsi="VIC" w:cs="Times New Roman"/>
          <w:color w:val="011A3C"/>
          <w:sz w:val="24"/>
          <w:szCs w:val="24"/>
          <w:lang w:val="en" w:eastAsia="en-AU"/>
        </w:rPr>
        <w:t>ompensation budget allocation is based on the actual incurred costs of claims that have been lodged at the school during the 20</w:t>
      </w:r>
      <w:r w:rsidR="00990116" w:rsidRPr="004D307F">
        <w:rPr>
          <w:rFonts w:ascii="VIC" w:eastAsia="Times New Roman" w:hAnsi="VIC" w:cs="Times New Roman"/>
          <w:color w:val="011A3C"/>
          <w:sz w:val="24"/>
          <w:szCs w:val="24"/>
          <w:lang w:val="en" w:eastAsia="en-AU"/>
        </w:rPr>
        <w:t>2</w:t>
      </w:r>
      <w:r w:rsidR="001E12C0" w:rsidRPr="004D307F">
        <w:rPr>
          <w:rFonts w:ascii="VIC" w:eastAsia="Times New Roman" w:hAnsi="VIC" w:cs="Times New Roman"/>
          <w:color w:val="011A3C"/>
          <w:sz w:val="24"/>
          <w:szCs w:val="24"/>
          <w:lang w:val="en" w:eastAsia="en-AU"/>
        </w:rPr>
        <w:t>1</w:t>
      </w:r>
      <w:r w:rsidRPr="004D307F">
        <w:rPr>
          <w:rFonts w:ascii="VIC" w:eastAsia="Times New Roman" w:hAnsi="VIC" w:cs="Times New Roman"/>
          <w:color w:val="011A3C"/>
          <w:sz w:val="24"/>
          <w:szCs w:val="24"/>
          <w:lang w:val="en" w:eastAsia="en-AU"/>
        </w:rPr>
        <w:t>/202</w:t>
      </w:r>
      <w:r w:rsidR="001E12C0" w:rsidRPr="004D307F">
        <w:rPr>
          <w:rFonts w:ascii="VIC" w:eastAsia="Times New Roman" w:hAnsi="VIC" w:cs="Times New Roman"/>
          <w:color w:val="011A3C"/>
          <w:sz w:val="24"/>
          <w:szCs w:val="24"/>
          <w:lang w:val="en" w:eastAsia="en-AU"/>
        </w:rPr>
        <w:t>2</w:t>
      </w:r>
      <w:r w:rsidRPr="004D307F">
        <w:rPr>
          <w:rFonts w:ascii="VIC" w:eastAsia="Times New Roman" w:hAnsi="VIC" w:cs="Times New Roman"/>
          <w:color w:val="011A3C"/>
          <w:sz w:val="24"/>
          <w:szCs w:val="24"/>
          <w:lang w:val="en" w:eastAsia="en-AU"/>
        </w:rPr>
        <w:t xml:space="preserve"> Workers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Compensation premium calculation period from 01 January 201</w:t>
      </w:r>
      <w:r w:rsidR="001E12C0" w:rsidRPr="004D307F">
        <w:rPr>
          <w:rFonts w:ascii="VIC" w:eastAsia="Times New Roman" w:hAnsi="VIC" w:cs="Times New Roman"/>
          <w:color w:val="011A3C"/>
          <w:sz w:val="24"/>
          <w:szCs w:val="24"/>
          <w:lang w:val="en" w:eastAsia="en-AU"/>
        </w:rPr>
        <w:t>8</w:t>
      </w:r>
      <w:r w:rsidRPr="004D307F">
        <w:rPr>
          <w:rFonts w:ascii="VIC" w:eastAsia="Times New Roman" w:hAnsi="VIC" w:cs="Times New Roman"/>
          <w:color w:val="011A3C"/>
          <w:sz w:val="24"/>
          <w:szCs w:val="24"/>
          <w:lang w:val="en" w:eastAsia="en-AU"/>
        </w:rPr>
        <w:t xml:space="preserve"> to 30 June 20</w:t>
      </w:r>
      <w:r w:rsidR="001E12C0" w:rsidRPr="004D307F">
        <w:rPr>
          <w:rFonts w:ascii="VIC" w:eastAsia="Times New Roman" w:hAnsi="VIC" w:cs="Times New Roman"/>
          <w:color w:val="011A3C"/>
          <w:sz w:val="24"/>
          <w:szCs w:val="24"/>
          <w:lang w:val="en" w:eastAsia="en-AU"/>
        </w:rPr>
        <w:t>20</w:t>
      </w:r>
      <w:r w:rsidRPr="004D307F">
        <w:rPr>
          <w:rFonts w:ascii="VIC" w:eastAsia="Times New Roman" w:hAnsi="VIC" w:cs="Times New Roman"/>
          <w:color w:val="011A3C"/>
          <w:sz w:val="24"/>
          <w:szCs w:val="24"/>
          <w:lang w:val="en" w:eastAsia="en-AU"/>
        </w:rPr>
        <w:t>.</w:t>
      </w:r>
      <w:r w:rsidRPr="004D307F">
        <w:rPr>
          <w:rFonts w:ascii="Calibri" w:eastAsia="Times New Roman" w:hAnsi="Calibri" w:cs="Calibri" w:hint="eastAsia"/>
          <w:color w:val="011A3C"/>
          <w:sz w:val="24"/>
          <w:szCs w:val="24"/>
          <w:lang w:val="en" w:eastAsia="en-AU"/>
        </w:rPr>
        <w:t> </w:t>
      </w:r>
    </w:p>
    <w:p w14:paraId="3FDD9AA4" w14:textId="7F828760" w:rsidR="0076693A" w:rsidRPr="004D307F" w:rsidRDefault="0076693A" w:rsidP="0076693A">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If the total cost of these claims is greater than a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w:t>
      </w:r>
      <w:r w:rsidR="001E12C0"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orkers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t>
      </w:r>
      <w:r w:rsidR="001E12C0" w:rsidRPr="004D307F">
        <w:rPr>
          <w:rFonts w:ascii="VIC" w:eastAsia="Times New Roman" w:hAnsi="VIC" w:cs="Times New Roman"/>
          <w:color w:val="011A3C"/>
          <w:sz w:val="24"/>
          <w:szCs w:val="24"/>
          <w:lang w:val="en" w:eastAsia="en-AU"/>
        </w:rPr>
        <w:t>c</w:t>
      </w:r>
      <w:r w:rsidRPr="004D307F">
        <w:rPr>
          <w:rFonts w:ascii="VIC" w:eastAsia="Times New Roman" w:hAnsi="VIC" w:cs="Times New Roman"/>
          <w:color w:val="011A3C"/>
          <w:sz w:val="24"/>
          <w:szCs w:val="24"/>
          <w:lang w:val="en" w:eastAsia="en-AU"/>
        </w:rPr>
        <w:t>ompensation budget allocation, the school is required to pay all or part of the difference, capped at 0.5% of its remuneration up to a maximum of $25,000.</w:t>
      </w:r>
      <w:r w:rsidRPr="004D307F">
        <w:rPr>
          <w:rFonts w:ascii="Calibri" w:eastAsia="Times New Roman" w:hAnsi="Calibri" w:cs="Calibri" w:hint="eastAsia"/>
          <w:color w:val="011A3C"/>
          <w:sz w:val="24"/>
          <w:szCs w:val="24"/>
          <w:lang w:val="en" w:eastAsia="en-AU"/>
        </w:rPr>
        <w:t> </w:t>
      </w:r>
    </w:p>
    <w:p w14:paraId="338263EA" w14:textId="4803799C" w:rsidR="0076693A" w:rsidRPr="004D307F" w:rsidRDefault="0076693A" w:rsidP="0076693A">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 xml:space="preserve">Savings capped at 0.5% of remuneration, up to a maximum of $25,000 accrue to those schools with claims costs less than their </w:t>
      </w:r>
      <w:r w:rsidR="001E12C0"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orkers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t>
      </w:r>
      <w:r w:rsidR="001E12C0" w:rsidRPr="004D307F">
        <w:rPr>
          <w:rFonts w:ascii="VIC" w:eastAsia="Times New Roman" w:hAnsi="VIC" w:cs="Times New Roman"/>
          <w:color w:val="011A3C"/>
          <w:sz w:val="24"/>
          <w:szCs w:val="24"/>
          <w:lang w:val="en" w:eastAsia="en-AU"/>
        </w:rPr>
        <w:t>c</w:t>
      </w:r>
      <w:r w:rsidRPr="004D307F">
        <w:rPr>
          <w:rFonts w:ascii="VIC" w:eastAsia="Times New Roman" w:hAnsi="VIC" w:cs="Times New Roman"/>
          <w:color w:val="011A3C"/>
          <w:sz w:val="24"/>
          <w:szCs w:val="24"/>
          <w:lang w:val="en" w:eastAsia="en-AU"/>
        </w:rPr>
        <w:t>ompensation budget allocations. Full 202</w:t>
      </w:r>
      <w:r w:rsidR="001E12C0" w:rsidRPr="004D307F">
        <w:rPr>
          <w:rFonts w:ascii="VIC" w:eastAsia="Times New Roman" w:hAnsi="VIC" w:cs="Times New Roman"/>
          <w:color w:val="011A3C"/>
          <w:sz w:val="24"/>
          <w:szCs w:val="24"/>
          <w:lang w:val="en" w:eastAsia="en-AU"/>
        </w:rPr>
        <w:t>2</w:t>
      </w:r>
      <w:r w:rsidRPr="004D307F">
        <w:rPr>
          <w:rFonts w:ascii="VIC" w:eastAsia="Times New Roman" w:hAnsi="VIC" w:cs="Times New Roman"/>
          <w:color w:val="011A3C"/>
          <w:sz w:val="24"/>
          <w:szCs w:val="24"/>
          <w:lang w:val="en" w:eastAsia="en-AU"/>
        </w:rPr>
        <w:t xml:space="preserve"> Workers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Compensation budget allocations, charge out amounts and end of year balance details are in the </w:t>
      </w:r>
      <w:hyperlink r:id="rId102" w:history="1">
        <w:r w:rsidRPr="004D307F">
          <w:rPr>
            <w:rStyle w:val="Hyperlink"/>
            <w:rFonts w:ascii="VIC" w:eastAsia="Times New Roman" w:hAnsi="VIC" w:cs="Times New Roman"/>
            <w:sz w:val="24"/>
            <w:szCs w:val="24"/>
            <w:lang w:val="en" w:eastAsia="en-AU"/>
          </w:rPr>
          <w:t>Workers</w:t>
        </w:r>
        <w:r w:rsidRPr="004D307F">
          <w:rPr>
            <w:rStyle w:val="Hyperlink"/>
            <w:rFonts w:ascii="VIC" w:eastAsia="Times New Roman" w:hAnsi="VIC" w:cs="Times New Roman" w:hint="eastAsia"/>
            <w:sz w:val="24"/>
            <w:szCs w:val="24"/>
            <w:lang w:val="en" w:eastAsia="en-AU"/>
          </w:rPr>
          <w:t>’</w:t>
        </w:r>
        <w:r w:rsidRPr="004D307F">
          <w:rPr>
            <w:rStyle w:val="Hyperlink"/>
            <w:rFonts w:ascii="VIC" w:eastAsia="Times New Roman" w:hAnsi="VIC" w:cs="Times New Roman"/>
            <w:sz w:val="24"/>
            <w:szCs w:val="24"/>
            <w:lang w:val="en" w:eastAsia="en-AU"/>
          </w:rPr>
          <w:t xml:space="preserve"> Compensation Summary Statement.</w:t>
        </w:r>
      </w:hyperlink>
    </w:p>
    <w:p w14:paraId="2C3FD5C9" w14:textId="77777777" w:rsidR="0076693A" w:rsidRPr="004D307F" w:rsidRDefault="0076693A" w:rsidP="00D93949">
      <w:pPr>
        <w:pStyle w:val="Heading3"/>
        <w:rPr>
          <w:rStyle w:val="Strong"/>
          <w:rFonts w:ascii="VIC" w:hAnsi="VIC"/>
        </w:rPr>
      </w:pPr>
      <w:r w:rsidRPr="004D307F">
        <w:rPr>
          <w:rStyle w:val="Strong"/>
          <w:rFonts w:ascii="VIC" w:hAnsi="VIC"/>
        </w:rPr>
        <w:t>Notes</w:t>
      </w:r>
    </w:p>
    <w:p w14:paraId="27F94854" w14:textId="77777777" w:rsidR="0076693A" w:rsidRPr="004D307F" w:rsidRDefault="0076693A" w:rsidP="0076693A">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Exempt Category Claims</w:t>
      </w:r>
    </w:p>
    <w:p w14:paraId="21587CDC" w14:textId="566DCB03" w:rsidR="0076693A" w:rsidRPr="004D307F" w:rsidRDefault="0076693A" w:rsidP="0076693A">
      <w:pPr>
        <w:spacing w:before="100" w:beforeAutospacing="1" w:after="100" w:afterAutospacing="1" w:line="360" w:lineRule="atLeast"/>
        <w:rPr>
          <w:rFonts w:ascii="VIC" w:eastAsia="Times New Roman" w:hAnsi="VIC" w:cs="Times New Roman"/>
          <w:color w:val="011A3C"/>
          <w:sz w:val="24"/>
          <w:szCs w:val="24"/>
          <w:lang w:val="en" w:eastAsia="en-AU"/>
        </w:rPr>
      </w:pPr>
      <w:bookmarkStart w:id="65" w:name="_Hlk50298055"/>
      <w:r w:rsidRPr="004D307F">
        <w:rPr>
          <w:rFonts w:ascii="VIC" w:eastAsia="Times New Roman" w:hAnsi="VIC" w:cs="Times New Roman"/>
          <w:color w:val="011A3C"/>
          <w:sz w:val="24"/>
          <w:szCs w:val="24"/>
          <w:lang w:val="en" w:eastAsia="en-AU"/>
        </w:rPr>
        <w:t>The following categories of claims are eligible for exemption from the calculation of a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202</w:t>
      </w:r>
      <w:r w:rsidR="00990116" w:rsidRPr="004D307F">
        <w:rPr>
          <w:rFonts w:ascii="VIC" w:eastAsia="Times New Roman" w:hAnsi="VIC" w:cs="Times New Roman"/>
          <w:color w:val="011A3C"/>
          <w:sz w:val="24"/>
          <w:szCs w:val="24"/>
          <w:lang w:val="en" w:eastAsia="en-AU"/>
        </w:rPr>
        <w:t>1</w:t>
      </w:r>
      <w:r w:rsidRPr="004D307F">
        <w:rPr>
          <w:rFonts w:ascii="VIC" w:eastAsia="Times New Roman" w:hAnsi="VIC" w:cs="Times New Roman"/>
          <w:color w:val="011A3C"/>
          <w:sz w:val="24"/>
          <w:szCs w:val="24"/>
          <w:lang w:val="en" w:eastAsia="en-AU"/>
        </w:rPr>
        <w:t xml:space="preserve"> </w:t>
      </w:r>
      <w:r w:rsidR="001B66F8" w:rsidRPr="004D307F">
        <w:rPr>
          <w:rFonts w:ascii="VIC" w:eastAsia="Times New Roman" w:hAnsi="VIC" w:cs="Times New Roman"/>
          <w:color w:val="011A3C"/>
          <w:sz w:val="24"/>
          <w:szCs w:val="24"/>
          <w:lang w:val="en" w:eastAsia="en-AU"/>
        </w:rPr>
        <w:t>Student Resource Package (</w:t>
      </w:r>
      <w:r w:rsidRPr="004D307F">
        <w:rPr>
          <w:rFonts w:ascii="VIC" w:eastAsia="Times New Roman" w:hAnsi="VIC" w:cs="Times New Roman"/>
          <w:color w:val="011A3C"/>
          <w:sz w:val="24"/>
          <w:szCs w:val="24"/>
          <w:lang w:val="en" w:eastAsia="en-AU"/>
        </w:rPr>
        <w:t>SRP</w:t>
      </w:r>
      <w:r w:rsidR="001B66F8" w:rsidRPr="004D307F">
        <w:rPr>
          <w:rFonts w:ascii="VIC" w:eastAsia="Times New Roman" w:hAnsi="VIC" w:cs="Times New Roman"/>
          <w:color w:val="011A3C"/>
          <w:sz w:val="24"/>
          <w:szCs w:val="24"/>
          <w:lang w:val="en" w:eastAsia="en-AU"/>
        </w:rPr>
        <w:t>)</w:t>
      </w:r>
      <w:r w:rsidRPr="004D307F">
        <w:rPr>
          <w:rFonts w:ascii="VIC" w:eastAsia="Times New Roman" w:hAnsi="VIC" w:cs="Times New Roman"/>
          <w:color w:val="011A3C"/>
          <w:sz w:val="24"/>
          <w:szCs w:val="24"/>
          <w:lang w:val="en" w:eastAsia="en-AU"/>
        </w:rPr>
        <w:t xml:space="preserve"> Workers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Compensation cost:</w:t>
      </w:r>
    </w:p>
    <w:bookmarkEnd w:id="65"/>
    <w:p w14:paraId="5ABABC31" w14:textId="3BCBF10E" w:rsidR="0076693A" w:rsidRPr="004D307F" w:rsidRDefault="001E12C0" w:rsidP="00ED0863">
      <w:pPr>
        <w:numPr>
          <w:ilvl w:val="0"/>
          <w:numId w:val="4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w:t>
      </w:r>
      <w:r w:rsidR="0076693A" w:rsidRPr="004D307F">
        <w:rPr>
          <w:rFonts w:ascii="VIC" w:eastAsia="Times New Roman" w:hAnsi="VIC" w:cs="Times New Roman"/>
          <w:color w:val="011A3C"/>
          <w:sz w:val="24"/>
          <w:szCs w:val="24"/>
          <w:lang w:val="en" w:eastAsia="en-AU"/>
        </w:rPr>
        <w:t>orkers</w:t>
      </w:r>
      <w:r w:rsidR="0076693A" w:rsidRPr="004D307F">
        <w:rPr>
          <w:rFonts w:ascii="VIC" w:eastAsia="Times New Roman" w:hAnsi="VIC" w:cs="Times New Roman" w:hint="eastAsia"/>
          <w:color w:val="011A3C"/>
          <w:sz w:val="24"/>
          <w:szCs w:val="24"/>
          <w:lang w:val="en" w:eastAsia="en-AU"/>
        </w:rPr>
        <w:t>’</w:t>
      </w:r>
      <w:r w:rsidR="0076693A"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c</w:t>
      </w:r>
      <w:r w:rsidR="0076693A" w:rsidRPr="004D307F">
        <w:rPr>
          <w:rFonts w:ascii="VIC" w:eastAsia="Times New Roman" w:hAnsi="VIC" w:cs="Times New Roman"/>
          <w:color w:val="011A3C"/>
          <w:sz w:val="24"/>
          <w:szCs w:val="24"/>
          <w:lang w:val="en" w:eastAsia="en-AU"/>
        </w:rPr>
        <w:t>ompensation claims that have injury dates prior to 1 July 2000.</w:t>
      </w:r>
    </w:p>
    <w:p w14:paraId="48D28D73" w14:textId="76F9E269" w:rsidR="0076693A" w:rsidRPr="004D307F" w:rsidRDefault="001E12C0" w:rsidP="00ED0863">
      <w:pPr>
        <w:numPr>
          <w:ilvl w:val="0"/>
          <w:numId w:val="4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w:t>
      </w:r>
      <w:r w:rsidR="0076693A" w:rsidRPr="004D307F">
        <w:rPr>
          <w:rFonts w:ascii="VIC" w:eastAsia="Times New Roman" w:hAnsi="VIC" w:cs="Times New Roman"/>
          <w:color w:val="011A3C"/>
          <w:sz w:val="24"/>
          <w:szCs w:val="24"/>
          <w:lang w:val="en" w:eastAsia="en-AU"/>
        </w:rPr>
        <w:t>orkers</w:t>
      </w:r>
      <w:r w:rsidR="0076693A" w:rsidRPr="004D307F">
        <w:rPr>
          <w:rFonts w:ascii="VIC" w:eastAsia="Times New Roman" w:hAnsi="VIC" w:cs="Times New Roman" w:hint="eastAsia"/>
          <w:color w:val="011A3C"/>
          <w:sz w:val="24"/>
          <w:szCs w:val="24"/>
          <w:lang w:val="en" w:eastAsia="en-AU"/>
        </w:rPr>
        <w:t>’</w:t>
      </w:r>
      <w:r w:rsidR="0076693A"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c</w:t>
      </w:r>
      <w:r w:rsidR="0076693A" w:rsidRPr="004D307F">
        <w:rPr>
          <w:rFonts w:ascii="VIC" w:eastAsia="Times New Roman" w:hAnsi="VIC" w:cs="Times New Roman"/>
          <w:color w:val="011A3C"/>
          <w:sz w:val="24"/>
          <w:szCs w:val="24"/>
          <w:lang w:val="en" w:eastAsia="en-AU"/>
        </w:rPr>
        <w:t>ompensation claims from staff who work across a number of schools.</w:t>
      </w:r>
    </w:p>
    <w:p w14:paraId="508952F6" w14:textId="3A120204" w:rsidR="0076693A" w:rsidRPr="004D307F" w:rsidRDefault="001E12C0" w:rsidP="00ED0863">
      <w:pPr>
        <w:numPr>
          <w:ilvl w:val="0"/>
          <w:numId w:val="4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w:t>
      </w:r>
      <w:r w:rsidR="0076693A" w:rsidRPr="004D307F">
        <w:rPr>
          <w:rFonts w:ascii="VIC" w:eastAsia="Times New Roman" w:hAnsi="VIC" w:cs="Times New Roman"/>
          <w:color w:val="011A3C"/>
          <w:sz w:val="24"/>
          <w:szCs w:val="24"/>
          <w:lang w:val="en" w:eastAsia="en-AU"/>
        </w:rPr>
        <w:t>orkers</w:t>
      </w:r>
      <w:r w:rsidR="0076693A" w:rsidRPr="004D307F">
        <w:rPr>
          <w:rFonts w:ascii="VIC" w:eastAsia="Times New Roman" w:hAnsi="VIC" w:cs="Times New Roman" w:hint="eastAsia"/>
          <w:color w:val="011A3C"/>
          <w:sz w:val="24"/>
          <w:szCs w:val="24"/>
          <w:lang w:val="en" w:eastAsia="en-AU"/>
        </w:rPr>
        <w:t>’</w:t>
      </w:r>
      <w:r w:rsidR="0076693A"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c</w:t>
      </w:r>
      <w:r w:rsidR="0076693A" w:rsidRPr="004D307F">
        <w:rPr>
          <w:rFonts w:ascii="VIC" w:eastAsia="Times New Roman" w:hAnsi="VIC" w:cs="Times New Roman"/>
          <w:color w:val="011A3C"/>
          <w:sz w:val="24"/>
          <w:szCs w:val="24"/>
          <w:lang w:val="en" w:eastAsia="en-AU"/>
        </w:rPr>
        <w:t>ompensation claims accepted in error by the Department</w:t>
      </w:r>
      <w:r w:rsidR="0076693A" w:rsidRPr="004D307F">
        <w:rPr>
          <w:rFonts w:ascii="VIC" w:eastAsia="Times New Roman" w:hAnsi="VIC" w:cs="Times New Roman" w:hint="eastAsia"/>
          <w:color w:val="011A3C"/>
          <w:sz w:val="24"/>
          <w:szCs w:val="24"/>
          <w:lang w:val="en" w:eastAsia="en-AU"/>
        </w:rPr>
        <w:t>’</w:t>
      </w:r>
      <w:r w:rsidR="0076693A" w:rsidRPr="004D307F">
        <w:rPr>
          <w:rFonts w:ascii="VIC" w:eastAsia="Times New Roman" w:hAnsi="VIC" w:cs="Times New Roman"/>
          <w:color w:val="011A3C"/>
          <w:sz w:val="24"/>
          <w:szCs w:val="24"/>
          <w:lang w:val="en" w:eastAsia="en-AU"/>
        </w:rPr>
        <w:t>s WorkSafe agent, Gallagher Bassett Services Pty Ltd.</w:t>
      </w:r>
    </w:p>
    <w:p w14:paraId="3F408D92" w14:textId="4C12914D" w:rsidR="0076693A" w:rsidRPr="004D307F" w:rsidRDefault="001E12C0" w:rsidP="00ED0863">
      <w:pPr>
        <w:numPr>
          <w:ilvl w:val="0"/>
          <w:numId w:val="4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w:t>
      </w:r>
      <w:r w:rsidR="0076693A" w:rsidRPr="004D307F">
        <w:rPr>
          <w:rFonts w:ascii="VIC" w:eastAsia="Times New Roman" w:hAnsi="VIC" w:cs="Times New Roman"/>
          <w:color w:val="011A3C"/>
          <w:sz w:val="24"/>
          <w:szCs w:val="24"/>
          <w:lang w:val="en" w:eastAsia="en-AU"/>
        </w:rPr>
        <w:t>orkers</w:t>
      </w:r>
      <w:r w:rsidR="0076693A" w:rsidRPr="004D307F">
        <w:rPr>
          <w:rFonts w:ascii="VIC" w:eastAsia="Times New Roman" w:hAnsi="VIC" w:cs="Times New Roman" w:hint="eastAsia"/>
          <w:color w:val="011A3C"/>
          <w:sz w:val="24"/>
          <w:szCs w:val="24"/>
          <w:lang w:val="en" w:eastAsia="en-AU"/>
        </w:rPr>
        <w:t>’</w:t>
      </w:r>
      <w:r w:rsidR="0076693A"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c</w:t>
      </w:r>
      <w:r w:rsidR="0076693A" w:rsidRPr="004D307F">
        <w:rPr>
          <w:rFonts w:ascii="VIC" w:eastAsia="Times New Roman" w:hAnsi="VIC" w:cs="Times New Roman"/>
          <w:color w:val="011A3C"/>
          <w:sz w:val="24"/>
          <w:szCs w:val="24"/>
          <w:lang w:val="en" w:eastAsia="en-AU"/>
        </w:rPr>
        <w:t>ompensation claims arising from participation in the Teacher Games.</w:t>
      </w:r>
    </w:p>
    <w:p w14:paraId="2A83EA97" w14:textId="77777777" w:rsidR="0076693A" w:rsidRPr="004D307F" w:rsidRDefault="0076693A" w:rsidP="0076693A">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Consideration will also be given to exempting schools from the costs of claims:</w:t>
      </w:r>
    </w:p>
    <w:p w14:paraId="21CB6073" w14:textId="7F5D1EBF" w:rsidR="0076693A" w:rsidRPr="004D307F" w:rsidRDefault="001E12C0" w:rsidP="00ED0863">
      <w:pPr>
        <w:numPr>
          <w:ilvl w:val="0"/>
          <w:numId w:val="50"/>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w:t>
      </w:r>
      <w:r w:rsidR="0076693A" w:rsidRPr="004D307F">
        <w:rPr>
          <w:rFonts w:ascii="VIC" w:eastAsia="Times New Roman" w:hAnsi="VIC" w:cs="Times New Roman"/>
          <w:color w:val="011A3C"/>
          <w:sz w:val="24"/>
          <w:szCs w:val="24"/>
          <w:lang w:val="en" w:eastAsia="en-AU"/>
        </w:rPr>
        <w:t>rom staff who have been the subject of compassionate transfer because of health reasons.</w:t>
      </w:r>
    </w:p>
    <w:p w14:paraId="0519FB46" w14:textId="4B5E7FCE" w:rsidR="008F4825" w:rsidRPr="004D307F" w:rsidRDefault="001E12C0" w:rsidP="00ED0863">
      <w:pPr>
        <w:numPr>
          <w:ilvl w:val="0"/>
          <w:numId w:val="50"/>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w:t>
      </w:r>
      <w:r w:rsidR="0076693A" w:rsidRPr="004D307F">
        <w:rPr>
          <w:rFonts w:ascii="VIC" w:eastAsia="Times New Roman" w:hAnsi="VIC" w:cs="Times New Roman"/>
          <w:color w:val="011A3C"/>
          <w:sz w:val="24"/>
          <w:szCs w:val="24"/>
          <w:lang w:val="en" w:eastAsia="en-AU"/>
        </w:rPr>
        <w:t>rom principals and other staff whose claims are associated with unsatisfactory performance or disciplin</w:t>
      </w:r>
      <w:r w:rsidRPr="004D307F">
        <w:rPr>
          <w:rFonts w:ascii="VIC" w:eastAsia="Times New Roman" w:hAnsi="VIC" w:cs="Times New Roman"/>
          <w:color w:val="011A3C"/>
          <w:sz w:val="24"/>
          <w:szCs w:val="24"/>
          <w:lang w:val="en" w:eastAsia="en-AU"/>
        </w:rPr>
        <w:t>ary</w:t>
      </w:r>
      <w:r w:rsidR="0076693A" w:rsidRPr="004D307F">
        <w:rPr>
          <w:rFonts w:ascii="VIC" w:eastAsia="Times New Roman" w:hAnsi="VIC" w:cs="Times New Roman"/>
          <w:color w:val="011A3C"/>
          <w:sz w:val="24"/>
          <w:szCs w:val="24"/>
          <w:lang w:val="en" w:eastAsia="en-AU"/>
        </w:rPr>
        <w:t xml:space="preserve"> proceedings.</w:t>
      </w:r>
    </w:p>
    <w:p w14:paraId="27FE5A81" w14:textId="15869958" w:rsidR="00B241D3" w:rsidRPr="004D307F" w:rsidRDefault="001E12C0" w:rsidP="00FF25C9">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w:t>
      </w:r>
      <w:r w:rsidR="0076693A" w:rsidRPr="004D307F">
        <w:rPr>
          <w:rFonts w:ascii="VIC" w:eastAsia="Times New Roman" w:hAnsi="VIC" w:cs="Times New Roman"/>
          <w:color w:val="011A3C"/>
          <w:sz w:val="24"/>
          <w:szCs w:val="24"/>
          <w:lang w:val="en" w:eastAsia="en-AU"/>
        </w:rPr>
        <w:t>chools that have claims in these categories lodged over the period from 01</w:t>
      </w:r>
      <w:r w:rsidR="00990116" w:rsidRPr="004D307F">
        <w:rPr>
          <w:rFonts w:ascii="VIC" w:eastAsia="Times New Roman" w:hAnsi="VIC" w:cs="Times New Roman"/>
          <w:color w:val="011A3C"/>
          <w:sz w:val="24"/>
          <w:szCs w:val="24"/>
          <w:lang w:val="en" w:eastAsia="en-AU"/>
        </w:rPr>
        <w:t xml:space="preserve"> </w:t>
      </w:r>
      <w:r w:rsidR="0076693A" w:rsidRPr="004D307F">
        <w:rPr>
          <w:rFonts w:ascii="VIC" w:eastAsia="Times New Roman" w:hAnsi="VIC" w:cs="Times New Roman"/>
          <w:color w:val="011A3C"/>
          <w:sz w:val="24"/>
          <w:szCs w:val="24"/>
          <w:lang w:val="en" w:eastAsia="en-AU"/>
        </w:rPr>
        <w:t>January 201</w:t>
      </w:r>
      <w:r w:rsidRPr="004D307F">
        <w:rPr>
          <w:rFonts w:ascii="VIC" w:eastAsia="Times New Roman" w:hAnsi="VIC" w:cs="Times New Roman"/>
          <w:color w:val="011A3C"/>
          <w:sz w:val="24"/>
          <w:szCs w:val="24"/>
          <w:lang w:val="en" w:eastAsia="en-AU"/>
        </w:rPr>
        <w:t>9</w:t>
      </w:r>
      <w:r w:rsidR="0076693A" w:rsidRPr="004D307F">
        <w:rPr>
          <w:rFonts w:ascii="VIC" w:eastAsia="Times New Roman" w:hAnsi="VIC" w:cs="Times New Roman"/>
          <w:color w:val="011A3C"/>
          <w:sz w:val="24"/>
          <w:szCs w:val="24"/>
          <w:lang w:val="en" w:eastAsia="en-AU"/>
        </w:rPr>
        <w:t xml:space="preserve"> to 30 June 20</w:t>
      </w:r>
      <w:r w:rsidR="00990116" w:rsidRPr="004D307F">
        <w:rPr>
          <w:rFonts w:ascii="VIC" w:eastAsia="Times New Roman" w:hAnsi="VIC" w:cs="Times New Roman"/>
          <w:color w:val="011A3C"/>
          <w:sz w:val="24"/>
          <w:szCs w:val="24"/>
          <w:lang w:val="en" w:eastAsia="en-AU"/>
        </w:rPr>
        <w:t>2</w:t>
      </w:r>
      <w:r w:rsidRPr="004D307F">
        <w:rPr>
          <w:rFonts w:ascii="VIC" w:eastAsia="Times New Roman" w:hAnsi="VIC" w:cs="Times New Roman"/>
          <w:color w:val="011A3C"/>
          <w:sz w:val="24"/>
          <w:szCs w:val="24"/>
          <w:lang w:val="en" w:eastAsia="en-AU"/>
        </w:rPr>
        <w:t>1 or who wish to seek an exemption,</w:t>
      </w:r>
      <w:r w:rsidR="0076693A" w:rsidRPr="004D307F">
        <w:rPr>
          <w:rFonts w:ascii="VIC" w:eastAsia="Times New Roman" w:hAnsi="VIC" w:cs="Times New Roman"/>
          <w:color w:val="011A3C"/>
          <w:sz w:val="24"/>
          <w:szCs w:val="24"/>
          <w:lang w:val="en" w:eastAsia="en-AU"/>
        </w:rPr>
        <w:t xml:space="preserve"> should</w:t>
      </w:r>
      <w:r w:rsidR="00B241D3" w:rsidRPr="004D307F">
        <w:rPr>
          <w:rFonts w:ascii="VIC" w:eastAsia="Times New Roman" w:hAnsi="VIC" w:cs="Times New Roman"/>
          <w:color w:val="011A3C"/>
          <w:sz w:val="24"/>
          <w:szCs w:val="24"/>
          <w:lang w:val="en" w:eastAsia="en-AU"/>
        </w:rPr>
        <w:t xml:space="preserve"> notify the</w:t>
      </w:r>
      <w:r w:rsidR="0076693A" w:rsidRPr="004D307F">
        <w:rPr>
          <w:rFonts w:ascii="VIC" w:eastAsia="Times New Roman" w:hAnsi="VIC" w:cs="Times New Roman"/>
          <w:color w:val="011A3C"/>
          <w:sz w:val="24"/>
          <w:szCs w:val="24"/>
          <w:lang w:val="en" w:eastAsia="en-AU"/>
        </w:rPr>
        <w:t xml:space="preserve"> </w:t>
      </w:r>
      <w:r w:rsidR="00B241D3" w:rsidRPr="004D307F">
        <w:rPr>
          <w:rFonts w:ascii="VIC" w:eastAsia="Times New Roman" w:hAnsi="VIC" w:cs="Times New Roman"/>
          <w:color w:val="011A3C"/>
          <w:sz w:val="24"/>
          <w:szCs w:val="24"/>
          <w:lang w:val="en" w:eastAsia="en-AU"/>
        </w:rPr>
        <w:t xml:space="preserve">Return to Work Compensation Team, at </w:t>
      </w:r>
      <w:hyperlink r:id="rId103" w:history="1">
        <w:r w:rsidR="00B241D3" w:rsidRPr="004D307F">
          <w:rPr>
            <w:rStyle w:val="Hyperlink"/>
            <w:rFonts w:ascii="VIC" w:eastAsia="Times New Roman" w:hAnsi="VIC" w:cs="Times New Roman"/>
            <w:sz w:val="24"/>
            <w:szCs w:val="24"/>
            <w:lang w:val="en" w:eastAsia="en-AU"/>
          </w:rPr>
          <w:t>workers.compensation.corporate@education.vic.gov.au</w:t>
        </w:r>
      </w:hyperlink>
      <w:r w:rsidR="00B241D3" w:rsidRPr="004D307F">
        <w:rPr>
          <w:rFonts w:ascii="VIC" w:eastAsia="Times New Roman" w:hAnsi="VIC" w:cs="Times New Roman"/>
          <w:color w:val="011A3C"/>
          <w:sz w:val="24"/>
          <w:szCs w:val="24"/>
          <w:lang w:val="en" w:eastAsia="en-AU"/>
        </w:rPr>
        <w:t xml:space="preserve"> by Friday 31 December 2021. </w:t>
      </w:r>
      <w:r w:rsidRPr="004D307F">
        <w:rPr>
          <w:rFonts w:ascii="VIC" w:eastAsia="Times New Roman" w:hAnsi="VIC" w:cs="Times New Roman"/>
          <w:color w:val="011A3C"/>
          <w:sz w:val="24"/>
          <w:szCs w:val="24"/>
          <w:lang w:val="en" w:eastAsia="en-AU"/>
        </w:rPr>
        <w:t xml:space="preserve"> </w:t>
      </w:r>
    </w:p>
    <w:p w14:paraId="708D36F6" w14:textId="52A7296F" w:rsidR="00116D76" w:rsidRPr="004D307F" w:rsidRDefault="00B241D3" w:rsidP="00FF25C9">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may request</w:t>
      </w:r>
      <w:r w:rsidR="001E12C0" w:rsidRPr="004D307F">
        <w:rPr>
          <w:rFonts w:ascii="VIC" w:eastAsia="Times New Roman" w:hAnsi="VIC" w:cs="Times New Roman"/>
          <w:color w:val="011A3C"/>
          <w:sz w:val="24"/>
          <w:szCs w:val="24"/>
          <w:lang w:val="en" w:eastAsia="en-AU"/>
        </w:rPr>
        <w:t xml:space="preserve"> the school's workers</w:t>
      </w:r>
      <w:r w:rsidR="001E12C0" w:rsidRPr="004D307F">
        <w:rPr>
          <w:rFonts w:ascii="VIC" w:eastAsia="Times New Roman" w:hAnsi="VIC" w:cs="Times New Roman" w:hint="eastAsia"/>
          <w:color w:val="011A3C"/>
          <w:sz w:val="24"/>
          <w:szCs w:val="24"/>
          <w:lang w:val="en" w:eastAsia="en-AU"/>
        </w:rPr>
        <w:t>’</w:t>
      </w:r>
      <w:r w:rsidR="001E12C0" w:rsidRPr="004D307F">
        <w:rPr>
          <w:rFonts w:ascii="VIC" w:eastAsia="Times New Roman" w:hAnsi="VIC" w:cs="Times New Roman"/>
          <w:color w:val="011A3C"/>
          <w:sz w:val="24"/>
          <w:szCs w:val="24"/>
          <w:lang w:val="en" w:eastAsia="en-AU"/>
        </w:rPr>
        <w:t xml:space="preserve"> compensation cost be reviewed </w:t>
      </w:r>
      <w:r w:rsidRPr="004D307F">
        <w:rPr>
          <w:rFonts w:ascii="VIC" w:eastAsia="Times New Roman" w:hAnsi="VIC" w:cs="Times New Roman"/>
          <w:color w:val="011A3C"/>
          <w:sz w:val="24"/>
          <w:szCs w:val="24"/>
          <w:lang w:val="en" w:eastAsia="en-AU"/>
        </w:rPr>
        <w:t>by</w:t>
      </w:r>
      <w:r w:rsidR="001E12C0" w:rsidRPr="004D307F">
        <w:rPr>
          <w:rFonts w:ascii="VIC" w:eastAsia="Times New Roman" w:hAnsi="VIC" w:cs="Times New Roman"/>
          <w:color w:val="011A3C"/>
          <w:sz w:val="24"/>
          <w:szCs w:val="24"/>
          <w:lang w:val="en" w:eastAsia="en-AU"/>
        </w:rPr>
        <w:t xml:space="preserve"> the</w:t>
      </w:r>
      <w:r w:rsidR="0076693A" w:rsidRPr="004D307F">
        <w:rPr>
          <w:rFonts w:ascii="VIC" w:eastAsia="Times New Roman" w:hAnsi="VIC" w:cs="Times New Roman"/>
          <w:color w:val="011A3C"/>
          <w:sz w:val="24"/>
          <w:szCs w:val="24"/>
          <w:lang w:val="en" w:eastAsia="en-AU"/>
        </w:rPr>
        <w:t xml:space="preserve"> </w:t>
      </w:r>
      <w:hyperlink r:id="rId104" w:history="1">
        <w:r w:rsidR="0076693A" w:rsidRPr="004D307F">
          <w:rPr>
            <w:rFonts w:ascii="VIC" w:eastAsia="Times New Roman" w:hAnsi="VIC" w:cs="Times New Roman"/>
            <w:color w:val="011A3C"/>
            <w:sz w:val="24"/>
            <w:szCs w:val="24"/>
            <w:lang w:val="en" w:eastAsia="en-AU"/>
          </w:rPr>
          <w:t>Workers</w:t>
        </w:r>
        <w:r w:rsidR="0076693A" w:rsidRPr="004D307F">
          <w:rPr>
            <w:rFonts w:ascii="VIC" w:eastAsia="Times New Roman" w:hAnsi="VIC" w:cs="Times New Roman" w:hint="eastAsia"/>
            <w:color w:val="011A3C"/>
            <w:sz w:val="24"/>
            <w:szCs w:val="24"/>
            <w:lang w:val="en" w:eastAsia="en-AU"/>
          </w:rPr>
          <w:t>’</w:t>
        </w:r>
        <w:r w:rsidR="0076693A" w:rsidRPr="004D307F">
          <w:rPr>
            <w:rFonts w:ascii="VIC" w:eastAsia="Times New Roman" w:hAnsi="VIC" w:cs="Times New Roman"/>
            <w:color w:val="011A3C"/>
            <w:sz w:val="24"/>
            <w:szCs w:val="24"/>
            <w:lang w:val="en" w:eastAsia="en-AU"/>
          </w:rPr>
          <w:t xml:space="preserve"> Compensation Claims Advisory Service</w:t>
        </w:r>
        <w:r w:rsidRPr="004D307F">
          <w:rPr>
            <w:rFonts w:ascii="VIC" w:eastAsia="Times New Roman" w:hAnsi="VIC" w:cs="Times New Roman"/>
            <w:color w:val="011A3C"/>
            <w:sz w:val="24"/>
            <w:szCs w:val="24"/>
            <w:lang w:val="en" w:eastAsia="en-AU"/>
          </w:rPr>
          <w:t>.</w:t>
        </w:r>
        <w:r w:rsidR="0076693A" w:rsidRPr="004D307F">
          <w:rPr>
            <w:rFonts w:ascii="VIC" w:eastAsia="Times New Roman" w:hAnsi="VIC" w:cs="Times New Roman"/>
            <w:color w:val="011A3C"/>
            <w:sz w:val="24"/>
            <w:szCs w:val="24"/>
            <w:lang w:val="en" w:eastAsia="en-AU"/>
          </w:rPr>
          <w:t xml:space="preserve"> </w:t>
        </w:r>
      </w:hyperlink>
      <w:r w:rsidR="001E12C0" w:rsidRPr="004D307F">
        <w:rPr>
          <w:rFonts w:ascii="VIC" w:eastAsia="Times New Roman" w:hAnsi="VIC" w:cs="Times New Roman"/>
          <w:color w:val="011A3C"/>
          <w:sz w:val="24"/>
          <w:szCs w:val="24"/>
          <w:lang w:val="en" w:eastAsia="en-AU"/>
        </w:rPr>
        <w:t xml:space="preserve">Schools should provide details of the circumstances to be taken into consideration as part </w:t>
      </w:r>
      <w:r w:rsidR="001E12C0" w:rsidRPr="004D307F">
        <w:rPr>
          <w:rFonts w:ascii="VIC" w:eastAsia="Times New Roman" w:hAnsi="VIC" w:cs="Times New Roman"/>
          <w:color w:val="011A3C"/>
          <w:sz w:val="24"/>
          <w:szCs w:val="24"/>
          <w:lang w:val="en" w:eastAsia="en-AU"/>
        </w:rPr>
        <w:lastRenderedPageBreak/>
        <w:t xml:space="preserve">of the request. </w:t>
      </w:r>
      <w:r w:rsidR="0076693A" w:rsidRPr="004D307F">
        <w:rPr>
          <w:rFonts w:ascii="VIC" w:eastAsia="Times New Roman" w:hAnsi="VIC" w:cs="Times New Roman"/>
          <w:color w:val="011A3C"/>
          <w:sz w:val="24"/>
          <w:szCs w:val="24"/>
          <w:lang w:val="en" w:eastAsia="en-AU"/>
        </w:rPr>
        <w:t xml:space="preserve">The </w:t>
      </w:r>
      <w:r w:rsidR="00D90311" w:rsidRPr="004D307F">
        <w:rPr>
          <w:rFonts w:ascii="VIC" w:eastAsia="Times New Roman" w:hAnsi="VIC" w:cs="Times New Roman"/>
          <w:color w:val="011A3C"/>
          <w:sz w:val="24"/>
          <w:szCs w:val="24"/>
          <w:lang w:val="en" w:eastAsia="en-AU"/>
        </w:rPr>
        <w:t>Return to Work and Compensation team</w:t>
      </w:r>
      <w:r w:rsidR="0076693A" w:rsidRPr="004D307F">
        <w:rPr>
          <w:rFonts w:ascii="VIC" w:eastAsia="Times New Roman" w:hAnsi="VIC" w:cs="Times New Roman"/>
          <w:color w:val="011A3C"/>
          <w:sz w:val="24"/>
          <w:szCs w:val="24"/>
          <w:lang w:val="en" w:eastAsia="en-AU"/>
        </w:rPr>
        <w:t xml:space="preserve"> will advise schools of the results of these reviews.</w:t>
      </w:r>
    </w:p>
    <w:p w14:paraId="74825CC5" w14:textId="499E96EA" w:rsidR="00116D76" w:rsidRPr="004D307F" w:rsidRDefault="00116D76" w:rsidP="00116D76">
      <w:pPr>
        <w:rPr>
          <w:rFonts w:ascii="VIC" w:hAnsi="VIC"/>
        </w:rPr>
      </w:pPr>
      <w:r w:rsidRPr="004D307F">
        <w:rPr>
          <w:rFonts w:ascii="VIC" w:hAnsi="VIC"/>
        </w:rPr>
        <w:br w:type="page"/>
      </w:r>
    </w:p>
    <w:p w14:paraId="0040CC87" w14:textId="2B887644" w:rsidR="00C53D64" w:rsidRPr="004D307F" w:rsidRDefault="00C53D64" w:rsidP="000F3581">
      <w:pPr>
        <w:pStyle w:val="Heading1"/>
      </w:pPr>
      <w:bookmarkStart w:id="66" w:name="_Toc106793774"/>
      <w:r w:rsidRPr="004D307F">
        <w:lastRenderedPageBreak/>
        <w:t>School Specific Programs</w:t>
      </w:r>
      <w:bookmarkEnd w:id="66"/>
    </w:p>
    <w:p w14:paraId="4D52C7F3" w14:textId="77777777" w:rsidR="00C53D64" w:rsidRPr="004D307F" w:rsidRDefault="00C53D64" w:rsidP="00144B23">
      <w:pPr>
        <w:spacing w:before="100" w:beforeAutospacing="1" w:after="100" w:afterAutospacing="1" w:line="312" w:lineRule="atLeast"/>
        <w:outlineLvl w:val="1"/>
        <w:rPr>
          <w:rFonts w:ascii="VIC" w:eastAsia="Times New Roman" w:hAnsi="VIC" w:cs="Times New Roman"/>
          <w:b/>
          <w:bCs/>
          <w:sz w:val="36"/>
          <w:szCs w:val="36"/>
          <w:lang w:val="en" w:eastAsia="en-AU"/>
        </w:rPr>
      </w:pPr>
      <w:r w:rsidRPr="004D307F">
        <w:rPr>
          <w:rFonts w:ascii="VIC" w:eastAsia="Times New Roman" w:hAnsi="VIC" w:cs="Times New Roman"/>
          <w:b/>
          <w:bCs/>
          <w:sz w:val="36"/>
          <w:szCs w:val="36"/>
          <w:lang w:val="en" w:eastAsia="en-AU"/>
        </w:rPr>
        <w:t>Policy</w:t>
      </w:r>
    </w:p>
    <w:p w14:paraId="7BCDA18C" w14:textId="39D4B5C3" w:rsidR="00C53D64" w:rsidRPr="004D307F" w:rsidRDefault="00C53D64" w:rsidP="00C53D64">
      <w:pPr>
        <w:pStyle w:val="NormalWeb"/>
        <w:spacing w:line="360" w:lineRule="atLeast"/>
        <w:rPr>
          <w:rFonts w:ascii="VIC-Regular" w:hAnsi="VIC-Regular"/>
          <w:color w:val="011A3C"/>
          <w:lang w:val="en"/>
        </w:rPr>
      </w:pPr>
      <w:r w:rsidRPr="004D307F">
        <w:rPr>
          <w:rFonts w:ascii="VIC-Regular" w:hAnsi="VIC-Regular"/>
          <w:color w:val="011A3C"/>
          <w:lang w:val="en"/>
        </w:rPr>
        <w:t xml:space="preserve">This policy provides information about how funding is allocated to schools through the Student Resource </w:t>
      </w:r>
      <w:r w:rsidR="008F4825" w:rsidRPr="004D307F">
        <w:rPr>
          <w:rFonts w:ascii="VIC-Regular" w:hAnsi="VIC-Regular"/>
          <w:color w:val="011A3C"/>
          <w:lang w:val="en"/>
        </w:rPr>
        <w:t>Package (</w:t>
      </w:r>
      <w:r w:rsidR="001B66F8" w:rsidRPr="004D307F">
        <w:rPr>
          <w:rFonts w:ascii="VIC-Regular" w:hAnsi="VIC-Regular"/>
          <w:color w:val="011A3C"/>
          <w:lang w:val="en"/>
        </w:rPr>
        <w:t>SRP)</w:t>
      </w:r>
      <w:r w:rsidRPr="004D307F">
        <w:rPr>
          <w:rFonts w:ascii="VIC-Regular" w:hAnsi="VIC-Regular"/>
          <w:color w:val="011A3C"/>
          <w:lang w:val="en"/>
        </w:rPr>
        <w:t xml:space="preserve"> for school specific programs.</w:t>
      </w:r>
    </w:p>
    <w:p w14:paraId="1ABB63C2" w14:textId="77777777" w:rsidR="00C53D64" w:rsidRPr="004D307F" w:rsidRDefault="00C53D64" w:rsidP="00144B23">
      <w:pPr>
        <w:spacing w:before="100" w:beforeAutospacing="1" w:after="100" w:afterAutospacing="1" w:line="312" w:lineRule="atLeast"/>
        <w:outlineLvl w:val="1"/>
        <w:rPr>
          <w:rFonts w:ascii="VIC-Bold" w:eastAsia="Times New Roman" w:hAnsi="VIC-Bold" w:cs="Times New Roman"/>
          <w:color w:val="323E4F" w:themeColor="text2" w:themeShade="BF"/>
          <w:sz w:val="36"/>
          <w:szCs w:val="36"/>
          <w:lang w:val="en" w:eastAsia="en-AU"/>
        </w:rPr>
      </w:pPr>
      <w:r w:rsidRPr="004D307F">
        <w:rPr>
          <w:rFonts w:ascii="VIC-Bold" w:eastAsia="Times New Roman" w:hAnsi="VIC-Bold" w:cs="Times New Roman"/>
          <w:color w:val="323E4F" w:themeColor="text2" w:themeShade="BF"/>
          <w:sz w:val="36"/>
          <w:szCs w:val="36"/>
          <w:lang w:val="en" w:eastAsia="en-AU"/>
        </w:rPr>
        <w:t>Details</w:t>
      </w:r>
    </w:p>
    <w:p w14:paraId="21EED289" w14:textId="32B4E7DA" w:rsidR="00C53D64" w:rsidRPr="004D307F" w:rsidRDefault="00C53D64" w:rsidP="00C53D64">
      <w:pPr>
        <w:pStyle w:val="NormalWeb"/>
        <w:spacing w:line="360" w:lineRule="atLeast"/>
        <w:rPr>
          <w:rFonts w:ascii="VIC-Regular" w:hAnsi="VIC-Regular"/>
          <w:color w:val="011A3C"/>
          <w:lang w:val="en"/>
        </w:rPr>
      </w:pPr>
      <w:r w:rsidRPr="004D307F">
        <w:rPr>
          <w:rFonts w:ascii="VIC-Regular" w:hAnsi="VIC-Regular"/>
          <w:color w:val="011A3C"/>
          <w:lang w:val="en"/>
        </w:rPr>
        <w:t xml:space="preserve">‘School-based funding’ is one of three categories of funding provided for by the </w:t>
      </w:r>
      <w:r w:rsidR="001B66F8" w:rsidRPr="004D307F">
        <w:rPr>
          <w:rFonts w:ascii="VIC-Regular" w:hAnsi="VIC-Regular"/>
          <w:color w:val="011A3C"/>
          <w:lang w:val="en"/>
        </w:rPr>
        <w:t>SRP</w:t>
      </w:r>
      <w:r w:rsidRPr="004D307F">
        <w:rPr>
          <w:rFonts w:ascii="VIC-Regular" w:hAnsi="VIC-Regular"/>
          <w:color w:val="011A3C"/>
          <w:lang w:val="en"/>
        </w:rPr>
        <w:t xml:space="preserve">. Funding for ‘school specific programs’ is one type of school-based funding provided to schools. The other type of school-based funding is </w:t>
      </w:r>
      <w:hyperlink r:id="rId105" w:history="1">
        <w:r w:rsidRPr="004D307F">
          <w:rPr>
            <w:rStyle w:val="rpl-text-label2"/>
            <w:rFonts w:ascii="VIC-Regular" w:hAnsi="VIC-Regular"/>
            <w:lang w:val="en"/>
          </w:rPr>
          <w:t>Funding for School Infrastructure</w:t>
        </w:r>
      </w:hyperlink>
      <w:r w:rsidRPr="004D307F">
        <w:rPr>
          <w:rFonts w:ascii="VIC-Regular" w:hAnsi="VIC-Regular"/>
          <w:color w:val="011A3C"/>
          <w:lang w:val="en"/>
        </w:rPr>
        <w:t>.</w:t>
      </w:r>
    </w:p>
    <w:p w14:paraId="620F8911" w14:textId="77777777" w:rsidR="00C53D64" w:rsidRPr="004D307F" w:rsidRDefault="00C53D64" w:rsidP="00C53D64">
      <w:pPr>
        <w:pStyle w:val="NormalWeb"/>
        <w:spacing w:line="360" w:lineRule="atLeast"/>
        <w:rPr>
          <w:rFonts w:ascii="VIC-Regular" w:hAnsi="VIC-Regular"/>
          <w:color w:val="011A3C"/>
          <w:lang w:val="en"/>
        </w:rPr>
      </w:pPr>
      <w:r w:rsidRPr="004D307F">
        <w:rPr>
          <w:rFonts w:ascii="VIC-Regular" w:hAnsi="VIC-Regular"/>
          <w:color w:val="011A3C"/>
          <w:lang w:val="en"/>
        </w:rPr>
        <w:t>School-based funding provides for school infrastructure and programs specific to individual schools.</w:t>
      </w:r>
    </w:p>
    <w:p w14:paraId="090A2CF7" w14:textId="2DB75F19" w:rsidR="00C53D64" w:rsidRPr="004D307F" w:rsidRDefault="00C53D64" w:rsidP="00C53D64">
      <w:pPr>
        <w:pStyle w:val="NormalWeb"/>
        <w:spacing w:line="360" w:lineRule="atLeast"/>
        <w:rPr>
          <w:rFonts w:ascii="VIC-Regular" w:hAnsi="VIC-Regular"/>
          <w:color w:val="011A3C"/>
          <w:lang w:val="en"/>
        </w:rPr>
      </w:pPr>
      <w:r w:rsidRPr="004D307F">
        <w:rPr>
          <w:rFonts w:ascii="VIC-Regular" w:hAnsi="VIC-Regular"/>
          <w:color w:val="011A3C"/>
          <w:lang w:val="en"/>
        </w:rPr>
        <w:t xml:space="preserve">The </w:t>
      </w:r>
      <w:r w:rsidR="00735FF8" w:rsidRPr="004D307F">
        <w:rPr>
          <w:rFonts w:ascii="VIC-Regular" w:hAnsi="VIC-Regular"/>
          <w:color w:val="011A3C"/>
          <w:lang w:val="en"/>
        </w:rPr>
        <w:t>School Specific section provides</w:t>
      </w:r>
      <w:r w:rsidRPr="004D307F">
        <w:rPr>
          <w:rFonts w:ascii="VIC-Regular" w:hAnsi="VIC-Regular"/>
          <w:color w:val="011A3C"/>
          <w:lang w:val="en"/>
        </w:rPr>
        <w:t xml:space="preserve"> information about each of the following types of funding for school-specific programs:</w:t>
      </w:r>
    </w:p>
    <w:p w14:paraId="666BC6C3" w14:textId="77777777" w:rsidR="00C53D64" w:rsidRPr="004D307F" w:rsidRDefault="00901FCB" w:rsidP="00ED0863">
      <w:pPr>
        <w:numPr>
          <w:ilvl w:val="0"/>
          <w:numId w:val="124"/>
        </w:numPr>
        <w:spacing w:before="100" w:beforeAutospacing="1" w:after="100" w:afterAutospacing="1" w:line="360" w:lineRule="atLeast"/>
        <w:rPr>
          <w:rFonts w:ascii="VIC-Regular" w:hAnsi="VIC-Regular"/>
          <w:color w:val="011A3C"/>
          <w:lang w:val="en"/>
        </w:rPr>
      </w:pPr>
      <w:hyperlink r:id="rId106" w:history="1">
        <w:r w:rsidR="00C53D64" w:rsidRPr="004D307F">
          <w:rPr>
            <w:rStyle w:val="rpl-text-label2"/>
            <w:rFonts w:ascii="VIC-Regular" w:hAnsi="VIC-Regular"/>
            <w:lang w:val="en"/>
          </w:rPr>
          <w:t>P12 Complexity Allowance</w:t>
        </w:r>
      </w:hyperlink>
    </w:p>
    <w:p w14:paraId="4FB5082C" w14:textId="77777777" w:rsidR="00C53D64" w:rsidRPr="004D307F" w:rsidRDefault="00901FCB" w:rsidP="00ED0863">
      <w:pPr>
        <w:numPr>
          <w:ilvl w:val="0"/>
          <w:numId w:val="124"/>
        </w:numPr>
        <w:spacing w:before="100" w:beforeAutospacing="1" w:after="100" w:afterAutospacing="1" w:line="360" w:lineRule="atLeast"/>
        <w:rPr>
          <w:rFonts w:ascii="VIC-Regular" w:hAnsi="VIC-Regular"/>
          <w:color w:val="011A3C"/>
          <w:lang w:val="en"/>
        </w:rPr>
      </w:pPr>
      <w:hyperlink r:id="rId107" w:history="1">
        <w:r w:rsidR="00C53D64" w:rsidRPr="004D307F">
          <w:rPr>
            <w:rStyle w:val="rpl-text-label2"/>
            <w:rFonts w:ascii="VIC-Regular" w:hAnsi="VIC-Regular"/>
            <w:lang w:val="en"/>
          </w:rPr>
          <w:t>Location Index funding</w:t>
        </w:r>
      </w:hyperlink>
    </w:p>
    <w:p w14:paraId="6F0757F3" w14:textId="77777777" w:rsidR="00C53D64" w:rsidRPr="004D307F" w:rsidRDefault="00901FCB" w:rsidP="00ED0863">
      <w:pPr>
        <w:numPr>
          <w:ilvl w:val="0"/>
          <w:numId w:val="124"/>
        </w:numPr>
        <w:spacing w:before="100" w:beforeAutospacing="1" w:after="100" w:afterAutospacing="1" w:line="360" w:lineRule="atLeast"/>
        <w:rPr>
          <w:rFonts w:ascii="VIC-Regular" w:hAnsi="VIC-Regular"/>
          <w:color w:val="011A3C"/>
          <w:lang w:val="en"/>
        </w:rPr>
      </w:pPr>
      <w:hyperlink r:id="rId108" w:history="1">
        <w:r w:rsidR="00C53D64" w:rsidRPr="004D307F">
          <w:rPr>
            <w:rStyle w:val="rpl-text-label2"/>
            <w:rFonts w:ascii="VIC-Regular" w:hAnsi="VIC-Regular"/>
            <w:lang w:val="en"/>
          </w:rPr>
          <w:t>MARC/MACC Teachers, Science and Technology, School Restructure</w:t>
        </w:r>
      </w:hyperlink>
    </w:p>
    <w:p w14:paraId="07C5E890" w14:textId="77777777" w:rsidR="00C53D64" w:rsidRPr="004D307F" w:rsidRDefault="00901FCB" w:rsidP="00ED0863">
      <w:pPr>
        <w:numPr>
          <w:ilvl w:val="0"/>
          <w:numId w:val="124"/>
        </w:numPr>
        <w:spacing w:before="100" w:beforeAutospacing="1" w:after="100" w:afterAutospacing="1" w:line="360" w:lineRule="atLeast"/>
        <w:rPr>
          <w:rFonts w:ascii="VIC-Regular" w:hAnsi="VIC-Regular"/>
          <w:color w:val="011A3C"/>
          <w:lang w:val="en"/>
        </w:rPr>
      </w:pPr>
      <w:hyperlink r:id="rId109" w:history="1">
        <w:r w:rsidR="00C53D64" w:rsidRPr="004D307F">
          <w:rPr>
            <w:rStyle w:val="rpl-text-label2"/>
            <w:rFonts w:ascii="VIC-Regular" w:hAnsi="VIC-Regular"/>
            <w:lang w:val="en"/>
          </w:rPr>
          <w:t>Instrumental Music Programs</w:t>
        </w:r>
      </w:hyperlink>
    </w:p>
    <w:p w14:paraId="35E97E6F" w14:textId="59A43B1E" w:rsidR="008F4825" w:rsidRPr="004D307F" w:rsidRDefault="00285B8E" w:rsidP="00ED0863">
      <w:pPr>
        <w:numPr>
          <w:ilvl w:val="0"/>
          <w:numId w:val="124"/>
        </w:numPr>
        <w:spacing w:before="100" w:beforeAutospacing="1" w:after="100" w:afterAutospacing="1" w:line="360" w:lineRule="atLeast"/>
        <w:rPr>
          <w:rStyle w:val="rpl-text-label2"/>
          <w:rFonts w:ascii="VIC-Regular" w:hAnsi="VIC-Regular"/>
          <w:lang w:val="en"/>
        </w:rPr>
      </w:pPr>
      <w:bookmarkStart w:id="67" w:name="_Hlk99874366"/>
      <w:r w:rsidRPr="004D307F">
        <w:rPr>
          <w:rStyle w:val="rpl-text-label2"/>
          <w:rFonts w:ascii="VIC-Regular" w:hAnsi="VIC-Regular"/>
          <w:lang w:val="en"/>
        </w:rPr>
        <w:t>Local Native-speaker Language Assistants Program</w:t>
      </w:r>
    </w:p>
    <w:bookmarkEnd w:id="67"/>
    <w:p w14:paraId="59F6DF86" w14:textId="304DDB79" w:rsidR="00C53D64" w:rsidRPr="004D307F" w:rsidRDefault="007C3D85" w:rsidP="00ED0863">
      <w:pPr>
        <w:numPr>
          <w:ilvl w:val="0"/>
          <w:numId w:val="124"/>
        </w:numPr>
        <w:spacing w:before="100" w:beforeAutospacing="1" w:after="100" w:afterAutospacing="1" w:line="360" w:lineRule="atLeast"/>
        <w:rPr>
          <w:rFonts w:ascii="VIC-Regular" w:hAnsi="VIC-Regular"/>
          <w:color w:val="011A3C"/>
          <w:lang w:val="en"/>
        </w:rPr>
      </w:pPr>
      <w:r w:rsidRPr="004D307F">
        <w:fldChar w:fldCharType="begin"/>
      </w:r>
      <w:r w:rsidRPr="004D307F">
        <w:instrText xml:space="preserve"> HYPERLINK "https://www2.education.vic.gov.au/pal/student-resource-package-srp-school-specific-programs/guidance/bus-coordination-reference-43" </w:instrText>
      </w:r>
      <w:r w:rsidRPr="004D307F">
        <w:fldChar w:fldCharType="separate"/>
      </w:r>
      <w:r w:rsidR="00C53D64" w:rsidRPr="004D307F">
        <w:rPr>
          <w:rStyle w:val="rpl-text-label2"/>
          <w:rFonts w:ascii="VIC-Regular" w:hAnsi="VIC-Regular"/>
          <w:lang w:val="en"/>
        </w:rPr>
        <w:t xml:space="preserve">Bus </w:t>
      </w:r>
      <w:r w:rsidR="00D5064D" w:rsidRPr="004D307F">
        <w:rPr>
          <w:rStyle w:val="rpl-text-label2"/>
          <w:rFonts w:ascii="VIC-Regular" w:hAnsi="VIC-Regular"/>
          <w:lang w:val="en"/>
        </w:rPr>
        <w:t>C</w:t>
      </w:r>
      <w:r w:rsidR="00C53D64" w:rsidRPr="004D307F">
        <w:rPr>
          <w:rStyle w:val="rpl-text-label2"/>
          <w:rFonts w:ascii="VIC-Regular" w:hAnsi="VIC-Regular"/>
          <w:lang w:val="en"/>
        </w:rPr>
        <w:t>oordination</w:t>
      </w:r>
      <w:r w:rsidRPr="004D307F">
        <w:rPr>
          <w:rStyle w:val="rpl-text-label2"/>
          <w:rFonts w:ascii="VIC-Regular" w:hAnsi="VIC-Regular"/>
          <w:lang w:val="en"/>
        </w:rPr>
        <w:fldChar w:fldCharType="end"/>
      </w:r>
    </w:p>
    <w:p w14:paraId="6EE9EA9F" w14:textId="77777777" w:rsidR="00C53D64" w:rsidRPr="004D307F" w:rsidRDefault="00901FCB" w:rsidP="00ED0863">
      <w:pPr>
        <w:numPr>
          <w:ilvl w:val="0"/>
          <w:numId w:val="124"/>
        </w:numPr>
        <w:spacing w:before="100" w:beforeAutospacing="1" w:after="100" w:afterAutospacing="1" w:line="360" w:lineRule="atLeast"/>
        <w:rPr>
          <w:rFonts w:ascii="VIC-Regular" w:hAnsi="VIC-Regular"/>
          <w:color w:val="011A3C"/>
          <w:lang w:val="en"/>
        </w:rPr>
      </w:pPr>
      <w:hyperlink r:id="rId110" w:history="1">
        <w:r w:rsidR="00C53D64" w:rsidRPr="004D307F">
          <w:rPr>
            <w:rStyle w:val="rpl-text-label2"/>
            <w:rFonts w:ascii="VIC-Regular" w:hAnsi="VIC-Regular"/>
            <w:lang w:val="en"/>
          </w:rPr>
          <w:t>Country Area Program Grant</w:t>
        </w:r>
      </w:hyperlink>
    </w:p>
    <w:p w14:paraId="1EDAD8E3" w14:textId="77777777" w:rsidR="00C53D64" w:rsidRPr="004D307F" w:rsidRDefault="00901FCB" w:rsidP="00ED0863">
      <w:pPr>
        <w:numPr>
          <w:ilvl w:val="0"/>
          <w:numId w:val="124"/>
        </w:numPr>
        <w:spacing w:before="100" w:beforeAutospacing="1" w:after="100" w:afterAutospacing="1" w:line="360" w:lineRule="atLeast"/>
        <w:rPr>
          <w:rFonts w:ascii="VIC-Regular" w:hAnsi="VIC-Regular"/>
          <w:color w:val="011A3C"/>
          <w:lang w:val="en"/>
        </w:rPr>
      </w:pPr>
      <w:hyperlink r:id="rId111" w:history="1">
        <w:r w:rsidR="00C53D64" w:rsidRPr="004D307F">
          <w:rPr>
            <w:rStyle w:val="rpl-text-label2"/>
            <w:rFonts w:ascii="VIC-Regular" w:hAnsi="VIC-Regular"/>
            <w:lang w:val="en"/>
          </w:rPr>
          <w:t>MARC/MACC Grant</w:t>
        </w:r>
      </w:hyperlink>
    </w:p>
    <w:p w14:paraId="4CBF5182" w14:textId="77777777" w:rsidR="00C53D64" w:rsidRPr="004D307F" w:rsidRDefault="00901FCB" w:rsidP="00ED0863">
      <w:pPr>
        <w:numPr>
          <w:ilvl w:val="0"/>
          <w:numId w:val="124"/>
        </w:numPr>
        <w:spacing w:before="100" w:beforeAutospacing="1" w:after="100" w:afterAutospacing="1" w:line="360" w:lineRule="atLeast"/>
        <w:rPr>
          <w:rFonts w:ascii="VIC-Regular" w:hAnsi="VIC-Regular"/>
          <w:color w:val="011A3C"/>
          <w:lang w:val="en"/>
        </w:rPr>
      </w:pPr>
      <w:hyperlink r:id="rId112" w:history="1">
        <w:r w:rsidR="00C53D64" w:rsidRPr="004D307F">
          <w:rPr>
            <w:rStyle w:val="rpl-text-label2"/>
            <w:rFonts w:ascii="VIC-Regular" w:hAnsi="VIC-Regular"/>
            <w:lang w:val="en"/>
          </w:rPr>
          <w:t>Alternative Settings Teachers</w:t>
        </w:r>
      </w:hyperlink>
    </w:p>
    <w:p w14:paraId="62A6C848" w14:textId="77777777" w:rsidR="00C53D64" w:rsidRPr="004D307F" w:rsidRDefault="00901FCB" w:rsidP="00ED0863">
      <w:pPr>
        <w:numPr>
          <w:ilvl w:val="0"/>
          <w:numId w:val="124"/>
        </w:numPr>
        <w:spacing w:before="100" w:beforeAutospacing="1" w:after="100" w:afterAutospacing="1" w:line="360" w:lineRule="atLeast"/>
        <w:rPr>
          <w:rFonts w:ascii="VIC-Regular" w:hAnsi="VIC-Regular"/>
          <w:color w:val="011A3C"/>
          <w:lang w:val="en"/>
        </w:rPr>
      </w:pPr>
      <w:hyperlink r:id="rId113" w:history="1">
        <w:r w:rsidR="00C53D64" w:rsidRPr="004D307F">
          <w:rPr>
            <w:rStyle w:val="rpl-text-label2"/>
            <w:rFonts w:ascii="VIC-Regular" w:hAnsi="VIC-Regular"/>
            <w:lang w:val="en"/>
          </w:rPr>
          <w:t>Ancillary Settings Teachers</w:t>
        </w:r>
      </w:hyperlink>
    </w:p>
    <w:p w14:paraId="335E6D1D" w14:textId="50F6D298" w:rsidR="00C53D64" w:rsidRPr="004D307F" w:rsidRDefault="00901FCB" w:rsidP="00ED0863">
      <w:pPr>
        <w:numPr>
          <w:ilvl w:val="0"/>
          <w:numId w:val="124"/>
        </w:numPr>
        <w:spacing w:before="100" w:beforeAutospacing="1" w:after="100" w:afterAutospacing="1" w:line="360" w:lineRule="atLeast"/>
        <w:rPr>
          <w:rStyle w:val="rpl-text-label2"/>
          <w:rFonts w:ascii="VIC-Regular" w:hAnsi="VIC-Regular"/>
          <w:lang w:val="en"/>
        </w:rPr>
      </w:pPr>
      <w:hyperlink r:id="rId114" w:history="1">
        <w:r w:rsidR="00C53D64" w:rsidRPr="004D307F">
          <w:rPr>
            <w:rStyle w:val="rpl-text-label2"/>
            <w:rFonts w:ascii="VIC-Regular" w:hAnsi="VIC-Regular"/>
            <w:lang w:val="en"/>
          </w:rPr>
          <w:t>Alternative programs — regional grants</w:t>
        </w:r>
      </w:hyperlink>
    </w:p>
    <w:p w14:paraId="27F9FFAA" w14:textId="3ECF3897" w:rsidR="008C0D71" w:rsidRPr="004D307F" w:rsidRDefault="008C0D71" w:rsidP="00ED0863">
      <w:pPr>
        <w:numPr>
          <w:ilvl w:val="0"/>
          <w:numId w:val="124"/>
        </w:numPr>
        <w:spacing w:before="100" w:beforeAutospacing="1" w:after="100" w:afterAutospacing="1" w:line="360" w:lineRule="atLeast"/>
        <w:rPr>
          <w:rStyle w:val="rpl-text-label2"/>
          <w:rFonts w:ascii="VIC-Regular" w:hAnsi="VIC-Regular"/>
          <w:lang w:val="en"/>
        </w:rPr>
      </w:pPr>
      <w:r w:rsidRPr="004D307F">
        <w:rPr>
          <w:rStyle w:val="rpl-text-label2"/>
          <w:rFonts w:ascii="VIC-Regular" w:hAnsi="VIC-Regular"/>
          <w:lang w:val="en"/>
        </w:rPr>
        <w:t>Joint Community Program</w:t>
      </w:r>
    </w:p>
    <w:p w14:paraId="2EBAC61C" w14:textId="78A837D5" w:rsidR="004F70E5" w:rsidRPr="004D307F" w:rsidRDefault="004F70E5" w:rsidP="00ED0863">
      <w:pPr>
        <w:numPr>
          <w:ilvl w:val="0"/>
          <w:numId w:val="124"/>
        </w:numPr>
        <w:spacing w:before="100" w:beforeAutospacing="1" w:after="100" w:afterAutospacing="1" w:line="360" w:lineRule="atLeast"/>
        <w:rPr>
          <w:rStyle w:val="rpl-text-label2"/>
          <w:rFonts w:ascii="VIC-Regular" w:hAnsi="VIC-Regular"/>
          <w:lang w:val="en"/>
        </w:rPr>
      </w:pPr>
      <w:r w:rsidRPr="004D307F">
        <w:rPr>
          <w:rStyle w:val="rpl-text-label2"/>
          <w:rFonts w:ascii="VIC-Regular" w:hAnsi="VIC-Regular"/>
          <w:lang w:val="en"/>
        </w:rPr>
        <w:t>Designated Bilingual Programs</w:t>
      </w:r>
    </w:p>
    <w:p w14:paraId="488CCE25" w14:textId="775B0530" w:rsidR="00C53D64" w:rsidRPr="004D307F" w:rsidRDefault="00C53D64" w:rsidP="00C53D64">
      <w:pPr>
        <w:pStyle w:val="NormalWeb"/>
        <w:spacing w:line="360" w:lineRule="atLeast"/>
        <w:rPr>
          <w:rFonts w:ascii="VIC-Regular" w:hAnsi="VIC-Regular"/>
          <w:color w:val="011A3C"/>
          <w:lang w:val="en"/>
        </w:rPr>
      </w:pPr>
      <w:r w:rsidRPr="004D307F">
        <w:rPr>
          <w:rFonts w:ascii="VIC-Regular" w:hAnsi="VIC-Regular"/>
          <w:color w:val="011A3C"/>
          <w:lang w:val="en"/>
        </w:rPr>
        <w:t>Not all types of funding are available to all schools. Funding is assessed according to school and student need.</w:t>
      </w:r>
      <w:r w:rsidR="00DB1ECE" w:rsidRPr="004D307F">
        <w:rPr>
          <w:rFonts w:ascii="VIC-Regular" w:hAnsi="VIC-Regular"/>
          <w:color w:val="011A3C"/>
          <w:lang w:val="en"/>
        </w:rPr>
        <w:t xml:space="preserve"> The majority of items allocated </w:t>
      </w:r>
      <w:r w:rsidR="001A4359" w:rsidRPr="004D307F">
        <w:rPr>
          <w:rFonts w:ascii="VIC-Regular" w:hAnsi="VIC-Regular"/>
          <w:color w:val="011A3C"/>
          <w:lang w:val="en"/>
        </w:rPr>
        <w:t>are based on regional office advice.</w:t>
      </w:r>
    </w:p>
    <w:p w14:paraId="5CCD4EC3" w14:textId="77777777" w:rsidR="00C53D64" w:rsidRPr="004D307F" w:rsidRDefault="00C53D64" w:rsidP="00C53D64">
      <w:pPr>
        <w:pStyle w:val="NormalWeb"/>
        <w:spacing w:line="360" w:lineRule="atLeast"/>
        <w:rPr>
          <w:rFonts w:ascii="VIC-Regular" w:hAnsi="VIC-Regular"/>
          <w:color w:val="011A3C"/>
          <w:lang w:val="en"/>
        </w:rPr>
      </w:pPr>
      <w:r w:rsidRPr="004D307F">
        <w:rPr>
          <w:rFonts w:ascii="VIC-Regular" w:hAnsi="VIC-Regular"/>
          <w:color w:val="011A3C"/>
          <w:lang w:val="en"/>
        </w:rPr>
        <w:t>Schools are expected to use SRP funds for the purpose for which it was allocated.</w:t>
      </w:r>
    </w:p>
    <w:p w14:paraId="2155FD7F" w14:textId="77777777" w:rsidR="007B0EF6" w:rsidRPr="004D307F" w:rsidRDefault="007B0EF6">
      <w:pPr>
        <w:rPr>
          <w:rFonts w:asciiTheme="majorHAnsi" w:eastAsia="Calibri" w:hAnsiTheme="majorHAnsi" w:cstheme="majorBidi"/>
          <w:b/>
          <w:color w:val="2F5496" w:themeColor="accent1" w:themeShade="BF"/>
          <w:sz w:val="36"/>
          <w:szCs w:val="26"/>
          <w:lang w:val="en" w:eastAsia="en-AU"/>
        </w:rPr>
      </w:pPr>
      <w:r w:rsidRPr="004D307F">
        <w:br w:type="page"/>
      </w:r>
    </w:p>
    <w:p w14:paraId="12E5D9D0" w14:textId="5BAD45A7" w:rsidR="009753DC" w:rsidRPr="004D307F" w:rsidRDefault="009753DC" w:rsidP="00B566E7">
      <w:pPr>
        <w:pStyle w:val="Heading2"/>
      </w:pPr>
      <w:bookmarkStart w:id="68" w:name="_Toc106793775"/>
      <w:r w:rsidRPr="004D307F">
        <w:lastRenderedPageBreak/>
        <w:t>P-12 Complexity Allowance (Reference 38)</w:t>
      </w:r>
      <w:bookmarkEnd w:id="68"/>
    </w:p>
    <w:p w14:paraId="16E1B970" w14:textId="77777777" w:rsidR="009753DC" w:rsidRPr="004D307F" w:rsidRDefault="009753DC" w:rsidP="009753DC">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Approved P-12 colleges (with a full cohort) receive an Administration Complexity Allowance, which recognises the additional complexity involved in managing a P-12 setting.</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The allowance, which is based on the Principal Classification Budget (PCB), is allocated as credit. The P-12 Complexity Allowance is not included for the purpose of determining the PCB.</w:t>
      </w:r>
    </w:p>
    <w:p w14:paraId="49E62F67" w14:textId="77777777" w:rsidR="00735FF8" w:rsidRPr="004D307F" w:rsidRDefault="00735FF8" w:rsidP="00735FF8">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Eligibility</w:t>
      </w:r>
    </w:p>
    <w:p w14:paraId="1EB55511" w14:textId="77777777" w:rsidR="00735FF8" w:rsidRPr="004D307F" w:rsidRDefault="00735FF8" w:rsidP="00735FF8">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with the following school types are eligible for </w:t>
      </w:r>
      <w:r w:rsidRPr="004D307F">
        <w:rPr>
          <w:rFonts w:ascii="VIC" w:eastAsia="Times New Roman" w:hAnsi="VIC" w:cs="Arial"/>
          <w:color w:val="011A3C"/>
          <w:sz w:val="24"/>
          <w:szCs w:val="24"/>
          <w:lang w:val="en" w:eastAsia="en-AU"/>
        </w:rPr>
        <w:t xml:space="preserve">P-12 Complexity </w:t>
      </w:r>
      <w:r w:rsidRPr="004D307F">
        <w:rPr>
          <w:rFonts w:ascii="VIC" w:eastAsia="Times New Roman" w:hAnsi="VIC" w:cs="Times New Roman"/>
          <w:color w:val="011A3C"/>
          <w:sz w:val="24"/>
          <w:szCs w:val="24"/>
          <w:lang w:val="en" w:eastAsia="en-AU"/>
        </w:rPr>
        <w:t>funding at school level:</w:t>
      </w:r>
    </w:p>
    <w:p w14:paraId="2D8D2E11" w14:textId="77777777" w:rsidR="00735FF8" w:rsidRPr="004D307F" w:rsidRDefault="00735FF8" w:rsidP="00ED0863">
      <w:pPr>
        <w:pStyle w:val="ListParagraph"/>
        <w:numPr>
          <w:ilvl w:val="0"/>
          <w:numId w:val="54"/>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Primary/secondary combined</w:t>
      </w:r>
    </w:p>
    <w:p w14:paraId="1C2D0131" w14:textId="00408370" w:rsidR="00735FF8" w:rsidRPr="004D307F" w:rsidRDefault="00735FF8" w:rsidP="00ED0863">
      <w:pPr>
        <w:pStyle w:val="ListParagraph"/>
        <w:numPr>
          <w:ilvl w:val="0"/>
          <w:numId w:val="54"/>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Special</w:t>
      </w:r>
      <w:r w:rsidR="00E14875" w:rsidRPr="004D307F">
        <w:rPr>
          <w:rFonts w:ascii="VIC" w:eastAsia="Times New Roman" w:hAnsi="VIC" w:cs="Times New Roman"/>
          <w:color w:val="011A3C"/>
          <w:sz w:val="24"/>
          <w:szCs w:val="24"/>
          <w:lang w:val="en" w:eastAsia="en-AU"/>
        </w:rPr>
        <w:t>*</w:t>
      </w:r>
    </w:p>
    <w:p w14:paraId="2DB2BC90" w14:textId="350DF25E" w:rsidR="00735FF8" w:rsidRPr="004D307F" w:rsidRDefault="00735FF8" w:rsidP="00FF25C9">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Funding is calculated at the Indicative, Confirmed and Revised cycles, funding is allocated through credit funding.</w:t>
      </w:r>
    </w:p>
    <w:p w14:paraId="5AC0826F" w14:textId="71ED588B" w:rsidR="009753DC" w:rsidRPr="004D307F" w:rsidRDefault="009753DC" w:rsidP="009753DC">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Rates</w:t>
      </w:r>
      <w:r w:rsidRPr="004D307F">
        <w:rPr>
          <w:rFonts w:ascii="Calibri" w:eastAsia="Times New Roman" w:hAnsi="Calibri" w:cs="Calibri" w:hint="eastAsia"/>
          <w:b/>
          <w:bCs/>
          <w:color w:val="011A3C"/>
          <w:sz w:val="27"/>
          <w:szCs w:val="27"/>
          <w:lang w:val="en" w:eastAsia="en-AU"/>
        </w:rPr>
        <w:t> </w:t>
      </w:r>
      <w:r w:rsidRPr="004D307F">
        <w:rPr>
          <w:rFonts w:ascii="VIC" w:eastAsia="Times New Roman" w:hAnsi="VIC" w:cs="Times New Roman"/>
          <w:b/>
          <w:bCs/>
          <w:color w:val="011A3C"/>
          <w:sz w:val="27"/>
          <w:szCs w:val="27"/>
          <w:lang w:val="en" w:eastAsia="en-AU"/>
        </w:rPr>
        <w:t>202</w:t>
      </w:r>
      <w:r w:rsidR="001B2D08" w:rsidRPr="004D307F">
        <w:rPr>
          <w:rFonts w:ascii="VIC" w:eastAsia="Times New Roman" w:hAnsi="VIC" w:cs="Times New Roman"/>
          <w:b/>
          <w:bCs/>
          <w:color w:val="011A3C"/>
          <w:sz w:val="27"/>
          <w:szCs w:val="27"/>
          <w:lang w:val="en" w:eastAsia="en-A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43"/>
        <w:gridCol w:w="4473"/>
      </w:tblGrid>
      <w:tr w:rsidR="009753DC" w:rsidRPr="004D307F" w14:paraId="369B9A05" w14:textId="77777777" w:rsidTr="00D93949">
        <w:trPr>
          <w:tblHeader/>
        </w:trPr>
        <w:tc>
          <w:tcPr>
            <w:tcW w:w="0" w:type="auto"/>
            <w:hideMark/>
          </w:tcPr>
          <w:p w14:paraId="2658D244" w14:textId="77777777" w:rsidR="009753DC" w:rsidRPr="004D307F" w:rsidRDefault="009753DC" w:rsidP="009753DC">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Administration Complexity Allowance ($)</w:t>
            </w:r>
          </w:p>
        </w:tc>
        <w:tc>
          <w:tcPr>
            <w:tcW w:w="0" w:type="auto"/>
            <w:hideMark/>
          </w:tcPr>
          <w:p w14:paraId="388738D2" w14:textId="77777777" w:rsidR="009753DC" w:rsidRPr="004D307F" w:rsidRDefault="009753DC" w:rsidP="009753DC">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Principal Classification Budget (PCB) ($)</w:t>
            </w:r>
          </w:p>
        </w:tc>
      </w:tr>
      <w:tr w:rsidR="009753DC" w:rsidRPr="004D307F" w14:paraId="043CFAA7" w14:textId="77777777" w:rsidTr="00D93949">
        <w:tc>
          <w:tcPr>
            <w:tcW w:w="0" w:type="auto"/>
            <w:hideMark/>
          </w:tcPr>
          <w:p w14:paraId="0A708178" w14:textId="1BABD702" w:rsidR="009753DC" w:rsidRPr="004D307F" w:rsidRDefault="001A4359" w:rsidP="009753DC">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28,839</w:t>
            </w:r>
          </w:p>
        </w:tc>
        <w:tc>
          <w:tcPr>
            <w:tcW w:w="0" w:type="auto"/>
            <w:hideMark/>
          </w:tcPr>
          <w:p w14:paraId="19238F4B" w14:textId="77777777" w:rsidR="009753DC" w:rsidRPr="004D307F" w:rsidRDefault="009753DC" w:rsidP="009753DC">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&lt;1,553,113</w:t>
            </w:r>
          </w:p>
        </w:tc>
      </w:tr>
      <w:tr w:rsidR="009753DC" w:rsidRPr="004D307F" w14:paraId="4BF91442" w14:textId="77777777" w:rsidTr="00D93949">
        <w:tc>
          <w:tcPr>
            <w:tcW w:w="0" w:type="auto"/>
            <w:hideMark/>
          </w:tcPr>
          <w:p w14:paraId="32689A4E" w14:textId="2A64361A" w:rsidR="009753DC" w:rsidRPr="004D307F" w:rsidRDefault="001A4359" w:rsidP="009753DC">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57,666</w:t>
            </w:r>
          </w:p>
        </w:tc>
        <w:tc>
          <w:tcPr>
            <w:tcW w:w="0" w:type="auto"/>
            <w:hideMark/>
          </w:tcPr>
          <w:p w14:paraId="71F480AB" w14:textId="617C5D22" w:rsidR="009753DC" w:rsidRPr="004D307F" w:rsidRDefault="009753DC" w:rsidP="009753DC">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1,553,11</w:t>
            </w:r>
            <w:r w:rsidR="00543B08" w:rsidRPr="004D307F">
              <w:rPr>
                <w:rFonts w:ascii="VIC" w:eastAsia="Times New Roman" w:hAnsi="VIC" w:cs="Times New Roman"/>
                <w:color w:val="323E4F" w:themeColor="text2" w:themeShade="BF"/>
                <w:sz w:val="24"/>
                <w:szCs w:val="24"/>
                <w:lang w:eastAsia="en-AU"/>
              </w:rPr>
              <w:t>4</w:t>
            </w:r>
            <w:r w:rsidRPr="004D307F">
              <w:rPr>
                <w:rFonts w:ascii="VIC" w:eastAsia="Times New Roman" w:hAnsi="VIC" w:cs="Times New Roman"/>
                <w:color w:val="323E4F" w:themeColor="text2" w:themeShade="BF"/>
                <w:sz w:val="24"/>
                <w:szCs w:val="24"/>
                <w:lang w:eastAsia="en-AU"/>
              </w:rPr>
              <w:t xml:space="preserve"> to </w:t>
            </w:r>
            <w:r w:rsidRPr="004D307F">
              <w:rPr>
                <w:rFonts w:ascii="Cambria Math" w:eastAsia="Times New Roman" w:hAnsi="Cambria Math" w:cs="Cambria Math"/>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3,623,933</w:t>
            </w:r>
          </w:p>
        </w:tc>
      </w:tr>
      <w:tr w:rsidR="009753DC" w:rsidRPr="004D307F" w14:paraId="4543185B" w14:textId="77777777" w:rsidTr="00D93949">
        <w:tc>
          <w:tcPr>
            <w:tcW w:w="0" w:type="auto"/>
            <w:hideMark/>
          </w:tcPr>
          <w:p w14:paraId="2D8B16CC" w14:textId="7B0DCB72" w:rsidR="009753DC" w:rsidRPr="004D307F" w:rsidRDefault="001A4359" w:rsidP="009753DC">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86,495</w:t>
            </w:r>
          </w:p>
        </w:tc>
        <w:tc>
          <w:tcPr>
            <w:tcW w:w="0" w:type="auto"/>
            <w:hideMark/>
          </w:tcPr>
          <w:p w14:paraId="4BF65C63" w14:textId="5B42DC68" w:rsidR="009753DC" w:rsidRPr="004D307F" w:rsidRDefault="009753DC" w:rsidP="009753DC">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3,623,93</w:t>
            </w:r>
            <w:r w:rsidR="00543B08" w:rsidRPr="004D307F">
              <w:rPr>
                <w:rFonts w:ascii="VIC" w:eastAsia="Times New Roman" w:hAnsi="VIC" w:cs="Times New Roman"/>
                <w:color w:val="323E4F" w:themeColor="text2" w:themeShade="BF"/>
                <w:sz w:val="24"/>
                <w:szCs w:val="24"/>
                <w:lang w:eastAsia="en-AU"/>
              </w:rPr>
              <w:t>4</w:t>
            </w:r>
            <w:r w:rsidRPr="004D307F">
              <w:rPr>
                <w:rFonts w:ascii="VIC" w:eastAsia="Times New Roman" w:hAnsi="VIC" w:cs="Times New Roman"/>
                <w:color w:val="323E4F" w:themeColor="text2" w:themeShade="BF"/>
                <w:sz w:val="24"/>
                <w:szCs w:val="24"/>
                <w:lang w:eastAsia="en-AU"/>
              </w:rPr>
              <w:t xml:space="preserve"> to </w:t>
            </w:r>
            <w:r w:rsidRPr="004D307F">
              <w:rPr>
                <w:rFonts w:ascii="Cambria Math" w:eastAsia="Times New Roman" w:hAnsi="Cambria Math" w:cs="Cambria Math"/>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9,020,002</w:t>
            </w:r>
          </w:p>
        </w:tc>
      </w:tr>
      <w:tr w:rsidR="009753DC" w:rsidRPr="004D307F" w14:paraId="19494D4D" w14:textId="77777777" w:rsidTr="00D93949">
        <w:tc>
          <w:tcPr>
            <w:tcW w:w="0" w:type="auto"/>
            <w:hideMark/>
          </w:tcPr>
          <w:p w14:paraId="3A0A4575" w14:textId="2F0E75B2" w:rsidR="009753DC" w:rsidRPr="004D307F" w:rsidRDefault="001A4359" w:rsidP="009753DC">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115,335</w:t>
            </w:r>
          </w:p>
        </w:tc>
        <w:tc>
          <w:tcPr>
            <w:tcW w:w="0" w:type="auto"/>
            <w:hideMark/>
          </w:tcPr>
          <w:p w14:paraId="371770A5" w14:textId="77777777" w:rsidR="009753DC" w:rsidRPr="004D307F" w:rsidRDefault="009753DC" w:rsidP="009753DC">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&gt;9,020,002</w:t>
            </w:r>
          </w:p>
        </w:tc>
      </w:tr>
    </w:tbl>
    <w:p w14:paraId="768BF504" w14:textId="45FF08CE" w:rsidR="009753DC" w:rsidRPr="004D307F" w:rsidRDefault="009753DC" w:rsidP="00E14875">
      <w:pPr>
        <w:spacing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b/>
          <w:bCs/>
          <w:color w:val="011A3C"/>
          <w:sz w:val="24"/>
          <w:szCs w:val="24"/>
          <w:lang w:val="en" w:eastAsia="en-AU"/>
        </w:rPr>
        <w:t>Note:</w:t>
      </w:r>
      <w:r w:rsidRPr="004D307F">
        <w:rPr>
          <w:rFonts w:ascii="Calibri" w:eastAsia="Times New Roman" w:hAnsi="Calibri" w:cs="Calibri" w:hint="eastAsia"/>
          <w:b/>
          <w:bCs/>
          <w:color w:val="011A3C"/>
          <w:sz w:val="24"/>
          <w:szCs w:val="24"/>
          <w:lang w:val="en" w:eastAsia="en-AU"/>
        </w:rPr>
        <w:t> </w:t>
      </w:r>
      <w:r w:rsidRPr="004D307F">
        <w:rPr>
          <w:rFonts w:ascii="VIC" w:eastAsia="Times New Roman" w:hAnsi="VIC" w:cs="Times New Roman"/>
          <w:color w:val="011A3C"/>
          <w:sz w:val="24"/>
          <w:szCs w:val="24"/>
          <w:lang w:val="en" w:eastAsia="en-AU"/>
        </w:rPr>
        <w:t>PCB ranges for allocating this allowance will be done during the confirmed and revised</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budget cycles. PCB Ranges are outlined at </w:t>
      </w:r>
      <w:hyperlink r:id="rId115" w:history="1">
        <w:r w:rsidRPr="004D307F">
          <w:rPr>
            <w:rFonts w:ascii="VIC" w:eastAsia="Times New Roman" w:hAnsi="VIC" w:cs="Times New Roman"/>
            <w:color w:val="011A3C"/>
            <w:sz w:val="24"/>
            <w:szCs w:val="24"/>
            <w:lang w:val="en" w:eastAsia="en-AU"/>
          </w:rPr>
          <w:t xml:space="preserve">Career Structure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Teaching Service</w:t>
        </w:r>
      </w:hyperlink>
      <w:r w:rsidRPr="004D307F">
        <w:rPr>
          <w:rFonts w:ascii="VIC" w:eastAsia="Times New Roman" w:hAnsi="VIC" w:cs="Times New Roman"/>
          <w:color w:val="011A3C"/>
          <w:sz w:val="24"/>
          <w:szCs w:val="24"/>
          <w:lang w:val="en" w:eastAsia="en-AU"/>
        </w:rPr>
        <w:t>.</w:t>
      </w:r>
    </w:p>
    <w:p w14:paraId="64019DCF" w14:textId="5234DF1C" w:rsidR="00E14875" w:rsidRPr="004D307F" w:rsidRDefault="00E14875" w:rsidP="00E14875">
      <w:pPr>
        <w:spacing w:after="100" w:afterAutospacing="1" w:line="360" w:lineRule="atLeast"/>
        <w:rPr>
          <w:rFonts w:ascii="VIC" w:eastAsia="Times New Roman" w:hAnsi="VIC" w:cs="Times New Roman"/>
          <w:color w:val="011A3C"/>
          <w:sz w:val="18"/>
          <w:szCs w:val="18"/>
          <w:lang w:val="en" w:eastAsia="en-AU"/>
        </w:rPr>
      </w:pPr>
      <w:r w:rsidRPr="004D307F">
        <w:rPr>
          <w:rFonts w:ascii="VIC" w:eastAsia="Times New Roman" w:hAnsi="VIC" w:cs="Times New Roman"/>
          <w:color w:val="011A3C"/>
          <w:lang w:val="en" w:eastAsia="en-AU"/>
        </w:rPr>
        <w:t>*T</w:t>
      </w:r>
      <w:r w:rsidRPr="004D307F">
        <w:rPr>
          <w:rFonts w:ascii="VIC" w:eastAsia="Times New Roman" w:hAnsi="VIC" w:cs="Times New Roman"/>
          <w:color w:val="011A3C"/>
          <w:sz w:val="20"/>
          <w:szCs w:val="20"/>
          <w:lang w:val="en" w:eastAsia="en-AU"/>
        </w:rPr>
        <w:t>he following special schools are eligible for this allowance</w:t>
      </w:r>
      <w:r w:rsidR="00D5064D" w:rsidRPr="004D307F">
        <w:rPr>
          <w:rFonts w:ascii="VIC" w:eastAsia="Times New Roman" w:hAnsi="VIC" w:cs="Times New Roman"/>
          <w:color w:val="011A3C"/>
          <w:sz w:val="20"/>
          <w:szCs w:val="20"/>
          <w:lang w:val="en" w:eastAsia="en-AU"/>
        </w:rPr>
        <w:t>:</w:t>
      </w:r>
      <w:r w:rsidRPr="004D307F">
        <w:rPr>
          <w:rFonts w:ascii="VIC" w:eastAsia="Times New Roman" w:hAnsi="VIC" w:cs="Times New Roman"/>
          <w:color w:val="011A3C"/>
          <w:sz w:val="20"/>
          <w:szCs w:val="20"/>
          <w:lang w:val="en" w:eastAsia="en-AU"/>
        </w:rPr>
        <w:t xml:space="preserve"> Yarra Me School, The Austin School, Travancore School and Avenues Education.</w:t>
      </w:r>
    </w:p>
    <w:p w14:paraId="72439841" w14:textId="77777777" w:rsidR="009753DC" w:rsidRPr="004D307F" w:rsidRDefault="009753DC" w:rsidP="009753DC">
      <w:pPr>
        <w:rPr>
          <w:rFonts w:ascii="VIC" w:hAnsi="VIC"/>
        </w:rPr>
      </w:pPr>
      <w:r w:rsidRPr="004D307F">
        <w:rPr>
          <w:rFonts w:ascii="VIC" w:hAnsi="VIC"/>
        </w:rPr>
        <w:br w:type="page"/>
      </w:r>
    </w:p>
    <w:p w14:paraId="2634F4EB" w14:textId="4E7EE90D" w:rsidR="009753DC" w:rsidRPr="004D307F" w:rsidRDefault="009753DC" w:rsidP="00B566E7">
      <w:pPr>
        <w:pStyle w:val="Heading2"/>
      </w:pPr>
      <w:bookmarkStart w:id="69" w:name="_Toc106793776"/>
      <w:r w:rsidRPr="004D307F">
        <w:lastRenderedPageBreak/>
        <w:t>Location Index funding (Reference 39)</w:t>
      </w:r>
      <w:bookmarkEnd w:id="69"/>
    </w:p>
    <w:p w14:paraId="65C30E9A" w14:textId="77777777" w:rsidR="003B4C36" w:rsidRPr="004D307F" w:rsidRDefault="003B4C36" w:rsidP="003B4C36">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purpose of this funding line is to offset the costs of non-teaching services in rural schools by supplementing the added costs that rural schools incur for goods and services associated with freight and communications.</w:t>
      </w:r>
    </w:p>
    <w:p w14:paraId="23DB21DA" w14:textId="77777777" w:rsidR="00A12061" w:rsidRPr="004D307F" w:rsidRDefault="003B4C36" w:rsidP="00735FF8">
      <w:pPr>
        <w:spacing w:before="100" w:beforeAutospacing="1" w:after="100" w:afterAutospacing="1" w:line="288" w:lineRule="atLeast"/>
        <w:outlineLvl w:val="2"/>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Funding is provided to schools with campuses meeting the eligibility criteria. Allocations comprise a base component and a per student component, which varies based on the campus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Location Index.</w:t>
      </w:r>
    </w:p>
    <w:p w14:paraId="3548090E" w14:textId="239846A6" w:rsidR="00735FF8" w:rsidRPr="004D307F" w:rsidRDefault="00735FF8" w:rsidP="00735FF8">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Eligibility</w:t>
      </w:r>
    </w:p>
    <w:p w14:paraId="745A2611" w14:textId="77777777" w:rsidR="006A37EC" w:rsidRPr="004D307F" w:rsidRDefault="006A37EC" w:rsidP="006A37EC">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Campuses of the following type and location are eligible for LIF funding: </w:t>
      </w:r>
    </w:p>
    <w:p w14:paraId="70B8AC17" w14:textId="77777777" w:rsidR="00E14875" w:rsidRPr="004D307F" w:rsidRDefault="006A37EC" w:rsidP="00B52991">
      <w:pPr>
        <w:rPr>
          <w:rFonts w:ascii="VIC" w:hAnsi="VIC"/>
          <w:lang w:val="en-US"/>
        </w:rPr>
      </w:pPr>
      <w:r w:rsidRPr="004D307F">
        <w:rPr>
          <w:rFonts w:ascii="VIC" w:eastAsia="Times New Roman" w:hAnsi="VIC" w:cs="Times New Roman"/>
          <w:color w:val="011A3C"/>
          <w:sz w:val="24"/>
          <w:szCs w:val="24"/>
          <w:lang w:val="en" w:eastAsia="en-AU"/>
        </w:rPr>
        <w:t>Campus type:</w:t>
      </w:r>
    </w:p>
    <w:p w14:paraId="5FECD13B" w14:textId="223F47F8" w:rsidR="00735FF8" w:rsidRPr="004D307F" w:rsidRDefault="00735FF8" w:rsidP="00ED0863">
      <w:pPr>
        <w:pStyle w:val="ListParagraph"/>
        <w:numPr>
          <w:ilvl w:val="0"/>
          <w:numId w:val="54"/>
        </w:numPr>
        <w:rPr>
          <w:rFonts w:ascii="VIC" w:hAnsi="VIC"/>
          <w:lang w:val="en-US"/>
        </w:rPr>
      </w:pPr>
      <w:r w:rsidRPr="004D307F">
        <w:rPr>
          <w:rFonts w:ascii="VIC" w:eastAsia="Times New Roman" w:hAnsi="VIC" w:cs="Times New Roman"/>
          <w:color w:val="011A3C"/>
          <w:sz w:val="24"/>
          <w:szCs w:val="24"/>
          <w:lang w:val="en" w:eastAsia="en-AU"/>
        </w:rPr>
        <w:t>Primary</w:t>
      </w:r>
    </w:p>
    <w:p w14:paraId="1B239C67" w14:textId="77777777" w:rsidR="00735FF8" w:rsidRPr="004D307F" w:rsidRDefault="00735FF8" w:rsidP="00ED0863">
      <w:pPr>
        <w:pStyle w:val="ListParagraph"/>
        <w:numPr>
          <w:ilvl w:val="0"/>
          <w:numId w:val="54"/>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Secondary</w:t>
      </w:r>
    </w:p>
    <w:p w14:paraId="4FAEA2DC" w14:textId="77777777" w:rsidR="006A37EC" w:rsidRPr="004D307F" w:rsidRDefault="006A37EC" w:rsidP="00ED0863">
      <w:pPr>
        <w:pStyle w:val="ListParagraph"/>
        <w:numPr>
          <w:ilvl w:val="0"/>
          <w:numId w:val="54"/>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Primary/Secondary Combined</w:t>
      </w:r>
    </w:p>
    <w:p w14:paraId="1FFF2892" w14:textId="77777777" w:rsidR="00735FF8" w:rsidRPr="004D307F" w:rsidRDefault="00735FF8" w:rsidP="00ED0863">
      <w:pPr>
        <w:pStyle w:val="ListParagraph"/>
        <w:numPr>
          <w:ilvl w:val="0"/>
          <w:numId w:val="54"/>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Special</w:t>
      </w:r>
    </w:p>
    <w:p w14:paraId="1AC42DE7" w14:textId="01F1E635" w:rsidR="00735FF8" w:rsidRPr="004D307F" w:rsidRDefault="00735FF8" w:rsidP="00ED0863">
      <w:pPr>
        <w:pStyle w:val="ListParagraph"/>
        <w:numPr>
          <w:ilvl w:val="0"/>
          <w:numId w:val="54"/>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Camp</w:t>
      </w:r>
    </w:p>
    <w:p w14:paraId="38192492" w14:textId="26E1F210" w:rsidR="00436054" w:rsidRPr="004D307F" w:rsidRDefault="00436054" w:rsidP="00ED0863">
      <w:pPr>
        <w:pStyle w:val="ListParagraph"/>
        <w:numPr>
          <w:ilvl w:val="0"/>
          <w:numId w:val="54"/>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Deaf</w:t>
      </w:r>
    </w:p>
    <w:p w14:paraId="36347E05" w14:textId="77777777" w:rsidR="006A37EC" w:rsidRPr="004D307F" w:rsidRDefault="006A37EC" w:rsidP="00141B7F">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Location</w:t>
      </w:r>
    </w:p>
    <w:p w14:paraId="43D7B7BA" w14:textId="77777777" w:rsidR="00141B7F" w:rsidRPr="004D307F" w:rsidRDefault="006A37EC" w:rsidP="00ED0863">
      <w:pPr>
        <w:pStyle w:val="ListParagraph"/>
        <w:numPr>
          <w:ilvl w:val="0"/>
          <w:numId w:val="133"/>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outside the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Major Cities of Australia</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Remoteness Area category, as defined by the Australian Bureau of Statistics (ABS), with reference to the 2016 Accessibility/Remoteness Index of Australia (ARIA)</w:t>
      </w:r>
    </w:p>
    <w:p w14:paraId="2A215A1B" w14:textId="626E7DA9" w:rsidR="00735FF8" w:rsidRPr="004D307F" w:rsidRDefault="00735FF8" w:rsidP="00735FF8">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Funding is calculated at the Indicative, Confirmed and Revised cycles, funding is allocated through cash funding.</w:t>
      </w:r>
    </w:p>
    <w:p w14:paraId="2C39E050" w14:textId="5C8A8FB4" w:rsidR="009753DC" w:rsidRPr="004D307F" w:rsidRDefault="009753DC" w:rsidP="009753DC">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Calculation</w:t>
      </w:r>
    </w:p>
    <w:p w14:paraId="4DB60608" w14:textId="77777777" w:rsidR="006A37EC" w:rsidRPr="004D307F" w:rsidRDefault="006A37EC" w:rsidP="006A37EC">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are funded according to a Location Index. This is comprised of three components:</w:t>
      </w:r>
    </w:p>
    <w:p w14:paraId="5B123CD8" w14:textId="757F05F2" w:rsidR="006A37EC" w:rsidRPr="004D307F" w:rsidRDefault="006A37EC" w:rsidP="00ED0863">
      <w:pPr>
        <w:pStyle w:val="ListParagraph"/>
        <w:numPr>
          <w:ilvl w:val="0"/>
          <w:numId w:val="54"/>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Distance from Melbourne (as measure from GPO)</w:t>
      </w:r>
    </w:p>
    <w:p w14:paraId="65B4FF6F" w14:textId="0EF68C2A" w:rsidR="006A37EC" w:rsidRPr="004D307F" w:rsidRDefault="006A37EC" w:rsidP="00ED0863">
      <w:pPr>
        <w:pStyle w:val="ListParagraph"/>
        <w:numPr>
          <w:ilvl w:val="0"/>
          <w:numId w:val="54"/>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Distance from nearest provincial centre with a population of more than 20,000 people (as measured according to UCL 2016)</w:t>
      </w:r>
    </w:p>
    <w:p w14:paraId="6BB844C6" w14:textId="7A2961AF" w:rsidR="006A37EC" w:rsidRPr="004D307F" w:rsidRDefault="006A37EC" w:rsidP="00ED0863">
      <w:pPr>
        <w:pStyle w:val="ListParagraph"/>
        <w:numPr>
          <w:ilvl w:val="0"/>
          <w:numId w:val="54"/>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 xml:space="preserve">The nearest primary or secondary campus, as appropriate, above the rural school size adjustment factor threshold. </w:t>
      </w:r>
    </w:p>
    <w:p w14:paraId="28D0ABF7" w14:textId="77777777" w:rsidR="006A37EC" w:rsidRPr="004D307F" w:rsidRDefault="006A37EC" w:rsidP="006A37EC">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Note: Nearest campus required to have some of same enrolment type and have enrolments above RSAF thresholds.</w:t>
      </w:r>
    </w:p>
    <w:p w14:paraId="0FD5F93A" w14:textId="20956B77" w:rsidR="006A37EC" w:rsidRPr="004D307F" w:rsidRDefault="006A37EC" w:rsidP="006A37EC">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Each of these three factors are given an equal weighting. The Location Index is then constructed relative to the campus in Victoria with highest total of distances. </w:t>
      </w:r>
    </w:p>
    <w:p w14:paraId="4DA300E2" w14:textId="77777777" w:rsidR="006A37EC" w:rsidRPr="004D307F" w:rsidRDefault="006A37EC" w:rsidP="006A37EC">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Each eligible school campus receives a base allocation plus a per student allocation. </w:t>
      </w:r>
    </w:p>
    <w:p w14:paraId="38E66C59" w14:textId="77777777" w:rsidR="006A37EC" w:rsidRPr="004D307F" w:rsidRDefault="006A37EC" w:rsidP="006A37EC">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Primary Enrolment Allocation</w:t>
      </w:r>
    </w:p>
    <w:p w14:paraId="7AD772D6" w14:textId="77777777" w:rsidR="006A37EC" w:rsidRPr="004D307F" w:rsidRDefault="006A37EC" w:rsidP="00141B7F">
      <w:pPr>
        <w:rPr>
          <w:rFonts w:ascii="VIC" w:hAnsi="VIC"/>
          <w:color w:val="323E4F" w:themeColor="text2" w:themeShade="BF"/>
          <w:lang w:val="en" w:eastAsia="en-AU"/>
        </w:rPr>
      </w:pPr>
      <w:r w:rsidRPr="004D307F">
        <w:rPr>
          <w:rFonts w:ascii="VIC" w:hAnsi="VIC"/>
          <w:color w:val="323E4F" w:themeColor="text2" w:themeShade="BF"/>
          <w:lang w:val="en" w:eastAsia="en-AU"/>
        </w:rPr>
        <w:t>Allocation = Base + (Location Index × [Primary Student Enrolment] × [Per student Rate]).</w:t>
      </w:r>
    </w:p>
    <w:p w14:paraId="3CDB93E7" w14:textId="77777777" w:rsidR="006A37EC" w:rsidRPr="004D307F" w:rsidRDefault="006A37EC" w:rsidP="00141B7F">
      <w:pPr>
        <w:rPr>
          <w:rFonts w:ascii="VIC" w:hAnsi="VIC"/>
          <w:color w:val="323E4F" w:themeColor="text2" w:themeShade="BF"/>
          <w:lang w:val="en" w:eastAsia="en-AU"/>
        </w:rPr>
      </w:pPr>
      <w:r w:rsidRPr="004D307F">
        <w:rPr>
          <w:rFonts w:ascii="VIC" w:hAnsi="VIC"/>
          <w:color w:val="323E4F" w:themeColor="text2" w:themeShade="BF"/>
          <w:lang w:val="en" w:eastAsia="en-AU"/>
        </w:rPr>
        <w:t>Note: Enrolments are capped at 300 primary students.</w:t>
      </w:r>
    </w:p>
    <w:p w14:paraId="18C0217C" w14:textId="77777777" w:rsidR="006A37EC" w:rsidRPr="004D307F" w:rsidRDefault="006A37EC" w:rsidP="006A37EC">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Secondary Enrolment Allocation</w:t>
      </w:r>
    </w:p>
    <w:p w14:paraId="1DD163DF" w14:textId="77777777" w:rsidR="006A37EC" w:rsidRPr="004D307F" w:rsidRDefault="006A37EC" w:rsidP="00141B7F">
      <w:pPr>
        <w:rPr>
          <w:rFonts w:ascii="VIC" w:hAnsi="VIC"/>
          <w:color w:val="323E4F" w:themeColor="text2" w:themeShade="BF"/>
          <w:lang w:val="en" w:eastAsia="en-AU"/>
        </w:rPr>
      </w:pPr>
      <w:r w:rsidRPr="004D307F">
        <w:rPr>
          <w:rFonts w:ascii="VIC" w:hAnsi="VIC"/>
          <w:color w:val="323E4F" w:themeColor="text2" w:themeShade="BF"/>
          <w:lang w:val="en" w:eastAsia="en-AU"/>
        </w:rPr>
        <w:t>Allocation = Base + (Location Index × [Secondary Student Enrolment] × [Per student Rate])</w:t>
      </w:r>
    </w:p>
    <w:p w14:paraId="185B0F6A" w14:textId="15DA5E2D" w:rsidR="001E0162" w:rsidRPr="004D307F" w:rsidRDefault="006A37EC" w:rsidP="00141B7F">
      <w:pPr>
        <w:rPr>
          <w:rFonts w:ascii="VIC" w:hAnsi="VIC"/>
          <w:color w:val="323E4F" w:themeColor="text2" w:themeShade="BF"/>
          <w:lang w:val="en" w:eastAsia="en-AU"/>
        </w:rPr>
      </w:pPr>
      <w:r w:rsidRPr="004D307F">
        <w:rPr>
          <w:rFonts w:ascii="VIC" w:hAnsi="VIC"/>
          <w:color w:val="323E4F" w:themeColor="text2" w:themeShade="BF"/>
          <w:lang w:val="en" w:eastAsia="en-AU"/>
        </w:rPr>
        <w:t xml:space="preserve">Note: Enrolments are capped at 500 secondary students. </w:t>
      </w:r>
    </w:p>
    <w:p w14:paraId="755B9127" w14:textId="7D878AA4" w:rsidR="00BF0EE8" w:rsidRPr="004D307F" w:rsidRDefault="00141B7F" w:rsidP="006A37EC">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Campuses</w:t>
      </w:r>
      <w:r w:rsidR="00BF0EE8" w:rsidRPr="004D307F">
        <w:rPr>
          <w:rFonts w:ascii="VIC" w:eastAsia="Times New Roman" w:hAnsi="VIC" w:cs="Times New Roman"/>
          <w:color w:val="011A3C"/>
          <w:sz w:val="24"/>
          <w:szCs w:val="24"/>
          <w:lang w:val="en" w:eastAsia="en-AU"/>
        </w:rPr>
        <w:t xml:space="preserve"> with Primary and Secondary </w:t>
      </w:r>
      <w:r w:rsidR="00B125AF" w:rsidRPr="004D307F">
        <w:rPr>
          <w:rFonts w:ascii="VIC" w:eastAsia="Times New Roman" w:hAnsi="VIC" w:cs="Times New Roman"/>
          <w:color w:val="011A3C"/>
          <w:sz w:val="24"/>
          <w:szCs w:val="24"/>
          <w:lang w:val="en" w:eastAsia="en-AU"/>
        </w:rPr>
        <w:t>enrolments</w:t>
      </w:r>
      <w:r w:rsidR="00BF0EE8" w:rsidRPr="004D307F">
        <w:rPr>
          <w:rFonts w:ascii="VIC" w:eastAsia="Times New Roman" w:hAnsi="VIC" w:cs="Times New Roman"/>
          <w:color w:val="011A3C"/>
          <w:sz w:val="24"/>
          <w:szCs w:val="24"/>
          <w:lang w:val="en" w:eastAsia="en-AU"/>
        </w:rPr>
        <w:t xml:space="preserve"> receive the Primary and Secondary allocation.</w:t>
      </w:r>
    </w:p>
    <w:p w14:paraId="0352D635" w14:textId="396AC8CE" w:rsidR="009753DC" w:rsidRPr="004D307F" w:rsidRDefault="009753DC" w:rsidP="00141B7F">
      <w:pPr>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Rates 202</w:t>
      </w:r>
      <w:r w:rsidR="00786EBB" w:rsidRPr="004D307F">
        <w:rPr>
          <w:rFonts w:ascii="VIC" w:eastAsia="Times New Roman" w:hAnsi="VIC" w:cs="Times New Roman"/>
          <w:b/>
          <w:bCs/>
          <w:color w:val="011A3C"/>
          <w:sz w:val="24"/>
          <w:szCs w:val="24"/>
          <w:lang w:val="en" w:eastAsia="en-AU"/>
        </w:rPr>
        <w:t>2</w:t>
      </w:r>
    </w:p>
    <w:p w14:paraId="2983D401" w14:textId="1611C9FA" w:rsidR="00141B7F" w:rsidRPr="004D307F" w:rsidRDefault="009753DC" w:rsidP="00ED0863">
      <w:pPr>
        <w:pStyle w:val="ListParagraph"/>
        <w:numPr>
          <w:ilvl w:val="0"/>
          <w:numId w:val="132"/>
        </w:numPr>
        <w:rPr>
          <w:rFonts w:ascii="VIC" w:hAnsi="VIC"/>
          <w:color w:val="323E4F" w:themeColor="text2" w:themeShade="BF"/>
          <w:lang w:val="en" w:eastAsia="en-AU"/>
        </w:rPr>
      </w:pPr>
      <w:r w:rsidRPr="004D307F">
        <w:rPr>
          <w:rFonts w:ascii="VIC" w:hAnsi="VIC"/>
          <w:color w:val="323E4F" w:themeColor="text2" w:themeShade="BF"/>
          <w:lang w:val="en" w:eastAsia="en-AU"/>
        </w:rPr>
        <w:t xml:space="preserve">Base </w:t>
      </w:r>
      <w:r w:rsidRPr="004D307F">
        <w:rPr>
          <w:rFonts w:ascii="VIC" w:hAnsi="VIC" w:hint="eastAsia"/>
          <w:color w:val="323E4F" w:themeColor="text2" w:themeShade="BF"/>
          <w:lang w:val="en" w:eastAsia="en-AU"/>
        </w:rPr>
        <w:t>—</w:t>
      </w:r>
      <w:r w:rsidRPr="004D307F">
        <w:rPr>
          <w:rFonts w:ascii="VIC" w:hAnsi="VIC"/>
          <w:color w:val="323E4F" w:themeColor="text2" w:themeShade="BF"/>
          <w:lang w:val="en" w:eastAsia="en-AU"/>
        </w:rPr>
        <w:t xml:space="preserve"> </w:t>
      </w:r>
      <w:r w:rsidR="00C16EED" w:rsidRPr="004D307F">
        <w:rPr>
          <w:rFonts w:ascii="VIC" w:hAnsi="VIC"/>
          <w:color w:val="323E4F" w:themeColor="text2" w:themeShade="BF"/>
          <w:lang w:val="en" w:eastAsia="en-AU"/>
        </w:rPr>
        <w:t>$</w:t>
      </w:r>
      <w:r w:rsidR="006A37EC" w:rsidRPr="004D307F">
        <w:rPr>
          <w:rFonts w:ascii="VIC" w:hAnsi="VIC"/>
          <w:color w:val="323E4F" w:themeColor="text2" w:themeShade="BF"/>
          <w:lang w:val="en" w:eastAsia="en-AU"/>
        </w:rPr>
        <w:t>6</w:t>
      </w:r>
      <w:r w:rsidR="00786EBB" w:rsidRPr="004D307F">
        <w:rPr>
          <w:rFonts w:ascii="VIC" w:hAnsi="VIC"/>
          <w:color w:val="323E4F" w:themeColor="text2" w:themeShade="BF"/>
          <w:lang w:val="en" w:eastAsia="en-AU"/>
        </w:rPr>
        <w:t>7</w:t>
      </w:r>
      <w:r w:rsidR="006A37EC" w:rsidRPr="004D307F">
        <w:rPr>
          <w:rFonts w:ascii="VIC" w:hAnsi="VIC"/>
          <w:color w:val="323E4F" w:themeColor="text2" w:themeShade="BF"/>
          <w:lang w:val="en" w:eastAsia="en-AU"/>
        </w:rPr>
        <w:t>7.7</w:t>
      </w:r>
      <w:r w:rsidR="00786EBB" w:rsidRPr="004D307F">
        <w:rPr>
          <w:rFonts w:ascii="VIC" w:hAnsi="VIC"/>
          <w:color w:val="323E4F" w:themeColor="text2" w:themeShade="BF"/>
          <w:lang w:val="en" w:eastAsia="en-AU"/>
        </w:rPr>
        <w:t>6</w:t>
      </w:r>
    </w:p>
    <w:p w14:paraId="6E8A22CE" w14:textId="437E3271" w:rsidR="009753DC" w:rsidRPr="004D307F" w:rsidRDefault="009753DC" w:rsidP="00ED0863">
      <w:pPr>
        <w:pStyle w:val="ListParagraph"/>
        <w:numPr>
          <w:ilvl w:val="0"/>
          <w:numId w:val="132"/>
        </w:numPr>
        <w:rPr>
          <w:rFonts w:ascii="VIC" w:hAnsi="VIC"/>
          <w:color w:val="323E4F" w:themeColor="text2" w:themeShade="BF"/>
          <w:lang w:val="en" w:eastAsia="en-AU"/>
        </w:rPr>
      </w:pPr>
      <w:r w:rsidRPr="004D307F">
        <w:rPr>
          <w:rFonts w:ascii="VIC" w:hAnsi="VIC"/>
          <w:color w:val="323E4F" w:themeColor="text2" w:themeShade="BF"/>
          <w:lang w:val="en" w:eastAsia="en-AU"/>
        </w:rPr>
        <w:t xml:space="preserve">Per Student Rate </w:t>
      </w:r>
      <w:r w:rsidRPr="004D307F">
        <w:rPr>
          <w:rFonts w:ascii="VIC" w:hAnsi="VIC" w:hint="eastAsia"/>
          <w:color w:val="323E4F" w:themeColor="text2" w:themeShade="BF"/>
          <w:lang w:val="en" w:eastAsia="en-AU"/>
        </w:rPr>
        <w:t>—</w:t>
      </w:r>
      <w:r w:rsidRPr="004D307F">
        <w:rPr>
          <w:rFonts w:ascii="VIC" w:hAnsi="VIC"/>
          <w:color w:val="323E4F" w:themeColor="text2" w:themeShade="BF"/>
          <w:lang w:val="en" w:eastAsia="en-AU"/>
        </w:rPr>
        <w:t xml:space="preserve"> </w:t>
      </w:r>
      <w:r w:rsidR="00C16EED" w:rsidRPr="004D307F">
        <w:rPr>
          <w:rFonts w:ascii="VIC" w:hAnsi="VIC"/>
          <w:color w:val="323E4F" w:themeColor="text2" w:themeShade="BF"/>
          <w:lang w:val="en" w:eastAsia="en-AU"/>
        </w:rPr>
        <w:t>$</w:t>
      </w:r>
      <w:r w:rsidR="006A37EC" w:rsidRPr="004D307F">
        <w:rPr>
          <w:rFonts w:ascii="VIC" w:hAnsi="VIC"/>
          <w:color w:val="323E4F" w:themeColor="text2" w:themeShade="BF"/>
          <w:lang w:val="en" w:eastAsia="en-AU"/>
        </w:rPr>
        <w:t>10</w:t>
      </w:r>
      <w:r w:rsidR="00786EBB" w:rsidRPr="004D307F">
        <w:rPr>
          <w:rFonts w:ascii="VIC" w:hAnsi="VIC"/>
          <w:color w:val="323E4F" w:themeColor="text2" w:themeShade="BF"/>
          <w:lang w:val="en" w:eastAsia="en-AU"/>
        </w:rPr>
        <w:t>7.26</w:t>
      </w:r>
    </w:p>
    <w:p w14:paraId="407C59FB" w14:textId="78FB35A0" w:rsidR="006A37EC" w:rsidRPr="004D307F" w:rsidRDefault="002A62F7" w:rsidP="002A62F7">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O</w:t>
      </w:r>
      <w:r w:rsidR="006A37EC" w:rsidRPr="004D307F">
        <w:rPr>
          <w:rFonts w:ascii="VIC" w:eastAsia="Times New Roman" w:hAnsi="VIC" w:cs="Times New Roman"/>
          <w:b/>
          <w:bCs/>
          <w:color w:val="011A3C"/>
          <w:sz w:val="24"/>
          <w:szCs w:val="24"/>
          <w:lang w:val="en" w:eastAsia="en-AU"/>
        </w:rPr>
        <w:t>ther relevant information</w:t>
      </w:r>
      <w:r w:rsidRPr="004D307F">
        <w:rPr>
          <w:rFonts w:ascii="VIC" w:eastAsia="Times New Roman" w:hAnsi="VIC" w:cs="Times New Roman"/>
          <w:b/>
          <w:bCs/>
          <w:color w:val="011A3C"/>
          <w:sz w:val="24"/>
          <w:szCs w:val="24"/>
          <w:lang w:val="en" w:eastAsia="en-AU"/>
        </w:rPr>
        <w:t>:</w:t>
      </w:r>
    </w:p>
    <w:p w14:paraId="7D94CDE4" w14:textId="77777777" w:rsidR="006A37EC" w:rsidRPr="004D307F" w:rsidRDefault="006A37EC" w:rsidP="006A37EC">
      <w:pPr>
        <w:rPr>
          <w:rFonts w:ascii="VIC" w:eastAsia="Times New Roman" w:hAnsi="VIC" w:cs="Times New Roman"/>
          <w:color w:val="011A3C"/>
          <w:sz w:val="24"/>
          <w:szCs w:val="24"/>
          <w:lang w:val="en" w:eastAsia="en-AU"/>
        </w:rPr>
      </w:pPr>
      <w:bookmarkStart w:id="70" w:name="_Hlk81832381"/>
      <w:r w:rsidRPr="004D307F">
        <w:rPr>
          <w:rFonts w:ascii="VIC" w:eastAsia="Times New Roman" w:hAnsi="VIC" w:cs="Times New Roman"/>
          <w:color w:val="011A3C"/>
          <w:sz w:val="24"/>
          <w:szCs w:val="24"/>
          <w:lang w:val="en" w:eastAsia="en-AU"/>
        </w:rPr>
        <w:t>It is intended that location measures will be updated with the release of new ABS data every 5 years. The next release is scheduled in 2021.</w:t>
      </w:r>
    </w:p>
    <w:bookmarkEnd w:id="70"/>
    <w:p w14:paraId="65A382ED" w14:textId="77777777" w:rsidR="006A37EC" w:rsidRPr="004D307F" w:rsidRDefault="006A37EC" w:rsidP="006A37EC">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All distances are measured via road.</w:t>
      </w:r>
    </w:p>
    <w:p w14:paraId="2CA0BBB7" w14:textId="77777777" w:rsidR="006A37EC" w:rsidRPr="004D307F" w:rsidRDefault="006A37EC" w:rsidP="006A37EC">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ARIA+ is a continuous index, which the ABS uses to define the Remoteness Area categories, including: Major Cities of Australia, Inner Regional Australia, Outer Regional Australia, Remote Australia and Very Remote Australia. </w:t>
      </w:r>
      <w:r w:rsidRPr="004D307F">
        <w:rPr>
          <w:rFonts w:ascii="VIC" w:eastAsia="Times New Roman" w:hAnsi="VIC" w:cs="Times New Roman"/>
          <w:color w:val="011A3C"/>
          <w:sz w:val="24"/>
          <w:szCs w:val="24"/>
          <w:lang w:val="en" w:eastAsia="en-AU"/>
        </w:rPr>
        <w:lastRenderedPageBreak/>
        <w:t>These categories of remoteness are based on a measure of relative access to services. Further information can be found here.</w:t>
      </w:r>
    </w:p>
    <w:p w14:paraId="27E57010" w14:textId="3E095185" w:rsidR="006A37EC" w:rsidRPr="004D307F" w:rsidRDefault="006A37EC" w:rsidP="006A37EC">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To determine a campus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Remoteness Area category and UCL boundary, use the ABS map tool located </w:t>
      </w:r>
      <w:hyperlink r:id="rId116" w:history="1">
        <w:r w:rsidRPr="004D307F">
          <w:rPr>
            <w:rFonts w:ascii="VIC" w:eastAsia="Times New Roman" w:hAnsi="VIC" w:cs="Times New Roman"/>
            <w:color w:val="011A3C"/>
            <w:sz w:val="24"/>
            <w:szCs w:val="24"/>
            <w:lang w:val="en" w:eastAsia="en-AU"/>
          </w:rPr>
          <w:t>here</w:t>
        </w:r>
      </w:hyperlink>
      <w:r w:rsidRPr="004D307F">
        <w:rPr>
          <w:rFonts w:ascii="VIC" w:eastAsia="Times New Roman" w:hAnsi="VIC" w:cs="Times New Roman"/>
          <w:color w:val="011A3C"/>
          <w:sz w:val="24"/>
          <w:szCs w:val="24"/>
          <w:lang w:val="en" w:eastAsia="en-AU"/>
        </w:rPr>
        <w:t>.</w:t>
      </w:r>
    </w:p>
    <w:p w14:paraId="06893D1A" w14:textId="3922283E" w:rsidR="00BB1A60" w:rsidRPr="004D307F" w:rsidRDefault="00BB1A60" w:rsidP="006A37EC">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required steps to determine a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geographic parameters are located </w:t>
      </w:r>
      <w:hyperlink r:id="rId117" w:history="1">
        <w:r w:rsidRPr="004D307F">
          <w:rPr>
            <w:rFonts w:ascii="VIC" w:hAnsi="VIC" w:cs="Times New Roman"/>
            <w:color w:val="011A3C"/>
            <w:lang w:val="en"/>
          </w:rPr>
          <w:t>here</w:t>
        </w:r>
      </w:hyperlink>
      <w:r w:rsidRPr="004D307F">
        <w:rPr>
          <w:rFonts w:ascii="VIC" w:eastAsia="Times New Roman" w:hAnsi="VIC" w:cs="Times New Roman"/>
          <w:color w:val="011A3C"/>
          <w:sz w:val="24"/>
          <w:szCs w:val="24"/>
          <w:lang w:val="en" w:eastAsia="en-AU"/>
        </w:rPr>
        <w:t>.</w:t>
      </w:r>
    </w:p>
    <w:p w14:paraId="287A0855" w14:textId="3DAD2BB8" w:rsidR="00B25992" w:rsidRPr="004D307F" w:rsidRDefault="00B25992" w:rsidP="00B25992">
      <w:pPr>
        <w:rPr>
          <w:rFonts w:ascii="VIC" w:eastAsia="Times New Roman" w:hAnsi="VIC" w:cs="Times New Roman"/>
          <w:color w:val="011A3C"/>
          <w:sz w:val="24"/>
          <w:szCs w:val="24"/>
          <w:lang w:val="en" w:eastAsia="en-AU"/>
        </w:rPr>
      </w:pPr>
      <w:bookmarkStart w:id="71" w:name="_Hlk50546739"/>
      <w:r w:rsidRPr="004D307F">
        <w:rPr>
          <w:rFonts w:ascii="VIC" w:eastAsia="Times New Roman" w:hAnsi="VIC" w:cs="Times New Roman"/>
          <w:color w:val="011A3C"/>
          <w:sz w:val="24"/>
          <w:szCs w:val="24"/>
          <w:lang w:val="en" w:eastAsia="en-AU"/>
        </w:rPr>
        <w:t>Additionally, schools that may be eligible for transition should refer to:</w:t>
      </w:r>
    </w:p>
    <w:p w14:paraId="1FEF0EA9" w14:textId="1D4B3E22" w:rsidR="009753DC" w:rsidRPr="004D307F" w:rsidRDefault="00B25992" w:rsidP="009753DC">
      <w:r w:rsidRPr="004D307F">
        <w:rPr>
          <w:rFonts w:ascii="VIC" w:eastAsia="Times New Roman" w:hAnsi="VIC" w:cs="Times New Roman"/>
          <w:color w:val="011A3C"/>
          <w:sz w:val="24"/>
          <w:szCs w:val="24"/>
          <w:lang w:val="en" w:eastAsia="en-AU"/>
        </w:rPr>
        <w:t>Transition Funding (Rural) (Ref 126)</w:t>
      </w:r>
      <w:bookmarkEnd w:id="71"/>
      <w:r w:rsidR="009753DC" w:rsidRPr="004D307F">
        <w:br w:type="page"/>
      </w:r>
    </w:p>
    <w:p w14:paraId="31121E98" w14:textId="0BBC9624" w:rsidR="009753DC" w:rsidRPr="004D307F" w:rsidRDefault="009753DC" w:rsidP="00B566E7">
      <w:pPr>
        <w:pStyle w:val="Heading2"/>
      </w:pPr>
      <w:bookmarkStart w:id="72" w:name="_Toc106793777"/>
      <w:r w:rsidRPr="004D307F">
        <w:lastRenderedPageBreak/>
        <w:t>MARC/MACC Teachers</w:t>
      </w:r>
      <w:r w:rsidR="006865F7" w:rsidRPr="004D307F">
        <w:t xml:space="preserve"> </w:t>
      </w:r>
      <w:r w:rsidRPr="004D307F">
        <w:t>(Reference 40)</w:t>
      </w:r>
      <w:bookmarkEnd w:id="72"/>
    </w:p>
    <w:p w14:paraId="1F2C85B6" w14:textId="0C110F0E" w:rsidR="009753DC" w:rsidRPr="004D307F" w:rsidRDefault="009753DC" w:rsidP="009753DC">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w:t>
      </w:r>
      <w:r w:rsidR="007A1176" w:rsidRPr="004D307F">
        <w:rPr>
          <w:rFonts w:ascii="VIC" w:eastAsia="Times New Roman" w:hAnsi="VIC" w:cs="Times New Roman"/>
          <w:color w:val="011A3C"/>
          <w:sz w:val="24"/>
          <w:szCs w:val="24"/>
          <w:lang w:val="en" w:eastAsia="en-AU"/>
        </w:rPr>
        <w:t xml:space="preserve">allocation </w:t>
      </w:r>
      <w:r w:rsidRPr="004D307F">
        <w:rPr>
          <w:rFonts w:ascii="VIC" w:eastAsia="Times New Roman" w:hAnsi="VIC" w:cs="Times New Roman"/>
          <w:color w:val="011A3C"/>
          <w:sz w:val="24"/>
          <w:szCs w:val="24"/>
          <w:lang w:val="en" w:eastAsia="en-AU"/>
        </w:rPr>
        <w:t xml:space="preserve">for </w:t>
      </w:r>
      <w:r w:rsidR="007A1176" w:rsidRPr="004D307F">
        <w:rPr>
          <w:rFonts w:ascii="VIC" w:eastAsia="Times New Roman" w:hAnsi="VIC" w:cs="Times New Roman"/>
          <w:color w:val="011A3C"/>
          <w:sz w:val="24"/>
          <w:szCs w:val="24"/>
          <w:lang w:val="en" w:eastAsia="en-AU"/>
        </w:rPr>
        <w:t xml:space="preserve">Mobile Area Resource Centre (MARC) and the Mobile Art Craft Centre (MACC) Program </w:t>
      </w:r>
      <w:r w:rsidRPr="004D307F">
        <w:rPr>
          <w:rFonts w:ascii="VIC" w:eastAsia="Times New Roman" w:hAnsi="VIC" w:cs="Times New Roman"/>
          <w:color w:val="011A3C"/>
          <w:sz w:val="24"/>
          <w:szCs w:val="24"/>
          <w:lang w:val="en" w:eastAsia="en-AU"/>
        </w:rPr>
        <w:t xml:space="preserve">is based on a teacher EFT and the funding rates are all-inclusive for salaries and related </w:t>
      </w:r>
      <w:r w:rsidR="007A1176" w:rsidRPr="004D307F">
        <w:rPr>
          <w:rFonts w:ascii="VIC" w:eastAsia="Times New Roman" w:hAnsi="VIC" w:cs="Times New Roman"/>
          <w:color w:val="011A3C"/>
          <w:sz w:val="24"/>
          <w:szCs w:val="24"/>
          <w:lang w:val="en" w:eastAsia="en-AU"/>
        </w:rPr>
        <w:t>on</w:t>
      </w:r>
      <w:r w:rsidRPr="004D307F">
        <w:rPr>
          <w:rFonts w:ascii="VIC" w:eastAsia="Times New Roman" w:hAnsi="VIC" w:cs="Times New Roman"/>
          <w:color w:val="011A3C"/>
          <w:sz w:val="24"/>
          <w:szCs w:val="24"/>
          <w:lang w:val="en" w:eastAsia="en-AU"/>
        </w:rPr>
        <w:t>costs.</w:t>
      </w:r>
    </w:p>
    <w:p w14:paraId="5EA3235B" w14:textId="77777777" w:rsidR="007A1176" w:rsidRPr="004D307F" w:rsidRDefault="007A1176" w:rsidP="007A1176">
      <w:pPr>
        <w:spacing w:before="100" w:beforeAutospacing="1" w:after="100" w:afterAutospacing="1" w:line="360" w:lineRule="atLeast"/>
        <w:rPr>
          <w:rFonts w:ascii="VIC" w:eastAsia="Times New Roman" w:hAnsi="VIC" w:cs="Times New Roman"/>
          <w:color w:val="011A3C"/>
          <w:sz w:val="24"/>
          <w:szCs w:val="24"/>
          <w:lang w:val="en-GB" w:eastAsia="en-AU"/>
        </w:rPr>
      </w:pPr>
      <w:r w:rsidRPr="004D307F">
        <w:rPr>
          <w:rFonts w:ascii="VIC" w:eastAsia="Times New Roman" w:hAnsi="VIC" w:cs="Times New Roman"/>
          <w:color w:val="011A3C"/>
          <w:sz w:val="24"/>
          <w:szCs w:val="24"/>
          <w:lang w:val="en-GB" w:eastAsia="en-AU"/>
        </w:rPr>
        <w:t>MARC/MACC services enable small rural and regional schools to provide students with access to a broader range of texts and educational resources. MARC services provide literacy-based programs while MACC services provide art-based programs.</w:t>
      </w:r>
    </w:p>
    <w:p w14:paraId="33904668" w14:textId="77777777" w:rsidR="007A1176" w:rsidRPr="004D307F" w:rsidRDefault="007A1176" w:rsidP="007A1176">
      <w:pPr>
        <w:spacing w:before="100" w:beforeAutospacing="1" w:after="100" w:afterAutospacing="1" w:line="360" w:lineRule="atLeast"/>
        <w:rPr>
          <w:rFonts w:ascii="VIC" w:eastAsia="Times New Roman" w:hAnsi="VIC" w:cs="Times New Roman"/>
          <w:color w:val="011A3C"/>
          <w:sz w:val="24"/>
          <w:szCs w:val="24"/>
          <w:lang w:val="en-GB" w:eastAsia="en-AU"/>
        </w:rPr>
      </w:pPr>
      <w:r w:rsidRPr="004D307F">
        <w:rPr>
          <w:rFonts w:ascii="VIC" w:eastAsia="Times New Roman" w:hAnsi="VIC" w:cs="Times New Roman"/>
          <w:color w:val="011A3C"/>
          <w:sz w:val="24"/>
          <w:szCs w:val="24"/>
          <w:lang w:val="en-GB" w:eastAsia="en-AU"/>
        </w:rPr>
        <w:t xml:space="preserve">MARC/MACC teachers work collaboratively with serviced schools to increase opportunities for students and, improve learning outcomes and engagement in relevant curriculum areas. </w:t>
      </w:r>
    </w:p>
    <w:p w14:paraId="40E9D049" w14:textId="77777777" w:rsidR="007A1176" w:rsidRPr="004D307F" w:rsidRDefault="007A1176" w:rsidP="007A1176">
      <w:pPr>
        <w:spacing w:before="100" w:beforeAutospacing="1" w:after="100" w:afterAutospacing="1" w:line="360" w:lineRule="atLeast"/>
        <w:rPr>
          <w:rFonts w:ascii="VIC" w:eastAsia="Times New Roman" w:hAnsi="VIC" w:cs="Times New Roman"/>
          <w:b/>
          <w:bCs/>
          <w:color w:val="011A3C"/>
          <w:sz w:val="24"/>
          <w:szCs w:val="24"/>
          <w:lang w:val="en-GB" w:eastAsia="en-AU"/>
        </w:rPr>
      </w:pPr>
      <w:r w:rsidRPr="004D307F">
        <w:rPr>
          <w:rFonts w:ascii="VIC" w:eastAsia="Times New Roman" w:hAnsi="VIC" w:cs="Times New Roman"/>
          <w:b/>
          <w:bCs/>
          <w:color w:val="011A3C"/>
          <w:sz w:val="24"/>
          <w:szCs w:val="24"/>
          <w:lang w:val="en-GB" w:eastAsia="en-AU"/>
        </w:rPr>
        <w:t>MARC/MACC:</w:t>
      </w:r>
    </w:p>
    <w:p w14:paraId="64E84574" w14:textId="77777777" w:rsidR="007A1176" w:rsidRPr="004D307F" w:rsidRDefault="007A1176" w:rsidP="00ED0863">
      <w:pPr>
        <w:numPr>
          <w:ilvl w:val="0"/>
          <w:numId w:val="141"/>
        </w:numPr>
        <w:spacing w:before="100" w:beforeAutospacing="1" w:after="100" w:afterAutospacing="1" w:line="360" w:lineRule="atLeast"/>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provide fair and equitable service coverage</w:t>
      </w:r>
      <w:r w:rsidRPr="004D307F" w:rsidDel="00F67D08">
        <w:rPr>
          <w:rFonts w:ascii="VIC" w:eastAsia="Times New Roman" w:hAnsi="VIC" w:cs="Times New Roman"/>
          <w:color w:val="011A3C"/>
          <w:sz w:val="24"/>
          <w:szCs w:val="24"/>
          <w:lang w:eastAsia="en-AU"/>
        </w:rPr>
        <w:t xml:space="preserve"> </w:t>
      </w:r>
      <w:r w:rsidRPr="004D307F">
        <w:rPr>
          <w:rFonts w:ascii="VIC" w:eastAsia="Times New Roman" w:hAnsi="VIC" w:cs="Times New Roman"/>
          <w:color w:val="011A3C"/>
          <w:sz w:val="24"/>
          <w:szCs w:val="24"/>
          <w:lang w:eastAsia="en-AU"/>
        </w:rPr>
        <w:t xml:space="preserve">to small rural and regional schools </w:t>
      </w:r>
    </w:p>
    <w:p w14:paraId="3DBD512D" w14:textId="77777777" w:rsidR="007A1176" w:rsidRPr="004D307F" w:rsidRDefault="007A1176" w:rsidP="00ED0863">
      <w:pPr>
        <w:numPr>
          <w:ilvl w:val="0"/>
          <w:numId w:val="141"/>
        </w:numPr>
        <w:spacing w:before="100" w:beforeAutospacing="1" w:after="100" w:afterAutospacing="1" w:line="360" w:lineRule="atLeast"/>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provide access to high quality resources to support student learning</w:t>
      </w:r>
    </w:p>
    <w:p w14:paraId="22E0039E" w14:textId="77777777" w:rsidR="007A1176" w:rsidRPr="004D307F" w:rsidRDefault="007A1176" w:rsidP="00ED0863">
      <w:pPr>
        <w:numPr>
          <w:ilvl w:val="0"/>
          <w:numId w:val="141"/>
        </w:numPr>
        <w:spacing w:before="100" w:beforeAutospacing="1" w:after="100" w:afterAutospacing="1" w:line="360" w:lineRule="atLeast"/>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 xml:space="preserve">support and enrich teaching programs aligned to the Victorian Curriculum </w:t>
      </w:r>
    </w:p>
    <w:p w14:paraId="06F776D4" w14:textId="374B3C1E" w:rsidR="007A1176" w:rsidRPr="004D307F" w:rsidRDefault="007A1176" w:rsidP="00ED0863">
      <w:pPr>
        <w:numPr>
          <w:ilvl w:val="0"/>
          <w:numId w:val="141"/>
        </w:numPr>
        <w:spacing w:before="100" w:beforeAutospacing="1" w:after="100" w:afterAutospacing="1" w:line="360" w:lineRule="atLeast"/>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 xml:space="preserve">deliver high quality programs aligned to the goals and priorities set by the </w:t>
      </w:r>
      <w:r w:rsidR="003F7AF6" w:rsidRPr="004D307F">
        <w:rPr>
          <w:rFonts w:ascii="VIC" w:eastAsia="Times New Roman" w:hAnsi="VIC" w:cs="Times New Roman"/>
          <w:color w:val="011A3C"/>
          <w:sz w:val="24"/>
          <w:szCs w:val="24"/>
          <w:lang w:eastAsia="en-AU"/>
        </w:rPr>
        <w:t xml:space="preserve">Committees of </w:t>
      </w:r>
      <w:r w:rsidRPr="004D307F">
        <w:rPr>
          <w:rFonts w:ascii="VIC" w:eastAsia="Times New Roman" w:hAnsi="VIC" w:cs="Times New Roman"/>
          <w:color w:val="011A3C"/>
          <w:sz w:val="24"/>
          <w:szCs w:val="24"/>
          <w:lang w:eastAsia="en-AU"/>
        </w:rPr>
        <w:t>M</w:t>
      </w:r>
      <w:r w:rsidR="003F7AF6" w:rsidRPr="004D307F">
        <w:rPr>
          <w:rFonts w:ascii="VIC" w:eastAsia="Times New Roman" w:hAnsi="VIC" w:cs="Times New Roman"/>
          <w:color w:val="011A3C"/>
          <w:sz w:val="24"/>
          <w:szCs w:val="24"/>
          <w:lang w:eastAsia="en-AU"/>
        </w:rPr>
        <w:t>anagement</w:t>
      </w:r>
      <w:r w:rsidRPr="004D307F">
        <w:rPr>
          <w:rFonts w:ascii="VIC" w:eastAsia="Times New Roman" w:hAnsi="VIC" w:cs="Times New Roman"/>
          <w:color w:val="011A3C"/>
          <w:sz w:val="24"/>
          <w:szCs w:val="24"/>
          <w:lang w:eastAsia="en-AU"/>
        </w:rPr>
        <w:t xml:space="preserve"> </w:t>
      </w:r>
      <w:r w:rsidR="003F7AF6" w:rsidRPr="004D307F">
        <w:rPr>
          <w:rFonts w:ascii="VIC" w:eastAsia="Times New Roman" w:hAnsi="VIC" w:cs="Times New Roman"/>
          <w:color w:val="011A3C"/>
          <w:sz w:val="24"/>
          <w:szCs w:val="24"/>
          <w:lang w:eastAsia="en-AU"/>
        </w:rPr>
        <w:t>(CoM)</w:t>
      </w:r>
    </w:p>
    <w:p w14:paraId="49E84147" w14:textId="524F4BDF" w:rsidR="007A1176" w:rsidRPr="004D307F" w:rsidRDefault="007A1176" w:rsidP="00ED0863">
      <w:pPr>
        <w:numPr>
          <w:ilvl w:val="0"/>
          <w:numId w:val="141"/>
        </w:numPr>
        <w:spacing w:before="100" w:beforeAutospacing="1" w:after="100" w:afterAutospacing="1" w:line="360" w:lineRule="atLeast"/>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participate in collaborative learning communities within and across the MARC/MACC school clusters.</w:t>
      </w:r>
    </w:p>
    <w:p w14:paraId="122E5F58" w14:textId="77777777" w:rsidR="007A1176" w:rsidRPr="004D307F" w:rsidRDefault="007A1176" w:rsidP="007A1176">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Eligibility for MARC/MACC services</w:t>
      </w:r>
    </w:p>
    <w:p w14:paraId="180C5E5B" w14:textId="77777777" w:rsidR="007A1176" w:rsidRPr="004D307F" w:rsidRDefault="007A1176" w:rsidP="007A1176">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MARC/MACC program focus is on small rural and regional schools. MARC/MACC eligibility is generally targeted at schools with fewer than 100 primary level (F-6 or equivalent) enrolments. </w:t>
      </w:r>
    </w:p>
    <w:p w14:paraId="2D8C830E" w14:textId="77777777" w:rsidR="007A1176" w:rsidRPr="004D307F" w:rsidRDefault="007A1176" w:rsidP="007A1176">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It is recommended that serviced schools are within 100km of a base school to maximise the amount of time MARC/MACC teachers spend at schools and minimise the time spent travelling between schools.</w:t>
      </w:r>
    </w:p>
    <w:p w14:paraId="4212FE92" w14:textId="2E20A021" w:rsidR="007A1176" w:rsidRPr="004D307F" w:rsidRDefault="007A1176" w:rsidP="007A1176">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Enquiries related to service eligibility, including the request to commence a new or terminate a MARC/MACC service and provision should be raised by the CoM with the regional Service Support Manager.</w:t>
      </w:r>
    </w:p>
    <w:p w14:paraId="3A7C7BAE" w14:textId="77777777" w:rsidR="007A1176" w:rsidRPr="004D307F" w:rsidRDefault="007A1176" w:rsidP="007A1176">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lastRenderedPageBreak/>
        <w:t>Central and Regional Offices</w:t>
      </w:r>
    </w:p>
    <w:p w14:paraId="54A18C77" w14:textId="77777777" w:rsidR="007A1176" w:rsidRPr="004D307F" w:rsidRDefault="007A1176" w:rsidP="007A1176">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Targeted School Services Unit (TSSU) within the School Operations and Statewide Services Division provides oversight of the MARC/MACC program including an annual review of the Guidelines. </w:t>
      </w:r>
    </w:p>
    <w:p w14:paraId="54968B4B" w14:textId="77777777" w:rsidR="007A1176" w:rsidRPr="004D307F" w:rsidRDefault="007A1176" w:rsidP="007A1176">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 designated Service Support Manager is located in each of the Department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four regions to provide operational oversight over the implementation of the Guidelines. </w:t>
      </w:r>
    </w:p>
    <w:p w14:paraId="2E6AA2D3" w14:textId="77777777" w:rsidR="007A1176" w:rsidRPr="004D307F" w:rsidRDefault="007A1176" w:rsidP="007A1176">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key responsibilities of the Service Support Manager include:</w:t>
      </w:r>
    </w:p>
    <w:p w14:paraId="4BF545AE" w14:textId="2C7BD6A8" w:rsidR="007A1176" w:rsidRPr="004D307F" w:rsidRDefault="007A1176" w:rsidP="004326DE">
      <w:pPr>
        <w:spacing w:after="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hint="eastAsia"/>
          <w:color w:val="011A3C"/>
          <w:sz w:val="24"/>
          <w:szCs w:val="24"/>
          <w:lang w:val="en" w:eastAsia="en-AU"/>
        </w:rPr>
        <w:t>•</w:t>
      </w:r>
      <w:r w:rsidR="008F4825"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being a contact point for CoM</w:t>
      </w:r>
    </w:p>
    <w:p w14:paraId="1B7EF390" w14:textId="08F199E9" w:rsidR="007A1176" w:rsidRPr="004D307F" w:rsidRDefault="007A1176" w:rsidP="00ED0863">
      <w:pPr>
        <w:pStyle w:val="ListParagraph"/>
        <w:numPr>
          <w:ilvl w:val="0"/>
          <w:numId w:val="160"/>
        </w:numPr>
        <w:spacing w:after="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seeking approval for commencing and ceasing MARC/MACC services from the Area </w:t>
      </w:r>
      <w:r w:rsidR="008F4825" w:rsidRPr="004D307F">
        <w:rPr>
          <w:rFonts w:ascii="VIC" w:eastAsia="Times New Roman" w:hAnsi="VIC" w:cs="Times New Roman"/>
          <w:color w:val="011A3C"/>
          <w:sz w:val="24"/>
          <w:szCs w:val="24"/>
          <w:lang w:val="en" w:eastAsia="en-AU"/>
        </w:rPr>
        <w:t>E</w:t>
      </w:r>
      <w:r w:rsidRPr="004D307F">
        <w:rPr>
          <w:rFonts w:ascii="VIC" w:eastAsia="Times New Roman" w:hAnsi="VIC" w:cs="Times New Roman"/>
          <w:color w:val="011A3C"/>
          <w:sz w:val="24"/>
          <w:szCs w:val="24"/>
          <w:lang w:val="en" w:eastAsia="en-AU"/>
        </w:rPr>
        <w:t xml:space="preserve">xecutive Director (AED), at the request of the CoM </w:t>
      </w:r>
    </w:p>
    <w:p w14:paraId="70529C7F" w14:textId="007F6EC6" w:rsidR="007A1176" w:rsidRPr="004D307F" w:rsidRDefault="007A1176" w:rsidP="004326DE">
      <w:pPr>
        <w:spacing w:after="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hint="eastAsia"/>
          <w:color w:val="011A3C"/>
          <w:sz w:val="24"/>
          <w:szCs w:val="24"/>
          <w:lang w:val="en" w:eastAsia="en-AU"/>
        </w:rPr>
        <w:t>•</w:t>
      </w:r>
      <w:r w:rsidR="008F4825"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receiving annual reports submitted by each CoM</w:t>
      </w:r>
    </w:p>
    <w:p w14:paraId="2C4AB564" w14:textId="19D42703" w:rsidR="007A1176" w:rsidRPr="004D307F" w:rsidRDefault="007A1176" w:rsidP="004326DE">
      <w:pPr>
        <w:spacing w:after="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hint="eastAsia"/>
          <w:color w:val="011A3C"/>
          <w:sz w:val="24"/>
          <w:szCs w:val="24"/>
          <w:lang w:val="en" w:eastAsia="en-AU"/>
        </w:rPr>
        <w:t>•</w:t>
      </w:r>
      <w:r w:rsidR="008F4825"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 xml:space="preserve">maintaining databases of MARC/MACC base and serviced schools </w:t>
      </w:r>
    </w:p>
    <w:p w14:paraId="491D7D8B" w14:textId="6A9C874D" w:rsidR="007A1176" w:rsidRPr="004D307F" w:rsidRDefault="007A1176" w:rsidP="004326DE">
      <w:pPr>
        <w:spacing w:after="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hint="eastAsia"/>
          <w:color w:val="011A3C"/>
          <w:sz w:val="24"/>
          <w:szCs w:val="24"/>
          <w:lang w:val="en" w:eastAsia="en-AU"/>
        </w:rPr>
        <w:t>•</w:t>
      </w:r>
      <w:r w:rsidR="008F4825"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obtaining requests for van replacements made by base school principals</w:t>
      </w:r>
    </w:p>
    <w:p w14:paraId="0B660A87" w14:textId="1A1CA79E" w:rsidR="007A1176" w:rsidRPr="004D307F" w:rsidRDefault="007A1176" w:rsidP="004326DE">
      <w:pPr>
        <w:spacing w:after="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hint="eastAsia"/>
          <w:color w:val="011A3C"/>
          <w:sz w:val="24"/>
          <w:szCs w:val="24"/>
          <w:lang w:val="en" w:eastAsia="en-AU"/>
        </w:rPr>
        <w:t>•</w:t>
      </w:r>
      <w:r w:rsidR="008F4825"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identifying networking opportunities for MARC/MACC teachers.</w:t>
      </w:r>
    </w:p>
    <w:p w14:paraId="64AE8607" w14:textId="77777777" w:rsidR="007A1176" w:rsidRPr="004D307F" w:rsidRDefault="007A1176" w:rsidP="007A1176">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Base schools</w:t>
      </w:r>
    </w:p>
    <w:p w14:paraId="1658A219" w14:textId="77777777" w:rsidR="007A1176" w:rsidRPr="004D307F" w:rsidRDefault="007A1176" w:rsidP="007A1176">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Base schools are responsible for employing MARC/MACC teachers. Base school principals are responsible for MARC/MACC teachers in the same manner as other teachers employed at their school, including approving the MARC/MACC teachers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hours of duty in line with the Victorian Government Schools Agreement 2017 and the allocation of non-teaching/planning time for the year.</w:t>
      </w:r>
    </w:p>
    <w:p w14:paraId="08027BF7" w14:textId="614F4D9B" w:rsidR="007A1176" w:rsidRPr="004D307F" w:rsidRDefault="007A1176" w:rsidP="007A1176">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Base school principals are also responsible for overseeing the delivery of services and are accountable for the service budget.</w:t>
      </w:r>
    </w:p>
    <w:p w14:paraId="04720761" w14:textId="2A7A817F" w:rsidR="002104B8" w:rsidRPr="004D307F" w:rsidRDefault="002104B8" w:rsidP="002104B8">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Funding is calculated at the Indicative cycle and may be updated at the Confirmed cycle</w:t>
      </w:r>
      <w:r w:rsidR="006865F7" w:rsidRPr="004D307F">
        <w:rPr>
          <w:rFonts w:ascii="VIC" w:eastAsia="Times New Roman" w:hAnsi="VIC" w:cs="Times New Roman"/>
          <w:color w:val="011A3C"/>
          <w:sz w:val="24"/>
          <w:szCs w:val="24"/>
          <w:lang w:val="en" w:eastAsia="en-AU"/>
        </w:rPr>
        <w:t xml:space="preserve"> if advice is provided by the region</w:t>
      </w:r>
      <w:r w:rsidRPr="004D307F">
        <w:rPr>
          <w:rFonts w:ascii="VIC" w:eastAsia="Times New Roman" w:hAnsi="VIC" w:cs="Times New Roman"/>
          <w:color w:val="011A3C"/>
          <w:sz w:val="24"/>
          <w:szCs w:val="24"/>
          <w:lang w:val="en" w:eastAsia="en-AU"/>
        </w:rPr>
        <w:t>, funding is allocated through credit and cash funding.</w:t>
      </w:r>
    </w:p>
    <w:p w14:paraId="67DFB746" w14:textId="77777777" w:rsidR="00545553" w:rsidRDefault="00545553">
      <w:pPr>
        <w:rPr>
          <w:rFonts w:ascii="VIC" w:eastAsia="Times New Roman" w:hAnsi="VIC" w:cs="Times New Roman"/>
          <w:b/>
          <w:bCs/>
          <w:color w:val="011A3C"/>
          <w:sz w:val="27"/>
          <w:szCs w:val="27"/>
          <w:lang w:val="en" w:eastAsia="en-AU"/>
        </w:rPr>
      </w:pPr>
      <w:r>
        <w:rPr>
          <w:rFonts w:ascii="VIC" w:eastAsia="Times New Roman" w:hAnsi="VIC" w:cs="Times New Roman"/>
          <w:b/>
          <w:bCs/>
          <w:color w:val="011A3C"/>
          <w:sz w:val="27"/>
          <w:szCs w:val="27"/>
          <w:lang w:val="en" w:eastAsia="en-AU"/>
        </w:rPr>
        <w:br w:type="page"/>
      </w:r>
    </w:p>
    <w:p w14:paraId="058EF33F" w14:textId="21C04339" w:rsidR="009753DC" w:rsidRPr="004D307F" w:rsidRDefault="009753DC" w:rsidP="009753DC">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lastRenderedPageBreak/>
        <w:t>Rates 202</w:t>
      </w:r>
      <w:r w:rsidR="008D5FCB" w:rsidRPr="004D307F">
        <w:rPr>
          <w:rFonts w:ascii="VIC" w:eastAsia="Times New Roman" w:hAnsi="VIC" w:cs="Times New Roman"/>
          <w:b/>
          <w:bCs/>
          <w:color w:val="011A3C"/>
          <w:sz w:val="27"/>
          <w:szCs w:val="27"/>
          <w:lang w:val="en" w:eastAsia="en-AU"/>
        </w:rPr>
        <w:t>2</w:t>
      </w:r>
    </w:p>
    <w:p w14:paraId="58167673" w14:textId="77777777" w:rsidR="009753DC" w:rsidRPr="004D307F" w:rsidRDefault="009753DC" w:rsidP="009753DC">
      <w:pPr>
        <w:spacing w:before="100" w:beforeAutospacing="1" w:after="100" w:afterAutospacing="1" w:line="288" w:lineRule="atLeast"/>
        <w:outlineLvl w:val="3"/>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Rate per EFT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29"/>
        <w:gridCol w:w="2301"/>
        <w:gridCol w:w="2041"/>
        <w:gridCol w:w="2045"/>
      </w:tblGrid>
      <w:tr w:rsidR="009753DC" w:rsidRPr="004D307F" w14:paraId="4090BE25" w14:textId="77777777" w:rsidTr="00D93949">
        <w:trPr>
          <w:tblHeader/>
        </w:trPr>
        <w:tc>
          <w:tcPr>
            <w:tcW w:w="0" w:type="auto"/>
            <w:hideMark/>
          </w:tcPr>
          <w:p w14:paraId="70CB0D50" w14:textId="77777777" w:rsidR="009753DC" w:rsidRPr="004D307F" w:rsidRDefault="009753DC" w:rsidP="009753DC">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Sector</w:t>
            </w:r>
          </w:p>
        </w:tc>
        <w:tc>
          <w:tcPr>
            <w:tcW w:w="0" w:type="auto"/>
            <w:hideMark/>
          </w:tcPr>
          <w:p w14:paraId="38CAB9B6" w14:textId="77777777" w:rsidR="009753DC" w:rsidRPr="004D307F" w:rsidRDefault="009753DC" w:rsidP="006865F7">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Credit ($)</w:t>
            </w:r>
          </w:p>
        </w:tc>
        <w:tc>
          <w:tcPr>
            <w:tcW w:w="0" w:type="auto"/>
            <w:hideMark/>
          </w:tcPr>
          <w:p w14:paraId="54435A80" w14:textId="77777777" w:rsidR="009753DC" w:rsidRPr="004D307F" w:rsidRDefault="009753DC" w:rsidP="006865F7">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Cash ($)</w:t>
            </w:r>
          </w:p>
        </w:tc>
        <w:tc>
          <w:tcPr>
            <w:tcW w:w="0" w:type="auto"/>
            <w:hideMark/>
          </w:tcPr>
          <w:p w14:paraId="36F3C31B" w14:textId="77777777" w:rsidR="009753DC" w:rsidRPr="004D307F" w:rsidRDefault="009753DC" w:rsidP="006865F7">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Total ($)</w:t>
            </w:r>
          </w:p>
        </w:tc>
      </w:tr>
      <w:tr w:rsidR="009753DC" w:rsidRPr="004D307F" w14:paraId="74B5BCCF" w14:textId="77777777" w:rsidTr="00D93949">
        <w:tc>
          <w:tcPr>
            <w:tcW w:w="0" w:type="auto"/>
            <w:hideMark/>
          </w:tcPr>
          <w:p w14:paraId="0BDB7B65" w14:textId="77777777" w:rsidR="009753DC" w:rsidRPr="004D307F" w:rsidRDefault="009753DC" w:rsidP="009753DC">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Primary</w:t>
            </w:r>
          </w:p>
        </w:tc>
        <w:tc>
          <w:tcPr>
            <w:tcW w:w="0" w:type="auto"/>
            <w:hideMark/>
          </w:tcPr>
          <w:p w14:paraId="7E197F05" w14:textId="5855FE5A" w:rsidR="009753DC" w:rsidRPr="004D307F" w:rsidRDefault="006865F7" w:rsidP="006865F7">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118,496</w:t>
            </w:r>
          </w:p>
        </w:tc>
        <w:tc>
          <w:tcPr>
            <w:tcW w:w="0" w:type="auto"/>
            <w:hideMark/>
          </w:tcPr>
          <w:p w14:paraId="332ADEE6" w14:textId="5A142AF4" w:rsidR="009753DC" w:rsidRPr="004D307F" w:rsidRDefault="006865F7" w:rsidP="006865F7">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3,0</w:t>
            </w:r>
            <w:r w:rsidR="008D5FCB" w:rsidRPr="004D307F">
              <w:rPr>
                <w:rFonts w:ascii="VIC" w:eastAsia="Times New Roman" w:hAnsi="VIC" w:cs="Times New Roman"/>
                <w:color w:val="323E4F" w:themeColor="text2" w:themeShade="BF"/>
                <w:sz w:val="24"/>
                <w:szCs w:val="24"/>
                <w:lang w:eastAsia="en-AU"/>
              </w:rPr>
              <w:t>85</w:t>
            </w:r>
          </w:p>
        </w:tc>
        <w:tc>
          <w:tcPr>
            <w:tcW w:w="0" w:type="auto"/>
            <w:hideMark/>
          </w:tcPr>
          <w:p w14:paraId="0EB5EF9B" w14:textId="52C0B09A" w:rsidR="009753DC" w:rsidRPr="004D307F" w:rsidRDefault="006865F7" w:rsidP="006865F7">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121,5</w:t>
            </w:r>
            <w:r w:rsidR="008D5FCB" w:rsidRPr="004D307F">
              <w:rPr>
                <w:rFonts w:ascii="VIC" w:eastAsia="Times New Roman" w:hAnsi="VIC" w:cs="Times New Roman"/>
                <w:color w:val="323E4F" w:themeColor="text2" w:themeShade="BF"/>
                <w:sz w:val="24"/>
                <w:szCs w:val="24"/>
                <w:lang w:eastAsia="en-AU"/>
              </w:rPr>
              <w:t>81</w:t>
            </w:r>
          </w:p>
        </w:tc>
      </w:tr>
      <w:tr w:rsidR="009753DC" w:rsidRPr="004D307F" w14:paraId="6937EB23" w14:textId="77777777" w:rsidTr="00D93949">
        <w:tc>
          <w:tcPr>
            <w:tcW w:w="0" w:type="auto"/>
            <w:hideMark/>
          </w:tcPr>
          <w:p w14:paraId="7B19578B" w14:textId="77777777" w:rsidR="009753DC" w:rsidRPr="004D307F" w:rsidRDefault="009753DC" w:rsidP="009753DC">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Secondary</w:t>
            </w:r>
          </w:p>
        </w:tc>
        <w:tc>
          <w:tcPr>
            <w:tcW w:w="0" w:type="auto"/>
            <w:hideMark/>
          </w:tcPr>
          <w:p w14:paraId="16406390" w14:textId="673B6B07" w:rsidR="009753DC" w:rsidRPr="004D307F" w:rsidRDefault="00946FE5" w:rsidP="006865F7">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119,535</w:t>
            </w:r>
          </w:p>
        </w:tc>
        <w:tc>
          <w:tcPr>
            <w:tcW w:w="0" w:type="auto"/>
            <w:hideMark/>
          </w:tcPr>
          <w:p w14:paraId="3F384CBA" w14:textId="4543D53E" w:rsidR="009753DC" w:rsidRPr="004D307F" w:rsidRDefault="008D5FCB" w:rsidP="006865F7">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1,614</w:t>
            </w:r>
          </w:p>
        </w:tc>
        <w:tc>
          <w:tcPr>
            <w:tcW w:w="0" w:type="auto"/>
            <w:hideMark/>
          </w:tcPr>
          <w:p w14:paraId="6DE444FF" w14:textId="5658886F" w:rsidR="009753DC" w:rsidRPr="004D307F" w:rsidRDefault="00946FE5" w:rsidP="006865F7">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121,1</w:t>
            </w:r>
            <w:r w:rsidR="008D5FCB" w:rsidRPr="004D307F">
              <w:rPr>
                <w:rFonts w:ascii="VIC" w:eastAsia="Times New Roman" w:hAnsi="VIC" w:cs="Times New Roman"/>
                <w:color w:val="323E4F" w:themeColor="text2" w:themeShade="BF"/>
                <w:sz w:val="24"/>
                <w:szCs w:val="24"/>
                <w:lang w:eastAsia="en-AU"/>
              </w:rPr>
              <w:t>49</w:t>
            </w:r>
          </w:p>
        </w:tc>
      </w:tr>
    </w:tbl>
    <w:p w14:paraId="317342BE" w14:textId="77777777" w:rsidR="007B0EF6" w:rsidRPr="004D307F" w:rsidRDefault="007B0EF6" w:rsidP="00B566E7">
      <w:pPr>
        <w:pStyle w:val="Heading2"/>
      </w:pPr>
    </w:p>
    <w:p w14:paraId="423FA6DB" w14:textId="77777777" w:rsidR="007B0EF6" w:rsidRPr="004D307F" w:rsidRDefault="007B0EF6">
      <w:pPr>
        <w:rPr>
          <w:rFonts w:ascii="VIC" w:eastAsia="Calibri" w:hAnsi="VIC" w:cstheme="majorBidi"/>
          <w:b/>
          <w:color w:val="2F5496" w:themeColor="accent1" w:themeShade="BF"/>
          <w:sz w:val="36"/>
          <w:szCs w:val="26"/>
          <w:lang w:val="en" w:eastAsia="en-AU"/>
        </w:rPr>
      </w:pPr>
      <w:r w:rsidRPr="004D307F">
        <w:rPr>
          <w:rFonts w:ascii="VIC" w:hAnsi="VIC"/>
        </w:rPr>
        <w:br w:type="page"/>
      </w:r>
    </w:p>
    <w:p w14:paraId="6B83EAC3" w14:textId="2DD43D47" w:rsidR="009753DC" w:rsidRPr="004D307F" w:rsidRDefault="009753DC" w:rsidP="00B566E7">
      <w:pPr>
        <w:pStyle w:val="Heading2"/>
      </w:pPr>
      <w:bookmarkStart w:id="73" w:name="_Toc106793778"/>
      <w:r w:rsidRPr="004D307F">
        <w:lastRenderedPageBreak/>
        <w:t>Instrumental Music Programs (Reference 41)</w:t>
      </w:r>
      <w:bookmarkEnd w:id="73"/>
    </w:p>
    <w:p w14:paraId="3ED23DE4" w14:textId="796B3F0A" w:rsidR="009753DC" w:rsidRPr="004D307F"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Instrumental Music Program provides funding opportunities for new and/or developing secondary schools that were not available previously and regions will now have greater flexibility to target resources to highest priority programs. The level </w:t>
      </w:r>
      <w:r w:rsidR="00B24032" w:rsidRPr="004D307F">
        <w:rPr>
          <w:rFonts w:ascii="VIC-Regular" w:eastAsia="Times New Roman" w:hAnsi="VIC-Regular" w:cs="Times New Roman"/>
          <w:color w:val="011A3C"/>
          <w:sz w:val="24"/>
          <w:szCs w:val="24"/>
          <w:lang w:val="en" w:eastAsia="en-AU"/>
        </w:rPr>
        <w:t>of funding</w:t>
      </w:r>
      <w:r w:rsidR="008D0E24"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 xml:space="preserve">is determined by </w:t>
      </w:r>
      <w:r w:rsidR="008D0E24" w:rsidRPr="004D307F">
        <w:rPr>
          <w:rFonts w:ascii="VIC-Regular" w:eastAsia="Times New Roman" w:hAnsi="VIC-Regular" w:cs="Times New Roman"/>
          <w:color w:val="011A3C"/>
          <w:sz w:val="24"/>
          <w:szCs w:val="24"/>
          <w:lang w:val="en" w:eastAsia="en-AU"/>
        </w:rPr>
        <w:t xml:space="preserve">individual </w:t>
      </w:r>
      <w:r w:rsidR="00A97F91" w:rsidRPr="004D307F">
        <w:rPr>
          <w:rFonts w:ascii="VIC-Regular" w:eastAsia="Times New Roman" w:hAnsi="VIC-Regular" w:cs="Times New Roman"/>
          <w:color w:val="011A3C"/>
          <w:sz w:val="24"/>
          <w:szCs w:val="24"/>
          <w:lang w:val="en" w:eastAsia="en-AU"/>
        </w:rPr>
        <w:t>r</w:t>
      </w:r>
      <w:r w:rsidRPr="004D307F">
        <w:rPr>
          <w:rFonts w:ascii="VIC-Regular" w:eastAsia="Times New Roman" w:hAnsi="VIC-Regular" w:cs="Times New Roman"/>
          <w:color w:val="011A3C"/>
          <w:sz w:val="24"/>
          <w:szCs w:val="24"/>
          <w:lang w:val="en" w:eastAsia="en-AU"/>
        </w:rPr>
        <w:t>egions.</w:t>
      </w:r>
      <w:r w:rsidR="007A1176" w:rsidRPr="004D307F">
        <w:rPr>
          <w:rFonts w:ascii="VIC-Regular" w:eastAsia="Times New Roman" w:hAnsi="VIC-Regular" w:cs="Times New Roman"/>
          <w:color w:val="011A3C"/>
          <w:sz w:val="24"/>
          <w:szCs w:val="24"/>
          <w:lang w:val="en" w:eastAsia="en-AU"/>
        </w:rPr>
        <w:t xml:space="preserve"> </w:t>
      </w:r>
    </w:p>
    <w:p w14:paraId="68144C69" w14:textId="166AA6E0" w:rsidR="009753DC" w:rsidRPr="004D307F" w:rsidRDefault="002104B8" w:rsidP="00FF25C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cycle and may be updated at the Confirmed </w:t>
      </w:r>
      <w:r w:rsidR="00B24032" w:rsidRPr="004D307F">
        <w:rPr>
          <w:rFonts w:ascii="VIC-Regular" w:eastAsia="Times New Roman" w:hAnsi="VIC-Regular" w:cs="Times New Roman"/>
          <w:color w:val="011A3C"/>
          <w:sz w:val="24"/>
          <w:szCs w:val="24"/>
          <w:lang w:val="en" w:eastAsia="en-AU"/>
        </w:rPr>
        <w:t>cycle;</w:t>
      </w:r>
      <w:r w:rsidRPr="004D307F">
        <w:rPr>
          <w:rFonts w:ascii="VIC-Regular" w:eastAsia="Times New Roman" w:hAnsi="VIC-Regular" w:cs="Times New Roman"/>
          <w:color w:val="011A3C"/>
          <w:sz w:val="24"/>
          <w:szCs w:val="24"/>
          <w:lang w:val="en" w:eastAsia="en-AU"/>
        </w:rPr>
        <w:t xml:space="preserve"> funding is allocated through credit funding.</w:t>
      </w:r>
      <w:r w:rsidR="003F7AF6" w:rsidRPr="004D307F">
        <w:rPr>
          <w:rFonts w:ascii="VIC-Regular" w:eastAsia="Times New Roman" w:hAnsi="VIC-Regular" w:cs="Times New Roman"/>
          <w:color w:val="011A3C"/>
          <w:sz w:val="24"/>
          <w:szCs w:val="24"/>
          <w:lang w:val="en" w:eastAsia="en-AU"/>
        </w:rPr>
        <w:t xml:space="preserve"> Funding also includes oncosts, specifically payroll tax and superannuation.</w:t>
      </w:r>
    </w:p>
    <w:p w14:paraId="6DC437E7" w14:textId="77777777" w:rsidR="009753DC" w:rsidRPr="004D307F" w:rsidRDefault="009753DC" w:rsidP="009753DC">
      <w:r w:rsidRPr="004D307F">
        <w:br w:type="page"/>
      </w:r>
    </w:p>
    <w:p w14:paraId="2396D541" w14:textId="2B6BFF3C" w:rsidR="00642F26" w:rsidRPr="004D307F" w:rsidRDefault="00642F26" w:rsidP="00B566E7">
      <w:pPr>
        <w:pStyle w:val="Heading2"/>
      </w:pPr>
      <w:bookmarkStart w:id="74" w:name="_Toc70935621"/>
      <w:bookmarkStart w:id="75" w:name="_Toc106793779"/>
      <w:r w:rsidRPr="004D307F">
        <w:lastRenderedPageBreak/>
        <w:t>Local Native-speaker Language Assistants Program</w:t>
      </w:r>
      <w:r w:rsidRPr="004D307F">
        <w:rPr>
          <w:color w:val="000000"/>
          <w:sz w:val="21"/>
          <w:szCs w:val="21"/>
        </w:rPr>
        <w:t xml:space="preserve"> </w:t>
      </w:r>
      <w:r w:rsidRPr="004D307F">
        <w:t> (Reference 42)</w:t>
      </w:r>
      <w:bookmarkEnd w:id="74"/>
      <w:bookmarkEnd w:id="75"/>
    </w:p>
    <w:p w14:paraId="6C7FD336" w14:textId="77777777" w:rsidR="00642F26" w:rsidRPr="004D307F" w:rsidRDefault="00642F26" w:rsidP="00642F26">
      <w:pPr>
        <w:spacing w:before="100" w:beforeAutospacing="1" w:after="100" w:afterAutospacing="1" w:line="360"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Language assistants</w:t>
      </w:r>
      <w:r w:rsidRPr="004D307F">
        <w:rPr>
          <w:color w:val="011A3C"/>
          <w:sz w:val="24"/>
          <w:szCs w:val="24"/>
          <w:lang w:val="en" w:eastAsia="en-AU"/>
        </w:rPr>
        <w:t> </w:t>
      </w:r>
      <w:r w:rsidRPr="004D307F">
        <w:rPr>
          <w:rFonts w:ascii="VIC-Regular" w:hAnsi="VIC-Regular"/>
          <w:color w:val="011A3C"/>
          <w:sz w:val="24"/>
          <w:szCs w:val="24"/>
          <w:lang w:val="en" w:eastAsia="en-AU"/>
        </w:rPr>
        <w:t>are allocated to government schools on an annual basis through the Local Native-speaker Language Assistants Program (LNLAP) . The Program is managed by the Learning and Teaching Division.</w:t>
      </w:r>
    </w:p>
    <w:p w14:paraId="7ED6AC15" w14:textId="77777777" w:rsidR="00642F26" w:rsidRPr="004D307F" w:rsidRDefault="00642F26" w:rsidP="00642F26">
      <w:pPr>
        <w:spacing w:before="100" w:beforeAutospacing="1" w:after="100" w:afterAutospacing="1" w:line="288" w:lineRule="atLeast"/>
        <w:rPr>
          <w:rFonts w:ascii="VIC-Bold" w:hAnsi="VIC-Bold"/>
          <w:b/>
          <w:bCs/>
          <w:color w:val="011A3C"/>
          <w:sz w:val="27"/>
          <w:szCs w:val="27"/>
          <w:lang w:val="en" w:eastAsia="en-AU"/>
        </w:rPr>
      </w:pPr>
      <w:r w:rsidRPr="004D307F">
        <w:rPr>
          <w:rFonts w:ascii="VIC-Bold" w:hAnsi="VIC-Bold"/>
          <w:b/>
          <w:bCs/>
          <w:color w:val="011A3C"/>
          <w:sz w:val="27"/>
          <w:szCs w:val="27"/>
          <w:lang w:val="en" w:eastAsia="en-AU"/>
        </w:rPr>
        <w:t>Eligibility</w:t>
      </w:r>
    </w:p>
    <w:p w14:paraId="0C94B05F" w14:textId="77777777" w:rsidR="00642F26" w:rsidRPr="004D307F" w:rsidRDefault="00642F26" w:rsidP="00642F26">
      <w:pPr>
        <w:spacing w:before="100" w:beforeAutospacing="1" w:after="100" w:afterAutospacing="1" w:line="360"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Schools with the following school types are eligible for Language Assistants funding which is allocated to the host school.</w:t>
      </w:r>
    </w:p>
    <w:p w14:paraId="3F3EE109" w14:textId="77777777" w:rsidR="00642F26" w:rsidRPr="004D307F" w:rsidRDefault="00642F26" w:rsidP="00ED0863">
      <w:pPr>
        <w:pStyle w:val="ListParagraph"/>
        <w:numPr>
          <w:ilvl w:val="0"/>
          <w:numId w:val="166"/>
        </w:numPr>
        <w:spacing w:line="252" w:lineRule="auto"/>
        <w:rPr>
          <w:rFonts w:ascii="Calibri" w:hAnsi="Calibri"/>
          <w:lang w:val="en-US"/>
        </w:rPr>
      </w:pPr>
      <w:r w:rsidRPr="004D307F">
        <w:rPr>
          <w:rFonts w:ascii="VIC-Regular" w:hAnsi="VIC-Regular"/>
          <w:color w:val="011A3C"/>
          <w:sz w:val="24"/>
          <w:szCs w:val="24"/>
          <w:lang w:val="en" w:eastAsia="en-AU"/>
        </w:rPr>
        <w:t>Primary</w:t>
      </w:r>
    </w:p>
    <w:p w14:paraId="6A4BFCC5" w14:textId="77777777" w:rsidR="00642F26" w:rsidRPr="004D307F" w:rsidRDefault="00642F26" w:rsidP="00ED0863">
      <w:pPr>
        <w:pStyle w:val="ListParagraph"/>
        <w:numPr>
          <w:ilvl w:val="0"/>
          <w:numId w:val="166"/>
        </w:numPr>
        <w:spacing w:line="252" w:lineRule="auto"/>
        <w:rPr>
          <w:rFonts w:ascii="VIC-Regular" w:hAnsi="VIC-Regular"/>
          <w:color w:val="011A3C"/>
          <w:sz w:val="24"/>
          <w:szCs w:val="24"/>
          <w:lang w:val="en" w:eastAsia="en-AU"/>
        </w:rPr>
      </w:pPr>
      <w:r w:rsidRPr="004D307F">
        <w:rPr>
          <w:rFonts w:ascii="VIC-Regular" w:hAnsi="VIC-Regular"/>
          <w:color w:val="011A3C"/>
          <w:sz w:val="24"/>
          <w:szCs w:val="24"/>
          <w:lang w:val="en" w:eastAsia="en-AU"/>
        </w:rPr>
        <w:t>Secondary</w:t>
      </w:r>
    </w:p>
    <w:p w14:paraId="002CFDFE" w14:textId="77777777" w:rsidR="00642F26" w:rsidRPr="004D307F" w:rsidRDefault="00642F26" w:rsidP="00ED0863">
      <w:pPr>
        <w:pStyle w:val="ListParagraph"/>
        <w:numPr>
          <w:ilvl w:val="0"/>
          <w:numId w:val="166"/>
        </w:numPr>
        <w:spacing w:line="252" w:lineRule="auto"/>
        <w:rPr>
          <w:rFonts w:ascii="VIC-Regular" w:hAnsi="VIC-Regular"/>
          <w:color w:val="011A3C"/>
          <w:sz w:val="24"/>
          <w:szCs w:val="24"/>
          <w:lang w:val="en" w:eastAsia="en-AU"/>
        </w:rPr>
      </w:pPr>
      <w:r w:rsidRPr="004D307F">
        <w:rPr>
          <w:rFonts w:ascii="VIC-Regular" w:hAnsi="VIC-Regular"/>
          <w:color w:val="011A3C"/>
          <w:sz w:val="24"/>
          <w:szCs w:val="24"/>
          <w:lang w:val="en" w:eastAsia="en-AU"/>
        </w:rPr>
        <w:t>Primary / Secondary Combined</w:t>
      </w:r>
    </w:p>
    <w:p w14:paraId="5918A661" w14:textId="77777777" w:rsidR="00642F26" w:rsidRPr="004D307F" w:rsidRDefault="00642F26" w:rsidP="00642F26">
      <w:pPr>
        <w:spacing w:before="100" w:beforeAutospacing="1" w:after="100" w:afterAutospacing="1" w:line="360"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Funding is calculated at the Confirmed budget cycle, and further updates at the Revised cycle, if required. Funding is allocated through credit funding.</w:t>
      </w:r>
    </w:p>
    <w:p w14:paraId="21B3BE6B" w14:textId="77777777" w:rsidR="00642F26" w:rsidRPr="004D307F" w:rsidRDefault="00642F26" w:rsidP="00642F26">
      <w:pPr>
        <w:spacing w:before="100" w:beforeAutospacing="1" w:after="100" w:afterAutospacing="1" w:line="288" w:lineRule="atLeast"/>
        <w:rPr>
          <w:rFonts w:ascii="VIC-Bold" w:hAnsi="VIC-Bold"/>
          <w:b/>
          <w:bCs/>
          <w:color w:val="011A3C"/>
          <w:sz w:val="27"/>
          <w:szCs w:val="27"/>
          <w:lang w:val="en" w:eastAsia="en-AU"/>
        </w:rPr>
      </w:pPr>
      <w:r w:rsidRPr="004D307F">
        <w:rPr>
          <w:rFonts w:ascii="VIC-Bold" w:hAnsi="VIC-Bold"/>
          <w:b/>
          <w:bCs/>
          <w:color w:val="011A3C"/>
          <w:sz w:val="27"/>
          <w:szCs w:val="27"/>
          <w:lang w:val="en" w:eastAsia="en-AU"/>
        </w:rPr>
        <w:t>Calculation</w:t>
      </w:r>
    </w:p>
    <w:p w14:paraId="079CD54F" w14:textId="77777777" w:rsidR="00642F26" w:rsidRPr="004D307F" w:rsidRDefault="00642F26" w:rsidP="00642F26">
      <w:pPr>
        <w:spacing w:before="100" w:beforeAutospacing="1" w:after="100" w:afterAutospacing="1" w:line="288"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Language assistant funding = FTE * ES Salary Rate (</w:t>
      </w:r>
      <w:r w:rsidRPr="004D307F">
        <w:rPr>
          <w:rFonts w:ascii="VIC-Regular" w:hAnsi="VIC-Regular"/>
          <w:color w:val="004EA8"/>
          <w:sz w:val="24"/>
          <w:szCs w:val="24"/>
          <w:lang w:val="en" w:eastAsia="en-AU"/>
        </w:rPr>
        <w:t>Range 1.1.3</w:t>
      </w:r>
      <w:r w:rsidRPr="004D307F">
        <w:rPr>
          <w:rFonts w:ascii="VIC-Regular" w:hAnsi="VIC-Regular"/>
          <w:color w:val="011A3C"/>
          <w:sz w:val="24"/>
          <w:szCs w:val="24"/>
          <w:lang w:val="en" w:eastAsia="en-AU"/>
        </w:rPr>
        <w:t>)</w:t>
      </w:r>
    </w:p>
    <w:p w14:paraId="26AFE149" w14:textId="77777777" w:rsidR="00642F26" w:rsidRPr="004D307F" w:rsidRDefault="00642F26" w:rsidP="00642F26">
      <w:pPr>
        <w:spacing w:before="100" w:beforeAutospacing="1" w:after="100" w:afterAutospacing="1" w:line="288" w:lineRule="atLeast"/>
        <w:rPr>
          <w:rFonts w:ascii="VIC-Bold" w:hAnsi="VIC-Bold"/>
          <w:b/>
          <w:bCs/>
          <w:color w:val="011A3C"/>
          <w:sz w:val="27"/>
          <w:szCs w:val="27"/>
          <w:lang w:val="en" w:eastAsia="en-AU"/>
        </w:rPr>
      </w:pPr>
      <w:r w:rsidRPr="004D307F">
        <w:rPr>
          <w:rFonts w:ascii="VIC-Bold" w:hAnsi="VIC-Bold"/>
          <w:b/>
          <w:bCs/>
          <w:color w:val="011A3C"/>
          <w:sz w:val="27"/>
          <w:szCs w:val="27"/>
          <w:lang w:val="en" w:eastAsia="en-AU"/>
        </w:rPr>
        <w:t>Notes</w:t>
      </w:r>
    </w:p>
    <w:p w14:paraId="44628017" w14:textId="77777777" w:rsidR="00642F26" w:rsidRPr="004D307F" w:rsidRDefault="00642F26" w:rsidP="00642F26">
      <w:pPr>
        <w:spacing w:before="100" w:beforeAutospacing="1" w:after="100" w:afterAutospacing="1" w:line="360"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Language assistants are employed as Education Support Staff at 0.8 FTE.</w:t>
      </w:r>
      <w:r w:rsidRPr="004D307F">
        <w:rPr>
          <w:rFonts w:ascii="VIC-Regular" w:hAnsi="VIC-Regular"/>
          <w:color w:val="011A3C"/>
          <w:sz w:val="24"/>
          <w:szCs w:val="24"/>
          <w:lang w:val="en" w:eastAsia="en-AU"/>
        </w:rPr>
        <w:br/>
        <w:t>Allocations for Language Assistants</w:t>
      </w:r>
      <w:r w:rsidRPr="004D307F">
        <w:rPr>
          <w:color w:val="011A3C"/>
          <w:sz w:val="24"/>
          <w:szCs w:val="24"/>
          <w:lang w:val="en" w:eastAsia="en-AU"/>
        </w:rPr>
        <w:t> </w:t>
      </w:r>
      <w:r w:rsidRPr="004D307F">
        <w:rPr>
          <w:rFonts w:ascii="VIC-Regular" w:hAnsi="VIC-Regular"/>
          <w:color w:val="011A3C"/>
          <w:sz w:val="24"/>
          <w:szCs w:val="24"/>
          <w:lang w:val="en" w:eastAsia="en-AU"/>
        </w:rPr>
        <w:t>cannot be transferred to cash.</w:t>
      </w:r>
    </w:p>
    <w:p w14:paraId="11D8D2A4" w14:textId="77777777" w:rsidR="00642F26" w:rsidRPr="004D307F" w:rsidRDefault="00642F26" w:rsidP="00642F26">
      <w:pPr>
        <w:spacing w:before="100" w:beforeAutospacing="1" w:after="100" w:afterAutospacing="1" w:line="360"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Further Information</w:t>
      </w:r>
    </w:p>
    <w:p w14:paraId="4615A0B7" w14:textId="77777777" w:rsidR="00642F26" w:rsidRPr="004D307F" w:rsidRDefault="00901FCB" w:rsidP="00642F26">
      <w:pPr>
        <w:spacing w:before="100" w:beforeAutospacing="1" w:after="100" w:afterAutospacing="1" w:line="360" w:lineRule="atLeast"/>
        <w:rPr>
          <w:rFonts w:ascii="VIC-Regular" w:hAnsi="VIC-Regular"/>
          <w:color w:val="011A3C"/>
          <w:sz w:val="24"/>
          <w:szCs w:val="24"/>
          <w:lang w:val="en" w:eastAsia="en-AU"/>
        </w:rPr>
      </w:pPr>
      <w:hyperlink r:id="rId118" w:history="1">
        <w:r w:rsidR="00642F26" w:rsidRPr="004D307F">
          <w:rPr>
            <w:rStyle w:val="Hyperlink"/>
            <w:rFonts w:ascii="VIC-Regular" w:hAnsi="VIC-Regular"/>
            <w:sz w:val="24"/>
            <w:szCs w:val="24"/>
            <w:lang w:val="en"/>
          </w:rPr>
          <w:t>Local Native-speaker Language Assistant Program</w:t>
        </w:r>
      </w:hyperlink>
    </w:p>
    <w:p w14:paraId="4BA727E6" w14:textId="69C0BB53" w:rsidR="009753DC" w:rsidRPr="004D307F" w:rsidRDefault="009753DC" w:rsidP="009753DC">
      <w:pPr>
        <w:rPr>
          <w:rFonts w:ascii="VIC-Bold" w:eastAsia="Times New Roman" w:hAnsi="VIC-Bold" w:cs="Times New Roman"/>
          <w:color w:val="011A3C"/>
          <w:sz w:val="36"/>
          <w:szCs w:val="36"/>
          <w:lang w:val="en" w:eastAsia="en-AU"/>
        </w:rPr>
      </w:pPr>
    </w:p>
    <w:p w14:paraId="1F8539BE" w14:textId="77777777" w:rsidR="007B0EF6" w:rsidRPr="004D307F" w:rsidRDefault="007B0EF6">
      <w:pPr>
        <w:rPr>
          <w:rFonts w:asciiTheme="majorHAnsi" w:eastAsia="Calibri" w:hAnsiTheme="majorHAnsi" w:cstheme="majorBidi"/>
          <w:b/>
          <w:color w:val="2F5496" w:themeColor="accent1" w:themeShade="BF"/>
          <w:sz w:val="36"/>
          <w:szCs w:val="26"/>
          <w:lang w:val="en" w:eastAsia="en-AU"/>
        </w:rPr>
      </w:pPr>
      <w:r w:rsidRPr="004D307F">
        <w:br w:type="page"/>
      </w:r>
    </w:p>
    <w:p w14:paraId="66B28AA1" w14:textId="1EF10623" w:rsidR="009753DC" w:rsidRPr="004D307F" w:rsidRDefault="009753DC" w:rsidP="00B566E7">
      <w:pPr>
        <w:pStyle w:val="Heading2"/>
      </w:pPr>
      <w:bookmarkStart w:id="76" w:name="_Toc106793780"/>
      <w:r w:rsidRPr="004D307F">
        <w:lastRenderedPageBreak/>
        <w:t>Bus coordination (Reference 43)</w:t>
      </w:r>
      <w:bookmarkEnd w:id="76"/>
    </w:p>
    <w:p w14:paraId="79CE13DC" w14:textId="3774CB43" w:rsidR="002104B8" w:rsidRPr="004D307F" w:rsidRDefault="00BD04CA"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allocations are determined by regional offices</w:t>
      </w:r>
      <w:r w:rsidR="008D0E24" w:rsidRPr="004D307F">
        <w:rPr>
          <w:rFonts w:ascii="VIC-Regular" w:eastAsia="Times New Roman" w:hAnsi="VIC-Regular" w:cs="Times New Roman"/>
          <w:color w:val="011A3C"/>
          <w:sz w:val="24"/>
          <w:szCs w:val="24"/>
          <w:lang w:val="en" w:eastAsia="en-AU"/>
        </w:rPr>
        <w:t>, the</w:t>
      </w:r>
      <w:r w:rsidRPr="004D307F" w:rsidDel="00BD04CA">
        <w:rPr>
          <w:rFonts w:ascii="VIC-Regular" w:eastAsia="Times New Roman" w:hAnsi="VIC-Regular" w:cs="Times New Roman"/>
          <w:color w:val="011A3C"/>
          <w:sz w:val="24"/>
          <w:szCs w:val="24"/>
          <w:lang w:val="en" w:eastAsia="en-AU"/>
        </w:rPr>
        <w:t xml:space="preserve"> </w:t>
      </w:r>
      <w:r w:rsidR="008D0E24" w:rsidRPr="004D307F">
        <w:rPr>
          <w:rFonts w:ascii="VIC-Regular" w:eastAsia="Times New Roman" w:hAnsi="VIC-Regular" w:cs="Times New Roman"/>
          <w:color w:val="011A3C"/>
          <w:sz w:val="24"/>
          <w:szCs w:val="24"/>
          <w:lang w:val="en" w:eastAsia="en-AU"/>
        </w:rPr>
        <w:t>f</w:t>
      </w:r>
      <w:r w:rsidR="002104B8" w:rsidRPr="004D307F">
        <w:rPr>
          <w:rFonts w:ascii="VIC-Regular" w:eastAsia="Times New Roman" w:hAnsi="VIC-Regular" w:cs="Times New Roman"/>
          <w:color w:val="011A3C"/>
          <w:sz w:val="24"/>
          <w:szCs w:val="24"/>
          <w:lang w:val="en" w:eastAsia="en-AU"/>
        </w:rPr>
        <w:t>unding is calculated at the Indicative cycle and may be updated at the Confirmed cycle, funding is allocated through credit funding.</w:t>
      </w:r>
    </w:p>
    <w:p w14:paraId="71DCCEB6" w14:textId="77777777" w:rsidR="002104B8" w:rsidRPr="004D307F" w:rsidRDefault="002104B8" w:rsidP="002104B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3EF31C9F" w14:textId="5CA2394F" w:rsidR="002104B8" w:rsidRPr="004D307F" w:rsidRDefault="002104B8" w:rsidP="002104B8">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Bus coordination funding = School EFT * </w:t>
      </w:r>
      <w:r w:rsidR="00BD04CA" w:rsidRPr="004D307F">
        <w:rPr>
          <w:rFonts w:ascii="VIC-Regular" w:eastAsia="Times New Roman" w:hAnsi="VIC-Regular" w:cs="Times New Roman"/>
          <w:color w:val="011A3C"/>
          <w:sz w:val="24"/>
          <w:szCs w:val="24"/>
          <w:lang w:val="en" w:eastAsia="en-AU"/>
        </w:rPr>
        <w:t xml:space="preserve">ES </w:t>
      </w:r>
      <w:r w:rsidRPr="004D307F">
        <w:rPr>
          <w:rFonts w:ascii="VIC-Regular" w:eastAsia="Times New Roman" w:hAnsi="VIC-Regular" w:cs="Times New Roman"/>
          <w:color w:val="011A3C"/>
          <w:sz w:val="24"/>
          <w:szCs w:val="24"/>
          <w:lang w:val="en" w:eastAsia="en-AU"/>
        </w:rPr>
        <w:t>Rate</w:t>
      </w:r>
    </w:p>
    <w:p w14:paraId="0F9DC706" w14:textId="3CD4338D" w:rsidR="002104B8" w:rsidRPr="004D307F" w:rsidRDefault="002104B8" w:rsidP="002104B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w:t>
      </w:r>
      <w:r w:rsidR="00BA5750" w:rsidRPr="004D307F">
        <w:rPr>
          <w:rFonts w:ascii="VIC-Bold" w:eastAsia="Times New Roman" w:hAnsi="VIC-Bold" w:cs="Times New Roman"/>
          <w:b/>
          <w:bCs/>
          <w:color w:val="011A3C"/>
          <w:sz w:val="27"/>
          <w:szCs w:val="27"/>
          <w:lang w:val="en" w:eastAsia="en-AU"/>
        </w:rPr>
        <w:t>2</w:t>
      </w:r>
    </w:p>
    <w:p w14:paraId="5E604DF8" w14:textId="4F1FEE09" w:rsidR="009753DC" w:rsidRPr="004D307F" w:rsidRDefault="002104B8" w:rsidP="004D1CF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Annual Full Time </w:t>
      </w:r>
      <w:r w:rsidR="00BD04CA" w:rsidRPr="004D307F">
        <w:rPr>
          <w:rFonts w:ascii="VIC-Regular" w:eastAsia="Times New Roman" w:hAnsi="VIC-Regular" w:cs="Times New Roman"/>
          <w:color w:val="011A3C"/>
          <w:sz w:val="24"/>
          <w:szCs w:val="24"/>
          <w:lang w:val="en" w:eastAsia="en-AU"/>
        </w:rPr>
        <w:t xml:space="preserve">ES </w:t>
      </w:r>
      <w:r w:rsidRPr="004D307F">
        <w:rPr>
          <w:rFonts w:ascii="VIC-Regular" w:eastAsia="Times New Roman" w:hAnsi="VIC-Regular" w:cs="Times New Roman"/>
          <w:color w:val="011A3C"/>
          <w:sz w:val="24"/>
          <w:szCs w:val="24"/>
          <w:lang w:val="en" w:eastAsia="en-AU"/>
        </w:rPr>
        <w:t>Rate is </w:t>
      </w:r>
      <w:r w:rsidR="00BD04CA" w:rsidRPr="004D307F">
        <w:rPr>
          <w:rFonts w:ascii="VIC-Regular" w:eastAsia="Times New Roman" w:hAnsi="VIC-Regular" w:cs="Times New Roman"/>
          <w:color w:val="011A3C"/>
          <w:sz w:val="24"/>
          <w:szCs w:val="24"/>
          <w:lang w:val="en" w:eastAsia="en-AU"/>
        </w:rPr>
        <w:t>$84,051</w:t>
      </w:r>
      <w:r w:rsidR="00BD04CA" w:rsidRPr="004D307F" w:rsidDel="00BD04CA">
        <w:rPr>
          <w:rFonts w:ascii="VIC-Regular" w:eastAsia="Times New Roman" w:hAnsi="VIC-Regular" w:cs="Times New Roman"/>
          <w:color w:val="011A3C"/>
          <w:sz w:val="24"/>
          <w:szCs w:val="24"/>
          <w:lang w:val="en" w:eastAsia="en-AU"/>
        </w:rPr>
        <w:t xml:space="preserve"> </w:t>
      </w:r>
    </w:p>
    <w:p w14:paraId="2F9C15BC" w14:textId="77777777" w:rsidR="009753DC" w:rsidRPr="004D307F" w:rsidRDefault="009753DC" w:rsidP="009753DC">
      <w:r w:rsidRPr="004D307F">
        <w:br w:type="page"/>
      </w:r>
    </w:p>
    <w:p w14:paraId="11FAA3B1" w14:textId="14BC5EE2" w:rsidR="009753DC" w:rsidRPr="004D307F" w:rsidRDefault="009753DC" w:rsidP="00B566E7">
      <w:pPr>
        <w:pStyle w:val="Heading2"/>
      </w:pPr>
      <w:bookmarkStart w:id="77" w:name="_Toc106793781"/>
      <w:r w:rsidRPr="004D307F">
        <w:lastRenderedPageBreak/>
        <w:t>Country Area Program Grant (Reference 45)</w:t>
      </w:r>
      <w:bookmarkEnd w:id="77"/>
    </w:p>
    <w:p w14:paraId="6787D7F2" w14:textId="77777777" w:rsidR="00DA1745" w:rsidRPr="004D307F" w:rsidRDefault="00DA1745" w:rsidP="00C116FE">
      <w:pPr>
        <w:spacing w:before="100" w:beforeAutospacing="1" w:after="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purpose of this funding line is to improve the capacity of country schools to broaden</w:t>
      </w:r>
    </w:p>
    <w:p w14:paraId="61745AFE" w14:textId="77777777" w:rsidR="00DA1745" w:rsidRPr="004D307F" w:rsidRDefault="00DA1745" w:rsidP="00C116FE">
      <w:pPr>
        <w:spacing w:before="100" w:beforeAutospacing="1" w:after="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curriculum, improve ICT, professional development and promote networking.</w:t>
      </w:r>
    </w:p>
    <w:p w14:paraId="58CCC2E5" w14:textId="77777777" w:rsidR="00DA1745" w:rsidRPr="004D307F" w:rsidRDefault="00DA1745" w:rsidP="00DA174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provided to schools with campuses meeting the eligibility criteria. Allocations comprise base and per student amounts, which increase with distance from Melbourne.</w:t>
      </w:r>
    </w:p>
    <w:p w14:paraId="127C9763" w14:textId="77777777" w:rsidR="009753DC" w:rsidRPr="004D307F"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 criteria</w:t>
      </w:r>
    </w:p>
    <w:p w14:paraId="20BBF5D4" w14:textId="77777777" w:rsidR="00DA1745" w:rsidRPr="004D307F" w:rsidRDefault="00DA1745" w:rsidP="00DA174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Campuses of any type that meet all of the following location criteria are eligible: </w:t>
      </w:r>
    </w:p>
    <w:p w14:paraId="65D28DCC" w14:textId="77777777" w:rsidR="00DA1745" w:rsidRPr="004D307F" w:rsidRDefault="00DA1745" w:rsidP="00ED0863">
      <w:pPr>
        <w:numPr>
          <w:ilvl w:val="0"/>
          <w:numId w:val="5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more than 150km from Melbourne (as measured from GPO), and</w:t>
      </w:r>
    </w:p>
    <w:p w14:paraId="5996A566" w14:textId="77777777" w:rsidR="00DA1745" w:rsidRPr="004D307F" w:rsidRDefault="00DA1745" w:rsidP="00ED0863">
      <w:pPr>
        <w:numPr>
          <w:ilvl w:val="0"/>
          <w:numId w:val="5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more than 25km from the nearest provincial centre (town hall or similar used as point of measure, see below) with a population of more than 20,000 as measured according to Australian Bureau of Statistics (ABS) Urban Centres and Localities (UCL)2016)</w:t>
      </w:r>
    </w:p>
    <w:p w14:paraId="03540F2D" w14:textId="77777777" w:rsidR="00DA1745" w:rsidRPr="004D307F" w:rsidRDefault="00DA1745" w:rsidP="00ED0863">
      <w:pPr>
        <w:numPr>
          <w:ilvl w:val="0"/>
          <w:numId w:val="5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 a community with a population of less than 5000 (as measured according to UCL 2016).</w:t>
      </w:r>
    </w:p>
    <w:p w14:paraId="437BB205" w14:textId="77777777" w:rsidR="00DA1745" w:rsidRPr="004D307F" w:rsidRDefault="00DA1745" w:rsidP="00DA1745">
      <w:pPr>
        <w:spacing w:after="0" w:line="240" w:lineRule="auto"/>
        <w:rPr>
          <w:rFonts w:ascii="VIC" w:hAnsi="VIC"/>
          <w:sz w:val="24"/>
          <w:szCs w:val="24"/>
        </w:rPr>
      </w:pPr>
      <w:r w:rsidRPr="004D307F">
        <w:rPr>
          <w:rFonts w:ascii="VIC" w:hAnsi="VIC"/>
          <w:sz w:val="24"/>
          <w:szCs w:val="24"/>
        </w:rPr>
        <w:t>Table of Provincial Centres with a population of more than 20,000 according to UCL 2016.</w:t>
      </w:r>
    </w:p>
    <w:tbl>
      <w:tblPr>
        <w:tblStyle w:val="TableGrid11"/>
        <w:tblW w:w="8222" w:type="dxa"/>
        <w:tblInd w:w="-5" w:type="dxa"/>
        <w:tblLook w:val="04A0" w:firstRow="1" w:lastRow="0" w:firstColumn="1" w:lastColumn="0" w:noHBand="0" w:noVBand="1"/>
      </w:tblPr>
      <w:tblGrid>
        <w:gridCol w:w="2694"/>
        <w:gridCol w:w="5528"/>
      </w:tblGrid>
      <w:tr w:rsidR="00DA1745" w:rsidRPr="004D307F" w14:paraId="7F9AF903" w14:textId="77777777" w:rsidTr="004D307F">
        <w:trPr>
          <w:trHeight w:val="300"/>
        </w:trPr>
        <w:tc>
          <w:tcPr>
            <w:tcW w:w="2694" w:type="dxa"/>
            <w:noWrap/>
            <w:hideMark/>
          </w:tcPr>
          <w:p w14:paraId="7B692FE0" w14:textId="77777777" w:rsidR="00DA1745" w:rsidRPr="004D307F" w:rsidRDefault="00DA1745" w:rsidP="001F2ECD">
            <w:pPr>
              <w:spacing w:after="0" w:line="240" w:lineRule="auto"/>
              <w:rPr>
                <w:rFonts w:ascii="VIC" w:hAnsi="VIC" w:cs="Calibri"/>
                <w:b/>
                <w:bCs/>
                <w:color w:val="323E4F" w:themeColor="text2" w:themeShade="BF"/>
                <w:sz w:val="24"/>
                <w:szCs w:val="24"/>
                <w:lang w:eastAsia="en-AU"/>
              </w:rPr>
            </w:pPr>
            <w:r w:rsidRPr="004D307F">
              <w:rPr>
                <w:rFonts w:ascii="VIC" w:hAnsi="VIC" w:cs="Calibri"/>
                <w:b/>
                <w:bCs/>
                <w:color w:val="323E4F" w:themeColor="text2" w:themeShade="BF"/>
                <w:sz w:val="24"/>
                <w:szCs w:val="24"/>
              </w:rPr>
              <w:t>Provincial Centre</w:t>
            </w:r>
          </w:p>
        </w:tc>
        <w:tc>
          <w:tcPr>
            <w:tcW w:w="5528" w:type="dxa"/>
            <w:noWrap/>
            <w:hideMark/>
          </w:tcPr>
          <w:p w14:paraId="0D5E8EDA" w14:textId="77777777" w:rsidR="00DA1745" w:rsidRPr="004D307F" w:rsidRDefault="00DA1745" w:rsidP="001F2ECD">
            <w:pPr>
              <w:spacing w:after="0" w:line="240" w:lineRule="auto"/>
              <w:rPr>
                <w:rFonts w:ascii="VIC" w:hAnsi="VIC" w:cs="Calibri"/>
                <w:b/>
                <w:bCs/>
                <w:color w:val="323E4F" w:themeColor="text2" w:themeShade="BF"/>
                <w:sz w:val="24"/>
                <w:szCs w:val="24"/>
                <w:lang w:eastAsia="en-AU"/>
              </w:rPr>
            </w:pPr>
            <w:r w:rsidRPr="004D307F">
              <w:rPr>
                <w:rFonts w:ascii="VIC" w:hAnsi="VIC" w:cs="Calibri"/>
                <w:b/>
                <w:bCs/>
                <w:color w:val="323E4F" w:themeColor="text2" w:themeShade="BF"/>
                <w:sz w:val="24"/>
                <w:szCs w:val="24"/>
              </w:rPr>
              <w:t>Point of measurement</w:t>
            </w:r>
          </w:p>
        </w:tc>
      </w:tr>
      <w:tr w:rsidR="00DA1745" w:rsidRPr="004D307F" w14:paraId="5C688ECB" w14:textId="77777777" w:rsidTr="004D307F">
        <w:trPr>
          <w:trHeight w:val="300"/>
        </w:trPr>
        <w:tc>
          <w:tcPr>
            <w:tcW w:w="2694" w:type="dxa"/>
            <w:noWrap/>
            <w:hideMark/>
          </w:tcPr>
          <w:p w14:paraId="774FF4A7"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Geelong</w:t>
            </w:r>
          </w:p>
        </w:tc>
        <w:tc>
          <w:tcPr>
            <w:tcW w:w="5528" w:type="dxa"/>
            <w:noWrap/>
            <w:hideMark/>
          </w:tcPr>
          <w:p w14:paraId="5169A194"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Geelong City Hall</w:t>
            </w:r>
          </w:p>
        </w:tc>
      </w:tr>
      <w:tr w:rsidR="00DA1745" w:rsidRPr="004D307F" w14:paraId="1C1C8635" w14:textId="77777777" w:rsidTr="004D307F">
        <w:trPr>
          <w:trHeight w:val="300"/>
        </w:trPr>
        <w:tc>
          <w:tcPr>
            <w:tcW w:w="2694" w:type="dxa"/>
            <w:noWrap/>
            <w:hideMark/>
          </w:tcPr>
          <w:p w14:paraId="323AEE65"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Ballarat</w:t>
            </w:r>
          </w:p>
        </w:tc>
        <w:tc>
          <w:tcPr>
            <w:tcW w:w="5528" w:type="dxa"/>
            <w:noWrap/>
            <w:hideMark/>
          </w:tcPr>
          <w:p w14:paraId="19D85AB5"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Ballarat Town Hall</w:t>
            </w:r>
          </w:p>
        </w:tc>
      </w:tr>
      <w:tr w:rsidR="00DA1745" w:rsidRPr="004D307F" w14:paraId="69530063" w14:textId="77777777" w:rsidTr="004D307F">
        <w:trPr>
          <w:trHeight w:val="300"/>
        </w:trPr>
        <w:tc>
          <w:tcPr>
            <w:tcW w:w="2694" w:type="dxa"/>
            <w:noWrap/>
            <w:hideMark/>
          </w:tcPr>
          <w:p w14:paraId="0D55586D"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Bendigo</w:t>
            </w:r>
          </w:p>
        </w:tc>
        <w:tc>
          <w:tcPr>
            <w:tcW w:w="5528" w:type="dxa"/>
            <w:noWrap/>
            <w:hideMark/>
          </w:tcPr>
          <w:p w14:paraId="1E2E17C7"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Bendigo Town Hall</w:t>
            </w:r>
          </w:p>
        </w:tc>
      </w:tr>
      <w:tr w:rsidR="00DA1745" w:rsidRPr="004D307F" w14:paraId="1290BD05" w14:textId="77777777" w:rsidTr="004D307F">
        <w:trPr>
          <w:trHeight w:val="300"/>
        </w:trPr>
        <w:tc>
          <w:tcPr>
            <w:tcW w:w="2694" w:type="dxa"/>
            <w:noWrap/>
            <w:hideMark/>
          </w:tcPr>
          <w:p w14:paraId="3042C0AA"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Shepparton-Mooroopna</w:t>
            </w:r>
          </w:p>
        </w:tc>
        <w:tc>
          <w:tcPr>
            <w:tcW w:w="5528" w:type="dxa"/>
            <w:noWrap/>
            <w:hideMark/>
          </w:tcPr>
          <w:p w14:paraId="0BE6066A"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Greater Shepparton City Council</w:t>
            </w:r>
          </w:p>
        </w:tc>
      </w:tr>
      <w:tr w:rsidR="00DA1745" w:rsidRPr="004D307F" w14:paraId="7218CCA9" w14:textId="77777777" w:rsidTr="004D307F">
        <w:trPr>
          <w:trHeight w:val="300"/>
        </w:trPr>
        <w:tc>
          <w:tcPr>
            <w:tcW w:w="2694" w:type="dxa"/>
            <w:noWrap/>
            <w:hideMark/>
          </w:tcPr>
          <w:p w14:paraId="55B0183F"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Warrnambool</w:t>
            </w:r>
          </w:p>
        </w:tc>
        <w:tc>
          <w:tcPr>
            <w:tcW w:w="5528" w:type="dxa"/>
            <w:noWrap/>
            <w:hideMark/>
          </w:tcPr>
          <w:p w14:paraId="5F9F01E6"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Warrnambool City Council</w:t>
            </w:r>
          </w:p>
        </w:tc>
      </w:tr>
      <w:tr w:rsidR="00DA1745" w:rsidRPr="004D307F" w14:paraId="069ADD3C" w14:textId="77777777" w:rsidTr="004D307F">
        <w:trPr>
          <w:trHeight w:val="300"/>
        </w:trPr>
        <w:tc>
          <w:tcPr>
            <w:tcW w:w="2694" w:type="dxa"/>
            <w:noWrap/>
            <w:hideMark/>
          </w:tcPr>
          <w:p w14:paraId="3C70761E"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Albury-Wodonga</w:t>
            </w:r>
          </w:p>
        </w:tc>
        <w:tc>
          <w:tcPr>
            <w:tcW w:w="5528" w:type="dxa"/>
            <w:noWrap/>
            <w:hideMark/>
          </w:tcPr>
          <w:p w14:paraId="41702727"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Wodonga Council</w:t>
            </w:r>
          </w:p>
        </w:tc>
      </w:tr>
      <w:tr w:rsidR="00DA1745" w:rsidRPr="004D307F" w14:paraId="3E680D3F" w14:textId="77777777" w:rsidTr="004D307F">
        <w:trPr>
          <w:trHeight w:val="300"/>
        </w:trPr>
        <w:tc>
          <w:tcPr>
            <w:tcW w:w="2694" w:type="dxa"/>
            <w:noWrap/>
            <w:hideMark/>
          </w:tcPr>
          <w:p w14:paraId="7E260702"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Mildura</w:t>
            </w:r>
          </w:p>
        </w:tc>
        <w:tc>
          <w:tcPr>
            <w:tcW w:w="5528" w:type="dxa"/>
            <w:noWrap/>
            <w:hideMark/>
          </w:tcPr>
          <w:p w14:paraId="13E7CB1F"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Mildura Rural City Council</w:t>
            </w:r>
          </w:p>
        </w:tc>
      </w:tr>
      <w:tr w:rsidR="00DA1745" w:rsidRPr="004D307F" w14:paraId="7FCC7DE7" w14:textId="77777777" w:rsidTr="004D307F">
        <w:trPr>
          <w:trHeight w:val="300"/>
        </w:trPr>
        <w:tc>
          <w:tcPr>
            <w:tcW w:w="2694" w:type="dxa"/>
            <w:noWrap/>
            <w:hideMark/>
          </w:tcPr>
          <w:p w14:paraId="38D11170"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Traralgon</w:t>
            </w:r>
          </w:p>
        </w:tc>
        <w:tc>
          <w:tcPr>
            <w:tcW w:w="5528" w:type="dxa"/>
            <w:noWrap/>
            <w:hideMark/>
          </w:tcPr>
          <w:p w14:paraId="4796D093"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Traralgon LaTrobe City Council Service Centre and Library</w:t>
            </w:r>
          </w:p>
        </w:tc>
      </w:tr>
      <w:tr w:rsidR="00DA1745" w:rsidRPr="004D307F" w14:paraId="7921B3F2" w14:textId="77777777" w:rsidTr="004D307F">
        <w:trPr>
          <w:trHeight w:val="300"/>
        </w:trPr>
        <w:tc>
          <w:tcPr>
            <w:tcW w:w="2694" w:type="dxa"/>
            <w:noWrap/>
            <w:hideMark/>
          </w:tcPr>
          <w:p w14:paraId="6306F356"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Melton</w:t>
            </w:r>
          </w:p>
        </w:tc>
        <w:tc>
          <w:tcPr>
            <w:tcW w:w="5528" w:type="dxa"/>
            <w:noWrap/>
            <w:hideMark/>
          </w:tcPr>
          <w:p w14:paraId="1CB22427"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Melton Community Hall</w:t>
            </w:r>
          </w:p>
        </w:tc>
      </w:tr>
      <w:tr w:rsidR="00DA1745" w:rsidRPr="004D307F" w14:paraId="475908A5" w14:textId="77777777" w:rsidTr="004D307F">
        <w:trPr>
          <w:trHeight w:val="300"/>
        </w:trPr>
        <w:tc>
          <w:tcPr>
            <w:tcW w:w="2694" w:type="dxa"/>
            <w:noWrap/>
            <w:hideMark/>
          </w:tcPr>
          <w:p w14:paraId="1D014B92"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Sunbury</w:t>
            </w:r>
          </w:p>
        </w:tc>
        <w:tc>
          <w:tcPr>
            <w:tcW w:w="5528" w:type="dxa"/>
            <w:noWrap/>
            <w:hideMark/>
          </w:tcPr>
          <w:p w14:paraId="55BCCEDE"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Sunbury Memorial Hall</w:t>
            </w:r>
          </w:p>
        </w:tc>
      </w:tr>
    </w:tbl>
    <w:p w14:paraId="0CE6C9AC" w14:textId="3962ABF6" w:rsidR="002104B8" w:rsidRPr="004D307F"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calculated at the Indicative, Confirmed and Revised cycles, funding is allocated through cash funding.</w:t>
      </w:r>
    </w:p>
    <w:p w14:paraId="2B00FAE6" w14:textId="5AF6CD62" w:rsidR="009753DC" w:rsidRPr="004D307F" w:rsidRDefault="009753DC" w:rsidP="004D1CF3">
      <w:pPr>
        <w:keepNext/>
        <w:spacing w:before="100" w:beforeAutospacing="1" w:after="100" w:afterAutospacing="1" w:line="288" w:lineRule="atLeast"/>
        <w:outlineLvl w:val="3"/>
        <w:rPr>
          <w:rFonts w:ascii="VIC-Bold" w:eastAsia="Times New Roman" w:hAnsi="VIC-Bold" w:cs="Times New Roman"/>
          <w:b/>
          <w:bCs/>
          <w:color w:val="011A3C"/>
          <w:sz w:val="26"/>
          <w:szCs w:val="28"/>
          <w:lang w:val="en" w:eastAsia="en-AU"/>
        </w:rPr>
      </w:pPr>
      <w:r w:rsidRPr="004D307F">
        <w:rPr>
          <w:rFonts w:ascii="VIC-Bold" w:eastAsia="Times New Roman" w:hAnsi="VIC-Bold" w:cs="Times New Roman"/>
          <w:b/>
          <w:bCs/>
          <w:color w:val="011A3C"/>
          <w:sz w:val="26"/>
          <w:szCs w:val="28"/>
          <w:lang w:val="en" w:eastAsia="en-AU"/>
        </w:rPr>
        <w:lastRenderedPageBreak/>
        <w:t>Calculation</w:t>
      </w:r>
    </w:p>
    <w:p w14:paraId="3D8AD9A6" w14:textId="77777777" w:rsidR="00DA1745" w:rsidRPr="004D307F" w:rsidRDefault="00DA1745" w:rsidP="00DA174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Allocation = [(Base + Primary Enrolment * Per Primary Student Rate)+(Base + Secondary Enrolment * Per Secondary Student Rate)] * [1 + (Distance from Melbourne / 150km)]</w:t>
      </w:r>
    </w:p>
    <w:p w14:paraId="37B8136B" w14:textId="77777777" w:rsidR="00DA1745" w:rsidRPr="004D307F" w:rsidRDefault="00DA1745" w:rsidP="00DA174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Note: The campus receives each Base only when the relevant enrolment is more than zero. Primary enrolments included in calculation are limited to a maximum of 300 students. Secondary enrolments included in calculation are limited to a maximum of 500 students</w:t>
      </w:r>
    </w:p>
    <w:p w14:paraId="343FE83B" w14:textId="4801E39B" w:rsidR="009753DC" w:rsidRPr="004D307F"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w:t>
      </w:r>
      <w:r w:rsidRPr="004D307F">
        <w:rPr>
          <w:rFonts w:ascii="VIC-Bold" w:eastAsia="Times New Roman" w:hAnsi="VIC-Bold" w:cs="Times New Roman" w:hint="eastAsia"/>
          <w:b/>
          <w:bCs/>
          <w:color w:val="011A3C"/>
          <w:sz w:val="27"/>
          <w:szCs w:val="27"/>
          <w:lang w:val="en" w:eastAsia="en-AU"/>
        </w:rPr>
        <w:t> </w:t>
      </w:r>
      <w:r w:rsidRPr="004D307F">
        <w:rPr>
          <w:rFonts w:ascii="VIC-Bold" w:eastAsia="Times New Roman" w:hAnsi="VIC-Bold" w:cs="Times New Roman"/>
          <w:b/>
          <w:bCs/>
          <w:color w:val="011A3C"/>
          <w:sz w:val="27"/>
          <w:szCs w:val="27"/>
          <w:lang w:val="en" w:eastAsia="en-AU"/>
        </w:rPr>
        <w:t>202</w:t>
      </w:r>
      <w:r w:rsidR="00DA1745" w:rsidRPr="004D307F">
        <w:rPr>
          <w:rFonts w:ascii="VIC-Bold" w:eastAsia="Times New Roman" w:hAnsi="VIC-Bold" w:cs="Times New Roman"/>
          <w:b/>
          <w:bCs/>
          <w:color w:val="011A3C"/>
          <w:sz w:val="27"/>
          <w:szCs w:val="27"/>
          <w:lang w:val="en" w:eastAsia="en-AU"/>
        </w:rPr>
        <w:t>1</w:t>
      </w:r>
    </w:p>
    <w:p w14:paraId="149C6B09" w14:textId="57FCB34F" w:rsidR="00A12061" w:rsidRPr="004D307F" w:rsidRDefault="009753DC" w:rsidP="00F74042">
      <w:pPr>
        <w:spacing w:before="100" w:beforeAutospacing="1" w:after="100" w:afterAutospacing="1" w:line="288" w:lineRule="atLeast"/>
        <w:outlineLvl w:val="3"/>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Base amount — </w:t>
      </w:r>
      <w:r w:rsidR="00DA1745" w:rsidRPr="004D307F">
        <w:rPr>
          <w:rFonts w:ascii="VIC-Regular" w:eastAsia="Times New Roman" w:hAnsi="VIC-Regular" w:cs="Times New Roman"/>
          <w:color w:val="011A3C"/>
          <w:sz w:val="24"/>
          <w:szCs w:val="24"/>
          <w:lang w:val="en" w:eastAsia="en-AU"/>
        </w:rPr>
        <w:t>$2,1</w:t>
      </w:r>
      <w:r w:rsidR="009F6D1E" w:rsidRPr="004D307F">
        <w:rPr>
          <w:rFonts w:ascii="VIC-Regular" w:eastAsia="Times New Roman" w:hAnsi="VIC-Regular" w:cs="Times New Roman"/>
          <w:color w:val="011A3C"/>
          <w:sz w:val="24"/>
          <w:szCs w:val="24"/>
          <w:lang w:val="en" w:eastAsia="en-AU"/>
        </w:rPr>
        <w:t>45.89</w:t>
      </w:r>
      <w:r w:rsidR="00F1742D"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 xml:space="preserve">Primary — </w:t>
      </w:r>
      <w:r w:rsidR="00CE1887" w:rsidRPr="004D307F">
        <w:rPr>
          <w:rFonts w:ascii="VIC-Regular" w:eastAsia="Times New Roman" w:hAnsi="VIC-Regular" w:cs="Times New Roman"/>
          <w:color w:val="011A3C"/>
          <w:sz w:val="24"/>
          <w:szCs w:val="24"/>
          <w:lang w:val="en" w:eastAsia="en-AU"/>
        </w:rPr>
        <w:t>$1.3</w:t>
      </w:r>
      <w:r w:rsidR="009F6D1E" w:rsidRPr="004D307F">
        <w:rPr>
          <w:rFonts w:ascii="VIC-Regular" w:eastAsia="Times New Roman" w:hAnsi="VIC-Regular" w:cs="Times New Roman"/>
          <w:color w:val="011A3C"/>
          <w:sz w:val="24"/>
          <w:szCs w:val="24"/>
          <w:lang w:val="en" w:eastAsia="en-AU"/>
        </w:rPr>
        <w:t>2</w:t>
      </w:r>
      <w:r w:rsidR="00F1742D"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 xml:space="preserve">Secondary — </w:t>
      </w:r>
      <w:r w:rsidR="00CE1887" w:rsidRPr="004D307F">
        <w:rPr>
          <w:rFonts w:ascii="VIC-Regular" w:eastAsia="Times New Roman" w:hAnsi="VIC-Regular" w:cs="Times New Roman"/>
          <w:color w:val="011A3C"/>
          <w:sz w:val="24"/>
          <w:szCs w:val="24"/>
          <w:lang w:val="en" w:eastAsia="en-AU"/>
        </w:rPr>
        <w:t>$5.</w:t>
      </w:r>
      <w:r w:rsidR="009F6D1E" w:rsidRPr="004D307F">
        <w:rPr>
          <w:rFonts w:ascii="VIC-Regular" w:eastAsia="Times New Roman" w:hAnsi="VIC-Regular" w:cs="Times New Roman"/>
          <w:color w:val="011A3C"/>
          <w:sz w:val="24"/>
          <w:szCs w:val="24"/>
          <w:lang w:val="en" w:eastAsia="en-AU"/>
        </w:rPr>
        <w:t>75</w:t>
      </w:r>
    </w:p>
    <w:p w14:paraId="0F6DD481" w14:textId="57B34CF6" w:rsidR="00F74042" w:rsidRPr="004D307F" w:rsidRDefault="00F74042" w:rsidP="00F74042">
      <w:pPr>
        <w:spacing w:before="100" w:beforeAutospacing="1" w:after="100" w:afterAutospacing="1" w:line="288" w:lineRule="atLeast"/>
        <w:outlineLvl w:val="3"/>
        <w:rPr>
          <w:rFonts w:ascii="VIC-Bold" w:eastAsia="Times New Roman" w:hAnsi="VIC-Bold" w:cs="Times New Roman"/>
          <w:b/>
          <w:bCs/>
          <w:color w:val="011A3C"/>
          <w:sz w:val="26"/>
          <w:szCs w:val="28"/>
          <w:lang w:val="en" w:eastAsia="en-AU"/>
        </w:rPr>
      </w:pPr>
      <w:r w:rsidRPr="004D307F">
        <w:rPr>
          <w:rFonts w:ascii="VIC-Bold" w:eastAsia="Times New Roman" w:hAnsi="VIC-Bold" w:cs="Times New Roman"/>
          <w:b/>
          <w:bCs/>
          <w:color w:val="011A3C"/>
          <w:sz w:val="26"/>
          <w:szCs w:val="28"/>
          <w:lang w:val="en" w:eastAsia="en-AU"/>
        </w:rPr>
        <w:t>Other relevant information</w:t>
      </w:r>
    </w:p>
    <w:p w14:paraId="037E0D64" w14:textId="77777777" w:rsidR="00F74042" w:rsidRPr="004D307F" w:rsidRDefault="00F74042" w:rsidP="00ED0863">
      <w:pPr>
        <w:numPr>
          <w:ilvl w:val="0"/>
          <w:numId w:val="5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It is intended that location measures will be updated with the release of new ABS data every 5 years. The next release is scheduled in 2021.</w:t>
      </w:r>
    </w:p>
    <w:p w14:paraId="12AB42A8" w14:textId="77777777" w:rsidR="00F74042" w:rsidRPr="004D307F" w:rsidRDefault="00F74042" w:rsidP="00ED0863">
      <w:pPr>
        <w:numPr>
          <w:ilvl w:val="0"/>
          <w:numId w:val="5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 distances from provincial centres and Melbourne GPO are measured via road distances.</w:t>
      </w:r>
    </w:p>
    <w:p w14:paraId="657E6EE7" w14:textId="1785CCA7" w:rsidR="00F74042" w:rsidRPr="004D307F" w:rsidRDefault="003F7AF6" w:rsidP="00ED0863">
      <w:pPr>
        <w:numPr>
          <w:ilvl w:val="0"/>
          <w:numId w:val="5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m</w:t>
      </w:r>
      <w:r w:rsidR="00F74042" w:rsidRPr="004D307F">
        <w:rPr>
          <w:rFonts w:ascii="VIC-Regular" w:eastAsia="Times New Roman" w:hAnsi="VIC-Regular" w:cs="Times New Roman"/>
          <w:color w:val="011A3C"/>
          <w:sz w:val="24"/>
          <w:szCs w:val="24"/>
          <w:lang w:val="en" w:eastAsia="en-AU"/>
        </w:rPr>
        <w:t xml:space="preserve">ore information </w:t>
      </w:r>
      <w:r w:rsidRPr="004D307F">
        <w:rPr>
          <w:rFonts w:ascii="VIC-Regular" w:eastAsia="Times New Roman" w:hAnsi="VIC-Regular" w:cs="Times New Roman"/>
          <w:color w:val="011A3C"/>
          <w:sz w:val="24"/>
          <w:szCs w:val="24"/>
          <w:lang w:val="en" w:eastAsia="en-AU"/>
        </w:rPr>
        <w:t xml:space="preserve">about UCL definition and sources, refer to </w:t>
      </w:r>
      <w:r w:rsidR="00B24032" w:rsidRPr="004D307F">
        <w:rPr>
          <w:rFonts w:ascii="VIC-Regular" w:eastAsia="Times New Roman" w:hAnsi="VIC-Regular" w:cs="Times New Roman"/>
          <w:color w:val="011A3C"/>
          <w:sz w:val="24"/>
          <w:szCs w:val="24"/>
          <w:lang w:val="en" w:eastAsia="en-AU"/>
        </w:rPr>
        <w:t>the Australian</w:t>
      </w:r>
      <w:r w:rsidRPr="004D307F">
        <w:rPr>
          <w:rFonts w:ascii="VIC-Regular" w:eastAsia="Times New Roman" w:hAnsi="VIC-Regular" w:cs="Times New Roman"/>
          <w:color w:val="011A3C"/>
          <w:sz w:val="24"/>
          <w:szCs w:val="24"/>
          <w:lang w:val="en" w:eastAsia="en-AU"/>
        </w:rPr>
        <w:t xml:space="preserve"> Bureau of Statistics</w:t>
      </w:r>
      <w:r w:rsidR="00F74042"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website</w:t>
      </w:r>
      <w:r w:rsidR="00F74042" w:rsidRPr="004D307F">
        <w:rPr>
          <w:rFonts w:ascii="VIC-Regular" w:eastAsia="Times New Roman" w:hAnsi="VIC-Regular" w:cs="Times New Roman"/>
          <w:color w:val="011A3C"/>
          <w:sz w:val="24"/>
          <w:szCs w:val="24"/>
          <w:lang w:val="en" w:eastAsia="en-AU"/>
        </w:rPr>
        <w:t>.</w:t>
      </w:r>
    </w:p>
    <w:p w14:paraId="5F4CEAA0" w14:textId="2C058EB5" w:rsidR="003F7AF6" w:rsidRPr="004D307F" w:rsidRDefault="003F7AF6" w:rsidP="00ED0863">
      <w:pPr>
        <w:numPr>
          <w:ilvl w:val="0"/>
          <w:numId w:val="53"/>
        </w:numPr>
        <w:spacing w:before="100" w:beforeAutospacing="1" w:after="100" w:afterAutospacing="1" w:line="360" w:lineRule="atLeast"/>
        <w:rPr>
          <w:color w:val="323E4F" w:themeColor="text2" w:themeShade="BF"/>
          <w:sz w:val="24"/>
          <w:szCs w:val="24"/>
        </w:rPr>
      </w:pPr>
      <w:r w:rsidRPr="004D307F">
        <w:rPr>
          <w:rFonts w:ascii="VIC-Regular" w:eastAsia="Times New Roman" w:hAnsi="VIC-Regular" w:cs="Times New Roman"/>
          <w:color w:val="011A3C"/>
          <w:sz w:val="24"/>
          <w:szCs w:val="24"/>
          <w:lang w:val="en" w:eastAsia="en-AU"/>
        </w:rPr>
        <w:t xml:space="preserve">To determine the UCL that your school is in, refer to the </w:t>
      </w:r>
      <w:hyperlink r:id="rId119" w:history="1">
        <w:r w:rsidRPr="004D307F">
          <w:rPr>
            <w:rFonts w:ascii="VIC-Regular" w:eastAsia="Times New Roman" w:hAnsi="VIC-Regular" w:cs="Times New Roman"/>
            <w:color w:val="011A3C"/>
            <w:lang w:val="en" w:eastAsia="en-AU"/>
          </w:rPr>
          <w:t>map function</w:t>
        </w:r>
      </w:hyperlink>
      <w:r w:rsidRPr="004D307F">
        <w:rPr>
          <w:rFonts w:ascii="VIC-Regular" w:eastAsia="Times New Roman" w:hAnsi="VIC-Regular" w:cs="Times New Roman"/>
          <w:color w:val="011A3C"/>
          <w:sz w:val="24"/>
          <w:szCs w:val="24"/>
          <w:lang w:val="en" w:eastAsia="en-AU"/>
        </w:rPr>
        <w:t xml:space="preserve"> on the Australian Bureau of Statistics website. </w:t>
      </w:r>
    </w:p>
    <w:p w14:paraId="7DA2B9F2" w14:textId="77777777" w:rsidR="00B24032" w:rsidRPr="004D307F" w:rsidRDefault="00B24032" w:rsidP="00B24032">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To determine a school’s geographic parameters, refer to </w:t>
      </w:r>
      <w:hyperlink r:id="rId120" w:history="1">
        <w:r w:rsidRPr="004D307F">
          <w:rPr>
            <w:rStyle w:val="Hyperlink"/>
            <w:rFonts w:ascii="VIC-Regular" w:eastAsia="Times New Roman" w:hAnsi="VIC-Regular" w:cs="Times New Roman"/>
            <w:sz w:val="24"/>
            <w:szCs w:val="24"/>
            <w:lang w:val="en" w:eastAsia="en-AU"/>
          </w:rPr>
          <w:t>Steps to determine a school’s geographic parameters</w:t>
        </w:r>
      </w:hyperlink>
      <w:r w:rsidRPr="004D307F">
        <w:rPr>
          <w:rFonts w:ascii="VIC-Regular" w:eastAsia="Times New Roman" w:hAnsi="VIC-Regular" w:cs="Times New Roman"/>
          <w:color w:val="011A3C"/>
          <w:sz w:val="24"/>
          <w:szCs w:val="24"/>
          <w:lang w:val="en" w:eastAsia="en-AU"/>
        </w:rPr>
        <w:t>.</w:t>
      </w:r>
    </w:p>
    <w:p w14:paraId="0FC82BAC" w14:textId="61BDBFDE" w:rsidR="009753DC" w:rsidRPr="004D307F" w:rsidRDefault="00BB1A60" w:rsidP="009753DC">
      <w:r w:rsidRPr="004D307F">
        <w:rPr>
          <w:rFonts w:ascii="VIC-Regular" w:eastAsia="Times New Roman" w:hAnsi="VIC-Regular" w:cs="Times New Roman"/>
          <w:color w:val="011A3C"/>
          <w:sz w:val="24"/>
          <w:szCs w:val="24"/>
          <w:lang w:val="en" w:eastAsia="en-AU"/>
        </w:rPr>
        <w:t>A</w:t>
      </w:r>
      <w:r w:rsidR="00B25992" w:rsidRPr="004D307F">
        <w:rPr>
          <w:rFonts w:ascii="VIC-Regular" w:eastAsia="Times New Roman" w:hAnsi="VIC-Regular" w:cs="Times New Roman"/>
          <w:color w:val="011A3C"/>
          <w:sz w:val="24"/>
          <w:szCs w:val="24"/>
          <w:lang w:val="en" w:eastAsia="en-AU"/>
        </w:rPr>
        <w:t>dditionally, schools that may be eligible for transition should refer to:</w:t>
      </w:r>
      <w:r w:rsidR="00157F3F" w:rsidRPr="004D307F">
        <w:rPr>
          <w:rFonts w:ascii="VIC-Regular" w:eastAsia="Times New Roman" w:hAnsi="VIC-Regular" w:cs="Times New Roman"/>
          <w:color w:val="011A3C"/>
          <w:sz w:val="24"/>
          <w:szCs w:val="24"/>
          <w:lang w:val="en" w:eastAsia="en-AU"/>
        </w:rPr>
        <w:t xml:space="preserve"> </w:t>
      </w:r>
      <w:r w:rsidR="00B25992" w:rsidRPr="004D307F">
        <w:rPr>
          <w:rFonts w:ascii="VIC-Regular" w:eastAsia="Times New Roman" w:hAnsi="VIC-Regular" w:cs="Times New Roman"/>
          <w:color w:val="011A3C"/>
          <w:sz w:val="24"/>
          <w:szCs w:val="24"/>
          <w:lang w:val="en" w:eastAsia="en-AU"/>
        </w:rPr>
        <w:t>Transition Funding (Rural) (Ref 126)</w:t>
      </w:r>
      <w:r w:rsidR="009753DC" w:rsidRPr="004D307F">
        <w:br w:type="page"/>
      </w:r>
    </w:p>
    <w:p w14:paraId="0D401B83" w14:textId="4A6B9201" w:rsidR="009753DC" w:rsidRPr="004D307F" w:rsidRDefault="009753DC" w:rsidP="00B566E7">
      <w:pPr>
        <w:pStyle w:val="Heading2"/>
      </w:pPr>
      <w:bookmarkStart w:id="78" w:name="_Toc106793782"/>
      <w:r w:rsidRPr="004D307F">
        <w:lastRenderedPageBreak/>
        <w:t>MARC/MACC Grant (Reference 46)</w:t>
      </w:r>
      <w:bookmarkEnd w:id="78"/>
    </w:p>
    <w:p w14:paraId="6F6C22A4" w14:textId="0E782415" w:rsidR="009753DC" w:rsidRPr="004D307F"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total budget for MARC/MACC services includes a credit </w:t>
      </w:r>
      <w:r w:rsidR="00FD588E" w:rsidRPr="004D307F">
        <w:rPr>
          <w:rFonts w:ascii="VIC-Regular" w:eastAsia="Times New Roman" w:hAnsi="VIC-Regular" w:cs="Times New Roman"/>
          <w:color w:val="011A3C"/>
          <w:sz w:val="24"/>
          <w:szCs w:val="24"/>
          <w:lang w:val="en" w:eastAsia="en-AU"/>
        </w:rPr>
        <w:t xml:space="preserve">allocation for the </w:t>
      </w:r>
      <w:r w:rsidRPr="004D307F">
        <w:rPr>
          <w:rFonts w:ascii="VIC-Regular" w:eastAsia="Times New Roman" w:hAnsi="VIC-Regular" w:cs="Times New Roman"/>
          <w:color w:val="011A3C"/>
          <w:sz w:val="24"/>
          <w:szCs w:val="24"/>
          <w:lang w:val="en" w:eastAsia="en-AU"/>
        </w:rPr>
        <w:t>teacher</w:t>
      </w:r>
      <w:r w:rsidR="00FD588E" w:rsidRPr="004D307F">
        <w:rPr>
          <w:rFonts w:ascii="VIC-Regular" w:eastAsia="Times New Roman" w:hAnsi="VIC-Regular" w:cs="Times New Roman"/>
          <w:color w:val="011A3C"/>
          <w:sz w:val="24"/>
          <w:szCs w:val="24"/>
          <w:lang w:val="en" w:eastAsia="en-AU"/>
        </w:rPr>
        <w:t xml:space="preserve"> undertaking MARC/MACC duties</w:t>
      </w:r>
      <w:r w:rsidRPr="004D307F">
        <w:rPr>
          <w:rFonts w:ascii="VIC-Regular" w:eastAsia="Times New Roman" w:hAnsi="VIC-Regular" w:cs="Times New Roman"/>
          <w:color w:val="011A3C"/>
          <w:sz w:val="24"/>
          <w:szCs w:val="24"/>
          <w:lang w:val="en" w:eastAsia="en-AU"/>
        </w:rPr>
        <w:t xml:space="preserve"> (</w:t>
      </w:r>
      <w:r w:rsidR="00DC5ED6" w:rsidRPr="004D307F">
        <w:rPr>
          <w:rFonts w:ascii="VIC-Regular" w:eastAsia="Times New Roman" w:hAnsi="VIC-Regular" w:cs="Times New Roman"/>
          <w:color w:val="011A3C"/>
          <w:sz w:val="24"/>
          <w:szCs w:val="24"/>
          <w:lang w:val="en" w:eastAsia="en-AU"/>
        </w:rPr>
        <w:t xml:space="preserve">refer to </w:t>
      </w:r>
      <w:r w:rsidRPr="004D307F">
        <w:rPr>
          <w:rFonts w:ascii="VIC-Regular" w:eastAsia="Times New Roman" w:hAnsi="VIC-Regular" w:cs="Times New Roman"/>
          <w:color w:val="011A3C"/>
          <w:sz w:val="24"/>
          <w:szCs w:val="24"/>
          <w:lang w:val="en" w:eastAsia="en-AU"/>
        </w:rPr>
        <w:t xml:space="preserve"> </w:t>
      </w:r>
      <w:hyperlink r:id="rId121" w:history="1">
        <w:r w:rsidRPr="004D307F">
          <w:rPr>
            <w:rFonts w:ascii="VIC-Regular" w:eastAsia="Times New Roman" w:hAnsi="VIC-Regular" w:cs="Times New Roman"/>
            <w:color w:val="011A3C"/>
            <w:sz w:val="24"/>
            <w:szCs w:val="24"/>
            <w:lang w:val="en" w:eastAsia="en-AU"/>
          </w:rPr>
          <w:t>Reference 40</w:t>
        </w:r>
      </w:hyperlink>
      <w:r w:rsidRPr="004D307F">
        <w:rPr>
          <w:rFonts w:ascii="VIC-Regular" w:eastAsia="Times New Roman" w:hAnsi="VIC-Regular" w:cs="Times New Roman"/>
          <w:color w:val="011A3C"/>
          <w:sz w:val="24"/>
          <w:szCs w:val="24"/>
          <w:lang w:val="en" w:eastAsia="en-AU"/>
        </w:rPr>
        <w:t>) and a cash grant provided to the host school. The cash grant funding incorporates provision for vehicle maintenance, running costs, cab/chassis replacement, insurance and registration.</w:t>
      </w:r>
    </w:p>
    <w:p w14:paraId="2E45BB40" w14:textId="184B4C61" w:rsidR="002104B8" w:rsidRPr="004D307F" w:rsidRDefault="009753DC"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MARC ‘box’ replacement program has been introduced and administered by regional offices. Any enquiries concerning ‘box’ replacement should be directed to your regional finance officer.</w:t>
      </w:r>
      <w:bookmarkStart w:id="79" w:name="_Hlk47954049"/>
      <w:r w:rsidR="00502021" w:rsidRPr="004D307F">
        <w:rPr>
          <w:rFonts w:ascii="VIC-Regular" w:eastAsia="Times New Roman" w:hAnsi="VIC-Regular" w:cs="Times New Roman"/>
          <w:color w:val="011A3C"/>
          <w:sz w:val="24"/>
          <w:szCs w:val="24"/>
          <w:lang w:val="en" w:eastAsia="en-AU"/>
        </w:rPr>
        <w:t xml:space="preserve"> </w:t>
      </w:r>
      <w:bookmarkStart w:id="80" w:name="_Hlk47953986"/>
      <w:bookmarkEnd w:id="79"/>
      <w:r w:rsidR="002104B8" w:rsidRPr="004D307F">
        <w:rPr>
          <w:rFonts w:ascii="VIC-Regular" w:eastAsia="Times New Roman" w:hAnsi="VIC-Regular" w:cs="Times New Roman"/>
          <w:color w:val="011A3C"/>
          <w:sz w:val="24"/>
          <w:szCs w:val="24"/>
          <w:lang w:val="en" w:eastAsia="en-AU"/>
        </w:rPr>
        <w:t>All MARC/ MACC allocations are administered through the regions.</w:t>
      </w:r>
    </w:p>
    <w:p w14:paraId="56394843" w14:textId="1BBDEC0C" w:rsidR="002104B8" w:rsidRPr="004D307F"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calculated at the Indicative cycle and may be updated at the Confirmed cycle.</w:t>
      </w:r>
    </w:p>
    <w:bookmarkEnd w:id="80"/>
    <w:p w14:paraId="46D323F3" w14:textId="1477B764" w:rsidR="009753DC" w:rsidRPr="004D307F"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w:t>
      </w:r>
      <w:r w:rsidR="009F6D1E" w:rsidRPr="004D307F">
        <w:rPr>
          <w:rFonts w:ascii="VIC-Bold" w:eastAsia="Times New Roman" w:hAnsi="VIC-Bold" w:cs="Times New Roman"/>
          <w:b/>
          <w:bCs/>
          <w:color w:val="011A3C"/>
          <w:sz w:val="27"/>
          <w:szCs w:val="27"/>
          <w:lang w:val="en" w:eastAsia="en-AU"/>
        </w:rPr>
        <w:t>2</w:t>
      </w:r>
    </w:p>
    <w:p w14:paraId="2D170575" w14:textId="77777777" w:rsidR="009753DC" w:rsidRPr="004D307F" w:rsidRDefault="009753DC" w:rsidP="009753DC">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color w:val="011A3C"/>
          <w:sz w:val="24"/>
          <w:szCs w:val="24"/>
          <w:lang w:val="en" w:eastAsia="en-AU"/>
        </w:rPr>
        <w:t>Entitlement for each van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56"/>
        <w:gridCol w:w="2580"/>
        <w:gridCol w:w="2580"/>
      </w:tblGrid>
      <w:tr w:rsidR="009753DC" w:rsidRPr="004D307F" w14:paraId="04947D1E" w14:textId="77777777" w:rsidTr="00D93949">
        <w:trPr>
          <w:tblHeader/>
        </w:trPr>
        <w:tc>
          <w:tcPr>
            <w:tcW w:w="0" w:type="auto"/>
            <w:hideMark/>
          </w:tcPr>
          <w:p w14:paraId="67392DB9" w14:textId="77777777" w:rsidR="009753DC" w:rsidRPr="004D307F" w:rsidRDefault="009753DC" w:rsidP="009753DC">
            <w:pPr>
              <w:spacing w:after="0" w:line="240" w:lineRule="auto"/>
              <w:rPr>
                <w:rFonts w:ascii="Times New Roman" w:eastAsia="Times New Roman" w:hAnsi="Times New Roman" w:cs="Times New Roman"/>
                <w:color w:val="323E4F" w:themeColor="text2" w:themeShade="BF"/>
                <w:sz w:val="24"/>
                <w:szCs w:val="24"/>
                <w:lang w:val="en" w:eastAsia="en-AU"/>
              </w:rPr>
            </w:pPr>
          </w:p>
        </w:tc>
        <w:tc>
          <w:tcPr>
            <w:tcW w:w="0" w:type="auto"/>
            <w:hideMark/>
          </w:tcPr>
          <w:p w14:paraId="179BF258" w14:textId="77777777" w:rsidR="009753DC" w:rsidRPr="004D307F" w:rsidRDefault="009753DC" w:rsidP="00371B75">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MARC</w:t>
            </w:r>
          </w:p>
        </w:tc>
        <w:tc>
          <w:tcPr>
            <w:tcW w:w="0" w:type="auto"/>
            <w:hideMark/>
          </w:tcPr>
          <w:p w14:paraId="54ACCF2B" w14:textId="77777777" w:rsidR="009753DC" w:rsidRPr="004D307F" w:rsidRDefault="009753DC" w:rsidP="00371B75">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MACC</w:t>
            </w:r>
          </w:p>
        </w:tc>
      </w:tr>
      <w:tr w:rsidR="009753DC" w:rsidRPr="004D307F" w14:paraId="3EE1E28B" w14:textId="77777777" w:rsidTr="00D93949">
        <w:tc>
          <w:tcPr>
            <w:tcW w:w="0" w:type="auto"/>
            <w:hideMark/>
          </w:tcPr>
          <w:p w14:paraId="4F9088DE" w14:textId="77777777" w:rsidR="009753DC" w:rsidRPr="004D307F"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Maintenance and Running Costs</w:t>
            </w:r>
          </w:p>
        </w:tc>
        <w:tc>
          <w:tcPr>
            <w:tcW w:w="0" w:type="auto"/>
            <w:hideMark/>
          </w:tcPr>
          <w:p w14:paraId="76DF837D" w14:textId="4FC33B10" w:rsidR="009753DC" w:rsidRPr="004D307F"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w:t>
            </w:r>
            <w:r w:rsidR="009F6D1E" w:rsidRPr="004D307F">
              <w:rPr>
                <w:rFonts w:ascii="VIC-Regular" w:eastAsia="Times New Roman" w:hAnsi="VIC-Regular" w:cs="Times New Roman"/>
                <w:color w:val="323E4F" w:themeColor="text2" w:themeShade="BF"/>
                <w:sz w:val="24"/>
                <w:szCs w:val="24"/>
                <w:lang w:eastAsia="en-AU"/>
              </w:rPr>
              <w:t>4.32</w:t>
            </w:r>
            <w:r w:rsidR="00F1742D" w:rsidRPr="004D307F">
              <w:rPr>
                <w:rFonts w:ascii="VIC-Regular" w:eastAsia="Times New Roman" w:hAnsi="VIC-Regular" w:cs="Times New Roman"/>
                <w:color w:val="323E4F" w:themeColor="text2" w:themeShade="BF"/>
                <w:sz w:val="24"/>
                <w:szCs w:val="24"/>
                <w:lang w:eastAsia="en-AU"/>
              </w:rPr>
              <w:t xml:space="preserve"> </w:t>
            </w:r>
            <w:r w:rsidR="009753DC" w:rsidRPr="004D307F">
              <w:rPr>
                <w:rFonts w:ascii="VIC-Regular" w:eastAsia="Times New Roman" w:hAnsi="VIC-Regular" w:cs="Times New Roman"/>
                <w:color w:val="323E4F" w:themeColor="text2" w:themeShade="BF"/>
                <w:sz w:val="24"/>
                <w:szCs w:val="24"/>
                <w:lang w:eastAsia="en-AU"/>
              </w:rPr>
              <w:t>cents per km</w:t>
            </w:r>
          </w:p>
        </w:tc>
        <w:tc>
          <w:tcPr>
            <w:tcW w:w="0" w:type="auto"/>
            <w:hideMark/>
          </w:tcPr>
          <w:p w14:paraId="77C44041" w14:textId="7C0D00E3" w:rsidR="009753DC" w:rsidRPr="004D307F"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w:t>
            </w:r>
            <w:r w:rsidR="009F6D1E" w:rsidRPr="004D307F">
              <w:rPr>
                <w:rFonts w:ascii="VIC-Regular" w:eastAsia="Times New Roman" w:hAnsi="VIC-Regular" w:cs="Times New Roman"/>
                <w:color w:val="323E4F" w:themeColor="text2" w:themeShade="BF"/>
                <w:sz w:val="24"/>
                <w:szCs w:val="24"/>
                <w:lang w:eastAsia="en-AU"/>
              </w:rPr>
              <w:t>4</w:t>
            </w:r>
            <w:r w:rsidRPr="004D307F">
              <w:rPr>
                <w:rFonts w:ascii="VIC-Regular" w:eastAsia="Times New Roman" w:hAnsi="VIC-Regular" w:cs="Times New Roman"/>
                <w:color w:val="323E4F" w:themeColor="text2" w:themeShade="BF"/>
                <w:sz w:val="24"/>
                <w:szCs w:val="24"/>
                <w:lang w:eastAsia="en-AU"/>
              </w:rPr>
              <w:t>.</w:t>
            </w:r>
            <w:r w:rsidR="009F6D1E" w:rsidRPr="004D307F">
              <w:rPr>
                <w:rFonts w:ascii="VIC-Regular" w:eastAsia="Times New Roman" w:hAnsi="VIC-Regular" w:cs="Times New Roman"/>
                <w:color w:val="323E4F" w:themeColor="text2" w:themeShade="BF"/>
                <w:sz w:val="24"/>
                <w:szCs w:val="24"/>
                <w:lang w:eastAsia="en-AU"/>
              </w:rPr>
              <w:t>32</w:t>
            </w:r>
            <w:r w:rsidR="00F1742D" w:rsidRPr="004D307F">
              <w:rPr>
                <w:rFonts w:ascii="VIC-Regular" w:eastAsia="Times New Roman" w:hAnsi="VIC-Regular" w:cs="Times New Roman"/>
                <w:color w:val="323E4F" w:themeColor="text2" w:themeShade="BF"/>
                <w:sz w:val="24"/>
                <w:szCs w:val="24"/>
                <w:lang w:eastAsia="en-AU"/>
              </w:rPr>
              <w:t xml:space="preserve"> </w:t>
            </w:r>
            <w:r w:rsidR="009753DC" w:rsidRPr="004D307F">
              <w:rPr>
                <w:rFonts w:ascii="VIC-Regular" w:eastAsia="Times New Roman" w:hAnsi="VIC-Regular" w:cs="Times New Roman"/>
                <w:color w:val="323E4F" w:themeColor="text2" w:themeShade="BF"/>
                <w:sz w:val="24"/>
                <w:szCs w:val="24"/>
                <w:lang w:eastAsia="en-AU"/>
              </w:rPr>
              <w:t>cents per km</w:t>
            </w:r>
          </w:p>
        </w:tc>
      </w:tr>
      <w:tr w:rsidR="009753DC" w:rsidRPr="004D307F" w14:paraId="353372F5" w14:textId="77777777" w:rsidTr="00D93949">
        <w:tc>
          <w:tcPr>
            <w:tcW w:w="0" w:type="auto"/>
            <w:hideMark/>
          </w:tcPr>
          <w:p w14:paraId="7ABCBBBE" w14:textId="77777777" w:rsidR="009753DC" w:rsidRPr="004D307F"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Registration and Insurance</w:t>
            </w:r>
          </w:p>
        </w:tc>
        <w:tc>
          <w:tcPr>
            <w:tcW w:w="0" w:type="auto"/>
            <w:hideMark/>
          </w:tcPr>
          <w:p w14:paraId="357B72A4" w14:textId="73F9B206" w:rsidR="009753DC" w:rsidRPr="004D307F"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$1,4</w:t>
            </w:r>
            <w:r w:rsidR="009F6D1E" w:rsidRPr="004D307F">
              <w:rPr>
                <w:rFonts w:ascii="VIC-Regular" w:eastAsia="Times New Roman" w:hAnsi="VIC-Regular" w:cs="Times New Roman"/>
                <w:color w:val="323E4F" w:themeColor="text2" w:themeShade="BF"/>
                <w:sz w:val="24"/>
                <w:szCs w:val="24"/>
                <w:lang w:eastAsia="en-AU"/>
              </w:rPr>
              <w:t>73</w:t>
            </w:r>
            <w:r w:rsidRPr="004D307F">
              <w:rPr>
                <w:rFonts w:ascii="VIC-Regular" w:eastAsia="Times New Roman" w:hAnsi="VIC-Regular" w:cs="Times New Roman"/>
                <w:color w:val="323E4F" w:themeColor="text2" w:themeShade="BF"/>
                <w:sz w:val="24"/>
                <w:szCs w:val="24"/>
                <w:lang w:eastAsia="en-AU"/>
              </w:rPr>
              <w:t>.</w:t>
            </w:r>
            <w:r w:rsidR="009F6D1E" w:rsidRPr="004D307F">
              <w:rPr>
                <w:rFonts w:ascii="VIC-Regular" w:eastAsia="Times New Roman" w:hAnsi="VIC-Regular" w:cs="Times New Roman"/>
                <w:color w:val="323E4F" w:themeColor="text2" w:themeShade="BF"/>
                <w:sz w:val="24"/>
                <w:szCs w:val="24"/>
                <w:lang w:eastAsia="en-AU"/>
              </w:rPr>
              <w:t>39</w:t>
            </w:r>
            <w:r w:rsidR="00F1742D" w:rsidRPr="004D307F">
              <w:rPr>
                <w:rFonts w:ascii="VIC-Regular" w:eastAsia="Times New Roman" w:hAnsi="VIC-Regular" w:cs="Times New Roman"/>
                <w:color w:val="323E4F" w:themeColor="text2" w:themeShade="BF"/>
                <w:sz w:val="24"/>
                <w:szCs w:val="24"/>
                <w:lang w:eastAsia="en-AU"/>
              </w:rPr>
              <w:t xml:space="preserve"> </w:t>
            </w:r>
            <w:r w:rsidR="009753DC" w:rsidRPr="004D307F">
              <w:rPr>
                <w:rFonts w:ascii="VIC-Regular" w:eastAsia="Times New Roman" w:hAnsi="VIC-Regular" w:cs="Times New Roman"/>
                <w:color w:val="323E4F" w:themeColor="text2" w:themeShade="BF"/>
                <w:sz w:val="24"/>
                <w:szCs w:val="24"/>
                <w:lang w:eastAsia="en-AU"/>
              </w:rPr>
              <w:t>per annum</w:t>
            </w:r>
          </w:p>
        </w:tc>
        <w:tc>
          <w:tcPr>
            <w:tcW w:w="0" w:type="auto"/>
            <w:hideMark/>
          </w:tcPr>
          <w:p w14:paraId="5BE9D8EA" w14:textId="4D2F7449" w:rsidR="009753DC" w:rsidRPr="004D307F"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$1,4</w:t>
            </w:r>
            <w:r w:rsidR="009F6D1E" w:rsidRPr="004D307F">
              <w:rPr>
                <w:rFonts w:ascii="VIC-Regular" w:eastAsia="Times New Roman" w:hAnsi="VIC-Regular" w:cs="Times New Roman"/>
                <w:color w:val="323E4F" w:themeColor="text2" w:themeShade="BF"/>
                <w:sz w:val="24"/>
                <w:szCs w:val="24"/>
                <w:lang w:eastAsia="en-AU"/>
              </w:rPr>
              <w:t>73.39</w:t>
            </w:r>
            <w:r w:rsidR="00F1742D" w:rsidRPr="004D307F">
              <w:rPr>
                <w:rFonts w:ascii="VIC-Regular" w:eastAsia="Times New Roman" w:hAnsi="VIC-Regular" w:cs="Times New Roman"/>
                <w:color w:val="323E4F" w:themeColor="text2" w:themeShade="BF"/>
                <w:sz w:val="24"/>
                <w:szCs w:val="24"/>
                <w:lang w:eastAsia="en-AU"/>
              </w:rPr>
              <w:t xml:space="preserve"> </w:t>
            </w:r>
            <w:r w:rsidR="009753DC" w:rsidRPr="004D307F">
              <w:rPr>
                <w:rFonts w:ascii="VIC-Regular" w:eastAsia="Times New Roman" w:hAnsi="VIC-Regular" w:cs="Times New Roman"/>
                <w:color w:val="323E4F" w:themeColor="text2" w:themeShade="BF"/>
                <w:sz w:val="24"/>
                <w:szCs w:val="24"/>
                <w:lang w:eastAsia="en-AU"/>
              </w:rPr>
              <w:t>per annum</w:t>
            </w:r>
          </w:p>
        </w:tc>
      </w:tr>
      <w:tr w:rsidR="009753DC" w:rsidRPr="004D307F" w14:paraId="6CC23131" w14:textId="77777777" w:rsidTr="00D93949">
        <w:tc>
          <w:tcPr>
            <w:tcW w:w="0" w:type="auto"/>
            <w:hideMark/>
          </w:tcPr>
          <w:p w14:paraId="11CDF4B4" w14:textId="77777777" w:rsidR="009753DC" w:rsidRPr="004D307F"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Replacement</w:t>
            </w:r>
          </w:p>
        </w:tc>
        <w:tc>
          <w:tcPr>
            <w:tcW w:w="0" w:type="auto"/>
            <w:hideMark/>
          </w:tcPr>
          <w:p w14:paraId="25314CBF" w14:textId="308CE1C6" w:rsidR="009753DC" w:rsidRPr="004D307F"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w:t>
            </w:r>
            <w:r w:rsidR="009F6D1E" w:rsidRPr="004D307F">
              <w:rPr>
                <w:rFonts w:ascii="VIC-Regular" w:eastAsia="Times New Roman" w:hAnsi="VIC-Regular" w:cs="Times New Roman"/>
                <w:color w:val="323E4F" w:themeColor="text2" w:themeShade="BF"/>
                <w:sz w:val="24"/>
                <w:szCs w:val="24"/>
                <w:lang w:eastAsia="en-AU"/>
              </w:rPr>
              <w:t>549.59</w:t>
            </w:r>
            <w:r w:rsidR="00F1742D" w:rsidRPr="004D307F">
              <w:rPr>
                <w:rFonts w:ascii="VIC-Regular" w:eastAsia="Times New Roman" w:hAnsi="VIC-Regular" w:cs="Times New Roman"/>
                <w:color w:val="323E4F" w:themeColor="text2" w:themeShade="BF"/>
                <w:sz w:val="24"/>
                <w:szCs w:val="24"/>
                <w:lang w:eastAsia="en-AU"/>
              </w:rPr>
              <w:t xml:space="preserve"> </w:t>
            </w:r>
            <w:r w:rsidR="009753DC" w:rsidRPr="004D307F">
              <w:rPr>
                <w:rFonts w:ascii="VIC-Regular" w:eastAsia="Times New Roman" w:hAnsi="VIC-Regular" w:cs="Times New Roman"/>
                <w:color w:val="323E4F" w:themeColor="text2" w:themeShade="BF"/>
                <w:sz w:val="24"/>
                <w:szCs w:val="24"/>
                <w:lang w:eastAsia="en-AU"/>
              </w:rPr>
              <w:t>per annum</w:t>
            </w:r>
          </w:p>
        </w:tc>
        <w:tc>
          <w:tcPr>
            <w:tcW w:w="0" w:type="auto"/>
            <w:hideMark/>
          </w:tcPr>
          <w:p w14:paraId="6F5A0D6E" w14:textId="27BE26D3" w:rsidR="009753DC" w:rsidRPr="004D307F"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w:t>
            </w:r>
            <w:r w:rsidR="009F6D1E" w:rsidRPr="004D307F">
              <w:rPr>
                <w:rFonts w:ascii="VIC-Regular" w:eastAsia="Times New Roman" w:hAnsi="VIC-Regular" w:cs="Times New Roman"/>
                <w:color w:val="323E4F" w:themeColor="text2" w:themeShade="BF"/>
                <w:sz w:val="24"/>
                <w:szCs w:val="24"/>
                <w:lang w:eastAsia="en-AU"/>
              </w:rPr>
              <w:t>834.49</w:t>
            </w:r>
            <w:r w:rsidR="00F1742D" w:rsidRPr="004D307F">
              <w:rPr>
                <w:rFonts w:ascii="VIC-Regular" w:eastAsia="Times New Roman" w:hAnsi="VIC-Regular" w:cs="Times New Roman"/>
                <w:color w:val="323E4F" w:themeColor="text2" w:themeShade="BF"/>
                <w:sz w:val="24"/>
                <w:szCs w:val="24"/>
                <w:lang w:eastAsia="en-AU"/>
              </w:rPr>
              <w:t xml:space="preserve"> </w:t>
            </w:r>
            <w:r w:rsidR="009753DC" w:rsidRPr="004D307F">
              <w:rPr>
                <w:rFonts w:ascii="VIC-Regular" w:eastAsia="Times New Roman" w:hAnsi="VIC-Regular" w:cs="Times New Roman"/>
                <w:color w:val="323E4F" w:themeColor="text2" w:themeShade="BF"/>
                <w:sz w:val="24"/>
                <w:szCs w:val="24"/>
                <w:lang w:eastAsia="en-AU"/>
              </w:rPr>
              <w:t>per annum</w:t>
            </w:r>
          </w:p>
        </w:tc>
      </w:tr>
      <w:tr w:rsidR="009753DC" w:rsidRPr="004D307F" w14:paraId="4E1AEF99" w14:textId="77777777" w:rsidTr="00D93949">
        <w:tc>
          <w:tcPr>
            <w:tcW w:w="0" w:type="auto"/>
            <w:hideMark/>
          </w:tcPr>
          <w:p w14:paraId="70E604EE" w14:textId="77777777" w:rsidR="009753DC" w:rsidRPr="004D307F"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Casual Clerical Hours</w:t>
            </w:r>
          </w:p>
        </w:tc>
        <w:tc>
          <w:tcPr>
            <w:tcW w:w="0" w:type="auto"/>
            <w:hideMark/>
          </w:tcPr>
          <w:p w14:paraId="43582076" w14:textId="44E4217A" w:rsidR="009753DC" w:rsidRPr="004D307F"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w:t>
            </w:r>
            <w:r w:rsidR="002C075A" w:rsidRPr="004D307F">
              <w:rPr>
                <w:rFonts w:ascii="VIC-Regular" w:eastAsia="Times New Roman" w:hAnsi="VIC-Regular" w:cs="Times New Roman"/>
                <w:color w:val="323E4F" w:themeColor="text2" w:themeShade="BF"/>
                <w:sz w:val="24"/>
                <w:szCs w:val="24"/>
                <w:lang w:eastAsia="en-AU"/>
              </w:rPr>
              <w:t>081</w:t>
            </w:r>
            <w:r w:rsidR="00F1742D" w:rsidRPr="004D307F">
              <w:rPr>
                <w:rFonts w:ascii="VIC-Regular" w:eastAsia="Times New Roman" w:hAnsi="VIC-Regular" w:cs="Times New Roman"/>
                <w:color w:val="323E4F" w:themeColor="text2" w:themeShade="BF"/>
                <w:sz w:val="24"/>
                <w:szCs w:val="24"/>
                <w:lang w:eastAsia="en-AU"/>
              </w:rPr>
              <w:t xml:space="preserve"> </w:t>
            </w:r>
            <w:r w:rsidR="009753DC" w:rsidRPr="004D307F">
              <w:rPr>
                <w:rFonts w:ascii="VIC-Regular" w:eastAsia="Times New Roman" w:hAnsi="VIC-Regular" w:cs="Times New Roman"/>
                <w:color w:val="323E4F" w:themeColor="text2" w:themeShade="BF"/>
                <w:sz w:val="24"/>
                <w:szCs w:val="24"/>
                <w:lang w:eastAsia="en-AU"/>
              </w:rPr>
              <w:t>per annum</w:t>
            </w:r>
          </w:p>
        </w:tc>
        <w:tc>
          <w:tcPr>
            <w:tcW w:w="0" w:type="auto"/>
            <w:hideMark/>
          </w:tcPr>
          <w:p w14:paraId="26E22E67" w14:textId="7EE52154" w:rsidR="009753DC" w:rsidRPr="004D307F"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w:t>
            </w:r>
            <w:r w:rsidR="002C075A" w:rsidRPr="004D307F">
              <w:rPr>
                <w:rFonts w:ascii="VIC-Regular" w:eastAsia="Times New Roman" w:hAnsi="VIC-Regular" w:cs="Times New Roman"/>
                <w:color w:val="323E4F" w:themeColor="text2" w:themeShade="BF"/>
                <w:sz w:val="24"/>
                <w:szCs w:val="24"/>
                <w:lang w:eastAsia="en-AU"/>
              </w:rPr>
              <w:t>081</w:t>
            </w:r>
            <w:r w:rsidR="00F1742D" w:rsidRPr="004D307F">
              <w:rPr>
                <w:rFonts w:ascii="VIC-Regular" w:eastAsia="Times New Roman" w:hAnsi="VIC-Regular" w:cs="Times New Roman"/>
                <w:color w:val="323E4F" w:themeColor="text2" w:themeShade="BF"/>
                <w:sz w:val="24"/>
                <w:szCs w:val="24"/>
                <w:lang w:eastAsia="en-AU"/>
              </w:rPr>
              <w:t xml:space="preserve"> </w:t>
            </w:r>
            <w:r w:rsidR="009753DC" w:rsidRPr="004D307F">
              <w:rPr>
                <w:rFonts w:ascii="VIC-Regular" w:eastAsia="Times New Roman" w:hAnsi="VIC-Regular" w:cs="Times New Roman"/>
                <w:color w:val="323E4F" w:themeColor="text2" w:themeShade="BF"/>
                <w:sz w:val="24"/>
                <w:szCs w:val="24"/>
                <w:lang w:eastAsia="en-AU"/>
              </w:rPr>
              <w:t>per annum</w:t>
            </w:r>
          </w:p>
        </w:tc>
      </w:tr>
    </w:tbl>
    <w:p w14:paraId="7A6693AD" w14:textId="77777777" w:rsidR="009753DC" w:rsidRPr="004D307F" w:rsidRDefault="009753DC" w:rsidP="009753DC"/>
    <w:p w14:paraId="4C3C3E8C" w14:textId="77777777" w:rsidR="009753DC" w:rsidRPr="004D307F" w:rsidRDefault="009753DC" w:rsidP="009753DC">
      <w:r w:rsidRPr="004D307F">
        <w:br w:type="page"/>
      </w:r>
    </w:p>
    <w:p w14:paraId="3E384D83" w14:textId="6AECA15B" w:rsidR="009753DC" w:rsidRPr="004D307F" w:rsidRDefault="009753DC" w:rsidP="00B566E7">
      <w:pPr>
        <w:pStyle w:val="Heading2"/>
      </w:pPr>
      <w:bookmarkStart w:id="81" w:name="_Toc106793783"/>
      <w:r w:rsidRPr="004D307F">
        <w:lastRenderedPageBreak/>
        <w:t>Alternative Settings Teachers (Reference 47)</w:t>
      </w:r>
      <w:bookmarkEnd w:id="81"/>
    </w:p>
    <w:p w14:paraId="11026D77" w14:textId="320CFE90" w:rsidR="009753DC" w:rsidRPr="004D307F" w:rsidRDefault="009753DC" w:rsidP="009753DC">
      <w:pPr>
        <w:spacing w:before="100" w:beforeAutospacing="1" w:after="100" w:afterAutospacing="1" w:line="312" w:lineRule="atLeast"/>
        <w:outlineLvl w:val="1"/>
        <w:rPr>
          <w:rFonts w:ascii="VIC-Bold" w:eastAsia="Times New Roman" w:hAnsi="VIC-Bold" w:cs="Times New Roman"/>
          <w:color w:val="011A3C"/>
          <w:sz w:val="36"/>
          <w:szCs w:val="36"/>
          <w:lang w:val="en" w:eastAsia="en-AU"/>
        </w:rPr>
      </w:pPr>
      <w:r w:rsidRPr="004D307F">
        <w:rPr>
          <w:rFonts w:ascii="VIC-Bold" w:eastAsia="Times New Roman" w:hAnsi="VIC-Bold" w:cs="Times New Roman"/>
          <w:color w:val="011A3C"/>
          <w:sz w:val="36"/>
          <w:szCs w:val="36"/>
          <w:lang w:val="en" w:eastAsia="en-AU"/>
        </w:rPr>
        <w:t>Other/Alternative Programs</w:t>
      </w:r>
    </w:p>
    <w:p w14:paraId="252E1DA9" w14:textId="62F50EBA" w:rsidR="009753DC" w:rsidRPr="004D307F"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Cambria Math" w:eastAsia="Times New Roman" w:hAnsi="Cambria Math" w:cs="Cambria Math"/>
          <w:color w:val="011A3C"/>
          <w:sz w:val="24"/>
          <w:szCs w:val="24"/>
          <w:lang w:val="en" w:eastAsia="en-AU"/>
        </w:rPr>
        <w:t>​</w:t>
      </w:r>
      <w:r w:rsidRPr="004D307F">
        <w:rPr>
          <w:rFonts w:ascii="VIC-Regular" w:eastAsia="Times New Roman" w:hAnsi="VIC-Regular" w:cs="Times New Roman"/>
          <w:color w:val="011A3C"/>
          <w:sz w:val="24"/>
          <w:szCs w:val="24"/>
          <w:lang w:val="en" w:eastAsia="en-AU"/>
        </w:rPr>
        <w:t>Flexible learning options provide alternative, tailored education and support for children and young people who are disengaged, or have been identified as at risk of disengaging, from mainstream school. They provide an opportunity for disengaged or at-risk children and young people to achieve positive learning outcomes through engagement in a more flexible learning environment, coupled with wellbeing supports.</w:t>
      </w:r>
      <w:r w:rsidR="00DC5ED6" w:rsidRPr="004D307F">
        <w:rPr>
          <w:rFonts w:ascii="VIC-Regular" w:eastAsia="Times New Roman" w:hAnsi="VIC-Regular" w:cs="Times New Roman"/>
          <w:color w:val="011A3C"/>
          <w:sz w:val="24"/>
          <w:szCs w:val="24"/>
          <w:lang w:val="en" w:eastAsia="en-AU"/>
        </w:rPr>
        <w:t xml:space="preserve"> For further information, refer to the Department’s policy on Flexible Learning Options. </w:t>
      </w:r>
    </w:p>
    <w:p w14:paraId="7534B568" w14:textId="77777777" w:rsidR="009753DC" w:rsidRPr="004D307F"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Lower teacher to student ratios are allocated to these settings to provide a tailored and supportive learning environment for a small number of students whose needs are not being met through mainstream settings.</w:t>
      </w:r>
    </w:p>
    <w:p w14:paraId="02204EE5" w14:textId="77777777" w:rsidR="009753DC" w:rsidRPr="004D307F"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Alternative Settings Teachers should use the Department’s re-engagement guidelines to develop their programs to support at risk and vulnerable students, refer to </w:t>
      </w:r>
      <w:hyperlink r:id="rId122" w:history="1">
        <w:r w:rsidRPr="004D307F">
          <w:rPr>
            <w:rFonts w:ascii="VIC-Regular" w:eastAsia="Times New Roman" w:hAnsi="VIC-Regular" w:cs="Times New Roman"/>
            <w:color w:val="011A3C"/>
            <w:sz w:val="24"/>
            <w:szCs w:val="24"/>
            <w:lang w:val="en" w:eastAsia="en-AU"/>
          </w:rPr>
          <w:t>​Re-engagement Programs</w:t>
        </w:r>
      </w:hyperlink>
      <w:r w:rsidRPr="004D307F">
        <w:rPr>
          <w:rFonts w:ascii="VIC-Regular" w:eastAsia="Times New Roman" w:hAnsi="VIC-Regular" w:cs="Times New Roman"/>
          <w:color w:val="011A3C"/>
          <w:sz w:val="24"/>
          <w:szCs w:val="24"/>
          <w:lang w:val="en" w:eastAsia="en-AU"/>
        </w:rPr>
        <w:t>.</w:t>
      </w:r>
    </w:p>
    <w:p w14:paraId="2C7F6143" w14:textId="77777777" w:rsidR="009753DC" w:rsidRPr="004D307F"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Teacher salary charges to schools will continue to be based on actual payroll debits for individual staff as reflected on eduPay. This includes the actual cost of annual leave loading and all allowances, such as higher duties and special payments. Also included are non-cash benefits for teachers.</w:t>
      </w:r>
    </w:p>
    <w:p w14:paraId="18556992" w14:textId="378EB859" w:rsidR="00314DAA" w:rsidRPr="004D307F" w:rsidRDefault="002104B8" w:rsidP="002104B8">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All Alternative Settings Teacher funding allocations are </w:t>
      </w:r>
      <w:r w:rsidR="00314DAA" w:rsidRPr="004D307F">
        <w:rPr>
          <w:rFonts w:ascii="VIC-Regular" w:eastAsia="Times New Roman" w:hAnsi="VIC-Regular" w:cs="Times New Roman"/>
          <w:color w:val="011A3C"/>
          <w:sz w:val="24"/>
          <w:szCs w:val="24"/>
          <w:lang w:val="en" w:eastAsia="en-AU"/>
        </w:rPr>
        <w:t>determined by</w:t>
      </w:r>
      <w:r w:rsidRPr="004D307F">
        <w:rPr>
          <w:rFonts w:ascii="VIC-Regular" w:eastAsia="Times New Roman" w:hAnsi="VIC-Regular" w:cs="Times New Roman"/>
          <w:color w:val="011A3C"/>
          <w:sz w:val="24"/>
          <w:szCs w:val="24"/>
          <w:lang w:val="en" w:eastAsia="en-AU"/>
        </w:rPr>
        <w:t xml:space="preserve"> region</w:t>
      </w:r>
      <w:r w:rsidR="00314DAA" w:rsidRPr="004D307F">
        <w:rPr>
          <w:rFonts w:ascii="VIC-Regular" w:eastAsia="Times New Roman" w:hAnsi="VIC-Regular" w:cs="Times New Roman"/>
          <w:color w:val="011A3C"/>
          <w:sz w:val="24"/>
          <w:szCs w:val="24"/>
          <w:lang w:val="en" w:eastAsia="en-AU"/>
        </w:rPr>
        <w:t>al offices</w:t>
      </w:r>
      <w:r w:rsidRPr="004D307F">
        <w:rPr>
          <w:rFonts w:ascii="VIC-Regular" w:eastAsia="Times New Roman" w:hAnsi="VIC-Regular" w:cs="Times New Roman"/>
          <w:color w:val="011A3C"/>
          <w:sz w:val="24"/>
          <w:szCs w:val="24"/>
          <w:lang w:val="en" w:eastAsia="en-AU"/>
        </w:rPr>
        <w:t>.</w:t>
      </w:r>
    </w:p>
    <w:p w14:paraId="308C7985" w14:textId="373C95D1" w:rsidR="009753DC" w:rsidRPr="004D307F" w:rsidRDefault="002104B8" w:rsidP="009753DC">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 Funding is calculated at the Indicative cycle and may be updated at the Confirmed cycle, </w:t>
      </w:r>
      <w:r w:rsidR="00466B4C" w:rsidRPr="004D307F">
        <w:rPr>
          <w:rFonts w:ascii="VIC-Regular" w:eastAsia="Times New Roman" w:hAnsi="VIC-Regular" w:cs="Times New Roman"/>
          <w:color w:val="011A3C"/>
          <w:sz w:val="24"/>
          <w:szCs w:val="24"/>
          <w:lang w:val="en" w:eastAsia="en-AU"/>
        </w:rPr>
        <w:t>and</w:t>
      </w:r>
      <w:r w:rsidRPr="004D307F">
        <w:rPr>
          <w:rFonts w:ascii="VIC-Regular" w:eastAsia="Times New Roman" w:hAnsi="VIC-Regular" w:cs="Times New Roman"/>
          <w:color w:val="011A3C"/>
          <w:sz w:val="24"/>
          <w:szCs w:val="24"/>
          <w:lang w:val="en" w:eastAsia="en-AU"/>
        </w:rPr>
        <w:t xml:space="preserve"> is allocated through credit and cash funding.</w:t>
      </w:r>
    </w:p>
    <w:p w14:paraId="181EA315" w14:textId="2A4C47F9" w:rsidR="009753DC" w:rsidRPr="004D307F"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w:t>
      </w:r>
      <w:r w:rsidRPr="004D307F">
        <w:rPr>
          <w:rFonts w:ascii="VIC-Bold" w:eastAsia="Times New Roman" w:hAnsi="VIC-Bold" w:cs="Times New Roman" w:hint="eastAsia"/>
          <w:b/>
          <w:bCs/>
          <w:color w:val="011A3C"/>
          <w:sz w:val="27"/>
          <w:szCs w:val="27"/>
          <w:lang w:val="en" w:eastAsia="en-AU"/>
        </w:rPr>
        <w:t> </w:t>
      </w:r>
      <w:r w:rsidRPr="004D307F">
        <w:rPr>
          <w:rFonts w:ascii="VIC-Bold" w:eastAsia="Times New Roman" w:hAnsi="VIC-Bold" w:cs="Times New Roman"/>
          <w:b/>
          <w:bCs/>
          <w:color w:val="011A3C"/>
          <w:sz w:val="27"/>
          <w:szCs w:val="27"/>
          <w:lang w:val="en" w:eastAsia="en-AU"/>
        </w:rPr>
        <w:t>202</w:t>
      </w:r>
      <w:r w:rsidR="00466B4C" w:rsidRPr="004D307F">
        <w:rPr>
          <w:rFonts w:ascii="VIC-Bold" w:eastAsia="Times New Roman" w:hAnsi="VIC-Bold" w:cs="Times New Roman"/>
          <w:b/>
          <w:bCs/>
          <w:color w:val="011A3C"/>
          <w:sz w:val="27"/>
          <w:szCs w:val="27"/>
          <w:lang w:val="en" w:eastAsia="en-A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6"/>
        <w:gridCol w:w="2332"/>
        <w:gridCol w:w="2011"/>
        <w:gridCol w:w="2087"/>
      </w:tblGrid>
      <w:tr w:rsidR="009753DC" w:rsidRPr="004D307F" w14:paraId="12E77F99" w14:textId="77777777" w:rsidTr="00D93949">
        <w:trPr>
          <w:tblHeader/>
        </w:trPr>
        <w:tc>
          <w:tcPr>
            <w:tcW w:w="0" w:type="auto"/>
            <w:hideMark/>
          </w:tcPr>
          <w:p w14:paraId="6A632635" w14:textId="77777777" w:rsidR="009753DC" w:rsidRPr="004D307F" w:rsidRDefault="009753DC" w:rsidP="009753DC">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Sector</w:t>
            </w:r>
          </w:p>
        </w:tc>
        <w:tc>
          <w:tcPr>
            <w:tcW w:w="0" w:type="auto"/>
            <w:hideMark/>
          </w:tcPr>
          <w:p w14:paraId="78BDA753" w14:textId="77777777" w:rsidR="009753DC" w:rsidRPr="004D307F" w:rsidRDefault="009753DC" w:rsidP="00314DAA">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Credit ($)</w:t>
            </w:r>
          </w:p>
        </w:tc>
        <w:tc>
          <w:tcPr>
            <w:tcW w:w="0" w:type="auto"/>
            <w:hideMark/>
          </w:tcPr>
          <w:p w14:paraId="1EC926D2" w14:textId="77777777" w:rsidR="009753DC" w:rsidRPr="004D307F" w:rsidRDefault="009753DC" w:rsidP="00314DAA">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Cash ($)</w:t>
            </w:r>
          </w:p>
        </w:tc>
        <w:tc>
          <w:tcPr>
            <w:tcW w:w="0" w:type="auto"/>
            <w:hideMark/>
          </w:tcPr>
          <w:p w14:paraId="25E30FF2" w14:textId="77777777" w:rsidR="009753DC" w:rsidRPr="004D307F" w:rsidRDefault="009753DC" w:rsidP="00314DAA">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Total ($)</w:t>
            </w:r>
          </w:p>
        </w:tc>
      </w:tr>
      <w:tr w:rsidR="00314DAA" w:rsidRPr="004D307F" w14:paraId="0CBEDA1C" w14:textId="77777777" w:rsidTr="00D93949">
        <w:tc>
          <w:tcPr>
            <w:tcW w:w="0" w:type="auto"/>
            <w:hideMark/>
          </w:tcPr>
          <w:p w14:paraId="5616CB66" w14:textId="77777777" w:rsidR="00314DAA" w:rsidRPr="004D307F" w:rsidRDefault="00314DAA" w:rsidP="00314DAA">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Primary</w:t>
            </w:r>
          </w:p>
        </w:tc>
        <w:tc>
          <w:tcPr>
            <w:tcW w:w="0" w:type="auto"/>
            <w:hideMark/>
          </w:tcPr>
          <w:p w14:paraId="4385F872" w14:textId="6EEB9F04" w:rsidR="00314DAA" w:rsidRPr="004D307F"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118,496</w:t>
            </w:r>
          </w:p>
        </w:tc>
        <w:tc>
          <w:tcPr>
            <w:tcW w:w="0" w:type="auto"/>
            <w:hideMark/>
          </w:tcPr>
          <w:p w14:paraId="059918F1" w14:textId="4B71D527" w:rsidR="00314DAA" w:rsidRPr="004D307F"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3,0</w:t>
            </w:r>
            <w:r w:rsidR="00466B4C" w:rsidRPr="004D307F">
              <w:rPr>
                <w:rFonts w:ascii="VIC-Regular" w:eastAsia="Times New Roman" w:hAnsi="VIC-Regular" w:cs="Times New Roman"/>
                <w:color w:val="323E4F" w:themeColor="text2" w:themeShade="BF"/>
                <w:sz w:val="24"/>
                <w:szCs w:val="24"/>
                <w:lang w:eastAsia="en-AU"/>
              </w:rPr>
              <w:t>85</w:t>
            </w:r>
          </w:p>
        </w:tc>
        <w:tc>
          <w:tcPr>
            <w:tcW w:w="0" w:type="auto"/>
            <w:hideMark/>
          </w:tcPr>
          <w:p w14:paraId="5D5E7BC3" w14:textId="690B0DC3" w:rsidR="00314DAA" w:rsidRPr="004D307F"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121,5</w:t>
            </w:r>
            <w:r w:rsidR="00466B4C" w:rsidRPr="004D307F">
              <w:rPr>
                <w:rFonts w:ascii="VIC-Regular" w:eastAsia="Times New Roman" w:hAnsi="VIC-Regular" w:cs="Times New Roman"/>
                <w:color w:val="323E4F" w:themeColor="text2" w:themeShade="BF"/>
                <w:sz w:val="24"/>
                <w:szCs w:val="24"/>
                <w:lang w:eastAsia="en-AU"/>
              </w:rPr>
              <w:t>81</w:t>
            </w:r>
          </w:p>
        </w:tc>
      </w:tr>
      <w:tr w:rsidR="00314DAA" w:rsidRPr="004D307F" w14:paraId="44AE4A17" w14:textId="77777777" w:rsidTr="00D93949">
        <w:tc>
          <w:tcPr>
            <w:tcW w:w="0" w:type="auto"/>
            <w:hideMark/>
          </w:tcPr>
          <w:p w14:paraId="10C217BA" w14:textId="77777777" w:rsidR="00314DAA" w:rsidRPr="004D307F" w:rsidRDefault="00314DAA" w:rsidP="00314DAA">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Secondary</w:t>
            </w:r>
          </w:p>
        </w:tc>
        <w:tc>
          <w:tcPr>
            <w:tcW w:w="0" w:type="auto"/>
            <w:hideMark/>
          </w:tcPr>
          <w:p w14:paraId="0114ECDA" w14:textId="212ECCAB" w:rsidR="00314DAA" w:rsidRPr="004D307F"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119,535</w:t>
            </w:r>
          </w:p>
        </w:tc>
        <w:tc>
          <w:tcPr>
            <w:tcW w:w="0" w:type="auto"/>
            <w:hideMark/>
          </w:tcPr>
          <w:p w14:paraId="1ACF161A" w14:textId="681BCE73" w:rsidR="00314DAA" w:rsidRPr="004D307F"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w:t>
            </w:r>
            <w:r w:rsidR="00466B4C" w:rsidRPr="004D307F">
              <w:rPr>
                <w:rFonts w:ascii="VIC-Regular" w:eastAsia="Times New Roman" w:hAnsi="VIC-Regular" w:cs="Times New Roman"/>
                <w:color w:val="323E4F" w:themeColor="text2" w:themeShade="BF"/>
                <w:sz w:val="24"/>
                <w:szCs w:val="24"/>
                <w:lang w:eastAsia="en-AU"/>
              </w:rPr>
              <w:t>614</w:t>
            </w:r>
          </w:p>
        </w:tc>
        <w:tc>
          <w:tcPr>
            <w:tcW w:w="0" w:type="auto"/>
            <w:hideMark/>
          </w:tcPr>
          <w:p w14:paraId="158FB20D" w14:textId="0DCBFF1A" w:rsidR="00314DAA" w:rsidRPr="004D307F"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121,1</w:t>
            </w:r>
            <w:r w:rsidR="00466B4C" w:rsidRPr="004D307F">
              <w:rPr>
                <w:rFonts w:ascii="VIC-Regular" w:eastAsia="Times New Roman" w:hAnsi="VIC-Regular" w:cs="Times New Roman"/>
                <w:color w:val="323E4F" w:themeColor="text2" w:themeShade="BF"/>
                <w:sz w:val="24"/>
                <w:szCs w:val="24"/>
                <w:lang w:eastAsia="en-AU"/>
              </w:rPr>
              <w:t>49</w:t>
            </w:r>
          </w:p>
        </w:tc>
      </w:tr>
    </w:tbl>
    <w:p w14:paraId="6D5D40BD" w14:textId="77777777" w:rsidR="009753DC" w:rsidRPr="004D307F" w:rsidRDefault="009753DC" w:rsidP="009753DC"/>
    <w:p w14:paraId="2D8975DE" w14:textId="77777777" w:rsidR="009753DC" w:rsidRPr="004D307F" w:rsidRDefault="009753DC" w:rsidP="009753DC">
      <w:r w:rsidRPr="004D307F">
        <w:br w:type="page"/>
      </w:r>
    </w:p>
    <w:p w14:paraId="0D7B8C02" w14:textId="0DF9DCE9" w:rsidR="009753DC" w:rsidRPr="004D307F" w:rsidRDefault="009753DC" w:rsidP="00B566E7">
      <w:pPr>
        <w:pStyle w:val="Heading2"/>
      </w:pPr>
      <w:bookmarkStart w:id="82" w:name="_Toc106793784"/>
      <w:r w:rsidRPr="004D307F">
        <w:lastRenderedPageBreak/>
        <w:t>Ancillary Settings Teachers (Reference 48)</w:t>
      </w:r>
      <w:bookmarkEnd w:id="82"/>
    </w:p>
    <w:p w14:paraId="57B6F1B5" w14:textId="77777777" w:rsidR="009753DC" w:rsidRPr="004D307F"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Ancillary settings teachers are allocated to schools formerly having Social Adjustment Centres (SACs) and Secondary Teaching Units (STUs).</w:t>
      </w:r>
    </w:p>
    <w:p w14:paraId="20638373" w14:textId="05C2BB36" w:rsidR="009753DC" w:rsidRPr="004D307F"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Teacher salary charges to schools will continue to be based on actual payroll debits for individual staff as reflected on eduPay. This includes the actual cost of annual leave loading and all allowances, such as higher duties and special payments. Also included are non-cash benefits for teachers.</w:t>
      </w:r>
    </w:p>
    <w:p w14:paraId="580FCCBE" w14:textId="1B0BB5E7" w:rsidR="002104B8" w:rsidRPr="004D307F"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83" w:name="_Hlk47962119"/>
      <w:r w:rsidRPr="004D307F">
        <w:rPr>
          <w:rFonts w:ascii="VIC-Regular" w:eastAsia="Times New Roman" w:hAnsi="VIC-Regular" w:cs="Times New Roman"/>
          <w:color w:val="011A3C"/>
          <w:sz w:val="24"/>
          <w:szCs w:val="24"/>
          <w:lang w:val="en" w:eastAsia="en-AU"/>
        </w:rPr>
        <w:t xml:space="preserve">Ancillary Settings Teacher funding allocations are </w:t>
      </w:r>
      <w:r w:rsidR="00565BC7" w:rsidRPr="004D307F">
        <w:rPr>
          <w:rFonts w:ascii="VIC-Regular" w:eastAsia="Times New Roman" w:hAnsi="VIC-Regular" w:cs="Times New Roman"/>
          <w:color w:val="011A3C"/>
          <w:sz w:val="24"/>
          <w:szCs w:val="24"/>
          <w:lang w:val="en" w:eastAsia="en-AU"/>
        </w:rPr>
        <w:t>determined  by</w:t>
      </w:r>
      <w:r w:rsidRPr="004D307F">
        <w:rPr>
          <w:rFonts w:ascii="VIC-Regular" w:eastAsia="Times New Roman" w:hAnsi="VIC-Regular" w:cs="Times New Roman"/>
          <w:color w:val="011A3C"/>
          <w:sz w:val="24"/>
          <w:szCs w:val="24"/>
          <w:lang w:val="en" w:eastAsia="en-AU"/>
        </w:rPr>
        <w:t xml:space="preserve"> region</w:t>
      </w:r>
      <w:r w:rsidR="00565BC7" w:rsidRPr="004D307F">
        <w:rPr>
          <w:rFonts w:ascii="VIC-Regular" w:eastAsia="Times New Roman" w:hAnsi="VIC-Regular" w:cs="Times New Roman"/>
          <w:color w:val="011A3C"/>
          <w:sz w:val="24"/>
          <w:szCs w:val="24"/>
          <w:lang w:val="en" w:eastAsia="en-AU"/>
        </w:rPr>
        <w:t>al offices</w:t>
      </w:r>
      <w:r w:rsidRPr="004D307F">
        <w:rPr>
          <w:rFonts w:ascii="VIC-Regular" w:eastAsia="Times New Roman" w:hAnsi="VIC-Regular" w:cs="Times New Roman"/>
          <w:color w:val="011A3C"/>
          <w:sz w:val="24"/>
          <w:szCs w:val="24"/>
          <w:lang w:val="en" w:eastAsia="en-AU"/>
        </w:rPr>
        <w:t>.</w:t>
      </w:r>
    </w:p>
    <w:bookmarkEnd w:id="83"/>
    <w:p w14:paraId="1A94C329" w14:textId="66063C72" w:rsidR="002104B8" w:rsidRPr="004D307F" w:rsidRDefault="002104B8"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cycle and may be updated at the Confirmed cycle, </w:t>
      </w:r>
      <w:r w:rsidR="00466B4C" w:rsidRPr="004D307F">
        <w:rPr>
          <w:rFonts w:ascii="VIC-Regular" w:eastAsia="Times New Roman" w:hAnsi="VIC-Regular" w:cs="Times New Roman"/>
          <w:color w:val="011A3C"/>
          <w:sz w:val="24"/>
          <w:szCs w:val="24"/>
          <w:lang w:val="en" w:eastAsia="en-AU"/>
        </w:rPr>
        <w:t xml:space="preserve">and </w:t>
      </w:r>
      <w:r w:rsidRPr="004D307F">
        <w:rPr>
          <w:rFonts w:ascii="VIC-Regular" w:eastAsia="Times New Roman" w:hAnsi="VIC-Regular" w:cs="Times New Roman"/>
          <w:color w:val="011A3C"/>
          <w:sz w:val="24"/>
          <w:szCs w:val="24"/>
          <w:lang w:val="en" w:eastAsia="en-AU"/>
        </w:rPr>
        <w:t>is allocated through credit and cash funding.</w:t>
      </w:r>
    </w:p>
    <w:p w14:paraId="3E08740E" w14:textId="1849BD81" w:rsidR="009753DC" w:rsidRPr="004D307F"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w:t>
      </w:r>
      <w:r w:rsidRPr="004D307F">
        <w:rPr>
          <w:rFonts w:ascii="VIC-Bold" w:eastAsia="Times New Roman" w:hAnsi="VIC-Bold" w:cs="Times New Roman" w:hint="eastAsia"/>
          <w:b/>
          <w:bCs/>
          <w:color w:val="011A3C"/>
          <w:sz w:val="27"/>
          <w:szCs w:val="27"/>
          <w:lang w:val="en" w:eastAsia="en-AU"/>
        </w:rPr>
        <w:t> </w:t>
      </w:r>
      <w:r w:rsidRPr="004D307F">
        <w:rPr>
          <w:rFonts w:ascii="VIC-Bold" w:eastAsia="Times New Roman" w:hAnsi="VIC-Bold" w:cs="Times New Roman"/>
          <w:b/>
          <w:bCs/>
          <w:color w:val="011A3C"/>
          <w:sz w:val="27"/>
          <w:szCs w:val="27"/>
          <w:lang w:val="en" w:eastAsia="en-AU"/>
        </w:rPr>
        <w:t>202</w:t>
      </w:r>
      <w:r w:rsidR="00466B4C" w:rsidRPr="004D307F">
        <w:rPr>
          <w:rFonts w:ascii="VIC-Bold" w:eastAsia="Times New Roman" w:hAnsi="VIC-Bold" w:cs="Times New Roman"/>
          <w:b/>
          <w:bCs/>
          <w:color w:val="011A3C"/>
          <w:sz w:val="27"/>
          <w:szCs w:val="27"/>
          <w:lang w:val="en" w:eastAsia="en-A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6"/>
        <w:gridCol w:w="2332"/>
        <w:gridCol w:w="2011"/>
        <w:gridCol w:w="2087"/>
      </w:tblGrid>
      <w:tr w:rsidR="009753DC" w:rsidRPr="004D307F" w14:paraId="79CCF682" w14:textId="77777777" w:rsidTr="00D93949">
        <w:trPr>
          <w:tblHeader/>
        </w:trPr>
        <w:tc>
          <w:tcPr>
            <w:tcW w:w="0" w:type="auto"/>
            <w:hideMark/>
          </w:tcPr>
          <w:p w14:paraId="6559034B" w14:textId="77777777" w:rsidR="009753DC" w:rsidRPr="004D307F" w:rsidRDefault="009753DC" w:rsidP="009753DC">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Sector</w:t>
            </w:r>
          </w:p>
        </w:tc>
        <w:tc>
          <w:tcPr>
            <w:tcW w:w="0" w:type="auto"/>
            <w:hideMark/>
          </w:tcPr>
          <w:p w14:paraId="22E035A8" w14:textId="77777777" w:rsidR="009753DC" w:rsidRPr="004D307F" w:rsidRDefault="009753DC" w:rsidP="004363C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Credit ($)</w:t>
            </w:r>
          </w:p>
        </w:tc>
        <w:tc>
          <w:tcPr>
            <w:tcW w:w="0" w:type="auto"/>
            <w:hideMark/>
          </w:tcPr>
          <w:p w14:paraId="0E77269B" w14:textId="77777777" w:rsidR="009753DC" w:rsidRPr="004D307F" w:rsidRDefault="009753DC" w:rsidP="004363C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Cash ($)</w:t>
            </w:r>
          </w:p>
        </w:tc>
        <w:tc>
          <w:tcPr>
            <w:tcW w:w="0" w:type="auto"/>
            <w:hideMark/>
          </w:tcPr>
          <w:p w14:paraId="0C10C11C" w14:textId="77777777" w:rsidR="009753DC" w:rsidRPr="004D307F" w:rsidRDefault="009753DC" w:rsidP="004363C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Total ($)</w:t>
            </w:r>
          </w:p>
        </w:tc>
      </w:tr>
      <w:tr w:rsidR="00565BC7" w:rsidRPr="004D307F" w14:paraId="5036F9D7" w14:textId="77777777" w:rsidTr="00D93949">
        <w:tc>
          <w:tcPr>
            <w:tcW w:w="0" w:type="auto"/>
            <w:hideMark/>
          </w:tcPr>
          <w:p w14:paraId="4719C0ED" w14:textId="77777777" w:rsidR="00565BC7" w:rsidRPr="004D307F" w:rsidRDefault="00565BC7" w:rsidP="00565BC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Primary</w:t>
            </w:r>
          </w:p>
        </w:tc>
        <w:tc>
          <w:tcPr>
            <w:tcW w:w="0" w:type="auto"/>
            <w:hideMark/>
          </w:tcPr>
          <w:p w14:paraId="420B2CEC" w14:textId="3F0494B1" w:rsidR="00565BC7" w:rsidRPr="004D307F" w:rsidRDefault="00565BC7" w:rsidP="00AB4323">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118,496</w:t>
            </w:r>
          </w:p>
        </w:tc>
        <w:tc>
          <w:tcPr>
            <w:tcW w:w="0" w:type="auto"/>
            <w:hideMark/>
          </w:tcPr>
          <w:p w14:paraId="41C737FF" w14:textId="5FF7BA67" w:rsidR="00565BC7" w:rsidRPr="004D307F" w:rsidRDefault="00565BC7" w:rsidP="007B0638">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3,0</w:t>
            </w:r>
            <w:r w:rsidR="00466B4C" w:rsidRPr="004D307F">
              <w:rPr>
                <w:rFonts w:ascii="VIC-Regular" w:eastAsia="Times New Roman" w:hAnsi="VIC-Regular" w:cs="Times New Roman"/>
                <w:color w:val="323E4F" w:themeColor="text2" w:themeShade="BF"/>
                <w:sz w:val="24"/>
                <w:szCs w:val="24"/>
                <w:lang w:eastAsia="en-AU"/>
              </w:rPr>
              <w:t>85</w:t>
            </w:r>
          </w:p>
        </w:tc>
        <w:tc>
          <w:tcPr>
            <w:tcW w:w="0" w:type="auto"/>
            <w:hideMark/>
          </w:tcPr>
          <w:p w14:paraId="12BBF872" w14:textId="3DB6F8A1" w:rsidR="00565BC7" w:rsidRPr="004D307F" w:rsidRDefault="00565BC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121,5</w:t>
            </w:r>
            <w:r w:rsidR="00466B4C" w:rsidRPr="004D307F">
              <w:rPr>
                <w:rFonts w:ascii="VIC-Regular" w:eastAsia="Times New Roman" w:hAnsi="VIC-Regular" w:cs="Times New Roman"/>
                <w:color w:val="323E4F" w:themeColor="text2" w:themeShade="BF"/>
                <w:sz w:val="24"/>
                <w:szCs w:val="24"/>
                <w:lang w:eastAsia="en-AU"/>
              </w:rPr>
              <w:t>81</w:t>
            </w:r>
          </w:p>
        </w:tc>
      </w:tr>
      <w:tr w:rsidR="00565BC7" w:rsidRPr="004D307F" w14:paraId="594E9FED" w14:textId="77777777" w:rsidTr="00D93949">
        <w:tc>
          <w:tcPr>
            <w:tcW w:w="0" w:type="auto"/>
            <w:hideMark/>
          </w:tcPr>
          <w:p w14:paraId="681B916F" w14:textId="77777777" w:rsidR="00565BC7" w:rsidRPr="004D307F" w:rsidRDefault="00565BC7" w:rsidP="00565BC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Secondary</w:t>
            </w:r>
          </w:p>
        </w:tc>
        <w:tc>
          <w:tcPr>
            <w:tcW w:w="0" w:type="auto"/>
            <w:hideMark/>
          </w:tcPr>
          <w:p w14:paraId="04A7317C" w14:textId="446FFC8A" w:rsidR="00565BC7" w:rsidRPr="004D307F" w:rsidRDefault="00565BC7" w:rsidP="00AB4323">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119,535</w:t>
            </w:r>
          </w:p>
        </w:tc>
        <w:tc>
          <w:tcPr>
            <w:tcW w:w="0" w:type="auto"/>
            <w:hideMark/>
          </w:tcPr>
          <w:p w14:paraId="1D221394" w14:textId="2F6D11F4" w:rsidR="00565BC7" w:rsidRPr="004D307F" w:rsidRDefault="00466B4C" w:rsidP="007B0638">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1,614</w:t>
            </w:r>
          </w:p>
        </w:tc>
        <w:tc>
          <w:tcPr>
            <w:tcW w:w="0" w:type="auto"/>
            <w:hideMark/>
          </w:tcPr>
          <w:p w14:paraId="3F55CAB7" w14:textId="065692D7" w:rsidR="00565BC7" w:rsidRPr="004D307F" w:rsidRDefault="00565BC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121,1</w:t>
            </w:r>
            <w:r w:rsidR="00466B4C" w:rsidRPr="004D307F">
              <w:rPr>
                <w:rFonts w:ascii="VIC-Regular" w:eastAsia="Times New Roman" w:hAnsi="VIC-Regular" w:cs="Times New Roman"/>
                <w:color w:val="323E4F" w:themeColor="text2" w:themeShade="BF"/>
                <w:sz w:val="24"/>
                <w:szCs w:val="24"/>
                <w:lang w:eastAsia="en-AU"/>
              </w:rPr>
              <w:t>49</w:t>
            </w:r>
          </w:p>
        </w:tc>
      </w:tr>
    </w:tbl>
    <w:p w14:paraId="385A31F2" w14:textId="77777777" w:rsidR="009753DC" w:rsidRPr="004D307F" w:rsidRDefault="009753DC" w:rsidP="009753DC"/>
    <w:p w14:paraId="773AEB80" w14:textId="77777777" w:rsidR="009753DC" w:rsidRPr="004D307F" w:rsidRDefault="009753DC" w:rsidP="009753DC">
      <w:r w:rsidRPr="004D307F">
        <w:br w:type="page"/>
      </w:r>
    </w:p>
    <w:p w14:paraId="2A697E7E" w14:textId="1BA4290B" w:rsidR="009753DC" w:rsidRPr="004D307F" w:rsidRDefault="009753DC" w:rsidP="00B566E7">
      <w:pPr>
        <w:pStyle w:val="Heading2"/>
      </w:pPr>
      <w:bookmarkStart w:id="84" w:name="_Toc106793785"/>
      <w:r w:rsidRPr="004D307F">
        <w:lastRenderedPageBreak/>
        <w:t>Alternative programs — regional grants (Reference 49)</w:t>
      </w:r>
      <w:bookmarkEnd w:id="84"/>
    </w:p>
    <w:p w14:paraId="2C267E51" w14:textId="68E0DAB5" w:rsidR="009753DC" w:rsidRPr="004D307F"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Cambria Math" w:eastAsia="Times New Roman" w:hAnsi="Cambria Math" w:cs="Cambria Math"/>
          <w:color w:val="011A3C"/>
          <w:sz w:val="24"/>
          <w:szCs w:val="24"/>
          <w:lang w:val="en" w:eastAsia="en-AU"/>
        </w:rPr>
        <w:t>​</w:t>
      </w:r>
      <w:r w:rsidR="004D1CF3" w:rsidRPr="004D307F">
        <w:rPr>
          <w:rFonts w:ascii="VIC-Regular" w:eastAsia="Times New Roman" w:hAnsi="VIC-Regular" w:cs="Times New Roman"/>
          <w:color w:val="011A3C"/>
          <w:sz w:val="24"/>
          <w:szCs w:val="24"/>
          <w:lang w:val="en" w:eastAsia="en-AU"/>
        </w:rPr>
        <w:t xml:space="preserve"> </w:t>
      </w:r>
      <w:r w:rsidR="002104B8" w:rsidRPr="004D307F">
        <w:rPr>
          <w:rFonts w:ascii="VIC-Regular" w:eastAsia="Times New Roman" w:hAnsi="VIC-Regular" w:cs="Times New Roman"/>
          <w:color w:val="011A3C"/>
          <w:sz w:val="24"/>
          <w:szCs w:val="24"/>
          <w:lang w:val="en" w:eastAsia="en-AU"/>
        </w:rPr>
        <w:t>This is a</w:t>
      </w:r>
      <w:r w:rsidRPr="004D307F">
        <w:rPr>
          <w:rFonts w:ascii="VIC-Regular" w:eastAsia="Times New Roman" w:hAnsi="VIC-Regular" w:cs="Times New Roman"/>
          <w:color w:val="011A3C"/>
          <w:sz w:val="24"/>
          <w:szCs w:val="24"/>
          <w:lang w:val="en" w:eastAsia="en-AU"/>
        </w:rPr>
        <w:t xml:space="preserve"> Regional allocation of funding</w:t>
      </w:r>
      <w:r w:rsidR="00C23301" w:rsidRPr="004D307F">
        <w:rPr>
          <w:rFonts w:ascii="VIC-Regular" w:eastAsia="Times New Roman" w:hAnsi="VIC-Regular" w:cs="Times New Roman"/>
          <w:color w:val="011A3C"/>
          <w:sz w:val="24"/>
          <w:szCs w:val="24"/>
          <w:lang w:val="en" w:eastAsia="en-AU"/>
        </w:rPr>
        <w:t xml:space="preserve">, determined by </w:t>
      </w:r>
      <w:r w:rsidR="0042488F" w:rsidRPr="004D307F">
        <w:rPr>
          <w:rFonts w:ascii="VIC-Regular" w:eastAsia="Times New Roman" w:hAnsi="VIC-Regular" w:cs="Times New Roman"/>
          <w:color w:val="011A3C"/>
          <w:sz w:val="24"/>
          <w:szCs w:val="24"/>
          <w:lang w:val="en" w:eastAsia="en-AU"/>
        </w:rPr>
        <w:t xml:space="preserve">each of the </w:t>
      </w:r>
      <w:r w:rsidR="00F70E7B">
        <w:rPr>
          <w:rFonts w:ascii="VIC-Regular" w:eastAsia="Times New Roman" w:hAnsi="VIC-Regular" w:cs="Times New Roman"/>
          <w:color w:val="011A3C"/>
          <w:sz w:val="24"/>
          <w:szCs w:val="24"/>
          <w:lang w:val="en" w:eastAsia="en-AU"/>
        </w:rPr>
        <w:t>4</w:t>
      </w:r>
      <w:r w:rsidR="0042488F" w:rsidRPr="004D307F">
        <w:rPr>
          <w:rFonts w:ascii="VIC-Regular" w:eastAsia="Times New Roman" w:hAnsi="VIC-Regular" w:cs="Times New Roman"/>
          <w:color w:val="011A3C"/>
          <w:sz w:val="24"/>
          <w:szCs w:val="24"/>
          <w:lang w:val="en" w:eastAsia="en-AU"/>
        </w:rPr>
        <w:t xml:space="preserve"> </w:t>
      </w:r>
      <w:r w:rsidR="00C23301" w:rsidRPr="004D307F">
        <w:rPr>
          <w:rFonts w:ascii="VIC-Regular" w:eastAsia="Times New Roman" w:hAnsi="VIC-Regular" w:cs="Times New Roman"/>
          <w:color w:val="011A3C"/>
          <w:sz w:val="24"/>
          <w:szCs w:val="24"/>
          <w:lang w:val="en" w:eastAsia="en-AU"/>
        </w:rPr>
        <w:t>regional offices,</w:t>
      </w:r>
      <w:r w:rsidRPr="004D307F">
        <w:rPr>
          <w:rFonts w:ascii="VIC-Regular" w:eastAsia="Times New Roman" w:hAnsi="VIC-Regular" w:cs="Times New Roman"/>
          <w:color w:val="011A3C"/>
          <w:sz w:val="24"/>
          <w:szCs w:val="24"/>
          <w:lang w:val="en" w:eastAsia="en-AU"/>
        </w:rPr>
        <w:t xml:space="preserve"> to support alternative programs for students.</w:t>
      </w:r>
    </w:p>
    <w:p w14:paraId="5BC8BB65" w14:textId="77777777" w:rsidR="009753DC" w:rsidRPr="004D307F"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Where these funds are to be used by schools for salaries on eduPay, schools may need (depending on their overall budget surplus situation) to undertake a cash-to-credit transfer to offset the payroll charge-out.</w:t>
      </w:r>
    </w:p>
    <w:p w14:paraId="6779A2BE" w14:textId="2A777162" w:rsidR="009753DC" w:rsidRPr="004D307F" w:rsidRDefault="002104B8"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cycle and may be updated at the Confirmed </w:t>
      </w:r>
      <w:r w:rsidR="0042488F" w:rsidRPr="004D307F">
        <w:rPr>
          <w:rFonts w:ascii="VIC-Regular" w:eastAsia="Times New Roman" w:hAnsi="VIC-Regular" w:cs="Times New Roman"/>
          <w:color w:val="011A3C"/>
          <w:sz w:val="24"/>
          <w:szCs w:val="24"/>
          <w:lang w:val="en" w:eastAsia="en-AU"/>
        </w:rPr>
        <w:t>cycle;</w:t>
      </w:r>
      <w:r w:rsidRPr="004D307F">
        <w:rPr>
          <w:rFonts w:ascii="VIC-Regular" w:eastAsia="Times New Roman" w:hAnsi="VIC-Regular" w:cs="Times New Roman"/>
          <w:color w:val="011A3C"/>
          <w:sz w:val="24"/>
          <w:szCs w:val="24"/>
          <w:lang w:val="en" w:eastAsia="en-AU"/>
        </w:rPr>
        <w:t xml:space="preserve"> funding is allocated through cash funding.</w:t>
      </w:r>
    </w:p>
    <w:p w14:paraId="406546A3" w14:textId="77777777" w:rsidR="009753DC" w:rsidRPr="004D307F" w:rsidRDefault="009753DC" w:rsidP="009753DC">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br w:type="page"/>
      </w:r>
    </w:p>
    <w:p w14:paraId="0878E2F4" w14:textId="34B6D4D5" w:rsidR="008503A1" w:rsidRPr="004D307F" w:rsidRDefault="008503A1" w:rsidP="00B566E7">
      <w:pPr>
        <w:pStyle w:val="Heading2"/>
      </w:pPr>
      <w:bookmarkStart w:id="85" w:name="_Toc106793786"/>
      <w:bookmarkStart w:id="86" w:name="_Hlk49848111"/>
      <w:r w:rsidRPr="004D307F">
        <w:lastRenderedPageBreak/>
        <w:t>Joint Community Program</w:t>
      </w:r>
      <w:r w:rsidR="003611D0" w:rsidRPr="004D307F">
        <w:t xml:space="preserve"> </w:t>
      </w:r>
      <w:r w:rsidR="00891D19" w:rsidRPr="004D307F">
        <w:t>(Reference 123)</w:t>
      </w:r>
      <w:bookmarkEnd w:id="85"/>
    </w:p>
    <w:p w14:paraId="20A75115" w14:textId="50451057" w:rsidR="008503A1" w:rsidRPr="004D307F" w:rsidRDefault="008503A1" w:rsidP="004D1CF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Joint Community Program grants are for Joint use facilities that were transferred from the Regional Offices </w:t>
      </w:r>
      <w:r w:rsidR="003611D0" w:rsidRPr="004D307F">
        <w:rPr>
          <w:rFonts w:ascii="VIC-Regular" w:eastAsia="Times New Roman" w:hAnsi="VIC-Regular" w:cs="Times New Roman"/>
          <w:color w:val="011A3C"/>
          <w:sz w:val="24"/>
          <w:szCs w:val="24"/>
          <w:lang w:val="en" w:eastAsia="en-AU"/>
        </w:rPr>
        <w:t xml:space="preserve">in 2010 </w:t>
      </w:r>
      <w:r w:rsidRPr="004D307F">
        <w:rPr>
          <w:rFonts w:ascii="VIC-Regular" w:eastAsia="Times New Roman" w:hAnsi="VIC-Regular" w:cs="Times New Roman"/>
          <w:color w:val="011A3C"/>
          <w:sz w:val="24"/>
          <w:szCs w:val="24"/>
          <w:lang w:val="en" w:eastAsia="en-AU"/>
        </w:rPr>
        <w:t>and incorporated into the Student Resource Package.</w:t>
      </w:r>
    </w:p>
    <w:p w14:paraId="4DDE4D13" w14:textId="79430698" w:rsidR="008503A1" w:rsidRPr="004D307F" w:rsidRDefault="008503A1" w:rsidP="008503A1">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dependent on individual service agreement (administered by regional offices) between the Department and an external provider.</w:t>
      </w:r>
    </w:p>
    <w:p w14:paraId="643F9F74" w14:textId="77777777" w:rsidR="008503A1" w:rsidRPr="004D307F" w:rsidRDefault="008503A1" w:rsidP="008503A1">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agreements are generally established under a committee of management with representation from schools and other parties, such as municipal offices, and allocated on advice from regions. </w:t>
      </w:r>
    </w:p>
    <w:p w14:paraId="77D4FEE7" w14:textId="424BE360" w:rsidR="008503A1" w:rsidRPr="004D307F" w:rsidRDefault="008503A1" w:rsidP="008503A1">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cycle and may be updated at the Confirmed cycle, </w:t>
      </w:r>
      <w:r w:rsidR="007357F3" w:rsidRPr="004D307F">
        <w:rPr>
          <w:rFonts w:ascii="VIC-Regular" w:eastAsia="Times New Roman" w:hAnsi="VIC-Regular" w:cs="Times New Roman"/>
          <w:color w:val="011A3C"/>
          <w:sz w:val="24"/>
          <w:szCs w:val="24"/>
          <w:lang w:val="en" w:eastAsia="en-AU"/>
        </w:rPr>
        <w:t>and</w:t>
      </w:r>
      <w:r w:rsidRPr="004D307F">
        <w:rPr>
          <w:rFonts w:ascii="VIC-Regular" w:eastAsia="Times New Roman" w:hAnsi="VIC-Regular" w:cs="Times New Roman"/>
          <w:color w:val="011A3C"/>
          <w:sz w:val="24"/>
          <w:szCs w:val="24"/>
          <w:lang w:val="en" w:eastAsia="en-AU"/>
        </w:rPr>
        <w:t xml:space="preserve"> is allocated through cash funding.</w:t>
      </w:r>
    </w:p>
    <w:bookmarkEnd w:id="86"/>
    <w:p w14:paraId="3054F04B" w14:textId="77777777" w:rsidR="009C7551" w:rsidRPr="004D307F" w:rsidRDefault="009C7551">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br w:type="page"/>
      </w:r>
    </w:p>
    <w:p w14:paraId="3BC86176" w14:textId="3C9DC4C4" w:rsidR="00570DE3" w:rsidRPr="004D307F" w:rsidRDefault="009C7551" w:rsidP="00B566E7">
      <w:pPr>
        <w:pStyle w:val="Heading2"/>
      </w:pPr>
      <w:bookmarkStart w:id="87" w:name="_Toc106793787"/>
      <w:r w:rsidRPr="004D307F">
        <w:lastRenderedPageBreak/>
        <w:t>Designated Bilingual Programs</w:t>
      </w:r>
      <w:r w:rsidR="00B52991" w:rsidRPr="004D307F">
        <w:t xml:space="preserve"> (Reference 124)</w:t>
      </w:r>
      <w:bookmarkEnd w:id="87"/>
    </w:p>
    <w:p w14:paraId="22D76EC5" w14:textId="5021CBF6" w:rsidR="00570DE3" w:rsidRPr="004D307F" w:rsidRDefault="00570DE3" w:rsidP="006D6E02">
      <w:pPr>
        <w:spacing w:before="100" w:beforeAutospacing="1" w:after="100" w:afterAutospacing="1" w:line="360"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 xml:space="preserve">The Designated Bilingual Program (DBP) provides annual funding to support the delivery of bilingual education across a select number of government bilingual schools, through face-to-face teaching in the target language to 100% of students for a minimum of </w:t>
      </w:r>
      <w:r w:rsidR="006F2DF7" w:rsidRPr="004D307F">
        <w:rPr>
          <w:rFonts w:ascii="VIC-Regular" w:hAnsi="VIC-Regular"/>
          <w:color w:val="011A3C"/>
          <w:sz w:val="24"/>
          <w:szCs w:val="24"/>
          <w:lang w:val="en" w:eastAsia="en-AU"/>
        </w:rPr>
        <w:t>30% (</w:t>
      </w:r>
      <w:r w:rsidRPr="004D307F">
        <w:rPr>
          <w:rFonts w:ascii="VIC-Regular" w:hAnsi="VIC-Regular"/>
          <w:color w:val="011A3C"/>
          <w:sz w:val="24"/>
          <w:szCs w:val="24"/>
          <w:lang w:val="en" w:eastAsia="en-AU"/>
        </w:rPr>
        <w:t>7.5 hours</w:t>
      </w:r>
      <w:r w:rsidR="006F2DF7" w:rsidRPr="004D307F">
        <w:rPr>
          <w:rFonts w:ascii="VIC-Regular" w:hAnsi="VIC-Regular"/>
          <w:color w:val="011A3C"/>
          <w:sz w:val="24"/>
          <w:szCs w:val="24"/>
          <w:lang w:val="en" w:eastAsia="en-AU"/>
        </w:rPr>
        <w:t>) and</w:t>
      </w:r>
      <w:r w:rsidRPr="004D307F">
        <w:rPr>
          <w:rFonts w:ascii="VIC-Regular" w:hAnsi="VIC-Regular"/>
          <w:color w:val="011A3C"/>
          <w:sz w:val="24"/>
          <w:szCs w:val="24"/>
          <w:lang w:val="en" w:eastAsia="en-AU"/>
        </w:rPr>
        <w:t xml:space="preserve"> up to </w:t>
      </w:r>
      <w:r w:rsidR="006F2DF7" w:rsidRPr="004D307F">
        <w:rPr>
          <w:rFonts w:ascii="VIC-Regular" w:hAnsi="VIC-Regular"/>
          <w:color w:val="011A3C"/>
          <w:sz w:val="24"/>
          <w:szCs w:val="24"/>
          <w:lang w:val="en" w:eastAsia="en-AU"/>
        </w:rPr>
        <w:t>50% (</w:t>
      </w:r>
      <w:r w:rsidRPr="004D307F">
        <w:rPr>
          <w:rFonts w:ascii="VIC-Regular" w:hAnsi="VIC-Regular"/>
          <w:color w:val="011A3C"/>
          <w:sz w:val="24"/>
          <w:szCs w:val="24"/>
          <w:lang w:val="en" w:eastAsia="en-AU"/>
        </w:rPr>
        <w:t>12.5 hours</w:t>
      </w:r>
      <w:r w:rsidR="006F2DF7" w:rsidRPr="004D307F">
        <w:rPr>
          <w:rFonts w:ascii="VIC-Regular" w:hAnsi="VIC-Regular"/>
          <w:color w:val="011A3C"/>
          <w:sz w:val="24"/>
          <w:szCs w:val="24"/>
          <w:lang w:val="en" w:eastAsia="en-AU"/>
        </w:rPr>
        <w:t>)</w:t>
      </w:r>
      <w:r w:rsidRPr="004D307F">
        <w:rPr>
          <w:rFonts w:ascii="VIC-Regular" w:hAnsi="VIC-Regular"/>
          <w:color w:val="011A3C"/>
          <w:sz w:val="24"/>
          <w:szCs w:val="24"/>
          <w:lang w:val="en" w:eastAsia="en-AU"/>
        </w:rPr>
        <w:t xml:space="preserve"> per week.</w:t>
      </w:r>
      <w:r w:rsidR="00545553">
        <w:rPr>
          <w:rFonts w:ascii="VIC-Regular" w:hAnsi="VIC-Regular"/>
          <w:color w:val="011A3C"/>
          <w:sz w:val="24"/>
          <w:szCs w:val="24"/>
          <w:lang w:val="en" w:eastAsia="en-AU"/>
        </w:rPr>
        <w:t xml:space="preserve"> </w:t>
      </w:r>
      <w:r w:rsidRPr="004D307F">
        <w:rPr>
          <w:rFonts w:ascii="VIC-Regular" w:hAnsi="VIC-Regular"/>
          <w:color w:val="011A3C"/>
          <w:sz w:val="24"/>
          <w:szCs w:val="24"/>
          <w:lang w:val="en" w:eastAsia="en-AU"/>
        </w:rPr>
        <w:t>The DBP is managed by the Learning</w:t>
      </w:r>
      <w:r w:rsidR="00A56EA7" w:rsidRPr="004D307F">
        <w:rPr>
          <w:rFonts w:ascii="VIC-Regular" w:hAnsi="VIC-Regular"/>
          <w:color w:val="011A3C"/>
          <w:sz w:val="24"/>
          <w:szCs w:val="24"/>
          <w:lang w:val="en" w:eastAsia="en-AU"/>
        </w:rPr>
        <w:t xml:space="preserve"> and </w:t>
      </w:r>
      <w:r w:rsidRPr="004D307F">
        <w:rPr>
          <w:rFonts w:ascii="VIC-Regular" w:hAnsi="VIC-Regular"/>
          <w:color w:val="011A3C"/>
          <w:sz w:val="24"/>
          <w:szCs w:val="24"/>
          <w:lang w:val="en" w:eastAsia="en-AU"/>
        </w:rPr>
        <w:t>Teaching Division.</w:t>
      </w:r>
    </w:p>
    <w:p w14:paraId="3DC14226" w14:textId="77777777" w:rsidR="00570DE3" w:rsidRPr="004D307F" w:rsidRDefault="00570DE3" w:rsidP="004D307F">
      <w:pPr>
        <w:spacing w:before="100" w:beforeAutospacing="1" w:after="100" w:afterAutospacing="1" w:line="360"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3A1389B1" w14:textId="77777777" w:rsidR="00570DE3" w:rsidRPr="004D307F" w:rsidRDefault="00570DE3" w:rsidP="005A7E0A">
      <w:pPr>
        <w:spacing w:before="100" w:beforeAutospacing="1" w:after="100" w:afterAutospacing="1" w:line="360"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Schools with the following school types are included in the Designated Bilingual Program.</w:t>
      </w:r>
    </w:p>
    <w:p w14:paraId="1A9615A2" w14:textId="58D3438D" w:rsidR="00570DE3" w:rsidRPr="004D307F" w:rsidRDefault="00570DE3" w:rsidP="00ED0863">
      <w:pPr>
        <w:pStyle w:val="ListParagraph"/>
        <w:numPr>
          <w:ilvl w:val="0"/>
          <w:numId w:val="137"/>
        </w:numPr>
        <w:spacing w:line="360" w:lineRule="atLeast"/>
        <w:rPr>
          <w:rFonts w:ascii="Calibri" w:eastAsia="Times New Roman" w:hAnsi="Calibri"/>
          <w:lang w:val="en-US"/>
        </w:rPr>
      </w:pPr>
      <w:r w:rsidRPr="004D307F">
        <w:rPr>
          <w:rFonts w:ascii="VIC-Regular" w:eastAsia="Times New Roman" w:hAnsi="VIC-Regular"/>
          <w:color w:val="011A3C"/>
          <w:sz w:val="24"/>
          <w:szCs w:val="24"/>
          <w:lang w:val="en" w:eastAsia="en-AU"/>
        </w:rPr>
        <w:t>Primary</w:t>
      </w:r>
    </w:p>
    <w:p w14:paraId="32A0B1D6" w14:textId="769EFF38" w:rsidR="000B237C" w:rsidRPr="004D307F" w:rsidRDefault="00A56EA7" w:rsidP="004D307F">
      <w:pPr>
        <w:spacing w:line="360"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Subject to Ministerial approval and the availability of resources, the Department may provide an opportunity for a new school to enter the Designated Bilingual Program. This involves a targeted Expression of Interest (EOI) process to a small number of schools w</w:t>
      </w:r>
      <w:r w:rsidR="006717C9" w:rsidRPr="004D307F">
        <w:rPr>
          <w:rFonts w:ascii="VIC-Regular" w:hAnsi="VIC-Regular"/>
          <w:color w:val="011A3C"/>
          <w:sz w:val="24"/>
          <w:szCs w:val="24"/>
          <w:lang w:val="en" w:eastAsia="en-AU"/>
        </w:rPr>
        <w:t>ho</w:t>
      </w:r>
      <w:r w:rsidRPr="004D307F">
        <w:rPr>
          <w:rFonts w:ascii="VIC-Regular" w:hAnsi="VIC-Regular"/>
          <w:color w:val="011A3C"/>
          <w:sz w:val="24"/>
          <w:szCs w:val="24"/>
          <w:lang w:val="en" w:eastAsia="en-AU"/>
        </w:rPr>
        <w:t xml:space="preserve"> can demonstrate existing, strong language programs, such as highly successful Content and </w:t>
      </w:r>
      <w:r w:rsidR="006717C9" w:rsidRPr="004D307F">
        <w:rPr>
          <w:rFonts w:ascii="VIC-Regular" w:hAnsi="VIC-Regular"/>
          <w:color w:val="011A3C"/>
          <w:sz w:val="24"/>
          <w:szCs w:val="24"/>
          <w:lang w:val="en" w:eastAsia="en-AU"/>
        </w:rPr>
        <w:t>L</w:t>
      </w:r>
      <w:r w:rsidRPr="004D307F">
        <w:rPr>
          <w:rFonts w:ascii="VIC-Regular" w:hAnsi="VIC-Regular"/>
          <w:color w:val="011A3C"/>
          <w:sz w:val="24"/>
          <w:szCs w:val="24"/>
          <w:lang w:val="en" w:eastAsia="en-AU"/>
        </w:rPr>
        <w:t xml:space="preserve">anguage </w:t>
      </w:r>
      <w:r w:rsidR="006717C9" w:rsidRPr="004D307F">
        <w:rPr>
          <w:rFonts w:ascii="VIC-Regular" w:hAnsi="VIC-Regular"/>
          <w:color w:val="011A3C"/>
          <w:sz w:val="24"/>
          <w:szCs w:val="24"/>
          <w:lang w:val="en" w:eastAsia="en-AU"/>
        </w:rPr>
        <w:t>I</w:t>
      </w:r>
      <w:r w:rsidRPr="004D307F">
        <w:rPr>
          <w:rFonts w:ascii="VIC-Regular" w:hAnsi="VIC-Regular"/>
          <w:color w:val="011A3C"/>
          <w:sz w:val="24"/>
          <w:szCs w:val="24"/>
          <w:lang w:val="en" w:eastAsia="en-AU"/>
        </w:rPr>
        <w:t xml:space="preserve">ntegrated </w:t>
      </w:r>
      <w:r w:rsidR="006717C9" w:rsidRPr="004D307F">
        <w:rPr>
          <w:rFonts w:ascii="VIC-Regular" w:hAnsi="VIC-Regular"/>
          <w:color w:val="011A3C"/>
          <w:sz w:val="24"/>
          <w:szCs w:val="24"/>
          <w:lang w:val="en" w:eastAsia="en-AU"/>
        </w:rPr>
        <w:t>L</w:t>
      </w:r>
      <w:r w:rsidRPr="004D307F">
        <w:rPr>
          <w:rFonts w:ascii="VIC-Regular" w:hAnsi="VIC-Regular"/>
          <w:color w:val="011A3C"/>
          <w:sz w:val="24"/>
          <w:szCs w:val="24"/>
          <w:lang w:val="en" w:eastAsia="en-AU"/>
        </w:rPr>
        <w:t xml:space="preserve">earning (CLIL) programs, and </w:t>
      </w:r>
      <w:r w:rsidR="006717C9" w:rsidRPr="004D307F">
        <w:rPr>
          <w:rFonts w:ascii="VIC-Regular" w:hAnsi="VIC-Regular"/>
          <w:color w:val="011A3C"/>
          <w:sz w:val="24"/>
          <w:szCs w:val="24"/>
          <w:lang w:val="en" w:eastAsia="en-AU"/>
        </w:rPr>
        <w:t>that</w:t>
      </w:r>
      <w:r w:rsidRPr="004D307F">
        <w:rPr>
          <w:rFonts w:ascii="VIC-Regular" w:hAnsi="VIC-Regular"/>
          <w:color w:val="011A3C"/>
          <w:sz w:val="24"/>
          <w:szCs w:val="24"/>
          <w:lang w:val="en" w:eastAsia="en-AU"/>
        </w:rPr>
        <w:t xml:space="preserve"> have strong community support. </w:t>
      </w:r>
    </w:p>
    <w:p w14:paraId="356D3C92" w14:textId="1FC062F2" w:rsidR="00A56EA7" w:rsidRPr="004D307F" w:rsidRDefault="00A56EA7" w:rsidP="004D307F">
      <w:pPr>
        <w:spacing w:line="360"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Applicant schools need to articulate an evidence-based pathway toward achieving 100% student participation in a bilingual program, with instruction time in the target language to be offered for a minimum of 30% (7.5 hours) per week and ranging through to an aspirational target of 50% (12.5 hours).</w:t>
      </w:r>
    </w:p>
    <w:p w14:paraId="4E0FAAC6" w14:textId="77777777" w:rsidR="00570DE3" w:rsidRPr="004D307F" w:rsidRDefault="00570DE3" w:rsidP="004D307F">
      <w:pPr>
        <w:spacing w:before="100" w:beforeAutospacing="1" w:after="100" w:afterAutospacing="1" w:line="360"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266B79E9" w14:textId="77777777" w:rsidR="00A56EA7" w:rsidRPr="004D307F" w:rsidRDefault="00A56EA7" w:rsidP="002C74B8">
      <w:pPr>
        <w:spacing w:before="100" w:beforeAutospacing="1" w:after="80" w:line="360"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Funding is calculated at the Confirmed budget cycle, and further updates at the Revised cycle if required. Funding is allocated through credit funding.</w:t>
      </w:r>
    </w:p>
    <w:p w14:paraId="4A173B55" w14:textId="7A1D6E58" w:rsidR="00570DE3" w:rsidRPr="004D307F" w:rsidRDefault="00570DE3" w:rsidP="002C74B8">
      <w:pPr>
        <w:spacing w:before="100" w:beforeAutospacing="1" w:after="80" w:line="360"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Funding is per capita and based on all students being offered a bilingual education for a minimum of 30</w:t>
      </w:r>
      <w:r w:rsidR="00DC5ED6" w:rsidRPr="004D307F">
        <w:rPr>
          <w:rFonts w:ascii="VIC-Regular" w:hAnsi="VIC-Regular"/>
          <w:color w:val="011A3C"/>
          <w:sz w:val="24"/>
          <w:szCs w:val="24"/>
          <w:lang w:val="en" w:eastAsia="en-AU"/>
        </w:rPr>
        <w:t>%</w:t>
      </w:r>
      <w:r w:rsidRPr="004D307F">
        <w:rPr>
          <w:rFonts w:ascii="VIC-Regular" w:hAnsi="VIC-Regular"/>
          <w:color w:val="011A3C"/>
          <w:sz w:val="24"/>
          <w:szCs w:val="24"/>
          <w:lang w:val="en" w:eastAsia="en-AU"/>
        </w:rPr>
        <w:t xml:space="preserve"> (i.e. 7.5 hours) and up to 50</w:t>
      </w:r>
      <w:r w:rsidR="00DC5ED6" w:rsidRPr="004D307F">
        <w:rPr>
          <w:rFonts w:ascii="VIC-Regular" w:hAnsi="VIC-Regular"/>
          <w:color w:val="011A3C"/>
          <w:sz w:val="24"/>
          <w:szCs w:val="24"/>
          <w:lang w:val="en" w:eastAsia="en-AU"/>
        </w:rPr>
        <w:t>%</w:t>
      </w:r>
      <w:r w:rsidRPr="004D307F">
        <w:rPr>
          <w:rFonts w:ascii="VIC-Regular" w:hAnsi="VIC-Regular"/>
          <w:color w:val="011A3C"/>
          <w:sz w:val="24"/>
          <w:szCs w:val="24"/>
          <w:lang w:val="en" w:eastAsia="en-AU"/>
        </w:rPr>
        <w:t xml:space="preserve"> (i.e. 12.5 hours) of bilingual instruction in the target language per week, with funding scaled accordingly based on the DBP funding and operating model.  </w:t>
      </w:r>
    </w:p>
    <w:p w14:paraId="156AADB4" w14:textId="3FA1277E" w:rsidR="00570DE3" w:rsidRDefault="00570DE3" w:rsidP="002C74B8">
      <w:pPr>
        <w:spacing w:before="100" w:beforeAutospacing="1" w:after="100" w:afterAutospacing="1" w:line="360" w:lineRule="atLeast"/>
        <w:outlineLvl w:val="2"/>
        <w:rPr>
          <w:rStyle w:val="CommentReference"/>
        </w:rPr>
      </w:pPr>
      <w:r w:rsidRPr="00CC1F05">
        <w:rPr>
          <w:rFonts w:ascii="VIC" w:eastAsia="Times New Roman" w:hAnsi="VIC" w:cs="Times New Roman"/>
          <w:color w:val="011A3C"/>
          <w:sz w:val="27"/>
          <w:szCs w:val="27"/>
          <w:lang w:val="en" w:eastAsia="en-AU"/>
        </w:rPr>
        <w:t>Note</w:t>
      </w:r>
      <w:r w:rsidR="00CC1F05" w:rsidRPr="00CC1F05">
        <w:rPr>
          <w:rFonts w:ascii="VIC" w:eastAsia="Times New Roman" w:hAnsi="VIC" w:cs="Times New Roman"/>
          <w:color w:val="011A3C"/>
          <w:sz w:val="27"/>
          <w:szCs w:val="27"/>
          <w:lang w:val="en" w:eastAsia="en-AU"/>
        </w:rPr>
        <w:t>:</w:t>
      </w:r>
      <w:r w:rsidR="002C74B8" w:rsidRPr="00CC1F05">
        <w:rPr>
          <w:rFonts w:ascii="VIC" w:eastAsia="Times New Roman" w:hAnsi="VIC" w:cs="Times New Roman"/>
          <w:color w:val="011A3C"/>
          <w:sz w:val="27"/>
          <w:szCs w:val="27"/>
          <w:lang w:val="en" w:eastAsia="en-AU"/>
        </w:rPr>
        <w:t xml:space="preserve"> </w:t>
      </w:r>
      <w:r w:rsidRPr="00CC1F05">
        <w:rPr>
          <w:rFonts w:ascii="VIC" w:hAnsi="VIC"/>
          <w:color w:val="011A3C"/>
          <w:sz w:val="24"/>
          <w:szCs w:val="24"/>
          <w:lang w:val="en" w:eastAsia="en-AU"/>
        </w:rPr>
        <w:t>Allocations</w:t>
      </w:r>
      <w:r w:rsidRPr="004D307F">
        <w:rPr>
          <w:rFonts w:ascii="VIC-Regular" w:hAnsi="VIC-Regular"/>
          <w:color w:val="011A3C"/>
          <w:sz w:val="24"/>
          <w:szCs w:val="24"/>
          <w:lang w:val="en" w:eastAsia="en-AU"/>
        </w:rPr>
        <w:t xml:space="preserve"> to Designated Bilingual Program schools include a 30</w:t>
      </w:r>
      <w:r w:rsidR="00DC5ED6" w:rsidRPr="004D307F">
        <w:rPr>
          <w:rFonts w:ascii="VIC-Regular" w:hAnsi="VIC-Regular"/>
          <w:color w:val="011A3C"/>
          <w:sz w:val="24"/>
          <w:szCs w:val="24"/>
          <w:lang w:val="en" w:eastAsia="en-AU"/>
        </w:rPr>
        <w:t>%</w:t>
      </w:r>
      <w:r w:rsidRPr="004D307F">
        <w:rPr>
          <w:rFonts w:ascii="VIC-Regular" w:hAnsi="VIC-Regular"/>
          <w:color w:val="011A3C"/>
          <w:sz w:val="24"/>
          <w:szCs w:val="24"/>
          <w:lang w:val="en" w:eastAsia="en-AU"/>
        </w:rPr>
        <w:t xml:space="preserve"> cash component.</w:t>
      </w:r>
      <w:r w:rsidR="009B2D25" w:rsidRPr="004D307F" w:rsidDel="009B2D25">
        <w:rPr>
          <w:rStyle w:val="CommentReference"/>
        </w:rPr>
        <w:t xml:space="preserve"> </w:t>
      </w:r>
    </w:p>
    <w:p w14:paraId="2474E677" w14:textId="33BA26F7" w:rsidR="00CA3357" w:rsidRDefault="00CA3357">
      <w:pPr>
        <w:rPr>
          <w:rStyle w:val="CommentReference"/>
        </w:rPr>
      </w:pPr>
      <w:r>
        <w:rPr>
          <w:rStyle w:val="CommentReference"/>
        </w:rPr>
        <w:br w:type="page"/>
      </w:r>
    </w:p>
    <w:p w14:paraId="7D8A1435" w14:textId="26079AF5" w:rsidR="00C53D64" w:rsidRPr="004D307F" w:rsidRDefault="00C53D64" w:rsidP="000F3581">
      <w:pPr>
        <w:pStyle w:val="Heading1"/>
      </w:pPr>
      <w:bookmarkStart w:id="88" w:name="_Toc106793788"/>
      <w:r w:rsidRPr="004D307F">
        <w:lastRenderedPageBreak/>
        <w:t>Targeted Initiatives</w:t>
      </w:r>
      <w:bookmarkEnd w:id="88"/>
    </w:p>
    <w:p w14:paraId="081A6111" w14:textId="77777777" w:rsidR="00C53D64" w:rsidRPr="004D307F" w:rsidRDefault="00C53D64" w:rsidP="002F2A24">
      <w:pPr>
        <w:pStyle w:val="Heading3"/>
        <w:rPr>
          <w:rFonts w:ascii="VIC-Bold" w:eastAsia="Times New Roman" w:hAnsi="VIC-Bold" w:cs="Times New Roman"/>
          <w:color w:val="323E4F" w:themeColor="text2" w:themeShade="BF"/>
          <w:sz w:val="36"/>
          <w:szCs w:val="36"/>
          <w:lang w:val="en" w:eastAsia="en-AU"/>
        </w:rPr>
      </w:pPr>
      <w:r w:rsidRPr="004D307F">
        <w:rPr>
          <w:rFonts w:ascii="VIC-Bold" w:eastAsia="Times New Roman" w:hAnsi="VIC-Bold" w:cs="Times New Roman"/>
          <w:color w:val="323E4F" w:themeColor="text2" w:themeShade="BF"/>
          <w:sz w:val="36"/>
          <w:szCs w:val="36"/>
          <w:lang w:val="en" w:eastAsia="en-AU"/>
        </w:rPr>
        <w:t>Policy</w:t>
      </w:r>
    </w:p>
    <w:p w14:paraId="770A88C9" w14:textId="529CE05D" w:rsidR="00C53D64" w:rsidRPr="004D307F" w:rsidRDefault="00C53D64" w:rsidP="00C53D64">
      <w:pPr>
        <w:pStyle w:val="NormalWeb"/>
        <w:spacing w:line="360" w:lineRule="atLeast"/>
        <w:rPr>
          <w:rFonts w:ascii="VIC-Regular" w:hAnsi="VIC-Regular"/>
          <w:color w:val="011A3C"/>
          <w:lang w:val="en"/>
        </w:rPr>
      </w:pPr>
      <w:r w:rsidRPr="004D307F">
        <w:rPr>
          <w:rFonts w:ascii="VIC-Regular" w:hAnsi="VIC-Regular"/>
          <w:color w:val="011A3C"/>
          <w:lang w:val="en"/>
        </w:rPr>
        <w:t xml:space="preserve">This policy provides information about how funding is allocated to schools through the Student Resource </w:t>
      </w:r>
      <w:r w:rsidR="00B24032" w:rsidRPr="004D307F">
        <w:rPr>
          <w:rFonts w:ascii="VIC-Regular" w:hAnsi="VIC-Regular"/>
          <w:color w:val="011A3C"/>
          <w:lang w:val="en"/>
        </w:rPr>
        <w:t>Package (</w:t>
      </w:r>
      <w:r w:rsidR="009A130D" w:rsidRPr="004D307F">
        <w:rPr>
          <w:rFonts w:ascii="VIC-Regular" w:hAnsi="VIC-Regular"/>
          <w:color w:val="011A3C"/>
          <w:lang w:val="en"/>
        </w:rPr>
        <w:t>SRP)</w:t>
      </w:r>
      <w:r w:rsidRPr="004D307F">
        <w:rPr>
          <w:rFonts w:ascii="VIC-Regular" w:hAnsi="VIC-Regular"/>
          <w:color w:val="011A3C"/>
          <w:lang w:val="en"/>
        </w:rPr>
        <w:t xml:space="preserve"> for targeted initiatives.</w:t>
      </w:r>
    </w:p>
    <w:p w14:paraId="6A2E8F63" w14:textId="77777777" w:rsidR="00C53D64" w:rsidRPr="004D307F" w:rsidRDefault="00C53D64" w:rsidP="002F2A24">
      <w:pPr>
        <w:pStyle w:val="Heading3"/>
        <w:rPr>
          <w:rFonts w:ascii="VIC-Bold" w:eastAsia="Times New Roman" w:hAnsi="VIC-Bold" w:cs="Times New Roman"/>
          <w:color w:val="323E4F" w:themeColor="text2" w:themeShade="BF"/>
          <w:sz w:val="36"/>
          <w:szCs w:val="36"/>
          <w:lang w:val="en" w:eastAsia="en-AU"/>
        </w:rPr>
      </w:pPr>
      <w:r w:rsidRPr="004D307F">
        <w:rPr>
          <w:rFonts w:ascii="VIC-Bold" w:eastAsia="Times New Roman" w:hAnsi="VIC-Bold" w:cs="Times New Roman"/>
          <w:color w:val="323E4F" w:themeColor="text2" w:themeShade="BF"/>
          <w:sz w:val="36"/>
          <w:szCs w:val="36"/>
          <w:lang w:val="en" w:eastAsia="en-AU"/>
        </w:rPr>
        <w:t>Details</w:t>
      </w:r>
    </w:p>
    <w:p w14:paraId="173FB949" w14:textId="7665EB0B" w:rsidR="00C53D64" w:rsidRPr="004D307F" w:rsidRDefault="00C53D64" w:rsidP="00C53D64">
      <w:pPr>
        <w:pStyle w:val="NormalWeb"/>
        <w:spacing w:line="360" w:lineRule="atLeast"/>
        <w:rPr>
          <w:rFonts w:ascii="VIC-Regular" w:hAnsi="VIC-Regular"/>
          <w:color w:val="011A3C"/>
          <w:lang w:val="en"/>
        </w:rPr>
      </w:pPr>
      <w:r w:rsidRPr="004D307F">
        <w:rPr>
          <w:rFonts w:ascii="VIC-Regular" w:hAnsi="VIC-Regular"/>
          <w:color w:val="011A3C"/>
          <w:lang w:val="en"/>
        </w:rPr>
        <w:t>Funding for ‘targeted initiatives’ is one of three categories of funding provided for by the SRP.</w:t>
      </w:r>
    </w:p>
    <w:p w14:paraId="02B3E3B7" w14:textId="77777777" w:rsidR="00C53D64" w:rsidRPr="004D307F" w:rsidRDefault="00C53D64" w:rsidP="00C53D64">
      <w:pPr>
        <w:pStyle w:val="NormalWeb"/>
        <w:spacing w:line="360" w:lineRule="atLeast"/>
        <w:rPr>
          <w:rFonts w:ascii="VIC-Regular" w:hAnsi="VIC-Regular"/>
          <w:color w:val="011A3C"/>
          <w:lang w:val="en"/>
        </w:rPr>
      </w:pPr>
      <w:r w:rsidRPr="004D307F">
        <w:rPr>
          <w:rFonts w:ascii="VIC-Regular" w:hAnsi="VIC-Regular"/>
          <w:color w:val="011A3C"/>
          <w:lang w:val="en"/>
        </w:rPr>
        <w:t xml:space="preserve">The </w:t>
      </w:r>
      <w:r w:rsidRPr="004D307F">
        <w:rPr>
          <w:rStyle w:val="Strong"/>
          <w:rFonts w:ascii="VIC-Regular" w:hAnsi="VIC-Regular"/>
          <w:b w:val="0"/>
          <w:bCs w:val="0"/>
          <w:color w:val="011A3C"/>
          <w:lang w:val="en"/>
        </w:rPr>
        <w:t>targeted initiatives</w:t>
      </w:r>
      <w:r w:rsidRPr="004D307F">
        <w:rPr>
          <w:rFonts w:ascii="VIC-Regular" w:hAnsi="VIC-Regular"/>
          <w:color w:val="011A3C"/>
          <w:lang w:val="en"/>
        </w:rPr>
        <w:t xml:space="preserve"> component provides funding for programs with specific targeting criteria and/or defined life spans. The </w:t>
      </w:r>
      <w:hyperlink r:id="rId123" w:history="1">
        <w:r w:rsidRPr="004D307F">
          <w:rPr>
            <w:rStyle w:val="rpl-text-label2"/>
            <w:rFonts w:ascii="VIC-Regular" w:hAnsi="VIC-Regular"/>
            <w:lang w:val="en"/>
          </w:rPr>
          <w:t>Guidance tab</w:t>
        </w:r>
      </w:hyperlink>
      <w:r w:rsidRPr="004D307F">
        <w:rPr>
          <w:rFonts w:ascii="VIC-Regular" w:hAnsi="VIC-Regular"/>
          <w:color w:val="011A3C"/>
          <w:lang w:val="en"/>
        </w:rPr>
        <w:t xml:space="preserve"> provides information about the following specific types of targeted initiative funding:</w:t>
      </w:r>
    </w:p>
    <w:p w14:paraId="6A578E34" w14:textId="581743FC" w:rsidR="00A8797A" w:rsidRPr="004D307F" w:rsidRDefault="00901FCB" w:rsidP="00ED0863">
      <w:pPr>
        <w:numPr>
          <w:ilvl w:val="0"/>
          <w:numId w:val="128"/>
        </w:numPr>
        <w:spacing w:before="100" w:beforeAutospacing="1" w:after="100" w:afterAutospacing="1" w:line="360" w:lineRule="atLeast"/>
        <w:rPr>
          <w:rStyle w:val="rpl-text-label2"/>
          <w:rFonts w:ascii="VIC" w:hAnsi="VIC"/>
          <w:lang w:val="en"/>
        </w:rPr>
      </w:pPr>
      <w:hyperlink r:id="rId124" w:history="1">
        <w:r w:rsidR="00C53D64" w:rsidRPr="004D307F">
          <w:rPr>
            <w:rStyle w:val="rpl-text-label2"/>
            <w:rFonts w:ascii="VIC" w:hAnsi="VIC"/>
            <w:lang w:val="en"/>
          </w:rPr>
          <w:t>Primary Welfare</w:t>
        </w:r>
      </w:hyperlink>
    </w:p>
    <w:p w14:paraId="0F9801E0" w14:textId="5A897CD5" w:rsidR="005145AE" w:rsidRPr="004D307F" w:rsidRDefault="005145AE" w:rsidP="00ED0863">
      <w:pPr>
        <w:numPr>
          <w:ilvl w:val="0"/>
          <w:numId w:val="128"/>
        </w:numPr>
        <w:spacing w:before="100" w:beforeAutospacing="1" w:after="100" w:afterAutospacing="1" w:line="360" w:lineRule="atLeast"/>
        <w:rPr>
          <w:rStyle w:val="rpl-text-label2"/>
          <w:rFonts w:ascii="VIC" w:hAnsi="VIC"/>
          <w:lang w:val="en"/>
        </w:rPr>
      </w:pPr>
      <w:bookmarkStart w:id="89" w:name="_Hlk99873378"/>
      <w:r w:rsidRPr="004D307F">
        <w:rPr>
          <w:rStyle w:val="rpl-text-label2"/>
          <w:rFonts w:ascii="VIC" w:hAnsi="VIC"/>
          <w:lang w:val="en"/>
        </w:rPr>
        <w:t>Late Enrolment</w:t>
      </w:r>
      <w:r w:rsidR="00592FBD" w:rsidRPr="004D307F">
        <w:rPr>
          <w:rStyle w:val="rpl-text-label2"/>
          <w:rFonts w:ascii="VIC" w:hAnsi="VIC"/>
          <w:lang w:val="en"/>
        </w:rPr>
        <w:t xml:space="preserve"> and </w:t>
      </w:r>
      <w:r w:rsidRPr="004D307F">
        <w:rPr>
          <w:rStyle w:val="rpl-text-label2"/>
          <w:rFonts w:ascii="VIC" w:hAnsi="VIC"/>
          <w:lang w:val="en"/>
        </w:rPr>
        <w:t>Senior Secondary Reengagement</w:t>
      </w:r>
    </w:p>
    <w:bookmarkEnd w:id="89"/>
    <w:p w14:paraId="7021D5F1" w14:textId="77777777" w:rsidR="00C53D64" w:rsidRPr="004D307F" w:rsidRDefault="007C3D85" w:rsidP="00ED0863">
      <w:pPr>
        <w:numPr>
          <w:ilvl w:val="0"/>
          <w:numId w:val="128"/>
        </w:numPr>
        <w:spacing w:before="100" w:beforeAutospacing="1" w:after="100" w:afterAutospacing="1" w:line="360" w:lineRule="atLeast"/>
        <w:rPr>
          <w:rFonts w:ascii="VIC" w:hAnsi="VIC"/>
          <w:color w:val="011A3C"/>
          <w:lang w:val="en"/>
        </w:rPr>
      </w:pPr>
      <w:r w:rsidRPr="004D307F">
        <w:fldChar w:fldCharType="begin"/>
      </w:r>
      <w:r w:rsidRPr="004D307F">
        <w:rPr>
          <w:rFonts w:ascii="VIC" w:hAnsi="VIC"/>
        </w:rPr>
        <w:instrText xml:space="preserve"> HYPERLINK "https://www2.education.vic.gov.au/pal/student-resource-package-srp-targeted-initiatives/guidance/vocational-education-and-training" </w:instrText>
      </w:r>
      <w:r w:rsidRPr="004D307F">
        <w:fldChar w:fldCharType="separate"/>
      </w:r>
      <w:r w:rsidR="00C53D64" w:rsidRPr="004D307F">
        <w:rPr>
          <w:rStyle w:val="rpl-text-label2"/>
          <w:rFonts w:ascii="VIC" w:hAnsi="VIC"/>
          <w:lang w:val="en"/>
        </w:rPr>
        <w:t>Vocational Education and Training Delivered to Secondary School Students</w:t>
      </w:r>
      <w:r w:rsidRPr="004D307F">
        <w:rPr>
          <w:rStyle w:val="rpl-text-label2"/>
          <w:rFonts w:ascii="VIC" w:hAnsi="VIC"/>
          <w:lang w:val="en"/>
        </w:rPr>
        <w:fldChar w:fldCharType="end"/>
      </w:r>
    </w:p>
    <w:p w14:paraId="5D197922" w14:textId="082D422B" w:rsidR="00C53D64" w:rsidRPr="004D307F" w:rsidRDefault="00901FCB" w:rsidP="00ED0863">
      <w:pPr>
        <w:numPr>
          <w:ilvl w:val="0"/>
          <w:numId w:val="128"/>
        </w:numPr>
        <w:spacing w:before="100" w:beforeAutospacing="1" w:after="100" w:afterAutospacing="1" w:line="360" w:lineRule="atLeast"/>
        <w:rPr>
          <w:rStyle w:val="rpl-text-label2"/>
          <w:rFonts w:ascii="VIC" w:hAnsi="VIC"/>
          <w:lang w:val="en"/>
        </w:rPr>
      </w:pPr>
      <w:hyperlink r:id="rId125" w:history="1">
        <w:r w:rsidR="00C53D64" w:rsidRPr="004D307F">
          <w:rPr>
            <w:rStyle w:val="rpl-text-label2"/>
            <w:rFonts w:ascii="VIC" w:hAnsi="VIC"/>
            <w:lang w:val="en"/>
          </w:rPr>
          <w:t xml:space="preserve">Doctors in Secondary Schools </w:t>
        </w:r>
        <w:r w:rsidR="00C53D64" w:rsidRPr="004D307F">
          <w:rPr>
            <w:rStyle w:val="rpl-text-label2"/>
            <w:rFonts w:ascii="VIC" w:hAnsi="VIC" w:hint="eastAsia"/>
            <w:lang w:val="en"/>
          </w:rPr>
          <w:t>—</w:t>
        </w:r>
        <w:r w:rsidR="00C53D64" w:rsidRPr="004D307F">
          <w:rPr>
            <w:rStyle w:val="rpl-text-label2"/>
            <w:rFonts w:ascii="Calibri" w:hAnsi="Calibri" w:cs="Calibri" w:hint="eastAsia"/>
            <w:lang w:val="en"/>
          </w:rPr>
          <w:t> </w:t>
        </w:r>
        <w:r w:rsidR="00C53D64" w:rsidRPr="004D307F">
          <w:rPr>
            <w:rStyle w:val="rpl-text-label2"/>
            <w:rFonts w:ascii="VIC" w:hAnsi="VIC"/>
            <w:lang w:val="en"/>
          </w:rPr>
          <w:t>School program lead funding</w:t>
        </w:r>
      </w:hyperlink>
    </w:p>
    <w:p w14:paraId="4B5030DB" w14:textId="4B6A4742" w:rsidR="00A8797A" w:rsidRPr="004D307F" w:rsidRDefault="00A8797A" w:rsidP="00ED0863">
      <w:pPr>
        <w:numPr>
          <w:ilvl w:val="0"/>
          <w:numId w:val="128"/>
        </w:numPr>
        <w:spacing w:before="100" w:beforeAutospacing="1" w:after="100" w:afterAutospacing="1" w:line="360" w:lineRule="atLeast"/>
        <w:rPr>
          <w:rStyle w:val="rpl-text-label2"/>
          <w:rFonts w:ascii="VIC" w:hAnsi="VIC"/>
          <w:lang w:val="en"/>
        </w:rPr>
      </w:pPr>
      <w:r w:rsidRPr="004D307F">
        <w:rPr>
          <w:rStyle w:val="rpl-text-label2"/>
          <w:rFonts w:ascii="VIC" w:hAnsi="VIC"/>
          <w:lang w:val="en"/>
        </w:rPr>
        <w:t>Respectful Relationships</w:t>
      </w:r>
    </w:p>
    <w:p w14:paraId="473C9F85" w14:textId="16DBDD1C" w:rsidR="005145AE" w:rsidRPr="004D307F" w:rsidRDefault="005145AE" w:rsidP="00ED0863">
      <w:pPr>
        <w:numPr>
          <w:ilvl w:val="0"/>
          <w:numId w:val="128"/>
        </w:numPr>
        <w:spacing w:before="100" w:beforeAutospacing="1" w:after="100" w:afterAutospacing="1" w:line="360" w:lineRule="atLeast"/>
        <w:rPr>
          <w:rStyle w:val="rpl-text-label2"/>
          <w:rFonts w:ascii="VIC" w:hAnsi="VIC"/>
          <w:lang w:val="en"/>
        </w:rPr>
      </w:pPr>
      <w:bookmarkStart w:id="90" w:name="_Hlk99873403"/>
      <w:r w:rsidRPr="004D307F">
        <w:rPr>
          <w:rStyle w:val="rpl-text-label2"/>
          <w:rFonts w:ascii="VIC" w:hAnsi="VIC"/>
          <w:lang w:val="en"/>
        </w:rPr>
        <w:t>Extended Year Koorie Literacy and Numeracy Program</w:t>
      </w:r>
    </w:p>
    <w:p w14:paraId="0BBE2788" w14:textId="4632D5BD" w:rsidR="0042488F" w:rsidRPr="004D307F" w:rsidRDefault="0042488F" w:rsidP="00ED0863">
      <w:pPr>
        <w:numPr>
          <w:ilvl w:val="0"/>
          <w:numId w:val="128"/>
        </w:numPr>
        <w:spacing w:before="100" w:beforeAutospacing="1" w:after="100" w:afterAutospacing="1" w:line="360" w:lineRule="atLeast"/>
        <w:rPr>
          <w:rStyle w:val="rpl-text-label2"/>
          <w:rFonts w:ascii="VIC" w:hAnsi="VIC"/>
          <w:lang w:val="en"/>
        </w:rPr>
      </w:pPr>
      <w:r w:rsidRPr="004D307F">
        <w:rPr>
          <w:rFonts w:ascii="VIC" w:hAnsi="VIC"/>
        </w:rPr>
        <w:t>Early Years Koorie Literacy and Numeracy Program</w:t>
      </w:r>
    </w:p>
    <w:bookmarkEnd w:id="90"/>
    <w:p w14:paraId="1DD20D39" w14:textId="64062CE1" w:rsidR="000F368D" w:rsidRPr="004D307F" w:rsidRDefault="000F368D" w:rsidP="00ED0863">
      <w:pPr>
        <w:numPr>
          <w:ilvl w:val="0"/>
          <w:numId w:val="128"/>
        </w:numPr>
        <w:spacing w:before="100" w:beforeAutospacing="1" w:after="100" w:afterAutospacing="1" w:line="360" w:lineRule="atLeast"/>
        <w:rPr>
          <w:rStyle w:val="rpl-text-label2"/>
          <w:rFonts w:ascii="VIC" w:hAnsi="VIC"/>
          <w:lang w:val="en"/>
        </w:rPr>
      </w:pPr>
      <w:r w:rsidRPr="004D307F">
        <w:rPr>
          <w:rStyle w:val="rpl-text-label2"/>
          <w:rFonts w:ascii="VIC" w:hAnsi="VIC"/>
          <w:lang w:val="en"/>
        </w:rPr>
        <w:t>Career Education Funding</w:t>
      </w:r>
    </w:p>
    <w:p w14:paraId="1E187EA0" w14:textId="7A6BFE2C" w:rsidR="00A8797A" w:rsidRPr="004D307F" w:rsidRDefault="00A8797A" w:rsidP="00ED0863">
      <w:pPr>
        <w:numPr>
          <w:ilvl w:val="0"/>
          <w:numId w:val="128"/>
        </w:numPr>
        <w:spacing w:before="100" w:beforeAutospacing="1" w:after="100" w:afterAutospacing="1" w:line="360" w:lineRule="atLeast"/>
        <w:rPr>
          <w:rFonts w:ascii="VIC" w:hAnsi="VIC"/>
          <w:color w:val="011A3C"/>
          <w:lang w:val="en"/>
        </w:rPr>
      </w:pPr>
      <w:r w:rsidRPr="004D307F">
        <w:rPr>
          <w:rStyle w:val="rpl-text-label2"/>
          <w:rFonts w:ascii="VIC" w:hAnsi="VIC"/>
          <w:lang w:val="en"/>
        </w:rPr>
        <w:t>Swimming in Schools</w:t>
      </w:r>
    </w:p>
    <w:p w14:paraId="117DED83" w14:textId="1C02C8C2" w:rsidR="00C53D64" w:rsidRPr="004D307F" w:rsidRDefault="00901FCB" w:rsidP="00ED0863">
      <w:pPr>
        <w:numPr>
          <w:ilvl w:val="0"/>
          <w:numId w:val="128"/>
        </w:numPr>
        <w:spacing w:before="100" w:beforeAutospacing="1" w:after="100" w:afterAutospacing="1" w:line="360" w:lineRule="atLeast"/>
        <w:rPr>
          <w:rStyle w:val="rpl-text-label2"/>
          <w:rFonts w:ascii="VIC" w:hAnsi="VIC"/>
          <w:lang w:val="en"/>
        </w:rPr>
      </w:pPr>
      <w:hyperlink r:id="rId126" w:history="1">
        <w:r w:rsidR="00C53D64" w:rsidRPr="004D307F">
          <w:rPr>
            <w:rStyle w:val="rpl-text-label2"/>
            <w:rFonts w:ascii="VIC" w:hAnsi="VIC"/>
            <w:lang w:val="en"/>
          </w:rPr>
          <w:t>Head Start</w:t>
        </w:r>
      </w:hyperlink>
    </w:p>
    <w:p w14:paraId="31DC8E2C" w14:textId="418465FB" w:rsidR="00A8797A" w:rsidRPr="004D307F" w:rsidRDefault="006D7561" w:rsidP="00ED0863">
      <w:pPr>
        <w:numPr>
          <w:ilvl w:val="0"/>
          <w:numId w:val="128"/>
        </w:numPr>
        <w:spacing w:before="100" w:beforeAutospacing="1" w:after="100" w:afterAutospacing="1" w:line="360" w:lineRule="atLeast"/>
        <w:rPr>
          <w:rFonts w:ascii="VIC" w:hAnsi="VIC"/>
          <w:color w:val="011A3C"/>
          <w:lang w:val="en"/>
        </w:rPr>
      </w:pPr>
      <w:r w:rsidRPr="004D307F">
        <w:rPr>
          <w:rStyle w:val="rpl-text-label2"/>
          <w:rFonts w:ascii="VIC" w:hAnsi="VIC"/>
          <w:lang w:val="en"/>
        </w:rPr>
        <w:t xml:space="preserve">National School </w:t>
      </w:r>
      <w:r w:rsidR="00A8797A" w:rsidRPr="004D307F">
        <w:rPr>
          <w:rStyle w:val="rpl-text-label2"/>
          <w:rFonts w:ascii="VIC" w:hAnsi="VIC"/>
          <w:lang w:val="en"/>
        </w:rPr>
        <w:t>Chaplaincy</w:t>
      </w:r>
      <w:r w:rsidRPr="004D307F">
        <w:rPr>
          <w:rStyle w:val="rpl-text-label2"/>
          <w:rFonts w:ascii="VIC" w:hAnsi="VIC"/>
          <w:lang w:val="en"/>
        </w:rPr>
        <w:t xml:space="preserve"> Program (NSCP)</w:t>
      </w:r>
    </w:p>
    <w:p w14:paraId="4AE800F7" w14:textId="77777777" w:rsidR="00C53D64" w:rsidRPr="004D307F" w:rsidRDefault="00901FCB" w:rsidP="00ED0863">
      <w:pPr>
        <w:numPr>
          <w:ilvl w:val="0"/>
          <w:numId w:val="128"/>
        </w:numPr>
        <w:spacing w:before="100" w:beforeAutospacing="1" w:after="100" w:afterAutospacing="1" w:line="360" w:lineRule="atLeast"/>
        <w:rPr>
          <w:rFonts w:ascii="VIC" w:hAnsi="VIC"/>
          <w:color w:val="011A3C"/>
          <w:lang w:val="en"/>
        </w:rPr>
      </w:pPr>
      <w:hyperlink r:id="rId127" w:history="1">
        <w:r w:rsidR="00C53D64" w:rsidRPr="004D307F">
          <w:rPr>
            <w:rStyle w:val="rpl-text-label2"/>
            <w:rFonts w:ascii="VIC" w:hAnsi="VIC"/>
            <w:lang w:val="en"/>
          </w:rPr>
          <w:t>Middle Years Literacy &amp; Numeracy Support (MYLNS) Initiative</w:t>
        </w:r>
      </w:hyperlink>
    </w:p>
    <w:p w14:paraId="4179E942" w14:textId="77777777" w:rsidR="00C53D64" w:rsidRPr="004D307F" w:rsidRDefault="00901FCB" w:rsidP="00ED0863">
      <w:pPr>
        <w:numPr>
          <w:ilvl w:val="0"/>
          <w:numId w:val="128"/>
        </w:numPr>
        <w:spacing w:before="100" w:beforeAutospacing="1" w:after="100" w:afterAutospacing="1" w:line="360" w:lineRule="atLeast"/>
        <w:rPr>
          <w:rFonts w:ascii="VIC-Regular" w:hAnsi="VIC-Regular"/>
          <w:color w:val="011A3C"/>
          <w:lang w:val="en"/>
        </w:rPr>
      </w:pPr>
      <w:hyperlink r:id="rId128" w:history="1">
        <w:r w:rsidR="00C53D64" w:rsidRPr="004D307F">
          <w:rPr>
            <w:rStyle w:val="rpl-text-label2"/>
            <w:rFonts w:ascii="VIC-Regular" w:hAnsi="VIC-Regular"/>
            <w:lang w:val="en"/>
          </w:rPr>
          <w:t>Student Excellence Program Funding</w:t>
        </w:r>
      </w:hyperlink>
    </w:p>
    <w:p w14:paraId="7CF66788" w14:textId="77777777" w:rsidR="00C53D64" w:rsidRPr="004D307F" w:rsidRDefault="00901FCB" w:rsidP="00ED0863">
      <w:pPr>
        <w:numPr>
          <w:ilvl w:val="0"/>
          <w:numId w:val="128"/>
        </w:numPr>
        <w:spacing w:before="100" w:beforeAutospacing="1" w:after="100" w:afterAutospacing="1" w:line="360" w:lineRule="atLeast"/>
        <w:rPr>
          <w:rFonts w:ascii="VIC-Regular" w:hAnsi="VIC-Regular"/>
          <w:color w:val="011A3C"/>
          <w:lang w:val="en"/>
        </w:rPr>
      </w:pPr>
      <w:hyperlink r:id="rId129" w:history="1">
        <w:r w:rsidR="00C53D64" w:rsidRPr="004D307F">
          <w:rPr>
            <w:rStyle w:val="rpl-text-label2"/>
            <w:rFonts w:ascii="VIC-Regular" w:hAnsi="VIC-Regular"/>
            <w:lang w:val="en"/>
          </w:rPr>
          <w:t>VCE Revision Lectures</w:t>
        </w:r>
      </w:hyperlink>
    </w:p>
    <w:p w14:paraId="13EED574" w14:textId="1C5A8BFF" w:rsidR="00C53D64" w:rsidRPr="004D307F" w:rsidRDefault="00901FCB" w:rsidP="00ED0863">
      <w:pPr>
        <w:numPr>
          <w:ilvl w:val="0"/>
          <w:numId w:val="128"/>
        </w:numPr>
        <w:spacing w:before="100" w:beforeAutospacing="1" w:after="100" w:afterAutospacing="1" w:line="360" w:lineRule="atLeast"/>
        <w:rPr>
          <w:rStyle w:val="rpl-text-label2"/>
          <w:rFonts w:ascii="VIC-Regular" w:hAnsi="VIC-Regular"/>
          <w:lang w:val="en"/>
        </w:rPr>
      </w:pPr>
      <w:hyperlink r:id="rId130" w:history="1">
        <w:r w:rsidR="00C53D64" w:rsidRPr="004D307F">
          <w:rPr>
            <w:rStyle w:val="rpl-text-label2"/>
            <w:rFonts w:ascii="VIC-Regular" w:hAnsi="VIC-Regular"/>
            <w:lang w:val="en"/>
          </w:rPr>
          <w:t>Professional Learning Communities (PLC) Link Schools</w:t>
        </w:r>
      </w:hyperlink>
    </w:p>
    <w:p w14:paraId="58B967B0" w14:textId="24706872" w:rsidR="005145AE" w:rsidRPr="004D307F" w:rsidRDefault="005145AE" w:rsidP="00ED0863">
      <w:pPr>
        <w:numPr>
          <w:ilvl w:val="0"/>
          <w:numId w:val="128"/>
        </w:numPr>
        <w:spacing w:before="100" w:beforeAutospacing="1" w:after="100" w:afterAutospacing="1" w:line="360" w:lineRule="atLeast"/>
        <w:rPr>
          <w:rStyle w:val="rpl-text-label2"/>
          <w:rFonts w:ascii="VIC-Regular" w:hAnsi="VIC-Regular"/>
          <w:lang w:val="en"/>
        </w:rPr>
      </w:pPr>
      <w:bookmarkStart w:id="91" w:name="_Hlk99873506"/>
      <w:r w:rsidRPr="004D307F">
        <w:rPr>
          <w:rStyle w:val="rpl-text-label2"/>
          <w:rFonts w:ascii="VIC-Regular" w:hAnsi="VIC-Regular"/>
          <w:lang w:val="en"/>
        </w:rPr>
        <w:t>Primary Mathematics and Science Specialists Initiative</w:t>
      </w:r>
    </w:p>
    <w:p w14:paraId="2DB10F4E" w14:textId="1EDE16EE" w:rsidR="005145AE" w:rsidRPr="004D307F" w:rsidRDefault="005145AE" w:rsidP="00ED0863">
      <w:pPr>
        <w:numPr>
          <w:ilvl w:val="0"/>
          <w:numId w:val="128"/>
        </w:numPr>
        <w:spacing w:before="100" w:beforeAutospacing="1" w:after="100" w:afterAutospacing="1" w:line="360" w:lineRule="atLeast"/>
        <w:rPr>
          <w:rStyle w:val="rpl-text-label2"/>
          <w:rFonts w:ascii="VIC-Regular" w:hAnsi="VIC-Regular"/>
          <w:lang w:val="en"/>
        </w:rPr>
      </w:pPr>
      <w:r w:rsidRPr="004D307F">
        <w:rPr>
          <w:rStyle w:val="rpl-text-label2"/>
          <w:rFonts w:ascii="VIC-Regular" w:hAnsi="VIC-Regular"/>
          <w:lang w:val="en"/>
        </w:rPr>
        <w:t xml:space="preserve">Secondary </w:t>
      </w:r>
      <w:r w:rsidR="00BA2190" w:rsidRPr="004D307F">
        <w:rPr>
          <w:rStyle w:val="rpl-text-label2"/>
          <w:rFonts w:ascii="VIC-Regular" w:hAnsi="VIC-Regular"/>
          <w:lang w:val="en"/>
        </w:rPr>
        <w:t>Mathematics and Science</w:t>
      </w:r>
      <w:r w:rsidRPr="004D307F">
        <w:rPr>
          <w:rStyle w:val="rpl-text-label2"/>
          <w:rFonts w:ascii="VIC-Regular" w:hAnsi="VIC-Regular"/>
          <w:lang w:val="en"/>
        </w:rPr>
        <w:t xml:space="preserve"> Initiative</w:t>
      </w:r>
    </w:p>
    <w:bookmarkEnd w:id="91"/>
    <w:p w14:paraId="320DB25B" w14:textId="77777777" w:rsidR="00A8797A" w:rsidRPr="004D307F" w:rsidRDefault="00A8797A" w:rsidP="00ED0863">
      <w:pPr>
        <w:numPr>
          <w:ilvl w:val="0"/>
          <w:numId w:val="128"/>
        </w:numPr>
        <w:spacing w:before="100" w:beforeAutospacing="1" w:after="100" w:afterAutospacing="1" w:line="360" w:lineRule="atLeast"/>
        <w:rPr>
          <w:rStyle w:val="rpl-text-label2"/>
          <w:rFonts w:ascii="VIC-Regular" w:hAnsi="VIC-Regular"/>
          <w:lang w:val="en"/>
        </w:rPr>
      </w:pPr>
      <w:r w:rsidRPr="004D307F">
        <w:rPr>
          <w:rStyle w:val="rpl-text-label2"/>
          <w:rFonts w:ascii="VIC-Regular" w:hAnsi="VIC-Regular"/>
          <w:lang w:val="en"/>
        </w:rPr>
        <w:t>Transition Funding (Rural)</w:t>
      </w:r>
    </w:p>
    <w:p w14:paraId="0600C461" w14:textId="3EDCAE53" w:rsidR="00A8797A" w:rsidRPr="004D307F" w:rsidRDefault="00A8797A" w:rsidP="00ED0863">
      <w:pPr>
        <w:numPr>
          <w:ilvl w:val="0"/>
          <w:numId w:val="128"/>
        </w:numPr>
        <w:spacing w:before="100" w:beforeAutospacing="1" w:after="100" w:afterAutospacing="1" w:line="360" w:lineRule="atLeast"/>
        <w:rPr>
          <w:rStyle w:val="rpl-text-label2"/>
          <w:rFonts w:ascii="VIC-Regular" w:hAnsi="VIC-Regular"/>
          <w:lang w:val="en"/>
        </w:rPr>
      </w:pPr>
      <w:r w:rsidRPr="004D307F">
        <w:rPr>
          <w:rStyle w:val="rpl-text-label2"/>
          <w:rFonts w:ascii="VIC-Regular" w:hAnsi="VIC-Regular"/>
          <w:lang w:val="en"/>
        </w:rPr>
        <w:t xml:space="preserve">Jobs, skills and </w:t>
      </w:r>
      <w:r w:rsidR="00413518" w:rsidRPr="004D307F">
        <w:rPr>
          <w:rStyle w:val="rpl-text-label2"/>
          <w:rFonts w:ascii="VIC-Regular" w:hAnsi="VIC-Regular"/>
          <w:lang w:val="en"/>
        </w:rPr>
        <w:t>P</w:t>
      </w:r>
      <w:r w:rsidRPr="004D307F">
        <w:rPr>
          <w:rStyle w:val="rpl-text-label2"/>
          <w:rFonts w:ascii="VIC-Regular" w:hAnsi="VIC-Regular"/>
          <w:lang w:val="en"/>
        </w:rPr>
        <w:t>athways (</w:t>
      </w:r>
      <w:r w:rsidR="005145AE" w:rsidRPr="004D307F">
        <w:rPr>
          <w:rStyle w:val="rpl-text-label2"/>
          <w:rFonts w:ascii="VIC-Regular" w:hAnsi="VIC-Regular"/>
          <w:lang w:val="en"/>
        </w:rPr>
        <w:t>JSP</w:t>
      </w:r>
      <w:r w:rsidRPr="004D307F">
        <w:rPr>
          <w:rStyle w:val="rpl-text-label2"/>
          <w:rFonts w:ascii="VIC-Regular" w:hAnsi="VIC-Regular"/>
          <w:lang w:val="en"/>
        </w:rPr>
        <w:t>) Coordination</w:t>
      </w:r>
    </w:p>
    <w:p w14:paraId="12CE2DE2" w14:textId="2EAEA6BD" w:rsidR="00A8797A" w:rsidRPr="004D307F" w:rsidRDefault="00A8797A" w:rsidP="00ED0863">
      <w:pPr>
        <w:numPr>
          <w:ilvl w:val="0"/>
          <w:numId w:val="128"/>
        </w:numPr>
        <w:spacing w:before="100" w:beforeAutospacing="1" w:after="100" w:afterAutospacing="1" w:line="360" w:lineRule="atLeast"/>
        <w:rPr>
          <w:rStyle w:val="rpl-text-label2"/>
          <w:rFonts w:ascii="VIC-Regular" w:hAnsi="VIC-Regular"/>
          <w:lang w:val="en"/>
        </w:rPr>
      </w:pPr>
      <w:r w:rsidRPr="004D307F">
        <w:rPr>
          <w:rStyle w:val="rpl-text-label2"/>
          <w:rFonts w:ascii="VIC-Regular" w:hAnsi="VIC-Regular"/>
          <w:lang w:val="en"/>
        </w:rPr>
        <w:t>Tutor Learning Initiative</w:t>
      </w:r>
    </w:p>
    <w:p w14:paraId="5A6201CC" w14:textId="77777777" w:rsidR="00A8797A" w:rsidRPr="004D307F" w:rsidRDefault="00A8797A" w:rsidP="00ED0863">
      <w:pPr>
        <w:numPr>
          <w:ilvl w:val="0"/>
          <w:numId w:val="128"/>
        </w:numPr>
        <w:spacing w:before="100" w:beforeAutospacing="1" w:after="100" w:afterAutospacing="1" w:line="360" w:lineRule="atLeast"/>
        <w:rPr>
          <w:rStyle w:val="rpl-text-label2"/>
          <w:rFonts w:ascii="VIC-Regular" w:hAnsi="VIC-Regular"/>
          <w:lang w:val="en"/>
        </w:rPr>
      </w:pPr>
      <w:r w:rsidRPr="004D307F">
        <w:rPr>
          <w:rStyle w:val="rpl-text-label2"/>
          <w:rFonts w:ascii="VIC-Regular" w:hAnsi="VIC-Regular"/>
          <w:lang w:val="en"/>
        </w:rPr>
        <w:t>Mental Health in Primary Schools</w:t>
      </w:r>
    </w:p>
    <w:p w14:paraId="64428C61" w14:textId="77777777" w:rsidR="00870E1E" w:rsidRPr="004D307F" w:rsidRDefault="00A8797A" w:rsidP="00ED0863">
      <w:pPr>
        <w:numPr>
          <w:ilvl w:val="0"/>
          <w:numId w:val="128"/>
        </w:numPr>
        <w:spacing w:before="100" w:beforeAutospacing="1" w:after="100" w:afterAutospacing="1" w:line="360" w:lineRule="atLeast"/>
        <w:rPr>
          <w:rStyle w:val="rpl-text-label2"/>
          <w:rFonts w:ascii="VIC-Regular" w:hAnsi="VIC-Regular"/>
          <w:lang w:val="en"/>
        </w:rPr>
      </w:pPr>
      <w:r w:rsidRPr="004D307F">
        <w:rPr>
          <w:rStyle w:val="rpl-text-label2"/>
          <w:rFonts w:ascii="VIC-Regular" w:hAnsi="VIC-Regular"/>
          <w:lang w:val="en"/>
        </w:rPr>
        <w:t xml:space="preserve">Mental Health in Specialist Schools </w:t>
      </w:r>
    </w:p>
    <w:p w14:paraId="5539BBB8" w14:textId="75E5E222" w:rsidR="00870E1E" w:rsidRPr="004D307F" w:rsidRDefault="00BA2190" w:rsidP="00ED0863">
      <w:pPr>
        <w:numPr>
          <w:ilvl w:val="0"/>
          <w:numId w:val="128"/>
        </w:numPr>
        <w:spacing w:before="100" w:beforeAutospacing="1" w:after="100" w:afterAutospacing="1" w:line="360" w:lineRule="atLeast"/>
        <w:rPr>
          <w:rStyle w:val="rpl-text-label2"/>
          <w:rFonts w:ascii="VIC-Regular" w:hAnsi="VIC-Regular"/>
          <w:lang w:val="en"/>
        </w:rPr>
      </w:pPr>
      <w:r w:rsidRPr="004D307F">
        <w:rPr>
          <w:rStyle w:val="rpl-text-label2"/>
          <w:rFonts w:ascii="VIC-Regular" w:hAnsi="VIC-Regular"/>
          <w:lang w:val="en"/>
        </w:rPr>
        <w:t xml:space="preserve">Career Start - </w:t>
      </w:r>
      <w:r w:rsidR="00B31C84" w:rsidRPr="004D307F">
        <w:rPr>
          <w:rStyle w:val="rpl-text-label2"/>
          <w:rFonts w:ascii="VIC-Regular" w:hAnsi="VIC-Regular"/>
          <w:lang w:val="en"/>
        </w:rPr>
        <w:t xml:space="preserve">Transforming the First Years of the Teaching </w:t>
      </w:r>
      <w:r w:rsidR="005145AE" w:rsidRPr="004D307F">
        <w:rPr>
          <w:rStyle w:val="rpl-text-label2"/>
          <w:rFonts w:ascii="VIC-Regular" w:hAnsi="VIC-Regular"/>
          <w:lang w:val="en"/>
        </w:rPr>
        <w:t>Career</w:t>
      </w:r>
    </w:p>
    <w:p w14:paraId="0F211C74" w14:textId="7584BB3D" w:rsidR="006D7561" w:rsidRPr="004D307F" w:rsidRDefault="006D7561" w:rsidP="00ED0863">
      <w:pPr>
        <w:numPr>
          <w:ilvl w:val="0"/>
          <w:numId w:val="128"/>
        </w:numPr>
        <w:spacing w:before="100" w:beforeAutospacing="1" w:after="100" w:afterAutospacing="1" w:line="360" w:lineRule="atLeast"/>
        <w:rPr>
          <w:rStyle w:val="rpl-text-label2"/>
          <w:rFonts w:ascii="VIC-Regular" w:hAnsi="VIC-Regular"/>
          <w:lang w:val="en"/>
        </w:rPr>
      </w:pPr>
      <w:r w:rsidRPr="004D307F">
        <w:rPr>
          <w:rStyle w:val="rpl-text-label2"/>
          <w:rFonts w:ascii="VIC-Regular" w:hAnsi="VIC-Regular"/>
          <w:lang w:val="en"/>
        </w:rPr>
        <w:lastRenderedPageBreak/>
        <w:t>Inclusion Outreach Coaching (IOC) initiative</w:t>
      </w:r>
    </w:p>
    <w:p w14:paraId="7FB8D716" w14:textId="4EB9722F" w:rsidR="00F82BE0" w:rsidRPr="004D307F" w:rsidRDefault="00F82BE0" w:rsidP="00ED0863">
      <w:pPr>
        <w:numPr>
          <w:ilvl w:val="0"/>
          <w:numId w:val="128"/>
        </w:numPr>
        <w:spacing w:before="100" w:beforeAutospacing="1" w:after="100" w:afterAutospacing="1" w:line="360" w:lineRule="atLeast"/>
        <w:rPr>
          <w:rStyle w:val="rpl-text-label2"/>
          <w:rFonts w:ascii="VIC-Regular" w:hAnsi="VIC-Regular"/>
        </w:rPr>
      </w:pPr>
      <w:bookmarkStart w:id="92" w:name="_Hlk99875462"/>
      <w:r w:rsidRPr="004D307F">
        <w:rPr>
          <w:rStyle w:val="rpl-text-label2"/>
          <w:rFonts w:ascii="VIC-Regular" w:hAnsi="VIC-Regular"/>
        </w:rPr>
        <w:t>Outside School Hours Care (OSHC) Establishment Grant Initiative)</w:t>
      </w:r>
    </w:p>
    <w:p w14:paraId="000FF864" w14:textId="51AE9E1F" w:rsidR="00F82BE0" w:rsidRPr="004D307F" w:rsidRDefault="00F82BE0" w:rsidP="00ED0863">
      <w:pPr>
        <w:numPr>
          <w:ilvl w:val="0"/>
          <w:numId w:val="128"/>
        </w:numPr>
        <w:spacing w:before="100" w:beforeAutospacing="1" w:after="100" w:afterAutospacing="1" w:line="360" w:lineRule="atLeast"/>
        <w:rPr>
          <w:rStyle w:val="rpl-text-label2"/>
          <w:rFonts w:ascii="VIC-Regular" w:hAnsi="VIC-Regular"/>
        </w:rPr>
      </w:pPr>
      <w:r w:rsidRPr="004D307F">
        <w:rPr>
          <w:rStyle w:val="rpl-text-label2"/>
          <w:rFonts w:ascii="VIC-Regular" w:hAnsi="VIC-Regular"/>
        </w:rPr>
        <w:t xml:space="preserve">Innovative Initial Teacher Education (ITE) Programs </w:t>
      </w:r>
      <w:bookmarkEnd w:id="92"/>
    </w:p>
    <w:p w14:paraId="4B014F82" w14:textId="6B2067C4" w:rsidR="00C53D64" w:rsidRPr="004D307F" w:rsidRDefault="00C53D64" w:rsidP="00870E1E">
      <w:pPr>
        <w:spacing w:before="100" w:beforeAutospacing="1" w:after="100" w:afterAutospacing="1" w:line="360" w:lineRule="atLeast"/>
        <w:ind w:left="284"/>
        <w:rPr>
          <w:rFonts w:ascii="VIC-Regular" w:hAnsi="VIC-Regular"/>
          <w:color w:val="011A3C"/>
          <w:lang w:val="en"/>
        </w:rPr>
      </w:pPr>
      <w:r w:rsidRPr="004D307F">
        <w:rPr>
          <w:rFonts w:ascii="VIC-Regular" w:hAnsi="VIC-Regular"/>
          <w:color w:val="011A3C"/>
          <w:lang w:val="en"/>
        </w:rPr>
        <w:t>Schools are expected to use SRP funds for the purpose for which it was allocated.</w:t>
      </w:r>
    </w:p>
    <w:p w14:paraId="4E018E67" w14:textId="3F84415F" w:rsidR="00EA34C0" w:rsidRPr="004D307F" w:rsidRDefault="00A12061" w:rsidP="00B566E7">
      <w:pPr>
        <w:pStyle w:val="Heading2"/>
      </w:pPr>
      <w:r w:rsidRPr="004D307F">
        <w:br w:type="page"/>
      </w:r>
      <w:bookmarkStart w:id="93" w:name="_Toc106793789"/>
      <w:r w:rsidR="00EA34C0" w:rsidRPr="004D307F">
        <w:lastRenderedPageBreak/>
        <w:t>Primary Welfare (Reference 50)</w:t>
      </w:r>
      <w:bookmarkEnd w:id="93"/>
    </w:p>
    <w:p w14:paraId="2CC0E866" w14:textId="77777777" w:rsidR="00EA34C0" w:rsidRPr="004D307F"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The Primary Welfare Officer Initiative is designed to enhance the capacity of schools to develop positive school cultures and to support students who are at risk of disengagement and not achieving their educational potential. The primary welfare officer initiative extends work undertaken in government primary, P-12 and special schools with the greatest need in Victoria to promote a safe and supportive environment and enhance student outcomes.</w:t>
      </w:r>
    </w:p>
    <w:p w14:paraId="7FA068DE" w14:textId="6B754FBB" w:rsidR="00EA34C0" w:rsidRPr="004D307F"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 xml:space="preserve">Primary Welfare Officer allocations in the </w:t>
      </w:r>
      <w:r w:rsidR="009A130D" w:rsidRPr="004D307F">
        <w:rPr>
          <w:rFonts w:ascii="VIC-Regular" w:eastAsia="Times New Roman" w:hAnsi="VIC-Regular" w:cs="Arial"/>
          <w:color w:val="011A3C"/>
          <w:sz w:val="24"/>
          <w:szCs w:val="24"/>
          <w:lang w:val="en" w:eastAsia="en-AU"/>
        </w:rPr>
        <w:t>Student Resource Package (</w:t>
      </w:r>
      <w:r w:rsidRPr="004D307F">
        <w:rPr>
          <w:rFonts w:ascii="VIC-Regular" w:eastAsia="Times New Roman" w:hAnsi="VIC-Regular" w:cs="Arial"/>
          <w:color w:val="011A3C"/>
          <w:sz w:val="24"/>
          <w:szCs w:val="24"/>
          <w:lang w:val="en" w:eastAsia="en-AU"/>
        </w:rPr>
        <w:t>SRP</w:t>
      </w:r>
      <w:r w:rsidR="009A130D" w:rsidRPr="004D307F">
        <w:rPr>
          <w:rFonts w:ascii="VIC-Regular" w:eastAsia="Times New Roman" w:hAnsi="VIC-Regular" w:cs="Arial"/>
          <w:color w:val="011A3C"/>
          <w:sz w:val="24"/>
          <w:szCs w:val="24"/>
          <w:lang w:val="en" w:eastAsia="en-AU"/>
        </w:rPr>
        <w:t>)</w:t>
      </w:r>
      <w:r w:rsidRPr="004D307F">
        <w:rPr>
          <w:rFonts w:ascii="VIC-Regular" w:eastAsia="Times New Roman" w:hAnsi="VIC-Regular" w:cs="Arial"/>
          <w:color w:val="011A3C"/>
          <w:sz w:val="24"/>
          <w:szCs w:val="24"/>
          <w:lang w:val="en" w:eastAsia="en-AU"/>
        </w:rPr>
        <w:t xml:space="preserve"> have been set for 202</w:t>
      </w:r>
      <w:r w:rsidR="000B237C" w:rsidRPr="004D307F">
        <w:rPr>
          <w:rFonts w:ascii="VIC-Regular" w:eastAsia="Times New Roman" w:hAnsi="VIC-Regular" w:cs="Arial"/>
          <w:color w:val="011A3C"/>
          <w:sz w:val="24"/>
          <w:szCs w:val="24"/>
          <w:lang w:val="en" w:eastAsia="en-AU"/>
        </w:rPr>
        <w:t>2</w:t>
      </w:r>
      <w:r w:rsidRPr="004D307F">
        <w:rPr>
          <w:rFonts w:ascii="VIC-Regular" w:eastAsia="Times New Roman" w:hAnsi="VIC-Regular" w:cs="Arial"/>
          <w:color w:val="011A3C"/>
          <w:sz w:val="24"/>
          <w:szCs w:val="24"/>
          <w:lang w:val="en" w:eastAsia="en-AU"/>
        </w:rPr>
        <w:t>.   Schools do not have to apply for funding.  Funding is provided to schools that have primary enrolments at the campus level provided the 2011 Student Family Occupation density for the campus is equal to or greater than 0.4559. </w:t>
      </w:r>
    </w:p>
    <w:p w14:paraId="47E4085B" w14:textId="77777777" w:rsidR="00EA34C0" w:rsidRPr="004D307F"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 xml:space="preserve">Where a school’s campus enrolments increase additional per student funding will be provided. However, where enrolments decline no adjustment will be made.  </w:t>
      </w:r>
      <w:r w:rsidRPr="004D307F">
        <w:rPr>
          <w:rFonts w:ascii="VIC-Regular" w:eastAsia="Times New Roman" w:hAnsi="VIC-Regular" w:cs="Arial"/>
          <w:b/>
          <w:bCs/>
          <w:color w:val="011A3C"/>
          <w:sz w:val="24"/>
          <w:szCs w:val="24"/>
          <w:lang w:val="en" w:eastAsia="en-AU"/>
        </w:rPr>
        <w:t>No adjustments are made for changes to Student Family Occupation density</w:t>
      </w:r>
      <w:r w:rsidRPr="004D307F">
        <w:rPr>
          <w:rFonts w:ascii="VIC-Regular" w:eastAsia="Times New Roman" w:hAnsi="VIC-Regular" w:cs="Arial"/>
          <w:color w:val="011A3C"/>
          <w:sz w:val="24"/>
          <w:szCs w:val="24"/>
          <w:lang w:val="en" w:eastAsia="en-AU"/>
        </w:rPr>
        <w:t>. </w:t>
      </w:r>
    </w:p>
    <w:p w14:paraId="172F4518" w14:textId="77777777" w:rsidR="002E6A59" w:rsidRPr="004D307F" w:rsidRDefault="002E6A59" w:rsidP="002E6A5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bookmarkStart w:id="94" w:name="_Hlk46922537"/>
      <w:r w:rsidRPr="004D307F">
        <w:rPr>
          <w:rFonts w:ascii="VIC-Bold" w:eastAsia="Times New Roman" w:hAnsi="VIC-Bold" w:cs="Times New Roman"/>
          <w:b/>
          <w:bCs/>
          <w:color w:val="011A3C"/>
          <w:sz w:val="27"/>
          <w:szCs w:val="27"/>
          <w:lang w:val="en" w:eastAsia="en-AU"/>
        </w:rPr>
        <w:t>Eligibility</w:t>
      </w:r>
    </w:p>
    <w:p w14:paraId="0B7A76AC" w14:textId="77777777" w:rsidR="002E6A59" w:rsidRPr="004D307F" w:rsidRDefault="002E6A59" w:rsidP="002E6A5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with the following campus types are eligible for the Primary Welfare Funding at campus level.</w:t>
      </w:r>
    </w:p>
    <w:p w14:paraId="74276CDD" w14:textId="77777777" w:rsidR="002E6A59" w:rsidRPr="004D307F" w:rsidRDefault="002E6A59" w:rsidP="00ED0863">
      <w:pPr>
        <w:pStyle w:val="ListParagraph"/>
        <w:numPr>
          <w:ilvl w:val="0"/>
          <w:numId w:val="54"/>
        </w:numPr>
        <w:rPr>
          <w:rFonts w:ascii="VIC-Regular" w:eastAsia="Times New Roman" w:hAnsi="VIC-Regular" w:cs="Times New Roman"/>
          <w:color w:val="323E4F" w:themeColor="text2" w:themeShade="BF"/>
          <w:sz w:val="24"/>
          <w:szCs w:val="24"/>
          <w:lang w:val="en" w:eastAsia="en-AU"/>
        </w:rPr>
      </w:pPr>
      <w:r w:rsidRPr="004D307F">
        <w:rPr>
          <w:color w:val="323E4F" w:themeColor="text2" w:themeShade="BF"/>
          <w:lang w:val="en-US"/>
        </w:rPr>
        <w:t>Primary</w:t>
      </w:r>
    </w:p>
    <w:p w14:paraId="278845F5" w14:textId="6179F97C" w:rsidR="002E6A59" w:rsidRPr="004D307F" w:rsidRDefault="002E6A59" w:rsidP="00ED0863">
      <w:pPr>
        <w:pStyle w:val="ListParagraph"/>
        <w:numPr>
          <w:ilvl w:val="0"/>
          <w:numId w:val="54"/>
        </w:numPr>
        <w:rPr>
          <w:rFonts w:ascii="VIC-Regular" w:eastAsia="Times New Roman" w:hAnsi="VIC-Regular" w:cs="Times New Roman"/>
          <w:color w:val="323E4F" w:themeColor="text2" w:themeShade="BF"/>
          <w:sz w:val="24"/>
          <w:szCs w:val="24"/>
          <w:lang w:val="en" w:eastAsia="en-AU"/>
        </w:rPr>
      </w:pPr>
      <w:r w:rsidRPr="004D307F">
        <w:rPr>
          <w:color w:val="323E4F" w:themeColor="text2" w:themeShade="BF"/>
          <w:lang w:val="en-US"/>
        </w:rPr>
        <w:t>Pri</w:t>
      </w:r>
      <w:r w:rsidR="00E44A5A" w:rsidRPr="004D307F">
        <w:rPr>
          <w:color w:val="323E4F" w:themeColor="text2" w:themeShade="BF"/>
          <w:lang w:val="en-US"/>
        </w:rPr>
        <w:t>mary</w:t>
      </w:r>
      <w:r w:rsidRPr="004D307F">
        <w:rPr>
          <w:color w:val="323E4F" w:themeColor="text2" w:themeShade="BF"/>
          <w:lang w:val="en-US"/>
        </w:rPr>
        <w:t>/</w:t>
      </w:r>
      <w:r w:rsidR="00E44A5A" w:rsidRPr="004D307F">
        <w:rPr>
          <w:color w:val="323E4F" w:themeColor="text2" w:themeShade="BF"/>
          <w:lang w:val="en-US"/>
        </w:rPr>
        <w:t>S</w:t>
      </w:r>
      <w:r w:rsidRPr="004D307F">
        <w:rPr>
          <w:color w:val="323E4F" w:themeColor="text2" w:themeShade="BF"/>
          <w:lang w:val="en-US"/>
        </w:rPr>
        <w:t>ec</w:t>
      </w:r>
      <w:r w:rsidR="00E44A5A" w:rsidRPr="004D307F">
        <w:rPr>
          <w:color w:val="323E4F" w:themeColor="text2" w:themeShade="BF"/>
          <w:lang w:val="en-US"/>
        </w:rPr>
        <w:t>ondary Combined</w:t>
      </w:r>
    </w:p>
    <w:p w14:paraId="31F0A298" w14:textId="77777777" w:rsidR="002E6A59" w:rsidRPr="004D307F" w:rsidRDefault="002E6A59" w:rsidP="00ED0863">
      <w:pPr>
        <w:pStyle w:val="ListParagraph"/>
        <w:numPr>
          <w:ilvl w:val="0"/>
          <w:numId w:val="54"/>
        </w:numPr>
        <w:rPr>
          <w:rFonts w:ascii="VIC-Regular" w:eastAsia="Times New Roman" w:hAnsi="VIC-Regular" w:cs="Times New Roman"/>
          <w:color w:val="323E4F" w:themeColor="text2" w:themeShade="BF"/>
          <w:sz w:val="24"/>
          <w:szCs w:val="24"/>
          <w:lang w:val="en" w:eastAsia="en-AU"/>
        </w:rPr>
      </w:pPr>
      <w:r w:rsidRPr="004D307F">
        <w:rPr>
          <w:color w:val="323E4F" w:themeColor="text2" w:themeShade="BF"/>
          <w:lang w:val="en-US"/>
        </w:rPr>
        <w:t>Special</w:t>
      </w:r>
    </w:p>
    <w:p w14:paraId="779A6BD8" w14:textId="3950F96C" w:rsidR="002E6A59" w:rsidRPr="004D307F" w:rsidRDefault="002E6A59" w:rsidP="00ED0863">
      <w:pPr>
        <w:pStyle w:val="ListParagraph"/>
        <w:numPr>
          <w:ilvl w:val="0"/>
          <w:numId w:val="54"/>
        </w:numPr>
        <w:rPr>
          <w:color w:val="323E4F" w:themeColor="text2" w:themeShade="BF"/>
          <w:lang w:val="en-US"/>
        </w:rPr>
      </w:pPr>
      <w:r w:rsidRPr="004D307F">
        <w:rPr>
          <w:color w:val="323E4F" w:themeColor="text2" w:themeShade="BF"/>
          <w:lang w:val="en-US"/>
        </w:rPr>
        <w:t>Language</w:t>
      </w:r>
    </w:p>
    <w:p w14:paraId="33188388" w14:textId="34A5EF96" w:rsidR="001A6E8C" w:rsidRPr="004D307F" w:rsidRDefault="001A6E8C" w:rsidP="00ED0863">
      <w:pPr>
        <w:pStyle w:val="ListParagraph"/>
        <w:numPr>
          <w:ilvl w:val="0"/>
          <w:numId w:val="54"/>
        </w:numPr>
        <w:rPr>
          <w:color w:val="323E4F" w:themeColor="text2" w:themeShade="BF"/>
          <w:lang w:val="en-US"/>
        </w:rPr>
      </w:pPr>
      <w:r w:rsidRPr="004D307F">
        <w:rPr>
          <w:color w:val="323E4F" w:themeColor="text2" w:themeShade="BF"/>
          <w:lang w:val="en-US"/>
        </w:rPr>
        <w:t>Day Spec</w:t>
      </w:r>
    </w:p>
    <w:p w14:paraId="4E7ABB9E" w14:textId="5AE6DECC" w:rsidR="001A6E8C" w:rsidRPr="004D307F" w:rsidRDefault="001A6E8C" w:rsidP="00ED0863">
      <w:pPr>
        <w:pStyle w:val="ListParagraph"/>
        <w:numPr>
          <w:ilvl w:val="0"/>
          <w:numId w:val="54"/>
        </w:numPr>
        <w:rPr>
          <w:color w:val="323E4F" w:themeColor="text2" w:themeShade="BF"/>
          <w:lang w:val="en-US"/>
        </w:rPr>
      </w:pPr>
      <w:r w:rsidRPr="004D307F">
        <w:rPr>
          <w:color w:val="323E4F" w:themeColor="text2" w:themeShade="BF"/>
          <w:lang w:val="en-US"/>
        </w:rPr>
        <w:t>Disability</w:t>
      </w:r>
    </w:p>
    <w:p w14:paraId="727D7621" w14:textId="5E962DDD" w:rsidR="001A6E8C" w:rsidRPr="004D307F" w:rsidRDefault="001A6E8C" w:rsidP="00ED0863">
      <w:pPr>
        <w:pStyle w:val="ListParagraph"/>
        <w:numPr>
          <w:ilvl w:val="0"/>
          <w:numId w:val="54"/>
        </w:numPr>
        <w:rPr>
          <w:color w:val="323E4F" w:themeColor="text2" w:themeShade="BF"/>
          <w:lang w:val="en-US"/>
        </w:rPr>
      </w:pPr>
      <w:r w:rsidRPr="004D307F">
        <w:rPr>
          <w:color w:val="323E4F" w:themeColor="text2" w:themeShade="BF"/>
          <w:lang w:val="en-US"/>
        </w:rPr>
        <w:t>Spec Dev</w:t>
      </w:r>
    </w:p>
    <w:p w14:paraId="7D99152B" w14:textId="77777777" w:rsidR="001A6E8C" w:rsidRPr="004D307F" w:rsidRDefault="001A6E8C" w:rsidP="004363C4">
      <w:pPr>
        <w:spacing w:before="100" w:beforeAutospacing="1" w:after="100" w:afterAutospacing="1" w:line="360" w:lineRule="atLeast"/>
        <w:contextualSpacing/>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Campuses of secondary schools are not eligible</w:t>
      </w:r>
    </w:p>
    <w:p w14:paraId="041E85A5" w14:textId="74CE051C" w:rsidR="001A6E8C" w:rsidRPr="004D307F" w:rsidRDefault="001A6E8C" w:rsidP="001A6E8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Camp/Outdoor schools are ineligible irrespective of their entity register classification</w:t>
      </w:r>
    </w:p>
    <w:p w14:paraId="7A283A5F" w14:textId="507877D2" w:rsidR="002E6A59" w:rsidRPr="004D307F" w:rsidRDefault="002E6A59" w:rsidP="002E6A5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Confirmed and Revised </w:t>
      </w:r>
      <w:r w:rsidR="008A6CE0" w:rsidRPr="004D307F">
        <w:rPr>
          <w:rFonts w:ascii="VIC-Regular" w:eastAsia="Times New Roman" w:hAnsi="VIC-Regular" w:cs="Times New Roman"/>
          <w:color w:val="011A3C"/>
          <w:sz w:val="24"/>
          <w:szCs w:val="24"/>
          <w:lang w:val="en" w:eastAsia="en-AU"/>
        </w:rPr>
        <w:t>cycles;</w:t>
      </w:r>
      <w:r w:rsidRPr="004D307F">
        <w:rPr>
          <w:rFonts w:ascii="VIC-Regular" w:eastAsia="Times New Roman" w:hAnsi="VIC-Regular" w:cs="Times New Roman"/>
          <w:color w:val="011A3C"/>
          <w:sz w:val="24"/>
          <w:szCs w:val="24"/>
          <w:lang w:val="en" w:eastAsia="en-AU"/>
        </w:rPr>
        <w:t xml:space="preserve"> funding is allocated through credit funding</w:t>
      </w:r>
      <w:bookmarkEnd w:id="94"/>
      <w:r w:rsidRPr="004D307F">
        <w:rPr>
          <w:rFonts w:ascii="VIC-Regular" w:eastAsia="Times New Roman" w:hAnsi="VIC-Regular" w:cs="Times New Roman"/>
          <w:color w:val="011A3C"/>
          <w:sz w:val="24"/>
          <w:szCs w:val="24"/>
          <w:lang w:val="en" w:eastAsia="en-AU"/>
        </w:rPr>
        <w:t>.</w:t>
      </w:r>
    </w:p>
    <w:p w14:paraId="041BD6C5" w14:textId="2B7A8E0C" w:rsidR="00EA34C0" w:rsidRPr="004D307F" w:rsidRDefault="00EA34C0" w:rsidP="00EA34C0">
      <w:pPr>
        <w:spacing w:before="100" w:beforeAutospacing="1" w:after="100" w:afterAutospacing="1" w:line="288" w:lineRule="atLeast"/>
        <w:outlineLvl w:val="3"/>
        <w:rPr>
          <w:rFonts w:ascii="VIC-Bold" w:eastAsia="Times New Roman" w:hAnsi="VIC-Bold" w:cs="Arial"/>
          <w:b/>
          <w:bCs/>
          <w:color w:val="011A3C"/>
          <w:sz w:val="26"/>
          <w:szCs w:val="28"/>
          <w:lang w:val="en" w:eastAsia="en-AU"/>
        </w:rPr>
      </w:pPr>
      <w:r w:rsidRPr="004D307F">
        <w:rPr>
          <w:rFonts w:ascii="VIC-Bold" w:eastAsia="Times New Roman" w:hAnsi="VIC-Bold" w:cs="Arial"/>
          <w:b/>
          <w:bCs/>
          <w:color w:val="011A3C"/>
          <w:sz w:val="26"/>
          <w:szCs w:val="28"/>
          <w:lang w:val="en" w:eastAsia="en-AU"/>
        </w:rPr>
        <w:t>Calculation</w:t>
      </w:r>
    </w:p>
    <w:p w14:paraId="3B0AF28C" w14:textId="77777777" w:rsidR="00EA34C0" w:rsidRPr="004D307F"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Primary Welfare Officer funding model in the SRP from 2012 consists of base funding and per student funding with a cap on the total funding available at each campus. The formula is as follows</w:t>
      </w:r>
    </w:p>
    <w:p w14:paraId="2E07BA6E" w14:textId="77777777" w:rsidR="00EA34C0" w:rsidRPr="004D307F"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lastRenderedPageBreak/>
        <w:t>Base + ( [School Campus SFO – State-wide SFO Threshold] x Student Rate x Enrolments)</w:t>
      </w:r>
    </w:p>
    <w:p w14:paraId="7987D211" w14:textId="0E80AB21" w:rsidR="00EA34C0" w:rsidRPr="004D307F" w:rsidRDefault="00EA34C0" w:rsidP="00EA34C0">
      <w:pPr>
        <w:spacing w:before="100" w:beforeAutospacing="1" w:after="100" w:afterAutospacing="1" w:line="288" w:lineRule="atLeast"/>
        <w:outlineLvl w:val="3"/>
        <w:rPr>
          <w:rFonts w:ascii="VIC-Bold" w:eastAsia="Times New Roman" w:hAnsi="VIC-Bold" w:cs="Arial"/>
          <w:b/>
          <w:bCs/>
          <w:color w:val="011A3C"/>
          <w:sz w:val="24"/>
          <w:szCs w:val="24"/>
          <w:lang w:val="en" w:eastAsia="en-AU"/>
        </w:rPr>
      </w:pPr>
      <w:r w:rsidRPr="004D307F">
        <w:rPr>
          <w:rFonts w:ascii="VIC-Bold" w:eastAsia="Times New Roman" w:hAnsi="VIC-Bold" w:cs="Arial"/>
          <w:b/>
          <w:bCs/>
          <w:color w:val="011A3C"/>
          <w:sz w:val="24"/>
          <w:szCs w:val="24"/>
          <w:lang w:val="en" w:eastAsia="en-AU"/>
        </w:rPr>
        <w:t xml:space="preserve">Rates </w:t>
      </w:r>
      <w:r w:rsidRPr="004D307F">
        <w:rPr>
          <w:rFonts w:ascii="VIC-Bold" w:eastAsia="Times New Roman" w:hAnsi="VIC-Bold" w:cs="Arial" w:hint="eastAsia"/>
          <w:b/>
          <w:bCs/>
          <w:color w:val="011A3C"/>
          <w:sz w:val="24"/>
          <w:szCs w:val="24"/>
          <w:lang w:val="en" w:eastAsia="en-AU"/>
        </w:rPr>
        <w:t>—</w:t>
      </w:r>
      <w:r w:rsidRPr="004D307F">
        <w:rPr>
          <w:rFonts w:ascii="VIC-Bold" w:eastAsia="Times New Roman" w:hAnsi="VIC-Bold" w:cs="Arial"/>
          <w:b/>
          <w:bCs/>
          <w:color w:val="011A3C"/>
          <w:sz w:val="24"/>
          <w:szCs w:val="24"/>
          <w:lang w:val="en" w:eastAsia="en-AU"/>
        </w:rPr>
        <w:t xml:space="preserve"> 202</w:t>
      </w:r>
      <w:r w:rsidR="000B237C" w:rsidRPr="004D307F">
        <w:rPr>
          <w:rFonts w:ascii="VIC-Bold" w:eastAsia="Times New Roman" w:hAnsi="VIC-Bold" w:cs="Arial"/>
          <w:b/>
          <w:bCs/>
          <w:color w:val="011A3C"/>
          <w:sz w:val="24"/>
          <w:szCs w:val="24"/>
          <w:lang w:val="en" w:eastAsia="en-AU"/>
        </w:rPr>
        <w:t>2</w:t>
      </w:r>
    </w:p>
    <w:p w14:paraId="6A92DAA6" w14:textId="77777777" w:rsidR="00EA34C0" w:rsidRPr="004D307F" w:rsidRDefault="00EA34C0" w:rsidP="00ED0863">
      <w:pPr>
        <w:numPr>
          <w:ilvl w:val="0"/>
          <w:numId w:val="55"/>
        </w:numPr>
        <w:spacing w:before="100" w:beforeAutospacing="1" w:after="100" w:afterAutospacing="1"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SFO Threshold — 0.4559</w:t>
      </w:r>
    </w:p>
    <w:p w14:paraId="50710FCD" w14:textId="3E25007F" w:rsidR="00EA34C0" w:rsidRPr="004D307F" w:rsidRDefault="00EA34C0" w:rsidP="00ED0863">
      <w:pPr>
        <w:numPr>
          <w:ilvl w:val="0"/>
          <w:numId w:val="55"/>
        </w:numPr>
        <w:spacing w:before="100" w:beforeAutospacing="1" w:after="100" w:afterAutospacing="1"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 xml:space="preserve">Base — </w:t>
      </w:r>
      <w:r w:rsidR="00E44A5A" w:rsidRPr="004D307F">
        <w:rPr>
          <w:rFonts w:ascii="VIC-Regular" w:eastAsia="Times New Roman" w:hAnsi="VIC-Regular" w:cs="Arial"/>
          <w:color w:val="011A3C"/>
          <w:sz w:val="24"/>
          <w:szCs w:val="24"/>
          <w:lang w:val="en" w:eastAsia="en-AU"/>
        </w:rPr>
        <w:t>$18,524</w:t>
      </w:r>
      <w:r w:rsidR="000B237C" w:rsidRPr="004D307F">
        <w:rPr>
          <w:rFonts w:ascii="VIC-Regular" w:eastAsia="Times New Roman" w:hAnsi="VIC-Regular" w:cs="Arial"/>
          <w:color w:val="011A3C"/>
          <w:sz w:val="24"/>
          <w:szCs w:val="24"/>
          <w:lang w:val="en" w:eastAsia="en-AU"/>
        </w:rPr>
        <w:t xml:space="preserve"> </w:t>
      </w:r>
      <w:r w:rsidRPr="004D307F">
        <w:rPr>
          <w:rFonts w:ascii="VIC-Regular" w:eastAsia="Times New Roman" w:hAnsi="VIC-Regular" w:cs="Arial"/>
          <w:color w:val="011A3C"/>
          <w:sz w:val="24"/>
          <w:szCs w:val="24"/>
          <w:lang w:val="en" w:eastAsia="en-AU"/>
        </w:rPr>
        <w:t xml:space="preserve">Per Student Rate — </w:t>
      </w:r>
      <w:r w:rsidR="00E44A5A" w:rsidRPr="004D307F">
        <w:rPr>
          <w:rFonts w:ascii="VIC-Regular" w:eastAsia="Times New Roman" w:hAnsi="VIC-Regular" w:cs="Arial"/>
          <w:color w:val="011A3C"/>
          <w:sz w:val="24"/>
          <w:szCs w:val="24"/>
          <w:lang w:val="en" w:eastAsia="en-AU"/>
        </w:rPr>
        <w:t>$1,181.07</w:t>
      </w:r>
    </w:p>
    <w:p w14:paraId="45EA7E26" w14:textId="77777777" w:rsidR="003E6B76" w:rsidRPr="004D307F" w:rsidRDefault="00EA34C0" w:rsidP="00ED0863">
      <w:pPr>
        <w:numPr>
          <w:ilvl w:val="0"/>
          <w:numId w:val="55"/>
        </w:numPr>
        <w:spacing w:before="100" w:beforeAutospacing="1" w:after="100" w:afterAutospacing="1" w:line="288" w:lineRule="atLeast"/>
        <w:outlineLvl w:val="3"/>
        <w:rPr>
          <w:rFonts w:ascii="VIC-Bold" w:eastAsia="Times New Roman" w:hAnsi="VIC-Bold" w:cs="Arial"/>
          <w:b/>
          <w:bCs/>
          <w:color w:val="011A3C"/>
          <w:sz w:val="24"/>
          <w:szCs w:val="24"/>
          <w:lang w:val="en" w:eastAsia="en-AU"/>
        </w:rPr>
      </w:pPr>
      <w:r w:rsidRPr="004D307F">
        <w:rPr>
          <w:rFonts w:ascii="VIC-Regular" w:eastAsia="Times New Roman" w:hAnsi="VIC-Regular" w:cs="Arial"/>
          <w:color w:val="011A3C"/>
          <w:sz w:val="24"/>
          <w:szCs w:val="24"/>
          <w:lang w:val="en" w:eastAsia="en-AU"/>
        </w:rPr>
        <w:t xml:space="preserve">Total Funding Per Campus Cap — </w:t>
      </w:r>
      <w:r w:rsidR="00E44A5A" w:rsidRPr="004D307F">
        <w:rPr>
          <w:rFonts w:ascii="VIC-Regular" w:eastAsia="Times New Roman" w:hAnsi="VIC-Regular" w:cs="Arial"/>
          <w:color w:val="011A3C"/>
          <w:sz w:val="24"/>
          <w:szCs w:val="24"/>
          <w:lang w:val="en" w:eastAsia="en-AU"/>
        </w:rPr>
        <w:t>$88,360</w:t>
      </w:r>
      <w:r w:rsidR="003E6B76" w:rsidRPr="004D307F">
        <w:rPr>
          <w:rFonts w:ascii="VIC-Bold" w:eastAsia="Times New Roman" w:hAnsi="VIC-Bold" w:cs="Arial"/>
          <w:b/>
          <w:bCs/>
          <w:color w:val="011A3C"/>
          <w:sz w:val="24"/>
          <w:szCs w:val="24"/>
          <w:lang w:val="en" w:eastAsia="en-AU"/>
        </w:rPr>
        <w:t xml:space="preserve"> </w:t>
      </w:r>
    </w:p>
    <w:p w14:paraId="44E64EEC" w14:textId="6D1125F8" w:rsidR="00EA34C0" w:rsidRPr="004D307F" w:rsidRDefault="00EA34C0" w:rsidP="003E6B76">
      <w:pPr>
        <w:spacing w:before="100" w:beforeAutospacing="1" w:after="100" w:afterAutospacing="1" w:line="288" w:lineRule="atLeast"/>
        <w:ind w:left="360"/>
        <w:outlineLvl w:val="3"/>
        <w:rPr>
          <w:rFonts w:ascii="VIC-Bold" w:eastAsia="Times New Roman" w:hAnsi="VIC-Bold" w:cs="Arial"/>
          <w:b/>
          <w:bCs/>
          <w:color w:val="011A3C"/>
          <w:sz w:val="24"/>
          <w:szCs w:val="24"/>
          <w:lang w:val="en" w:eastAsia="en-AU"/>
        </w:rPr>
      </w:pPr>
      <w:r w:rsidRPr="004D307F">
        <w:rPr>
          <w:rFonts w:ascii="VIC-Bold" w:eastAsia="Times New Roman" w:hAnsi="VIC-Bold" w:cs="Arial"/>
          <w:b/>
          <w:bCs/>
          <w:color w:val="011A3C"/>
          <w:sz w:val="24"/>
          <w:szCs w:val="24"/>
          <w:lang w:val="en" w:eastAsia="en-AU"/>
        </w:rPr>
        <w:t>Further Information</w:t>
      </w:r>
    </w:p>
    <w:p w14:paraId="526E8E79" w14:textId="77777777" w:rsidR="00EA34C0" w:rsidRPr="004D307F" w:rsidRDefault="00EA34C0" w:rsidP="00ED0863">
      <w:pPr>
        <w:numPr>
          <w:ilvl w:val="0"/>
          <w:numId w:val="56"/>
        </w:numPr>
        <w:spacing w:before="100" w:beforeAutospacing="1" w:after="100" w:afterAutospacing="1"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Primary Welfare Officer Initiative — provides general information about the Primary Welfare Officer Initiative</w:t>
      </w:r>
    </w:p>
    <w:p w14:paraId="765C9085" w14:textId="22C96791" w:rsidR="00EA34C0" w:rsidRPr="004D307F" w:rsidRDefault="00EA34C0" w:rsidP="00ED0863">
      <w:pPr>
        <w:numPr>
          <w:ilvl w:val="0"/>
          <w:numId w:val="56"/>
        </w:numPr>
        <w:spacing w:before="100" w:beforeAutospacing="1" w:after="100" w:afterAutospacing="1"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 xml:space="preserve">The </w:t>
      </w:r>
      <w:hyperlink r:id="rId131" w:history="1">
        <w:r w:rsidRPr="004D307F">
          <w:rPr>
            <w:rFonts w:ascii="VIC-Regular" w:eastAsia="Times New Roman" w:hAnsi="VIC-Regular" w:cs="Arial"/>
            <w:color w:val="011A3C"/>
            <w:sz w:val="24"/>
            <w:szCs w:val="24"/>
            <w:lang w:val="en" w:eastAsia="en-AU"/>
          </w:rPr>
          <w:t>Student Engagement Policy</w:t>
        </w:r>
      </w:hyperlink>
      <w:r w:rsidRPr="004D307F">
        <w:rPr>
          <w:rFonts w:ascii="VIC-Regular" w:eastAsia="Times New Roman" w:hAnsi="VIC-Regular" w:cs="Arial"/>
          <w:color w:val="011A3C"/>
          <w:sz w:val="24"/>
          <w:szCs w:val="24"/>
          <w:lang w:val="en" w:eastAsia="en-AU"/>
        </w:rPr>
        <w:t xml:space="preserve"> provides advice, resources and strategies for schools on developing a Student Engagement Policy; promoting positive student </w:t>
      </w:r>
      <w:r w:rsidR="008A6CE0" w:rsidRPr="004D307F">
        <w:rPr>
          <w:rFonts w:ascii="VIC-Regular" w:eastAsia="Times New Roman" w:hAnsi="VIC-Regular" w:cs="Arial"/>
          <w:color w:val="011A3C"/>
          <w:sz w:val="24"/>
          <w:szCs w:val="24"/>
          <w:lang w:val="en" w:eastAsia="en-AU"/>
        </w:rPr>
        <w:t>behavior</w:t>
      </w:r>
      <w:r w:rsidRPr="004D307F">
        <w:rPr>
          <w:rFonts w:ascii="VIC-Regular" w:eastAsia="Times New Roman" w:hAnsi="VIC-Regular" w:cs="Arial"/>
          <w:color w:val="011A3C"/>
          <w:sz w:val="24"/>
          <w:szCs w:val="24"/>
          <w:lang w:val="en" w:eastAsia="en-AU"/>
        </w:rPr>
        <w:t xml:space="preserve">; and responding to challenging </w:t>
      </w:r>
      <w:r w:rsidR="008A6CE0" w:rsidRPr="004D307F">
        <w:rPr>
          <w:rFonts w:ascii="VIC-Regular" w:eastAsia="Times New Roman" w:hAnsi="VIC-Regular" w:cs="Arial"/>
          <w:color w:val="011A3C"/>
          <w:sz w:val="24"/>
          <w:szCs w:val="24"/>
          <w:lang w:val="en" w:eastAsia="en-AU"/>
        </w:rPr>
        <w:t>behavior</w:t>
      </w:r>
      <w:r w:rsidRPr="004D307F">
        <w:rPr>
          <w:rFonts w:ascii="VIC-Regular" w:eastAsia="Times New Roman" w:hAnsi="VIC-Regular" w:cs="Arial"/>
          <w:color w:val="011A3C"/>
          <w:sz w:val="24"/>
          <w:szCs w:val="24"/>
          <w:lang w:val="en" w:eastAsia="en-AU"/>
        </w:rPr>
        <w:t>. It provides resources schools can access to support and improve student engagement.</w:t>
      </w:r>
      <w:r w:rsidRPr="004D307F">
        <w:rPr>
          <w:rFonts w:ascii="VIC-Regular" w:eastAsia="Times New Roman" w:hAnsi="VIC-Regular" w:cs="Arial"/>
          <w:color w:val="011A3C"/>
          <w:sz w:val="24"/>
          <w:szCs w:val="24"/>
          <w:lang w:val="en" w:eastAsia="en-AU"/>
        </w:rPr>
        <w:br w:type="page"/>
      </w:r>
    </w:p>
    <w:p w14:paraId="65FDBE49" w14:textId="77777777" w:rsidR="00BB6150" w:rsidRPr="004D307F" w:rsidRDefault="00BB6150" w:rsidP="00B566E7">
      <w:pPr>
        <w:pStyle w:val="Heading2"/>
      </w:pPr>
      <w:bookmarkStart w:id="95" w:name="_Toc106793790"/>
      <w:bookmarkStart w:id="96" w:name="_Hlk50302747"/>
      <w:bookmarkStart w:id="97" w:name="_Hlk50456587"/>
      <w:bookmarkStart w:id="98" w:name="_Hlk50304235"/>
      <w:r w:rsidRPr="004D307F">
        <w:lastRenderedPageBreak/>
        <w:t>Late Enrolment and Senior Secondary Re-engagement (Reference 53)</w:t>
      </w:r>
      <w:bookmarkEnd w:id="95"/>
    </w:p>
    <w:bookmarkEnd w:id="96"/>
    <w:p w14:paraId="5279DDFF" w14:textId="77777777" w:rsidR="00BB6150" w:rsidRPr="004D307F" w:rsidRDefault="00BB6150" w:rsidP="00BB615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Late Enrolment and Senior Secondary Re-engagement Funding</w:t>
      </w:r>
    </w:p>
    <w:p w14:paraId="2846538F"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Late Enrolment Funding is available to support young people experiencing vulnerability re-engaging in education following the February census. The Senior Secondary Re-engagement Funding aims to target senior secondary students re-engaging into education via community or satellite programs.</w:t>
      </w:r>
    </w:p>
    <w:p w14:paraId="2D005936"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If a young person is eligible, funds will be allocated directly to the school where the young person is enrolled, paid pro-rate from the date of the young person’s enrolment.</w:t>
      </w:r>
    </w:p>
    <w:p w14:paraId="016B324E" w14:textId="77777777" w:rsidR="00BB6150" w:rsidRPr="004D307F" w:rsidRDefault="00BB6150" w:rsidP="00BB615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Payments</w:t>
      </w:r>
    </w:p>
    <w:p w14:paraId="08758AF8"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Late Enrolment and Senior Secondary Re-engagement Program provide targeted funding through the Student Resource Package (SRP) to schools for individual young people who enrol after the February census is completed and who meet the eligibility criteria.</w:t>
      </w:r>
    </w:p>
    <w:p w14:paraId="2060FB27" w14:textId="77777777" w:rsidR="00BB6150" w:rsidRPr="004D307F" w:rsidRDefault="00BB6150" w:rsidP="00BB615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Application deadlines</w:t>
      </w:r>
    </w:p>
    <w:p w14:paraId="438FC8D8" w14:textId="77777777" w:rsidR="00BB6150" w:rsidRPr="004D307F" w:rsidRDefault="00BB6150" w:rsidP="00BB615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color w:val="011A3C"/>
          <w:sz w:val="24"/>
          <w:szCs w:val="24"/>
          <w:lang w:val="en" w:eastAsia="en-AU"/>
        </w:rPr>
        <w:t>Round 1</w:t>
      </w:r>
    </w:p>
    <w:p w14:paraId="7E18D51A"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Applications open on Tuesday 26 April 2022 and close on Friday 20 May 2022.</w:t>
      </w:r>
    </w:p>
    <w:p w14:paraId="19B44BAC" w14:textId="7740A460"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will be allocated their payment from the first round of funding as part of the revised SRP in June 202</w:t>
      </w:r>
      <w:r w:rsidR="00B421F2">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w:t>
      </w:r>
    </w:p>
    <w:p w14:paraId="34C7B776" w14:textId="77777777" w:rsidR="00BB6150" w:rsidRPr="004D307F" w:rsidRDefault="00BB6150" w:rsidP="00BB615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color w:val="011A3C"/>
          <w:sz w:val="24"/>
          <w:szCs w:val="24"/>
          <w:lang w:val="en" w:eastAsia="en-AU"/>
        </w:rPr>
        <w:t>Round 2</w:t>
      </w:r>
    </w:p>
    <w:p w14:paraId="6CD609A0"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Applications open on Monday 11 July 2022 and close on Friday 26 August 2022.</w:t>
      </w:r>
    </w:p>
    <w:p w14:paraId="6A3C1E35"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will be allocated their payment from the final round of funding at school level as an adjustment to the revised SRP in September 2022.</w:t>
      </w:r>
    </w:p>
    <w:p w14:paraId="1F5FC46D" w14:textId="77777777" w:rsidR="00BB6150" w:rsidRPr="004D307F" w:rsidRDefault="00BB6150" w:rsidP="00BB615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Individual rate</w:t>
      </w:r>
    </w:p>
    <w:p w14:paraId="37FF5606" w14:textId="3FAB96BC"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202</w:t>
      </w:r>
      <w:r w:rsidR="00C32B87">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xml:space="preserve"> individual rate is a targeted payment of $10,000, which will be paid out pro-rata (100% or 75%) based on the enrolment date of the young person. There will be additional funding of $2,000 available to schools on top of the Late Enrolment Funding payment if they enrol a young person who has been involved in youth justice – either in custody or </w:t>
      </w:r>
      <w:r w:rsidRPr="004D307F">
        <w:rPr>
          <w:rFonts w:ascii="VIC-Regular" w:eastAsia="Times New Roman" w:hAnsi="VIC-Regular" w:cs="Times New Roman"/>
          <w:color w:val="011A3C"/>
          <w:sz w:val="24"/>
          <w:szCs w:val="24"/>
          <w:lang w:val="en" w:eastAsia="en-AU"/>
        </w:rPr>
        <w:lastRenderedPageBreak/>
        <w:t>appearing before the Children’s Courts, in recognition of the often more personalised approach required to ensure ongoing engagement in education for this cohort.</w:t>
      </w:r>
    </w:p>
    <w:p w14:paraId="59940882"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will be paid pro-rata based on the date of enrolment: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53"/>
        <w:gridCol w:w="1603"/>
        <w:gridCol w:w="1345"/>
        <w:gridCol w:w="3015"/>
      </w:tblGrid>
      <w:tr w:rsidR="00BB6150" w:rsidRPr="004D307F" w14:paraId="5ACD987E" w14:textId="77777777" w:rsidTr="00EE1153">
        <w:trPr>
          <w:tblHeader/>
        </w:trPr>
        <w:tc>
          <w:tcPr>
            <w:tcW w:w="0" w:type="auto"/>
            <w:gridSpan w:val="4"/>
            <w:vAlign w:val="center"/>
            <w:hideMark/>
          </w:tcPr>
          <w:p w14:paraId="1F174563" w14:textId="77777777" w:rsidR="00BB6150" w:rsidRPr="004D307F" w:rsidRDefault="00BB6150" w:rsidP="00EE1153">
            <w:pPr>
              <w:spacing w:before="100" w:beforeAutospacing="1" w:after="100" w:afterAutospacing="1" w:line="288" w:lineRule="atLeast"/>
              <w:textAlignment w:val="top"/>
              <w:outlineLvl w:val="3"/>
              <w:rPr>
                <w:rFonts w:ascii="VIC-Bold" w:eastAsia="Times New Roman" w:hAnsi="VIC-Bold" w:cs="Times New Roman"/>
                <w:sz w:val="24"/>
                <w:szCs w:val="24"/>
                <w:lang w:eastAsia="en-AU"/>
              </w:rPr>
            </w:pPr>
            <w:r w:rsidRPr="004D307F">
              <w:rPr>
                <w:rFonts w:ascii="VIC-Bold" w:eastAsia="Times New Roman" w:hAnsi="VIC-Bold" w:cs="Times New Roman"/>
                <w:sz w:val="24"/>
                <w:szCs w:val="24"/>
                <w:lang w:eastAsia="en-AU"/>
              </w:rPr>
              <w:t>Funding will be paid pro-rata based on the date of enrolment:</w:t>
            </w:r>
          </w:p>
        </w:tc>
      </w:tr>
      <w:tr w:rsidR="00E40973" w:rsidRPr="004D307F" w14:paraId="15D437EA" w14:textId="77777777" w:rsidTr="00EE1153">
        <w:trPr>
          <w:tblHeader/>
        </w:trPr>
        <w:tc>
          <w:tcPr>
            <w:tcW w:w="0" w:type="auto"/>
            <w:hideMark/>
          </w:tcPr>
          <w:p w14:paraId="1C5FF616" w14:textId="77777777" w:rsidR="00BB6150" w:rsidRPr="004D307F" w:rsidRDefault="00BB6150" w:rsidP="00EE1153">
            <w:pPr>
              <w:spacing w:after="0" w:line="240" w:lineRule="atLeast"/>
              <w:rPr>
                <w:rFonts w:ascii="VIC-Bold" w:eastAsia="Times New Roman" w:hAnsi="VIC-Bold" w:cs="Times New Roman"/>
                <w:sz w:val="24"/>
                <w:szCs w:val="24"/>
                <w:lang w:eastAsia="en-AU"/>
              </w:rPr>
            </w:pPr>
            <w:r w:rsidRPr="004D307F">
              <w:rPr>
                <w:rFonts w:ascii="VIC-Bold" w:eastAsia="Times New Roman" w:hAnsi="VIC-Bold" w:cs="Times New Roman"/>
                <w:sz w:val="24"/>
                <w:szCs w:val="24"/>
                <w:lang w:eastAsia="en-AU"/>
              </w:rPr>
              <w:t>Enrolment Period</w:t>
            </w:r>
          </w:p>
        </w:tc>
        <w:tc>
          <w:tcPr>
            <w:tcW w:w="0" w:type="auto"/>
            <w:hideMark/>
          </w:tcPr>
          <w:p w14:paraId="28707B71" w14:textId="77777777" w:rsidR="00BB6150" w:rsidRPr="004D307F" w:rsidRDefault="00BB6150" w:rsidP="00EE1153">
            <w:pPr>
              <w:spacing w:after="0" w:line="240" w:lineRule="atLeast"/>
              <w:rPr>
                <w:rFonts w:ascii="VIC-Bold" w:eastAsia="Times New Roman" w:hAnsi="VIC-Bold" w:cs="Times New Roman"/>
                <w:sz w:val="24"/>
                <w:szCs w:val="24"/>
                <w:lang w:eastAsia="en-AU"/>
              </w:rPr>
            </w:pPr>
            <w:r w:rsidRPr="004D307F">
              <w:rPr>
                <w:rFonts w:ascii="VIC-Bold" w:eastAsia="Times New Roman" w:hAnsi="VIC-Bold" w:cs="Times New Roman"/>
                <w:sz w:val="24"/>
                <w:szCs w:val="24"/>
                <w:lang w:eastAsia="en-AU"/>
              </w:rPr>
              <w:t>Proportion of amount</w:t>
            </w:r>
          </w:p>
        </w:tc>
        <w:tc>
          <w:tcPr>
            <w:tcW w:w="0" w:type="auto"/>
            <w:hideMark/>
          </w:tcPr>
          <w:p w14:paraId="7E3C6288" w14:textId="77777777" w:rsidR="00BB6150" w:rsidRPr="004D307F" w:rsidRDefault="00BB6150" w:rsidP="00EE1153">
            <w:pPr>
              <w:spacing w:after="0" w:line="240" w:lineRule="atLeast"/>
              <w:rPr>
                <w:rFonts w:ascii="VIC-Bold" w:eastAsia="Times New Roman" w:hAnsi="VIC-Bold" w:cs="Times New Roman"/>
                <w:sz w:val="24"/>
                <w:szCs w:val="24"/>
                <w:lang w:eastAsia="en-AU"/>
              </w:rPr>
            </w:pPr>
            <w:r w:rsidRPr="004D307F">
              <w:rPr>
                <w:rFonts w:ascii="VIC-Bold" w:eastAsia="Times New Roman" w:hAnsi="VIC-Bold" w:cs="Times New Roman"/>
                <w:sz w:val="24"/>
                <w:szCs w:val="24"/>
                <w:lang w:eastAsia="en-AU"/>
              </w:rPr>
              <w:t>Targeted payment</w:t>
            </w:r>
          </w:p>
        </w:tc>
        <w:tc>
          <w:tcPr>
            <w:tcW w:w="0" w:type="auto"/>
            <w:hideMark/>
          </w:tcPr>
          <w:p w14:paraId="6D9CFC5B" w14:textId="77777777" w:rsidR="00BB6150" w:rsidRPr="004D307F" w:rsidRDefault="00BB6150" w:rsidP="00EE1153">
            <w:pPr>
              <w:spacing w:after="0" w:line="240" w:lineRule="atLeast"/>
              <w:rPr>
                <w:rFonts w:ascii="VIC-Bold" w:eastAsia="Times New Roman" w:hAnsi="VIC-Bold" w:cs="Times New Roman"/>
                <w:sz w:val="24"/>
                <w:szCs w:val="24"/>
                <w:lang w:eastAsia="en-AU"/>
              </w:rPr>
            </w:pPr>
            <w:r w:rsidRPr="004D307F">
              <w:rPr>
                <w:rFonts w:ascii="VIC-Bold" w:eastAsia="Times New Roman" w:hAnsi="VIC-Bold" w:cs="Times New Roman"/>
                <w:sz w:val="24"/>
                <w:szCs w:val="24"/>
                <w:lang w:eastAsia="en-AU"/>
              </w:rPr>
              <w:t>Payment with additional youth justice facility loading</w:t>
            </w:r>
          </w:p>
        </w:tc>
      </w:tr>
      <w:tr w:rsidR="00E40973" w:rsidRPr="004D307F" w14:paraId="53DFC091" w14:textId="77777777" w:rsidTr="00EE1153">
        <w:tc>
          <w:tcPr>
            <w:tcW w:w="0" w:type="auto"/>
            <w:hideMark/>
          </w:tcPr>
          <w:p w14:paraId="5FFF4935" w14:textId="77777777" w:rsidR="00BB6150" w:rsidRPr="004D307F" w:rsidRDefault="00BB6150" w:rsidP="00EE1153">
            <w:pPr>
              <w:spacing w:after="0" w:line="360" w:lineRule="atLeast"/>
              <w:rPr>
                <w:rFonts w:ascii="VIC-Regular" w:eastAsia="Times New Roman" w:hAnsi="VIC-Regular" w:cs="Times New Roman"/>
                <w:sz w:val="24"/>
                <w:szCs w:val="24"/>
                <w:lang w:eastAsia="en-AU"/>
              </w:rPr>
            </w:pPr>
            <w:r w:rsidRPr="004D307F">
              <w:rPr>
                <w:rFonts w:ascii="VIC-Regular" w:eastAsia="Times New Roman" w:hAnsi="VIC-Regular" w:cs="Times New Roman"/>
                <w:sz w:val="24"/>
                <w:szCs w:val="24"/>
                <w:lang w:eastAsia="en-AU"/>
              </w:rPr>
              <w:t>Between Friday 25 February  and Friday 27 May 2022</w:t>
            </w:r>
          </w:p>
        </w:tc>
        <w:tc>
          <w:tcPr>
            <w:tcW w:w="0" w:type="auto"/>
            <w:hideMark/>
          </w:tcPr>
          <w:p w14:paraId="5FA8716F" w14:textId="77777777" w:rsidR="00BB6150" w:rsidRPr="004D307F" w:rsidRDefault="00BB6150" w:rsidP="00EE1153">
            <w:pPr>
              <w:spacing w:after="0" w:line="360" w:lineRule="atLeast"/>
              <w:rPr>
                <w:rFonts w:ascii="VIC-Regular" w:eastAsia="Times New Roman" w:hAnsi="VIC-Regular" w:cs="Times New Roman"/>
                <w:sz w:val="24"/>
                <w:szCs w:val="24"/>
                <w:lang w:eastAsia="en-AU"/>
              </w:rPr>
            </w:pPr>
            <w:r w:rsidRPr="004D307F">
              <w:rPr>
                <w:rFonts w:ascii="VIC-Regular" w:eastAsia="Times New Roman" w:hAnsi="VIC-Regular" w:cs="Times New Roman"/>
                <w:sz w:val="24"/>
                <w:szCs w:val="24"/>
                <w:lang w:eastAsia="en-AU"/>
              </w:rPr>
              <w:t>100% of full-time SRP</w:t>
            </w:r>
          </w:p>
        </w:tc>
        <w:tc>
          <w:tcPr>
            <w:tcW w:w="0" w:type="auto"/>
            <w:hideMark/>
          </w:tcPr>
          <w:p w14:paraId="5C14A0D7" w14:textId="77777777" w:rsidR="00BB6150" w:rsidRPr="004D307F" w:rsidRDefault="00BB6150" w:rsidP="00EE1153">
            <w:pPr>
              <w:spacing w:after="0" w:line="360" w:lineRule="atLeast"/>
              <w:rPr>
                <w:rFonts w:ascii="VIC-Regular" w:eastAsia="Times New Roman" w:hAnsi="VIC-Regular" w:cs="Times New Roman"/>
                <w:sz w:val="24"/>
                <w:szCs w:val="24"/>
                <w:lang w:eastAsia="en-AU"/>
              </w:rPr>
            </w:pPr>
            <w:r w:rsidRPr="004D307F">
              <w:rPr>
                <w:rFonts w:ascii="VIC-Regular" w:eastAsia="Times New Roman" w:hAnsi="VIC-Regular" w:cs="Times New Roman"/>
                <w:sz w:val="24"/>
                <w:szCs w:val="24"/>
                <w:lang w:eastAsia="en-AU"/>
              </w:rPr>
              <w:t>$10,000</w:t>
            </w:r>
          </w:p>
        </w:tc>
        <w:tc>
          <w:tcPr>
            <w:tcW w:w="0" w:type="auto"/>
            <w:hideMark/>
          </w:tcPr>
          <w:p w14:paraId="1E6B3911" w14:textId="77777777" w:rsidR="00BB6150" w:rsidRPr="004D307F" w:rsidRDefault="00BB6150" w:rsidP="00EE1153">
            <w:pPr>
              <w:spacing w:after="0" w:line="360" w:lineRule="atLeast"/>
              <w:rPr>
                <w:rFonts w:ascii="VIC-Regular" w:eastAsia="Times New Roman" w:hAnsi="VIC-Regular" w:cs="Times New Roman"/>
                <w:sz w:val="24"/>
                <w:szCs w:val="24"/>
                <w:lang w:eastAsia="en-AU"/>
              </w:rPr>
            </w:pPr>
            <w:r w:rsidRPr="004D307F">
              <w:rPr>
                <w:rFonts w:ascii="VIC-Regular" w:eastAsia="Times New Roman" w:hAnsi="VIC-Regular" w:cs="Times New Roman"/>
                <w:sz w:val="24"/>
                <w:szCs w:val="24"/>
                <w:lang w:eastAsia="en-AU"/>
              </w:rPr>
              <w:t>$12,000</w:t>
            </w:r>
          </w:p>
        </w:tc>
      </w:tr>
      <w:tr w:rsidR="00E40973" w:rsidRPr="004D307F" w14:paraId="5F863DD7" w14:textId="77777777" w:rsidTr="00EE1153">
        <w:tc>
          <w:tcPr>
            <w:tcW w:w="0" w:type="auto"/>
            <w:hideMark/>
          </w:tcPr>
          <w:p w14:paraId="458DB97F" w14:textId="77777777" w:rsidR="00BB6150" w:rsidRPr="004D307F" w:rsidRDefault="00BB6150" w:rsidP="00EE1153">
            <w:pPr>
              <w:spacing w:after="0" w:line="360" w:lineRule="atLeast"/>
              <w:rPr>
                <w:rFonts w:ascii="VIC-Regular" w:eastAsia="Times New Roman" w:hAnsi="VIC-Regular" w:cs="Times New Roman"/>
                <w:sz w:val="24"/>
                <w:szCs w:val="24"/>
                <w:lang w:eastAsia="en-AU"/>
              </w:rPr>
            </w:pPr>
            <w:r w:rsidRPr="004D307F">
              <w:rPr>
                <w:rFonts w:ascii="VIC-Regular" w:eastAsia="Times New Roman" w:hAnsi="VIC-Regular" w:cs="Times New Roman"/>
                <w:sz w:val="24"/>
                <w:szCs w:val="24"/>
                <w:lang w:eastAsia="en-AU"/>
              </w:rPr>
              <w:t>Between Monday 30 May and Friday 12 August 2022</w:t>
            </w:r>
          </w:p>
        </w:tc>
        <w:tc>
          <w:tcPr>
            <w:tcW w:w="0" w:type="auto"/>
            <w:hideMark/>
          </w:tcPr>
          <w:p w14:paraId="69120896" w14:textId="77777777" w:rsidR="00BB6150" w:rsidRPr="004D307F" w:rsidRDefault="00BB6150" w:rsidP="00EE1153">
            <w:pPr>
              <w:spacing w:after="0" w:line="360" w:lineRule="atLeast"/>
              <w:rPr>
                <w:rFonts w:ascii="VIC-Regular" w:eastAsia="Times New Roman" w:hAnsi="VIC-Regular" w:cs="Times New Roman"/>
                <w:sz w:val="24"/>
                <w:szCs w:val="24"/>
                <w:lang w:eastAsia="en-AU"/>
              </w:rPr>
            </w:pPr>
            <w:r w:rsidRPr="004D307F">
              <w:rPr>
                <w:rFonts w:ascii="VIC-Regular" w:eastAsia="Times New Roman" w:hAnsi="VIC-Regular" w:cs="Times New Roman"/>
                <w:sz w:val="24"/>
                <w:szCs w:val="24"/>
                <w:lang w:eastAsia="en-AU"/>
              </w:rPr>
              <w:t>75% of full-time SRP</w:t>
            </w:r>
          </w:p>
        </w:tc>
        <w:tc>
          <w:tcPr>
            <w:tcW w:w="0" w:type="auto"/>
            <w:hideMark/>
          </w:tcPr>
          <w:p w14:paraId="73E05F52" w14:textId="77777777" w:rsidR="00BB6150" w:rsidRPr="004D307F" w:rsidRDefault="00BB6150" w:rsidP="00EE1153">
            <w:pPr>
              <w:spacing w:after="0" w:line="360" w:lineRule="atLeast"/>
              <w:rPr>
                <w:rFonts w:ascii="VIC-Regular" w:eastAsia="Times New Roman" w:hAnsi="VIC-Regular" w:cs="Times New Roman"/>
                <w:sz w:val="24"/>
                <w:szCs w:val="24"/>
                <w:lang w:eastAsia="en-AU"/>
              </w:rPr>
            </w:pPr>
            <w:r w:rsidRPr="004D307F">
              <w:rPr>
                <w:rFonts w:ascii="VIC-Regular" w:eastAsia="Times New Roman" w:hAnsi="VIC-Regular" w:cs="Times New Roman"/>
                <w:sz w:val="24"/>
                <w:szCs w:val="24"/>
                <w:lang w:eastAsia="en-AU"/>
              </w:rPr>
              <w:t>$7500</w:t>
            </w:r>
          </w:p>
        </w:tc>
        <w:tc>
          <w:tcPr>
            <w:tcW w:w="0" w:type="auto"/>
            <w:hideMark/>
          </w:tcPr>
          <w:p w14:paraId="01B5BE29" w14:textId="77777777" w:rsidR="00BB6150" w:rsidRPr="004D307F" w:rsidRDefault="00BB6150" w:rsidP="00EE1153">
            <w:pPr>
              <w:spacing w:after="0" w:line="360" w:lineRule="atLeast"/>
              <w:rPr>
                <w:rFonts w:ascii="VIC-Regular" w:eastAsia="Times New Roman" w:hAnsi="VIC-Regular" w:cs="Times New Roman"/>
                <w:sz w:val="24"/>
                <w:szCs w:val="24"/>
                <w:lang w:eastAsia="en-AU"/>
              </w:rPr>
            </w:pPr>
            <w:r w:rsidRPr="004D307F">
              <w:rPr>
                <w:rFonts w:ascii="VIC-Regular" w:eastAsia="Times New Roman" w:hAnsi="VIC-Regular" w:cs="Times New Roman"/>
                <w:sz w:val="24"/>
                <w:szCs w:val="24"/>
                <w:lang w:eastAsia="en-AU"/>
              </w:rPr>
              <w:t>$9500</w:t>
            </w:r>
          </w:p>
        </w:tc>
      </w:tr>
    </w:tbl>
    <w:p w14:paraId="02F8FFD4" w14:textId="77777777" w:rsidR="00BB6150" w:rsidRPr="004D307F" w:rsidRDefault="00BB6150" w:rsidP="00BB615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 Criteria</w:t>
      </w:r>
    </w:p>
    <w:p w14:paraId="257B254F"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schools to apply for Late Enrolment Funding, the young person must be re-engaging with education after the February census and meet the following criteria:</w:t>
      </w:r>
    </w:p>
    <w:p w14:paraId="00531183" w14:textId="77777777" w:rsidR="00BB6150" w:rsidRPr="004D307F" w:rsidRDefault="00BB6150" w:rsidP="00ED0863">
      <w:pPr>
        <w:numPr>
          <w:ilvl w:val="0"/>
          <w:numId w:val="5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not been counted (funded) in a Department of Education and Training school census in the same year and must meet at least one of the following criteria: </w:t>
      </w:r>
    </w:p>
    <w:p w14:paraId="0DD36F7D" w14:textId="6AB21125" w:rsidR="00BB6150" w:rsidRPr="004D307F" w:rsidRDefault="00BB6150" w:rsidP="00ED0863">
      <w:pPr>
        <w:numPr>
          <w:ilvl w:val="1"/>
          <w:numId w:val="5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disengaged from school (defined as </w:t>
      </w:r>
      <w:r w:rsidR="00400713">
        <w:rPr>
          <w:rFonts w:ascii="VIC-Regular" w:eastAsia="Times New Roman" w:hAnsi="VIC-Regular" w:cs="Times New Roman"/>
          <w:color w:val="011A3C"/>
          <w:sz w:val="24"/>
          <w:szCs w:val="24"/>
          <w:lang w:val="en" w:eastAsia="en-AU"/>
        </w:rPr>
        <w:t xml:space="preserve">less than </w:t>
      </w:r>
      <w:r w:rsidRPr="004D307F">
        <w:rPr>
          <w:rFonts w:ascii="VIC-Regular" w:eastAsia="Times New Roman" w:hAnsi="VIC-Regular" w:cs="Times New Roman"/>
          <w:color w:val="011A3C"/>
          <w:sz w:val="24"/>
          <w:szCs w:val="24"/>
          <w:lang w:val="en" w:eastAsia="en-AU"/>
        </w:rPr>
        <w:t>30% attendance)</w:t>
      </w:r>
    </w:p>
    <w:p w14:paraId="0368B7ED" w14:textId="77777777" w:rsidR="00BB6150" w:rsidRPr="004D307F" w:rsidRDefault="00BB6150" w:rsidP="00ED0863">
      <w:pPr>
        <w:numPr>
          <w:ilvl w:val="1"/>
          <w:numId w:val="5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residing in statutory Out of Home Care (defined as young people who cannot live in their family home and are residing in a temporary, medium or long-term living arrangement)</w:t>
      </w:r>
    </w:p>
    <w:p w14:paraId="6364B2B4" w14:textId="77777777" w:rsidR="00BB6150" w:rsidRPr="004D307F" w:rsidRDefault="00BB6150" w:rsidP="00ED0863">
      <w:pPr>
        <w:numPr>
          <w:ilvl w:val="1"/>
          <w:numId w:val="5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involved with the youth justice system, including a young person with a youth control order and intensive bail conditions (identified by Education Justice Initiative staff, Parkville College staff or court liaison officers)</w:t>
      </w:r>
    </w:p>
    <w:p w14:paraId="29288AD9" w14:textId="77777777" w:rsidR="00BB6150" w:rsidRPr="004D307F" w:rsidRDefault="00BB6150" w:rsidP="00ED0863">
      <w:pPr>
        <w:numPr>
          <w:ilvl w:val="0"/>
          <w:numId w:val="5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have a confirmed school enrolment (or equivalent) at a government school with an Individual Education Plan (IEP) in place (please note there is no age limit for applications)</w:t>
      </w:r>
    </w:p>
    <w:p w14:paraId="1363829F" w14:textId="77777777" w:rsidR="00BB6150" w:rsidRPr="004D307F" w:rsidRDefault="00BB6150" w:rsidP="00ED0863">
      <w:pPr>
        <w:numPr>
          <w:ilvl w:val="0"/>
          <w:numId w:val="5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not have received Late Enrolment Funding within the current financial year</w:t>
      </w:r>
    </w:p>
    <w:p w14:paraId="6B96D4CB" w14:textId="77777777" w:rsidR="00BB6150" w:rsidRPr="004D307F" w:rsidRDefault="00BB6150" w:rsidP="00ED0863">
      <w:pPr>
        <w:numPr>
          <w:ilvl w:val="0"/>
          <w:numId w:val="5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not be participating in an approved senior secondary re-engagement program</w:t>
      </w:r>
    </w:p>
    <w:p w14:paraId="146E5115"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schools to be eligible for Senior Secondary Re-engagement Funding, the following criteria must be met:</w:t>
      </w:r>
    </w:p>
    <w:p w14:paraId="6729444E" w14:textId="77777777" w:rsidR="00BB6150" w:rsidRPr="004D307F" w:rsidRDefault="00BB6150" w:rsidP="00ED0863">
      <w:pPr>
        <w:numPr>
          <w:ilvl w:val="0"/>
          <w:numId w:val="5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young person must be re-engaging with education after the February census</w:t>
      </w:r>
    </w:p>
    <w:p w14:paraId="352E4E96" w14:textId="77777777" w:rsidR="00BB6150" w:rsidRPr="004D307F" w:rsidRDefault="00BB6150" w:rsidP="00ED0863">
      <w:pPr>
        <w:numPr>
          <w:ilvl w:val="0"/>
          <w:numId w:val="5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young person must not have been counted (funded) in a Department of Education and Training school census in the same year</w:t>
      </w:r>
    </w:p>
    <w:p w14:paraId="4C8999B2" w14:textId="1880FFE8" w:rsidR="00BB6150" w:rsidRPr="004D307F" w:rsidRDefault="00BB6150" w:rsidP="00ED0863">
      <w:pPr>
        <w:numPr>
          <w:ilvl w:val="0"/>
          <w:numId w:val="5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the young person must be participating in an approved senior secondary re-engagement program</w:t>
      </w:r>
      <w:r w:rsidR="00B421F2">
        <w:rPr>
          <w:rFonts w:ascii="VIC-Regular" w:eastAsia="Times New Roman" w:hAnsi="VIC-Regular" w:cs="Times New Roman"/>
          <w:color w:val="011A3C"/>
          <w:sz w:val="24"/>
          <w:szCs w:val="24"/>
          <w:lang w:val="en" w:eastAsia="en-AU"/>
        </w:rPr>
        <w:t xml:space="preserve"> </w:t>
      </w:r>
      <w:r w:rsidR="00B421F2" w:rsidRPr="006808B4">
        <w:rPr>
          <w:rFonts w:ascii="VIC-Regular" w:eastAsia="Times New Roman" w:hAnsi="VIC-Regular" w:cs="Times New Roman"/>
          <w:color w:val="011A3C"/>
          <w:sz w:val="24"/>
          <w:szCs w:val="24"/>
          <w:lang w:val="en"/>
        </w:rPr>
        <w:t>with an Individual Learning Plan (IEP) in place.</w:t>
      </w:r>
    </w:p>
    <w:p w14:paraId="55DA2D43" w14:textId="77777777" w:rsidR="00BB6150" w:rsidRPr="004D307F" w:rsidRDefault="00BB6150" w:rsidP="00BB615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Applying for funding</w:t>
      </w:r>
    </w:p>
    <w:p w14:paraId="2E0736E3"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Once a young person is identified as eligible for funding:</w:t>
      </w:r>
    </w:p>
    <w:p w14:paraId="65D16A3F" w14:textId="77777777" w:rsidR="00BB6150" w:rsidRPr="004D307F" w:rsidRDefault="00BB6150" w:rsidP="00BB615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Step 1</w:t>
      </w:r>
    </w:p>
    <w:p w14:paraId="7444BADA" w14:textId="4EE66447" w:rsidR="00B421F2" w:rsidRPr="006808B4" w:rsidRDefault="00B421F2" w:rsidP="00B421F2">
      <w:pPr>
        <w:pStyle w:val="xmsonormal"/>
        <w:rPr>
          <w:rFonts w:ascii="VIC-Regular" w:eastAsia="Times New Roman" w:hAnsi="VIC-Regular" w:cs="Times New Roman"/>
          <w:color w:val="011A3C"/>
          <w:sz w:val="24"/>
          <w:szCs w:val="24"/>
          <w:lang w:val="en"/>
        </w:rPr>
      </w:pPr>
      <w:r w:rsidRPr="006808B4">
        <w:rPr>
          <w:rFonts w:ascii="VIC-Regular" w:eastAsia="Times New Roman" w:hAnsi="VIC-Regular" w:cs="Times New Roman"/>
          <w:color w:val="011A3C"/>
          <w:sz w:val="24"/>
          <w:szCs w:val="24"/>
          <w:lang w:val="en"/>
        </w:rPr>
        <w:t xml:space="preserve">The school develops an Individual Education Plan (IEP) for the young person. An IEP is required for both Late Enrolment Funding and Senior Secondary Re-engagement Funding applications. Schools must use the IEP template developed by the Department which is available </w:t>
      </w:r>
      <w:bookmarkStart w:id="99" w:name="_Hlk65691116"/>
      <w:r w:rsidR="003F7A0B">
        <w:rPr>
          <w:rFonts w:ascii="VIC-Regular" w:eastAsia="Times New Roman" w:hAnsi="VIC-Regular" w:cs="Times New Roman"/>
          <w:color w:val="011A3C"/>
          <w:sz w:val="24"/>
          <w:szCs w:val="24"/>
          <w:lang w:val="en"/>
        </w:rPr>
        <w:t>at</w:t>
      </w:r>
      <w:r w:rsidRPr="006808B4">
        <w:rPr>
          <w:rFonts w:ascii="VIC-Regular" w:eastAsia="Times New Roman" w:hAnsi="VIC-Regular" w:cs="Times New Roman"/>
          <w:color w:val="011A3C"/>
          <w:sz w:val="24"/>
          <w:szCs w:val="24"/>
          <w:lang w:val="en"/>
        </w:rPr>
        <w:t xml:space="preserve"> </w:t>
      </w:r>
      <w:hyperlink r:id="rId132" w:history="1">
        <w:r w:rsidRPr="006808B4">
          <w:rPr>
            <w:rFonts w:ascii="VIC-Regular" w:eastAsia="Times New Roman" w:hAnsi="VIC-Regular" w:cs="Times New Roman"/>
            <w:color w:val="011A3C"/>
            <w:sz w:val="24"/>
            <w:szCs w:val="24"/>
            <w:lang w:val="en"/>
          </w:rPr>
          <w:t>Individual Education Plans</w:t>
        </w:r>
        <w:r w:rsidR="003F7A0B">
          <w:rPr>
            <w:rFonts w:ascii="VIC-Regular" w:eastAsia="Times New Roman" w:hAnsi="VIC-Regular" w:cs="Times New Roman"/>
            <w:color w:val="011A3C"/>
            <w:sz w:val="24"/>
            <w:szCs w:val="24"/>
            <w:lang w:val="en"/>
          </w:rPr>
          <w:t xml:space="preserve"> – Resources</w:t>
        </w:r>
        <w:r w:rsidRPr="006808B4">
          <w:rPr>
            <w:rFonts w:ascii="VIC-Regular" w:eastAsia="Times New Roman" w:hAnsi="VIC-Regular" w:cs="Times New Roman"/>
            <w:color w:val="011A3C"/>
            <w:sz w:val="24"/>
            <w:szCs w:val="24"/>
            <w:lang w:val="en"/>
          </w:rPr>
          <w:t>.</w:t>
        </w:r>
      </w:hyperlink>
      <w:bookmarkEnd w:id="99"/>
    </w:p>
    <w:p w14:paraId="0BC12AF8" w14:textId="77777777" w:rsidR="00B421F2" w:rsidRPr="006808B4" w:rsidRDefault="00B421F2" w:rsidP="00B421F2">
      <w:pPr>
        <w:pStyle w:val="xmsonormal"/>
        <w:shd w:val="clear" w:color="auto" w:fill="FFFFFF"/>
        <w:spacing w:after="360"/>
        <w:rPr>
          <w:rFonts w:ascii="VIC-Regular" w:eastAsia="Times New Roman" w:hAnsi="VIC-Regular" w:cs="Times New Roman"/>
          <w:color w:val="011A3C"/>
          <w:sz w:val="24"/>
          <w:szCs w:val="24"/>
          <w:lang w:val="en"/>
        </w:rPr>
      </w:pPr>
    </w:p>
    <w:p w14:paraId="0C9A239E" w14:textId="77777777" w:rsidR="00B421F2" w:rsidRPr="006808B4" w:rsidRDefault="00B421F2" w:rsidP="00B421F2">
      <w:pPr>
        <w:pStyle w:val="xmsonormal"/>
        <w:shd w:val="clear" w:color="auto" w:fill="FFFFFF"/>
        <w:spacing w:after="360"/>
        <w:rPr>
          <w:rFonts w:ascii="VIC-Regular" w:eastAsia="Times New Roman" w:hAnsi="VIC-Regular" w:cs="Times New Roman"/>
          <w:color w:val="011A3C"/>
          <w:sz w:val="24"/>
          <w:szCs w:val="24"/>
          <w:lang w:val="en"/>
        </w:rPr>
      </w:pPr>
      <w:r w:rsidRPr="006808B4">
        <w:rPr>
          <w:rFonts w:ascii="VIC-Regular" w:eastAsia="Times New Roman" w:hAnsi="VIC-Regular" w:cs="Times New Roman"/>
          <w:color w:val="011A3C"/>
          <w:sz w:val="24"/>
          <w:szCs w:val="24"/>
          <w:lang w:val="en"/>
        </w:rPr>
        <w:t>It is recommended that school staff take the following steps when developing an IEP:</w:t>
      </w:r>
    </w:p>
    <w:p w14:paraId="10552EBB" w14:textId="2E5BDABC" w:rsidR="00B421F2" w:rsidRPr="006808B4" w:rsidRDefault="00B421F2" w:rsidP="00B421F2">
      <w:pPr>
        <w:pStyle w:val="xmsonormal"/>
        <w:numPr>
          <w:ilvl w:val="0"/>
          <w:numId w:val="181"/>
        </w:numPr>
        <w:shd w:val="clear" w:color="auto" w:fill="FFFFFF"/>
        <w:spacing w:after="360"/>
        <w:rPr>
          <w:rFonts w:ascii="VIC-Regular" w:eastAsia="Times New Roman" w:hAnsi="VIC-Regular" w:cs="Times New Roman"/>
          <w:color w:val="011A3C"/>
          <w:sz w:val="24"/>
          <w:szCs w:val="24"/>
          <w:lang w:val="en"/>
        </w:rPr>
      </w:pPr>
      <w:r w:rsidRPr="006808B4">
        <w:rPr>
          <w:rFonts w:ascii="VIC-Regular" w:eastAsia="Times New Roman" w:hAnsi="VIC-Regular" w:cs="Times New Roman"/>
          <w:color w:val="011A3C"/>
          <w:sz w:val="24"/>
          <w:szCs w:val="24"/>
          <w:lang w:val="en"/>
        </w:rPr>
        <w:t xml:space="preserve">Utilise the </w:t>
      </w:r>
      <w:r w:rsidR="003F7A0B">
        <w:rPr>
          <w:rFonts w:ascii="VIC-Regular" w:eastAsia="Times New Roman" w:hAnsi="VIC-Regular" w:cs="Times New Roman"/>
          <w:color w:val="011A3C"/>
          <w:sz w:val="24"/>
          <w:szCs w:val="24"/>
          <w:lang w:val="en"/>
        </w:rPr>
        <w:t>d</w:t>
      </w:r>
      <w:r w:rsidRPr="006808B4">
        <w:rPr>
          <w:rFonts w:ascii="VIC-Regular" w:eastAsia="Times New Roman" w:hAnsi="VIC-Regular" w:cs="Times New Roman"/>
          <w:color w:val="011A3C"/>
          <w:sz w:val="24"/>
          <w:szCs w:val="24"/>
          <w:lang w:val="en"/>
        </w:rPr>
        <w:t xml:space="preserve">epartment’s </w:t>
      </w:r>
      <w:hyperlink r:id="rId133" w:history="1">
        <w:r w:rsidRPr="006808B4">
          <w:rPr>
            <w:rFonts w:ascii="VIC-Regular" w:hAnsi="VIC-Regular" w:cs="Times New Roman"/>
            <w:color w:val="011A3C"/>
            <w:sz w:val="24"/>
            <w:szCs w:val="24"/>
            <w:lang w:val="en"/>
          </w:rPr>
          <w:t>IEP templat</w:t>
        </w:r>
        <w:r w:rsidR="003F7A0B">
          <w:rPr>
            <w:rFonts w:ascii="VIC-Regular" w:hAnsi="VIC-Regular" w:cs="Times New Roman"/>
            <w:color w:val="011A3C"/>
            <w:sz w:val="24"/>
            <w:szCs w:val="24"/>
            <w:lang w:val="en"/>
          </w:rPr>
          <w:t>e (PDF)</w:t>
        </w:r>
      </w:hyperlink>
    </w:p>
    <w:p w14:paraId="2EEE769B" w14:textId="77777777" w:rsidR="00B421F2" w:rsidRPr="006808B4" w:rsidRDefault="00B421F2" w:rsidP="00B421F2">
      <w:pPr>
        <w:pStyle w:val="xmsonormal"/>
        <w:numPr>
          <w:ilvl w:val="0"/>
          <w:numId w:val="181"/>
        </w:numPr>
        <w:shd w:val="clear" w:color="auto" w:fill="FFFFFF"/>
        <w:spacing w:after="360"/>
        <w:rPr>
          <w:rFonts w:ascii="VIC-Regular" w:eastAsia="Times New Roman" w:hAnsi="VIC-Regular" w:cs="Times New Roman"/>
          <w:color w:val="011A3C"/>
          <w:sz w:val="24"/>
          <w:szCs w:val="24"/>
          <w:lang w:val="en"/>
        </w:rPr>
      </w:pPr>
      <w:r w:rsidRPr="006808B4">
        <w:rPr>
          <w:rFonts w:ascii="VIC-Regular" w:eastAsia="Times New Roman" w:hAnsi="VIC-Regular" w:cs="Times New Roman"/>
          <w:color w:val="011A3C"/>
          <w:sz w:val="24"/>
          <w:szCs w:val="24"/>
          <w:lang w:val="en"/>
        </w:rPr>
        <w:t>Complete the IEP eLearning module on LearnED (available via </w:t>
      </w:r>
      <w:hyperlink r:id="rId134" w:tgtFrame="_blank" w:history="1">
        <w:r w:rsidRPr="006808B4">
          <w:rPr>
            <w:rFonts w:ascii="VIC-Regular" w:hAnsi="VIC-Regular" w:cs="Times New Roman"/>
            <w:color w:val="011A3C"/>
            <w:sz w:val="24"/>
            <w:szCs w:val="24"/>
            <w:lang w:val="en"/>
          </w:rPr>
          <w:t>eduPay</w:t>
        </w:r>
      </w:hyperlink>
      <w:r w:rsidRPr="006808B4">
        <w:rPr>
          <w:rFonts w:ascii="VIC-Regular" w:eastAsia="Times New Roman" w:hAnsi="VIC-Regular" w:cs="Times New Roman"/>
          <w:color w:val="011A3C"/>
          <w:sz w:val="24"/>
          <w:szCs w:val="24"/>
          <w:lang w:val="en"/>
        </w:rPr>
        <w:t>) and attend an IEP webinar (available via </w:t>
      </w:r>
      <w:hyperlink r:id="rId135" w:tgtFrame="_blank" w:history="1">
        <w:r w:rsidRPr="006808B4">
          <w:rPr>
            <w:rFonts w:ascii="VIC-Regular" w:hAnsi="VIC-Regular" w:cs="Times New Roman"/>
            <w:color w:val="011A3C"/>
            <w:sz w:val="24"/>
            <w:szCs w:val="24"/>
            <w:lang w:val="en"/>
          </w:rPr>
          <w:t>Arc – Individual Education Planning</w:t>
        </w:r>
      </w:hyperlink>
      <w:r w:rsidRPr="006808B4">
        <w:rPr>
          <w:rFonts w:ascii="VIC-Regular" w:eastAsia="Times New Roman" w:hAnsi="VIC-Regular" w:cs="Times New Roman"/>
          <w:color w:val="011A3C"/>
          <w:sz w:val="24"/>
          <w:szCs w:val="24"/>
          <w:lang w:val="en"/>
        </w:rPr>
        <w:t>)</w:t>
      </w:r>
    </w:p>
    <w:p w14:paraId="0D48D468" w14:textId="77777777" w:rsidR="00B421F2" w:rsidRPr="006808B4" w:rsidRDefault="00B421F2" w:rsidP="00B421F2">
      <w:pPr>
        <w:pStyle w:val="xmsonormal"/>
        <w:numPr>
          <w:ilvl w:val="0"/>
          <w:numId w:val="181"/>
        </w:numPr>
        <w:shd w:val="clear" w:color="auto" w:fill="FFFFFF"/>
        <w:spacing w:after="360"/>
        <w:rPr>
          <w:rFonts w:ascii="VIC-Regular" w:eastAsia="Times New Roman" w:hAnsi="VIC-Regular" w:cs="Times New Roman"/>
          <w:color w:val="011A3C"/>
          <w:sz w:val="24"/>
          <w:szCs w:val="24"/>
          <w:lang w:val="en"/>
        </w:rPr>
      </w:pPr>
      <w:r w:rsidRPr="006808B4">
        <w:rPr>
          <w:rFonts w:ascii="VIC-Regular" w:eastAsia="Times New Roman" w:hAnsi="VIC-Regular" w:cs="Times New Roman"/>
          <w:color w:val="011A3C"/>
          <w:sz w:val="24"/>
          <w:szCs w:val="24"/>
          <w:lang w:val="en"/>
        </w:rPr>
        <w:t xml:space="preserve">Schedule an SSG meeting with the student (where appropriate), their parent/carer, teacher and education support staff. The SSG is an opportunity to get to know the student and how they learn. The meeting will assist school staff in understanding the student’s strengths and interests and any challenges or barriers to learning and will assist in developing student-centred approaches. </w:t>
      </w:r>
    </w:p>
    <w:p w14:paraId="3E0940D2" w14:textId="77777777" w:rsidR="00B421F2" w:rsidRPr="006808B4" w:rsidRDefault="00B421F2" w:rsidP="00B421F2">
      <w:pPr>
        <w:pStyle w:val="xmsonormal"/>
        <w:numPr>
          <w:ilvl w:val="0"/>
          <w:numId w:val="181"/>
        </w:numPr>
        <w:shd w:val="clear" w:color="auto" w:fill="FFFFFF"/>
        <w:spacing w:after="360"/>
        <w:rPr>
          <w:rFonts w:ascii="VIC-Regular" w:eastAsia="Times New Roman" w:hAnsi="VIC-Regular" w:cs="Times New Roman"/>
          <w:color w:val="011A3C"/>
          <w:sz w:val="24"/>
          <w:szCs w:val="24"/>
          <w:lang w:val="en"/>
        </w:rPr>
      </w:pPr>
      <w:r w:rsidRPr="006808B4">
        <w:rPr>
          <w:rFonts w:ascii="VIC-Regular" w:eastAsia="Times New Roman" w:hAnsi="VIC-Regular" w:cs="Times New Roman"/>
          <w:color w:val="011A3C"/>
          <w:sz w:val="24"/>
          <w:szCs w:val="24"/>
          <w:lang w:val="en"/>
        </w:rPr>
        <w:t xml:space="preserve">After the IEP has been developed, use the IEP </w:t>
      </w:r>
      <w:hyperlink r:id="rId136" w:history="1">
        <w:r w:rsidRPr="006808B4">
          <w:rPr>
            <w:rStyle w:val="Hyperlink"/>
            <w:rFonts w:ascii="VIC-Regular" w:eastAsia="Times New Roman" w:hAnsi="VIC-Regular" w:cs="Times New Roman"/>
            <w:sz w:val="24"/>
            <w:szCs w:val="24"/>
            <w:lang w:val="en"/>
          </w:rPr>
          <w:t>quality checklist rubric</w:t>
        </w:r>
      </w:hyperlink>
      <w:r w:rsidRPr="006808B4">
        <w:rPr>
          <w:rFonts w:ascii="VIC-Regular" w:eastAsia="Times New Roman" w:hAnsi="VIC-Regular" w:cs="Times New Roman"/>
          <w:color w:val="011A3C"/>
          <w:sz w:val="24"/>
          <w:szCs w:val="24"/>
          <w:lang w:val="en"/>
        </w:rPr>
        <w:t xml:space="preserve"> to check that it includes the essential components. </w:t>
      </w:r>
    </w:p>
    <w:p w14:paraId="63FD0C77" w14:textId="1833552A"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7DD41841" w14:textId="77777777" w:rsidR="00BB6150" w:rsidRPr="004D307F" w:rsidRDefault="00BB6150" w:rsidP="00BB615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Step 2</w:t>
      </w:r>
    </w:p>
    <w:p w14:paraId="4CB36C73" w14:textId="2B0EDFAB"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school completes the </w:t>
      </w:r>
      <w:hyperlink r:id="rId137" w:history="1">
        <w:r w:rsidRPr="004D307F">
          <w:rPr>
            <w:rFonts w:ascii="VIC-Regular" w:eastAsia="Times New Roman" w:hAnsi="VIC-Regular" w:cs="Times New Roman"/>
            <w:color w:val="011A3C"/>
            <w:sz w:val="24"/>
            <w:szCs w:val="24"/>
            <w:lang w:val="en" w:eastAsia="en-AU"/>
          </w:rPr>
          <w:t>online application form</w:t>
        </w:r>
      </w:hyperlink>
      <w:r w:rsidRPr="004D307F">
        <w:rPr>
          <w:rFonts w:ascii="VIC-Regular" w:eastAsia="Times New Roman" w:hAnsi="VIC-Regular" w:cs="Times New Roman"/>
          <w:color w:val="011A3C"/>
          <w:sz w:val="24"/>
          <w:szCs w:val="24"/>
          <w:lang w:val="en" w:eastAsia="en-AU"/>
        </w:rPr>
        <w:t xml:space="preserve"> </w:t>
      </w:r>
      <w:r w:rsidR="0012291B">
        <w:rPr>
          <w:rFonts w:ascii="VIC-Regular" w:eastAsia="Times New Roman" w:hAnsi="VIC-Regular" w:cs="Times New Roman"/>
          <w:color w:val="011A3C"/>
          <w:sz w:val="24"/>
          <w:szCs w:val="24"/>
          <w:lang w:val="en" w:eastAsia="en-AU"/>
        </w:rPr>
        <w:t xml:space="preserve">(staff login required) </w:t>
      </w:r>
      <w:r w:rsidRPr="004D307F">
        <w:rPr>
          <w:rFonts w:ascii="VIC-Regular" w:eastAsia="Times New Roman" w:hAnsi="VIC-Regular" w:cs="Times New Roman"/>
          <w:color w:val="011A3C"/>
          <w:sz w:val="24"/>
          <w:szCs w:val="24"/>
          <w:lang w:val="en" w:eastAsia="en-AU"/>
        </w:rPr>
        <w:t>and attaches the completed IEP.</w:t>
      </w:r>
    </w:p>
    <w:p w14:paraId="1A5454EA" w14:textId="77777777" w:rsidR="00BB6150" w:rsidRPr="004D307F" w:rsidRDefault="00BB6150" w:rsidP="00BB615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Step 3</w:t>
      </w:r>
    </w:p>
    <w:p w14:paraId="304A6662"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application is initially sent to the Performance and Evaluation Division to determine whether the young person was funded during the February census. If a young person was not funded, the application will then go through a series of approvals. If the young person </w:t>
      </w:r>
      <w:r w:rsidRPr="004D307F">
        <w:rPr>
          <w:rFonts w:ascii="VIC-Regular" w:eastAsia="Times New Roman" w:hAnsi="VIC-Regular" w:cs="Times New Roman"/>
          <w:color w:val="011A3C"/>
          <w:sz w:val="24"/>
          <w:szCs w:val="24"/>
          <w:lang w:val="en" w:eastAsia="en-AU"/>
        </w:rPr>
        <w:lastRenderedPageBreak/>
        <w:t>was funded, the principal will be notified immediately, and the application will be deemed ineligible.  </w:t>
      </w:r>
    </w:p>
    <w:p w14:paraId="31467B1E" w14:textId="77777777" w:rsidR="00BB6150" w:rsidRPr="004D307F" w:rsidRDefault="00BB6150" w:rsidP="00BB615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Step 4</w:t>
      </w:r>
    </w:p>
    <w:p w14:paraId="77EE0C9B"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will receive advice via email confirming the application's approval and the direct payment of approved funds to the school which takes place via the SRP update.</w:t>
      </w:r>
    </w:p>
    <w:p w14:paraId="026686EE" w14:textId="77777777" w:rsidR="00BB6150" w:rsidRPr="004D307F" w:rsidRDefault="00BB6150" w:rsidP="00BB615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Links</w:t>
      </w:r>
    </w:p>
    <w:p w14:paraId="32530C3D"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further information on re-engagement programs refer to </w:t>
      </w:r>
      <w:hyperlink r:id="rId138" w:history="1">
        <w:r w:rsidRPr="004D307F">
          <w:rPr>
            <w:rFonts w:ascii="VIC-Regular" w:eastAsia="Times New Roman" w:hAnsi="VIC-Regular" w:cs="Times New Roman"/>
            <w:color w:val="011A3C"/>
            <w:sz w:val="24"/>
            <w:szCs w:val="24"/>
            <w:lang w:val="en" w:eastAsia="en-AU"/>
          </w:rPr>
          <w:t>Re-engagement Programs</w:t>
        </w:r>
      </w:hyperlink>
    </w:p>
    <w:p w14:paraId="37094758"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further information on VET delivered to secondary school students refer to </w:t>
      </w:r>
      <w:hyperlink r:id="rId139" w:history="1">
        <w:r w:rsidRPr="004D307F">
          <w:rPr>
            <w:rFonts w:ascii="VIC-Regular" w:eastAsia="Times New Roman" w:hAnsi="VIC-Regular" w:cs="Times New Roman"/>
            <w:color w:val="011A3C"/>
            <w:sz w:val="24"/>
            <w:szCs w:val="24"/>
            <w:lang w:val="en" w:eastAsia="en-AU"/>
          </w:rPr>
          <w:t>Vocational Education and Training Delivered to Secondary School Students</w:t>
        </w:r>
      </w:hyperlink>
      <w:r w:rsidRPr="004D307F">
        <w:rPr>
          <w:rFonts w:ascii="VIC-Regular" w:eastAsia="Times New Roman" w:hAnsi="VIC-Regular" w:cs="Times New Roman"/>
          <w:color w:val="011A3C"/>
          <w:sz w:val="24"/>
          <w:szCs w:val="24"/>
          <w:lang w:val="en" w:eastAsia="en-AU"/>
        </w:rPr>
        <w:t>.</w:t>
      </w:r>
    </w:p>
    <w:p w14:paraId="7A02DAE0" w14:textId="77777777" w:rsidR="00BB6150" w:rsidRPr="004D307F" w:rsidRDefault="00BB6150" w:rsidP="00BB615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Contacts</w:t>
      </w:r>
    </w:p>
    <w:p w14:paraId="5A93B065"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should contact the Manager of Youth Pathways and Transition in their region to discuss applications and determine time frames to ensure the timely submission of applications.</w:t>
      </w:r>
    </w:p>
    <w:bookmarkEnd w:id="97"/>
    <w:p w14:paraId="6EE2F79E" w14:textId="1662AE18"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If you require further </w:t>
      </w:r>
      <w:r w:rsidR="0042488F" w:rsidRPr="004D307F">
        <w:rPr>
          <w:rFonts w:ascii="VIC-Regular" w:eastAsia="Times New Roman" w:hAnsi="VIC-Regular" w:cs="Times New Roman"/>
          <w:color w:val="011A3C"/>
          <w:sz w:val="24"/>
          <w:szCs w:val="24"/>
          <w:lang w:val="en" w:eastAsia="en-AU"/>
        </w:rPr>
        <w:t>information,</w:t>
      </w:r>
      <w:r w:rsidRPr="004D307F">
        <w:rPr>
          <w:rFonts w:ascii="VIC-Regular" w:eastAsia="Times New Roman" w:hAnsi="VIC-Regular" w:cs="Times New Roman"/>
          <w:color w:val="011A3C"/>
          <w:sz w:val="24"/>
          <w:szCs w:val="24"/>
          <w:lang w:val="en" w:eastAsia="en-AU"/>
        </w:rPr>
        <w:t xml:space="preserve"> please email: </w:t>
      </w:r>
      <w:hyperlink r:id="rId140" w:history="1">
        <w:r w:rsidRPr="004D307F">
          <w:rPr>
            <w:rStyle w:val="Hyperlink"/>
            <w:rFonts w:ascii="VIC-Regular" w:eastAsia="Times New Roman" w:hAnsi="VIC-Regular" w:cs="Times New Roman"/>
            <w:sz w:val="24"/>
            <w:szCs w:val="24"/>
            <w:lang w:val="en" w:eastAsia="en-AU"/>
          </w:rPr>
          <w:t>youth.participation@education.vic.gov.au</w:t>
        </w:r>
      </w:hyperlink>
    </w:p>
    <w:p w14:paraId="14425BF1" w14:textId="77777777" w:rsidR="00BB6150" w:rsidRPr="004D307F" w:rsidRDefault="00BB6150" w:rsidP="00BB6150">
      <w:r w:rsidRPr="004D307F">
        <w:br w:type="page"/>
      </w:r>
    </w:p>
    <w:p w14:paraId="28C3D01E" w14:textId="67DFE104" w:rsidR="00EA34C0" w:rsidRPr="004D307F" w:rsidRDefault="00EA34C0" w:rsidP="00B566E7">
      <w:pPr>
        <w:pStyle w:val="Heading2"/>
      </w:pPr>
      <w:bookmarkStart w:id="100" w:name="_Toc106793791"/>
      <w:r w:rsidRPr="004D307F">
        <w:lastRenderedPageBreak/>
        <w:t>Vocational Education and Training Delivered to Secondary School Students (Reference 56)</w:t>
      </w:r>
      <w:bookmarkEnd w:id="100"/>
    </w:p>
    <w:p w14:paraId="7B13E30A"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Program description</w:t>
      </w:r>
    </w:p>
    <w:p w14:paraId="44F9F629"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Vocational Education and Training (VET) delivered to secondary school students is a key component of the Victorian Government's strategy to support high quality vocational pathways, increase student retention, and improve Year 12 or equivalent completion rates by providing options for all students.</w:t>
      </w:r>
    </w:p>
    <w:p w14:paraId="446562BA"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VET studies can contribute towards the completion of senior secondary certificates, either the Victorian Certificate of Education (VCE) or the Victorian Certificate of Applied Learning (VCAL).</w:t>
      </w:r>
    </w:p>
    <w:p w14:paraId="00895FA0"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core learning allocation in the Student Resource Package (SRP) provided to schools for each student is the primary source of funding for VET programs. Government schools are also provided with targeted VET funding to support the higher cost of provision in this area.</w:t>
      </w:r>
    </w:p>
    <w:p w14:paraId="31263FBD" w14:textId="396093B8"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2018–19 </w:t>
      </w:r>
      <w:r w:rsidR="00B605AD" w:rsidRPr="004D307F">
        <w:rPr>
          <w:rFonts w:ascii="VIC-Regular" w:eastAsia="Times New Roman" w:hAnsi="VIC-Regular" w:cs="Times New Roman"/>
          <w:color w:val="011A3C"/>
          <w:sz w:val="24"/>
          <w:szCs w:val="24"/>
          <w:lang w:val="en" w:eastAsia="en-AU"/>
        </w:rPr>
        <w:t xml:space="preserve">and 2020-21 </w:t>
      </w:r>
      <w:r w:rsidRPr="004D307F">
        <w:rPr>
          <w:rFonts w:ascii="VIC-Regular" w:eastAsia="Times New Roman" w:hAnsi="VIC-Regular" w:cs="Times New Roman"/>
          <w:color w:val="011A3C"/>
          <w:sz w:val="24"/>
          <w:szCs w:val="24"/>
          <w:lang w:val="en" w:eastAsia="en-AU"/>
        </w:rPr>
        <w:t>Budget</w:t>
      </w:r>
      <w:r w:rsidR="00B605AD" w:rsidRPr="004D307F">
        <w:rPr>
          <w:rFonts w:ascii="VIC-Regular" w:eastAsia="Times New Roman" w:hAnsi="VIC-Regular" w:cs="Times New Roman"/>
          <w:color w:val="011A3C"/>
          <w:sz w:val="24"/>
          <w:szCs w:val="24"/>
          <w:lang w:val="en" w:eastAsia="en-AU"/>
        </w:rPr>
        <w:t>s</w:t>
      </w:r>
      <w:r w:rsidRPr="004D307F">
        <w:rPr>
          <w:rFonts w:ascii="VIC-Regular" w:eastAsia="Times New Roman" w:hAnsi="VIC-Regular" w:cs="Times New Roman"/>
          <w:color w:val="011A3C"/>
          <w:sz w:val="24"/>
          <w:szCs w:val="24"/>
          <w:lang w:val="en" w:eastAsia="en-AU"/>
        </w:rPr>
        <w:t xml:space="preserve"> provided more funding to increase the quality and availability of VET programs in government schools. This funding </w:t>
      </w:r>
      <w:r w:rsidR="00B605AD" w:rsidRPr="004D307F">
        <w:rPr>
          <w:rFonts w:ascii="VIC-Regular" w:eastAsia="Times New Roman" w:hAnsi="VIC-Regular" w:cs="Times New Roman"/>
          <w:color w:val="011A3C"/>
          <w:sz w:val="24"/>
          <w:szCs w:val="24"/>
          <w:lang w:val="en" w:eastAsia="en-AU"/>
        </w:rPr>
        <w:t xml:space="preserve">concludes at the end of the 2022 school year, and </w:t>
      </w:r>
      <w:r w:rsidRPr="004D307F">
        <w:rPr>
          <w:rFonts w:ascii="VIC-Regular" w:eastAsia="Times New Roman" w:hAnsi="VIC-Regular" w:cs="Times New Roman"/>
          <w:color w:val="011A3C"/>
          <w:sz w:val="24"/>
          <w:szCs w:val="24"/>
          <w:lang w:val="en" w:eastAsia="en-AU"/>
        </w:rPr>
        <w:t>includes:</w:t>
      </w:r>
    </w:p>
    <w:p w14:paraId="2367FB7F" w14:textId="12025F61" w:rsidR="00EA34C0" w:rsidRPr="004D307F" w:rsidRDefault="00EA34C0" w:rsidP="00ED0863">
      <w:pPr>
        <w:numPr>
          <w:ilvl w:val="0"/>
          <w:numId w:val="5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w:t>
      </w:r>
      <w:r w:rsidR="00B605AD" w:rsidRPr="004D307F">
        <w:rPr>
          <w:rFonts w:ascii="VIC-Regular" w:eastAsia="Times New Roman" w:hAnsi="VIC-Regular" w:cs="Times New Roman"/>
          <w:color w:val="011A3C"/>
          <w:sz w:val="24"/>
          <w:szCs w:val="24"/>
          <w:lang w:val="en" w:eastAsia="en-AU"/>
        </w:rPr>
        <w:t>10.3</w:t>
      </w:r>
      <w:r w:rsidRPr="004D307F">
        <w:rPr>
          <w:rFonts w:ascii="VIC-Regular" w:eastAsia="Times New Roman" w:hAnsi="VIC-Regular" w:cs="Times New Roman"/>
          <w:color w:val="011A3C"/>
          <w:sz w:val="24"/>
          <w:szCs w:val="24"/>
          <w:lang w:val="en" w:eastAsia="en-AU"/>
        </w:rPr>
        <w:t>m in additional targeted VET funding to meet the continued growth in demand for VET programs</w:t>
      </w:r>
    </w:p>
    <w:p w14:paraId="67280134" w14:textId="45842F2D" w:rsidR="00EA34C0" w:rsidRPr="004D307F" w:rsidRDefault="00EA34C0" w:rsidP="00ED0863">
      <w:pPr>
        <w:numPr>
          <w:ilvl w:val="0"/>
          <w:numId w:val="5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w:t>
      </w:r>
      <w:r w:rsidR="00B605AD" w:rsidRPr="004D307F">
        <w:rPr>
          <w:rFonts w:ascii="VIC-Regular" w:eastAsia="Times New Roman" w:hAnsi="VIC-Regular" w:cs="Times New Roman"/>
          <w:color w:val="011A3C"/>
          <w:sz w:val="24"/>
          <w:szCs w:val="24"/>
          <w:lang w:val="en" w:eastAsia="en-AU"/>
        </w:rPr>
        <w:t>16.4</w:t>
      </w:r>
      <w:r w:rsidRPr="004D307F">
        <w:rPr>
          <w:rFonts w:ascii="VIC-Regular" w:eastAsia="Times New Roman" w:hAnsi="VIC-Regular" w:cs="Times New Roman"/>
          <w:color w:val="011A3C"/>
          <w:sz w:val="24"/>
          <w:szCs w:val="24"/>
          <w:lang w:val="en" w:eastAsia="en-AU"/>
        </w:rPr>
        <w:t xml:space="preserve">m for government schools that purchase VET programs on the Skills First course list from the TAFE network. The amount paid by government would be equal to the gap between current total funding (core SRP for VET and targeted VET funding) and the Skills First subsidy and maximum exemption rate. A 10% rural loading will be applied where relevant. TAFE Supplement funds will be paid against a separate budget line in the Term 3 quarterly cash grant through the </w:t>
      </w:r>
      <w:r w:rsidR="00133037" w:rsidRPr="004D307F">
        <w:rPr>
          <w:rFonts w:ascii="VIC-Regular" w:eastAsia="Times New Roman" w:hAnsi="VIC-Regular" w:cs="Times New Roman"/>
          <w:color w:val="011A3C"/>
          <w:sz w:val="24"/>
          <w:szCs w:val="24"/>
          <w:lang w:val="en" w:eastAsia="en-AU"/>
        </w:rPr>
        <w:t xml:space="preserve">SRP </w:t>
      </w:r>
      <w:r w:rsidRPr="004D307F">
        <w:rPr>
          <w:rFonts w:ascii="VIC-Regular" w:eastAsia="Times New Roman" w:hAnsi="VIC-Regular" w:cs="Times New Roman"/>
          <w:color w:val="011A3C"/>
          <w:sz w:val="24"/>
          <w:szCs w:val="24"/>
          <w:lang w:val="en" w:eastAsia="en-AU"/>
        </w:rPr>
        <w:t>once actual eligible VET enrolments are known.</w:t>
      </w:r>
    </w:p>
    <w:p w14:paraId="64FFD729" w14:textId="3637DE8F" w:rsidR="00B605AD" w:rsidRPr="004D307F" w:rsidRDefault="00B605AD" w:rsidP="00C116F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2021-22 Budget has provided ongoing funding from the start of the 2022 school year to reimburse government schools for VET material fees. Government schools will no longer request payments from parents for essential learning materials for VET studies. The funding will ensure that government schools can support VET selection based on a student’s strengths and interests, without the barrier of financial constraints. Schools will be able to make claims for reimbursement for VET material fees via the Schools Targeted Funding Governance Portal.  For further information on the VET material fees policy and how to apply, refer to the Department website at: VET Delivered to Secondary School Students</w:t>
      </w:r>
    </w:p>
    <w:p w14:paraId="04C303B8"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lastRenderedPageBreak/>
        <w:t>Components of VET funding</w:t>
      </w:r>
    </w:p>
    <w:p w14:paraId="48726124" w14:textId="7B12AD5C"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There are </w:t>
      </w:r>
      <w:r w:rsidR="00B605AD" w:rsidRPr="004D307F">
        <w:rPr>
          <w:rFonts w:ascii="VIC-Regular" w:eastAsia="Times New Roman" w:hAnsi="VIC-Regular" w:cs="Times New Roman"/>
          <w:color w:val="011A3C"/>
          <w:sz w:val="24"/>
          <w:szCs w:val="24"/>
          <w:lang w:val="en" w:eastAsia="en-AU"/>
        </w:rPr>
        <w:t>four</w:t>
      </w:r>
      <w:r w:rsidRPr="004D307F">
        <w:rPr>
          <w:rFonts w:ascii="VIC-Regular" w:eastAsia="Times New Roman" w:hAnsi="VIC-Regular" w:cs="Times New Roman"/>
          <w:color w:val="011A3C"/>
          <w:sz w:val="24"/>
          <w:szCs w:val="24"/>
          <w:lang w:val="en" w:eastAsia="en-AU"/>
        </w:rPr>
        <w:t xml:space="preserve"> components of VET funding. The two existing and universally available components of VET funding are the core student learning component of the SRP, and Targeted VET Funding. The third component (TAFE Supplement) is available </w:t>
      </w:r>
      <w:r w:rsidR="00C37A79" w:rsidRPr="004D307F">
        <w:rPr>
          <w:rFonts w:ascii="VIC-Regular" w:eastAsia="Times New Roman" w:hAnsi="VIC-Regular" w:cs="Times New Roman"/>
          <w:color w:val="011A3C"/>
          <w:sz w:val="24"/>
          <w:szCs w:val="24"/>
          <w:lang w:val="en" w:eastAsia="en-AU"/>
        </w:rPr>
        <w:t xml:space="preserve">for four years </w:t>
      </w:r>
      <w:r w:rsidRPr="004D307F">
        <w:rPr>
          <w:rFonts w:ascii="VIC-Regular" w:eastAsia="Times New Roman" w:hAnsi="VIC-Regular" w:cs="Times New Roman"/>
          <w:color w:val="011A3C"/>
          <w:sz w:val="24"/>
          <w:szCs w:val="24"/>
          <w:lang w:val="en" w:eastAsia="en-AU"/>
        </w:rPr>
        <w:t>from 2019 for government schools that purchase VET programs on the Skills First course list from the TAFE network, where there is a gap between current VET funding and the Skills First rate.</w:t>
      </w:r>
      <w:r w:rsidR="00B605AD" w:rsidRPr="004D307F">
        <w:rPr>
          <w:rFonts w:ascii="VIC-Regular" w:eastAsia="Times New Roman" w:hAnsi="VIC-Regular" w:cs="Times New Roman"/>
          <w:color w:val="011A3C"/>
          <w:sz w:val="24"/>
          <w:szCs w:val="24"/>
          <w:lang w:val="en" w:eastAsia="en-AU"/>
        </w:rPr>
        <w:t xml:space="preserve"> The fourth component which is also universally available from 2022 and ongoing is the reimbursement to government schools of VET material fees.</w:t>
      </w:r>
    </w:p>
    <w:p w14:paraId="67057DDD"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 xml:space="preserve">SRP </w:t>
      </w:r>
      <w:r w:rsidRPr="004D307F">
        <w:rPr>
          <w:rFonts w:ascii="VIC-Bold" w:eastAsia="Times New Roman" w:hAnsi="VIC-Bold" w:cs="Times New Roman" w:hint="eastAsia"/>
          <w:b/>
          <w:bCs/>
          <w:color w:val="011A3C"/>
          <w:sz w:val="27"/>
          <w:szCs w:val="27"/>
          <w:lang w:val="en" w:eastAsia="en-AU"/>
        </w:rPr>
        <w:t>— </w:t>
      </w:r>
      <w:r w:rsidRPr="004D307F">
        <w:rPr>
          <w:rFonts w:ascii="VIC-Bold" w:eastAsia="Times New Roman" w:hAnsi="VIC-Bold" w:cs="Times New Roman"/>
          <w:b/>
          <w:bCs/>
          <w:color w:val="011A3C"/>
          <w:sz w:val="27"/>
          <w:szCs w:val="27"/>
          <w:lang w:val="en" w:eastAsia="en-AU"/>
        </w:rPr>
        <w:t>core student learning component</w:t>
      </w:r>
    </w:p>
    <w:p w14:paraId="58BA74AE"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To estimate the program delivery component of core SRP that would help cover the provision of VET programs, costs are separated into three categories: (1) classroom teaching, (2) non-classroom costs, and (3) Computerised Administrative System Environment in Schools (CASES21) recorded expenditure. The costs, as a percentage of all costs at Years 11 and 12, are estimated as follows:</w:t>
      </w:r>
    </w:p>
    <w:p w14:paraId="041B188C" w14:textId="77777777" w:rsidR="00EA34C0" w:rsidRPr="004D307F" w:rsidRDefault="00EA34C0" w:rsidP="00ED0863">
      <w:pPr>
        <w:numPr>
          <w:ilvl w:val="0"/>
          <w:numId w:val="6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classroom teaching: 57%</w:t>
      </w:r>
    </w:p>
    <w:p w14:paraId="1E896477" w14:textId="77777777" w:rsidR="00EA34C0" w:rsidRPr="004D307F" w:rsidRDefault="00EA34C0" w:rsidP="00ED0863">
      <w:pPr>
        <w:numPr>
          <w:ilvl w:val="0"/>
          <w:numId w:val="6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non-classroom costs: 26%</w:t>
      </w:r>
    </w:p>
    <w:p w14:paraId="17DFE626" w14:textId="77777777" w:rsidR="00EA34C0" w:rsidRPr="004D307F" w:rsidRDefault="00EA34C0" w:rsidP="00ED0863">
      <w:pPr>
        <w:numPr>
          <w:ilvl w:val="0"/>
          <w:numId w:val="6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CASES expenditure items: 17%</w:t>
      </w:r>
    </w:p>
    <w:p w14:paraId="038D0D22"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Total of all cost items: 100%</w:t>
      </w:r>
    </w:p>
    <w:p w14:paraId="553D9636"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It is assumed that:</w:t>
      </w:r>
    </w:p>
    <w:p w14:paraId="36B86CAF" w14:textId="77777777" w:rsidR="00EA34C0" w:rsidRPr="004D307F" w:rsidRDefault="00EA34C0" w:rsidP="00ED0863">
      <w:pPr>
        <w:numPr>
          <w:ilvl w:val="0"/>
          <w:numId w:val="6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100% of the classroom teaching duties should be included in the calculation of the core SRP available for program delivery, as they all relate to the direct delivery of courses</w:t>
      </w:r>
    </w:p>
    <w:p w14:paraId="5C2E51F6" w14:textId="77777777" w:rsidR="00EA34C0" w:rsidRPr="004D307F" w:rsidRDefault="00EA34C0" w:rsidP="00ED0863">
      <w:pPr>
        <w:numPr>
          <w:ilvl w:val="0"/>
          <w:numId w:val="6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of the non-classroom costs, only a portion is related directly to course delivery. It was estimated that 50% of these costs were applicable to course delivery, and</w:t>
      </w:r>
    </w:p>
    <w:p w14:paraId="780B22C8" w14:textId="77777777" w:rsidR="00EA34C0" w:rsidRPr="004D307F" w:rsidRDefault="00EA34C0" w:rsidP="00ED0863">
      <w:pPr>
        <w:numPr>
          <w:ilvl w:val="0"/>
          <w:numId w:val="6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it is suggested that approximately 30% of CASES expenditure items are directly related to program delivery and should be included in the calculation of the SRP core delivery</w:t>
      </w:r>
    </w:p>
    <w:p w14:paraId="5E423962"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combination of these elements is used to provide an estimate of the notional proportion of core SRP available for program delivery:</w:t>
      </w:r>
    </w:p>
    <w:p w14:paraId="2DA03FA4" w14:textId="77777777" w:rsidR="00EA34C0" w:rsidRPr="004D307F" w:rsidRDefault="00EA34C0" w:rsidP="00ED0863">
      <w:pPr>
        <w:numPr>
          <w:ilvl w:val="0"/>
          <w:numId w:val="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Classroom teaching (CT)</w:t>
      </w:r>
      <w:r w:rsidRPr="004D307F">
        <w:rPr>
          <w:rFonts w:ascii="VIC-Regular" w:eastAsia="Times New Roman" w:hAnsi="VIC-Regular" w:cs="Times New Roman"/>
          <w:color w:val="011A3C"/>
          <w:sz w:val="24"/>
          <w:szCs w:val="24"/>
          <w:lang w:val="en" w:eastAsia="en-AU"/>
        </w:rPr>
        <w:t xml:space="preserve"> — 100% of 57% = 57% of SRP</w:t>
      </w:r>
    </w:p>
    <w:p w14:paraId="77B644A6" w14:textId="77777777" w:rsidR="00EA34C0" w:rsidRPr="004D307F" w:rsidRDefault="00EA34C0" w:rsidP="00ED0863">
      <w:pPr>
        <w:numPr>
          <w:ilvl w:val="0"/>
          <w:numId w:val="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Non-classroom costs (NCC) </w:t>
      </w:r>
      <w:r w:rsidRPr="004D307F">
        <w:rPr>
          <w:rFonts w:ascii="VIC-Regular" w:eastAsia="Times New Roman" w:hAnsi="VIC-Regular" w:cs="Times New Roman"/>
          <w:color w:val="011A3C"/>
          <w:sz w:val="24"/>
          <w:szCs w:val="24"/>
          <w:lang w:val="en" w:eastAsia="en-AU"/>
        </w:rPr>
        <w:t>— 50% of 26% = 13% of SRP</w:t>
      </w:r>
    </w:p>
    <w:p w14:paraId="26749ED9" w14:textId="77777777" w:rsidR="00EA34C0" w:rsidRPr="004D307F" w:rsidRDefault="00EA34C0" w:rsidP="00ED0863">
      <w:pPr>
        <w:numPr>
          <w:ilvl w:val="0"/>
          <w:numId w:val="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 xml:space="preserve">CASES expenditure items (CAS) </w:t>
      </w:r>
      <w:r w:rsidRPr="004D307F">
        <w:rPr>
          <w:rFonts w:ascii="VIC-Regular" w:eastAsia="Times New Roman" w:hAnsi="VIC-Regular" w:cs="Times New Roman"/>
          <w:color w:val="011A3C"/>
          <w:sz w:val="24"/>
          <w:szCs w:val="24"/>
          <w:lang w:val="en" w:eastAsia="en-AU"/>
        </w:rPr>
        <w:t>— 30% of 17% = 5% of SRP</w:t>
      </w:r>
    </w:p>
    <w:p w14:paraId="62FEBF20"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Therefore, the SRP available for program (including VET) delivery = 57% + 13% + 5% = 75% of core SRP.</w:t>
      </w:r>
    </w:p>
    <w:p w14:paraId="61F715B9" w14:textId="16918C00"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following example applies the proportion calculated above to Indicative 202</w:t>
      </w:r>
      <w:r w:rsidR="00B605AD" w:rsidRPr="004D307F">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xml:space="preserve"> core SRP to identify the amount of SRP that might be available to support funding for each VET certificate as follows:</w:t>
      </w:r>
    </w:p>
    <w:p w14:paraId="5F095803" w14:textId="056A0D6B" w:rsidR="00EA34C0" w:rsidRPr="004D307F" w:rsidRDefault="00EA34C0" w:rsidP="00ED0863">
      <w:pPr>
        <w:numPr>
          <w:ilvl w:val="0"/>
          <w:numId w:val="6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Indicative gross SRP (years 11 and 12) — $</w:t>
      </w:r>
      <w:r w:rsidR="007675F5" w:rsidRPr="00D95475">
        <w:rPr>
          <w:rFonts w:ascii="VIC-Regular" w:eastAsia="Times New Roman" w:hAnsi="VIC-Regular" w:cs="Times New Roman"/>
          <w:color w:val="011A3C"/>
          <w:sz w:val="24"/>
          <w:szCs w:val="24"/>
          <w:lang w:val="en" w:eastAsia="en-AU"/>
        </w:rPr>
        <w:t>9,278</w:t>
      </w:r>
      <w:r w:rsidR="007675F5" w:rsidRPr="00D95475" w:rsidDel="00D95475">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X 91.5% = $</w:t>
      </w:r>
      <w:r w:rsidR="007675F5">
        <w:rPr>
          <w:rFonts w:ascii="VIC-Regular" w:eastAsia="Times New Roman" w:hAnsi="VIC-Regular" w:cs="Times New Roman"/>
          <w:color w:val="011A3C"/>
          <w:sz w:val="24"/>
          <w:szCs w:val="24"/>
          <w:lang w:val="en" w:eastAsia="en-AU"/>
        </w:rPr>
        <w:t>8,489</w:t>
      </w:r>
      <w:r w:rsidRPr="004D307F">
        <w:rPr>
          <w:rFonts w:ascii="VIC-Regular" w:eastAsia="Times New Roman" w:hAnsi="VIC-Regular" w:cs="Times New Roman"/>
          <w:color w:val="011A3C"/>
          <w:sz w:val="24"/>
          <w:szCs w:val="24"/>
          <w:lang w:val="en" w:eastAsia="en-AU"/>
        </w:rPr>
        <w:br/>
        <w:t>Note 1: Only 91.5% of the gross SRP is used as 8.5% will be billed back by the Department from schools for superannuation costs.</w:t>
      </w:r>
    </w:p>
    <w:p w14:paraId="1475D1D1" w14:textId="77C7D4D5" w:rsidR="00EA34C0" w:rsidRPr="004D307F" w:rsidRDefault="00EA34C0" w:rsidP="00ED0863">
      <w:pPr>
        <w:numPr>
          <w:ilvl w:val="0"/>
          <w:numId w:val="6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Indicative Net SRP — $</w:t>
      </w:r>
      <w:r w:rsidR="007675F5" w:rsidRPr="00D95475">
        <w:rPr>
          <w:rFonts w:ascii="VIC-Regular" w:eastAsia="Times New Roman" w:hAnsi="VIC-Regular" w:cs="Times New Roman"/>
          <w:color w:val="011A3C"/>
          <w:sz w:val="24"/>
          <w:szCs w:val="24"/>
          <w:lang w:val="en" w:eastAsia="en-AU"/>
        </w:rPr>
        <w:t>9,278</w:t>
      </w:r>
      <w:r w:rsidRPr="004D307F">
        <w:rPr>
          <w:rFonts w:ascii="VIC-Regular" w:eastAsia="Times New Roman" w:hAnsi="VIC-Regular" w:cs="Times New Roman"/>
          <w:color w:val="011A3C"/>
          <w:sz w:val="24"/>
          <w:szCs w:val="24"/>
          <w:lang w:val="en" w:eastAsia="en-AU"/>
        </w:rPr>
        <w:t>X 91.5% = $</w:t>
      </w:r>
      <w:r w:rsidR="007675F5">
        <w:rPr>
          <w:rFonts w:ascii="VIC-Regular" w:eastAsia="Times New Roman" w:hAnsi="VIC-Regular" w:cs="Times New Roman"/>
          <w:color w:val="011A3C"/>
          <w:sz w:val="24"/>
          <w:szCs w:val="24"/>
          <w:lang w:val="en" w:eastAsia="en-AU"/>
        </w:rPr>
        <w:t xml:space="preserve">8,489 </w:t>
      </w:r>
      <w:r w:rsidRPr="004D307F">
        <w:rPr>
          <w:rFonts w:ascii="VIC-Regular" w:eastAsia="Times New Roman" w:hAnsi="VIC-Regular" w:cs="Times New Roman"/>
          <w:color w:val="011A3C"/>
          <w:sz w:val="24"/>
          <w:szCs w:val="24"/>
          <w:lang w:val="en" w:eastAsia="en-AU"/>
        </w:rPr>
        <w:t>Proportion of SRP for program delivery — $</w:t>
      </w:r>
      <w:r w:rsidR="007675F5">
        <w:rPr>
          <w:rFonts w:ascii="VIC-Regular" w:eastAsia="Times New Roman" w:hAnsi="VIC-Regular" w:cs="Times New Roman"/>
          <w:color w:val="011A3C"/>
          <w:sz w:val="24"/>
          <w:szCs w:val="24"/>
          <w:lang w:val="en" w:eastAsia="en-AU"/>
        </w:rPr>
        <w:t xml:space="preserve">8,489 </w:t>
      </w:r>
      <w:r w:rsidRPr="004D307F">
        <w:rPr>
          <w:rFonts w:ascii="VIC-Regular" w:eastAsia="Times New Roman" w:hAnsi="VIC-Regular" w:cs="Times New Roman"/>
          <w:color w:val="011A3C"/>
          <w:sz w:val="24"/>
          <w:szCs w:val="24"/>
          <w:lang w:val="en" w:eastAsia="en-AU"/>
        </w:rPr>
        <w:t>X 75% = $</w:t>
      </w:r>
      <w:r w:rsidR="007675F5">
        <w:rPr>
          <w:rFonts w:ascii="VIC-Regular" w:eastAsia="Times New Roman" w:hAnsi="VIC-Regular" w:cs="Times New Roman"/>
          <w:color w:val="011A3C"/>
          <w:sz w:val="24"/>
          <w:szCs w:val="24"/>
          <w:lang w:val="en" w:eastAsia="en-AU"/>
        </w:rPr>
        <w:t>6,367</w:t>
      </w:r>
      <w:r w:rsidRPr="004D307F">
        <w:rPr>
          <w:rFonts w:ascii="VIC-Regular" w:eastAsia="Times New Roman" w:hAnsi="VIC-Regular" w:cs="Times New Roman"/>
          <w:color w:val="011A3C"/>
          <w:sz w:val="24"/>
          <w:szCs w:val="24"/>
          <w:lang w:val="en" w:eastAsia="en-AU"/>
        </w:rPr>
        <w:br/>
        <w:t>Note 2: Average number of subject enrolments assumes an annual student program of 900 hours with a Full Time Equivalent (FTE) VET certificate enrolment of 180 hours. That is, 900/180 = 5</w:t>
      </w:r>
    </w:p>
    <w:p w14:paraId="06FF012B" w14:textId="657AD065" w:rsidR="00EA34C0" w:rsidRPr="004D307F" w:rsidRDefault="00EA34C0" w:rsidP="00ED0863">
      <w:pPr>
        <w:numPr>
          <w:ilvl w:val="0"/>
          <w:numId w:val="6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Allocation per subject enrolment — $</w:t>
      </w:r>
      <w:r w:rsidR="007675F5">
        <w:rPr>
          <w:rFonts w:ascii="VIC-Regular" w:eastAsia="Times New Roman" w:hAnsi="VIC-Regular" w:cs="Times New Roman"/>
          <w:color w:val="011A3C"/>
          <w:sz w:val="24"/>
          <w:szCs w:val="24"/>
          <w:lang w:val="en" w:eastAsia="en-AU"/>
        </w:rPr>
        <w:t>6</w:t>
      </w:r>
      <w:r w:rsidR="00C6179E">
        <w:rPr>
          <w:rFonts w:ascii="VIC-Regular" w:eastAsia="Times New Roman" w:hAnsi="VIC-Regular" w:cs="Times New Roman"/>
          <w:color w:val="011A3C"/>
          <w:sz w:val="24"/>
          <w:szCs w:val="24"/>
          <w:lang w:val="en" w:eastAsia="en-AU"/>
        </w:rPr>
        <w:t>,</w:t>
      </w:r>
      <w:r w:rsidR="007675F5">
        <w:rPr>
          <w:rFonts w:ascii="VIC-Regular" w:eastAsia="Times New Roman" w:hAnsi="VIC-Regular" w:cs="Times New Roman"/>
          <w:color w:val="011A3C"/>
          <w:sz w:val="24"/>
          <w:szCs w:val="24"/>
          <w:lang w:val="en" w:eastAsia="en-AU"/>
        </w:rPr>
        <w:t>367</w:t>
      </w:r>
      <w:r w:rsidRPr="004D307F">
        <w:rPr>
          <w:rFonts w:ascii="VIC-Regular" w:eastAsia="Times New Roman" w:hAnsi="VIC-Regular" w:cs="Times New Roman"/>
          <w:color w:val="011A3C"/>
          <w:sz w:val="24"/>
          <w:szCs w:val="24"/>
          <w:lang w:val="en" w:eastAsia="en-AU"/>
        </w:rPr>
        <w:t>/ 5 = $</w:t>
      </w:r>
      <w:r w:rsidR="007675F5">
        <w:rPr>
          <w:rFonts w:ascii="VIC-Regular" w:eastAsia="Times New Roman" w:hAnsi="VIC-Regular" w:cs="Times New Roman"/>
          <w:color w:val="011A3C"/>
          <w:sz w:val="24"/>
          <w:szCs w:val="24"/>
          <w:lang w:val="en" w:eastAsia="en-AU"/>
        </w:rPr>
        <w:t>1</w:t>
      </w:r>
      <w:r w:rsidR="00C6179E">
        <w:rPr>
          <w:rFonts w:ascii="VIC-Regular" w:eastAsia="Times New Roman" w:hAnsi="VIC-Regular" w:cs="Times New Roman"/>
          <w:color w:val="011A3C"/>
          <w:sz w:val="24"/>
          <w:szCs w:val="24"/>
          <w:lang w:val="en" w:eastAsia="en-AU"/>
        </w:rPr>
        <w:t>,</w:t>
      </w:r>
      <w:r w:rsidR="007675F5">
        <w:rPr>
          <w:rFonts w:ascii="VIC-Regular" w:eastAsia="Times New Roman" w:hAnsi="VIC-Regular" w:cs="Times New Roman"/>
          <w:color w:val="011A3C"/>
          <w:sz w:val="24"/>
          <w:szCs w:val="24"/>
          <w:lang w:val="en" w:eastAsia="en-AU"/>
        </w:rPr>
        <w:t>273</w:t>
      </w:r>
    </w:p>
    <w:p w14:paraId="7FDC719C" w14:textId="33998CC2" w:rsidR="00EA34C0" w:rsidRPr="004D307F" w:rsidRDefault="00EA34C0" w:rsidP="00EA34C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color w:val="011A3C"/>
          <w:sz w:val="24"/>
          <w:szCs w:val="24"/>
          <w:lang w:val="en" w:eastAsia="en-AU"/>
        </w:rPr>
        <w:t>Core SRP per full-time equivalent VET certificate enrolment = $</w:t>
      </w:r>
      <w:r w:rsidR="007675F5">
        <w:rPr>
          <w:rFonts w:ascii="VIC-Regular" w:eastAsia="Times New Roman" w:hAnsi="VIC-Regular" w:cs="Times New Roman"/>
          <w:color w:val="011A3C"/>
          <w:sz w:val="24"/>
          <w:szCs w:val="24"/>
          <w:lang w:val="en" w:eastAsia="en-AU"/>
        </w:rPr>
        <w:t>1</w:t>
      </w:r>
      <w:r w:rsidR="00C6179E">
        <w:rPr>
          <w:rFonts w:ascii="VIC-Regular" w:eastAsia="Times New Roman" w:hAnsi="VIC-Regular" w:cs="Times New Roman"/>
          <w:color w:val="011A3C"/>
          <w:sz w:val="24"/>
          <w:szCs w:val="24"/>
          <w:lang w:val="en" w:eastAsia="en-AU"/>
        </w:rPr>
        <w:t>,</w:t>
      </w:r>
      <w:r w:rsidR="007675F5">
        <w:rPr>
          <w:rFonts w:ascii="VIC-Regular" w:eastAsia="Times New Roman" w:hAnsi="VIC-Regular" w:cs="Times New Roman"/>
          <w:color w:val="011A3C"/>
          <w:sz w:val="24"/>
          <w:szCs w:val="24"/>
          <w:lang w:val="en" w:eastAsia="en-AU"/>
        </w:rPr>
        <w:t>273</w:t>
      </w:r>
    </w:p>
    <w:p w14:paraId="46FF6735" w14:textId="24B9AEB1"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If VET is one of 6 subjects undertaken by a student then the notional available SRP would fall to $</w:t>
      </w:r>
      <w:r w:rsidR="006B4B01" w:rsidRPr="004D307F">
        <w:rPr>
          <w:rFonts w:ascii="VIC-Regular" w:eastAsia="Times New Roman" w:hAnsi="VIC-Regular" w:cs="Times New Roman"/>
          <w:color w:val="011A3C"/>
          <w:sz w:val="24"/>
          <w:szCs w:val="24"/>
          <w:lang w:val="en" w:eastAsia="en-AU"/>
        </w:rPr>
        <w:t>1,06</w:t>
      </w:r>
      <w:r w:rsidR="00697467">
        <w:rPr>
          <w:rFonts w:ascii="VIC-Regular" w:eastAsia="Times New Roman" w:hAnsi="VIC-Regular" w:cs="Times New Roman"/>
          <w:color w:val="011A3C"/>
          <w:sz w:val="24"/>
          <w:szCs w:val="24"/>
          <w:lang w:val="en" w:eastAsia="en-AU"/>
        </w:rPr>
        <w:t>1</w:t>
      </w:r>
      <w:r w:rsidRPr="004D307F">
        <w:rPr>
          <w:rFonts w:ascii="VIC-Regular" w:eastAsia="Times New Roman" w:hAnsi="VIC-Regular" w:cs="Times New Roman"/>
          <w:color w:val="011A3C"/>
          <w:sz w:val="24"/>
          <w:szCs w:val="24"/>
          <w:lang w:val="en" w:eastAsia="en-AU"/>
        </w:rPr>
        <w:t xml:space="preserve"> per FTE certificate of enrolment.</w:t>
      </w:r>
    </w:p>
    <w:p w14:paraId="4F2727B5"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If a student is enrolled in more than one VET qualification (which is often the case with a VCAL program) then it is expected that the school should be able to release a proportionally higher amount of core SRP to purchase those certificates.</w:t>
      </w:r>
    </w:p>
    <w:p w14:paraId="2C2B2139"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Targeted VET funding</w:t>
      </w:r>
    </w:p>
    <w:p w14:paraId="0DA652B7" w14:textId="126242C5"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Targeted VET funding is based on an </w:t>
      </w:r>
      <w:r w:rsidR="00127A2D" w:rsidRPr="004D307F">
        <w:rPr>
          <w:rFonts w:ascii="VIC-Regular" w:eastAsia="Times New Roman" w:hAnsi="VIC-Regular" w:cs="Times New Roman"/>
          <w:color w:val="011A3C"/>
          <w:sz w:val="24"/>
          <w:szCs w:val="24"/>
          <w:lang w:val="en" w:eastAsia="en-AU"/>
        </w:rPr>
        <w:t>eight-band</w:t>
      </w:r>
      <w:r w:rsidRPr="004D307F">
        <w:rPr>
          <w:rFonts w:ascii="VIC-Regular" w:eastAsia="Times New Roman" w:hAnsi="VIC-Regular" w:cs="Times New Roman"/>
          <w:color w:val="011A3C"/>
          <w:sz w:val="24"/>
          <w:szCs w:val="24"/>
          <w:lang w:val="en" w:eastAsia="en-AU"/>
        </w:rPr>
        <w:t xml:space="preserve"> model and is allocated pro-rata for enrolments up to 180 hours per VET certificate per year. Targeted VET funding also includes a rural weighting for students enrolled in schools with a location index of 0.2 and above.</w:t>
      </w:r>
    </w:p>
    <w:p w14:paraId="40BFE323" w14:textId="718F5163"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To attract targeted VET funding, schools must enter accurate details of all VET enrolments on the Victorian Assessment Software System (VASS) by the annual funding deadline</w:t>
      </w:r>
      <w:r w:rsidR="00334ADD" w:rsidRPr="004D307F">
        <w:rPr>
          <w:rFonts w:ascii="VIC-Regular" w:eastAsia="Times New Roman" w:hAnsi="VIC-Regular" w:cs="Times New Roman"/>
          <w:color w:val="011A3C"/>
          <w:sz w:val="24"/>
          <w:szCs w:val="24"/>
          <w:lang w:val="en" w:eastAsia="en-AU"/>
        </w:rPr>
        <w:t xml:space="preserve"> which for 202</w:t>
      </w:r>
      <w:r w:rsidR="00B605AD" w:rsidRPr="004D307F">
        <w:rPr>
          <w:rFonts w:ascii="VIC-Regular" w:eastAsia="Times New Roman" w:hAnsi="VIC-Regular" w:cs="Times New Roman"/>
          <w:color w:val="011A3C"/>
          <w:sz w:val="24"/>
          <w:szCs w:val="24"/>
          <w:lang w:val="en" w:eastAsia="en-AU"/>
        </w:rPr>
        <w:t>2</w:t>
      </w:r>
      <w:r w:rsidR="00334ADD" w:rsidRPr="004D307F">
        <w:rPr>
          <w:rFonts w:ascii="VIC-Regular" w:eastAsia="Times New Roman" w:hAnsi="VIC-Regular" w:cs="Times New Roman"/>
          <w:color w:val="011A3C"/>
          <w:sz w:val="24"/>
          <w:szCs w:val="24"/>
          <w:lang w:val="en" w:eastAsia="en-AU"/>
        </w:rPr>
        <w:t xml:space="preserve"> is </w:t>
      </w:r>
      <w:r w:rsidR="00B605AD" w:rsidRPr="004D307F">
        <w:rPr>
          <w:rFonts w:ascii="VIC-Regular" w:eastAsia="Times New Roman" w:hAnsi="VIC-Regular" w:cs="Times New Roman"/>
          <w:color w:val="011A3C"/>
          <w:sz w:val="24"/>
          <w:szCs w:val="24"/>
          <w:lang w:val="en" w:eastAsia="en-AU"/>
        </w:rPr>
        <w:t>9</w:t>
      </w:r>
      <w:r w:rsidR="00334ADD" w:rsidRPr="004D307F">
        <w:rPr>
          <w:rFonts w:ascii="VIC-Regular" w:eastAsia="Times New Roman" w:hAnsi="VIC-Regular" w:cs="Times New Roman"/>
          <w:color w:val="011A3C"/>
          <w:sz w:val="24"/>
          <w:szCs w:val="24"/>
          <w:lang w:val="en" w:eastAsia="en-AU"/>
        </w:rPr>
        <w:t xml:space="preserve"> May</w:t>
      </w:r>
      <w:r w:rsidRPr="004D307F">
        <w:rPr>
          <w:rFonts w:ascii="VIC-Regular" w:eastAsia="Times New Roman" w:hAnsi="VIC-Regular" w:cs="Times New Roman"/>
          <w:color w:val="011A3C"/>
          <w:sz w:val="24"/>
          <w:szCs w:val="24"/>
          <w:lang w:val="en" w:eastAsia="en-AU"/>
        </w:rPr>
        <w:t>.</w:t>
      </w:r>
    </w:p>
    <w:p w14:paraId="1C799972"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Students between 15 to 20 years of age at the annual funding deadline who are enrolled in eligible VET certificates will be eligible for targeted VET funding.</w:t>
      </w:r>
    </w:p>
    <w:p w14:paraId="00007B31" w14:textId="73E76FC8"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Certificate II and Certificate III level qualifications (excluding school-based apprenticeships and traineeships</w:t>
      </w:r>
      <w:r w:rsidR="00B605AD" w:rsidRPr="004D307F">
        <w:t xml:space="preserve"> </w:t>
      </w:r>
      <w:r w:rsidR="00B605AD" w:rsidRPr="004D307F">
        <w:rPr>
          <w:rFonts w:ascii="VIC-Regular" w:eastAsia="Times New Roman" w:hAnsi="VIC-Regular" w:cs="Times New Roman"/>
          <w:color w:val="011A3C"/>
          <w:sz w:val="24"/>
          <w:szCs w:val="24"/>
          <w:lang w:val="en" w:eastAsia="en-AU"/>
        </w:rPr>
        <w:t>and Head Start apprenticeships and traineeships</w:t>
      </w:r>
      <w:r w:rsidRPr="004D307F">
        <w:rPr>
          <w:rFonts w:ascii="VIC-Regular" w:eastAsia="Times New Roman" w:hAnsi="VIC-Regular" w:cs="Times New Roman"/>
          <w:color w:val="011A3C"/>
          <w:sz w:val="24"/>
          <w:szCs w:val="24"/>
          <w:lang w:val="en" w:eastAsia="en-AU"/>
        </w:rPr>
        <w:t>) undertaken as part of a senior secondary certificate (VCE or VCAL) are eligible for targeted VET funding.</w:t>
      </w:r>
    </w:p>
    <w:p w14:paraId="2D82B2EF"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Certificate IV qualifications may be funded, provided the school has first gained approval from the Victorian Curriculum and Assessment Authority (VCAA) to offer the higher level qualification to VCE or VCAL students.</w:t>
      </w:r>
    </w:p>
    <w:p w14:paraId="0A175425" w14:textId="7B36B229"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Further information and an indicative list of VET qualifications eligible for targeted VET funding is available at: </w:t>
      </w:r>
      <w:bookmarkStart w:id="101" w:name="_Hlk78469083"/>
      <w:r w:rsidR="00B605AD" w:rsidRPr="004D307F">
        <w:fldChar w:fldCharType="begin"/>
      </w:r>
      <w:r w:rsidR="00B605AD" w:rsidRPr="004D307F">
        <w:instrText>HYPERLINK "https://www2.education.vic.gov.au/pal/vocational-education-and-training-vet-delivered-secondary-students/resources"</w:instrText>
      </w:r>
      <w:r w:rsidR="00B605AD" w:rsidRPr="004D307F">
        <w:fldChar w:fldCharType="separate"/>
      </w:r>
      <w:r w:rsidR="00B605AD" w:rsidRPr="004D307F">
        <w:rPr>
          <w:rStyle w:val="Hyperlink"/>
        </w:rPr>
        <w:t>VET Delivered to Secondary Students: Resources</w:t>
      </w:r>
      <w:r w:rsidR="00B605AD" w:rsidRPr="004D307F">
        <w:fldChar w:fldCharType="end"/>
      </w:r>
      <w:bookmarkEnd w:id="101"/>
    </w:p>
    <w:p w14:paraId="3C03BE1F"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Targeted VET funding is NOT available for enrolments in:</w:t>
      </w:r>
    </w:p>
    <w:p w14:paraId="76A18B51" w14:textId="77777777" w:rsidR="00EA34C0" w:rsidRPr="004D307F" w:rsidRDefault="00EA34C0" w:rsidP="00ED0863">
      <w:pPr>
        <w:numPr>
          <w:ilvl w:val="0"/>
          <w:numId w:val="6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Certificate I qualifications</w:t>
      </w:r>
    </w:p>
    <w:p w14:paraId="2E6A9D62" w14:textId="77777777" w:rsidR="00EA34C0" w:rsidRPr="004D307F" w:rsidRDefault="00EA34C0" w:rsidP="00ED0863">
      <w:pPr>
        <w:numPr>
          <w:ilvl w:val="0"/>
          <w:numId w:val="6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Certificates in General Education for Adults and generalist programs such as Certificate II in EAL (Employment) and Certificate II in EAL (Access)</w:t>
      </w:r>
    </w:p>
    <w:p w14:paraId="4B24954A" w14:textId="77777777" w:rsidR="00EA34C0" w:rsidRPr="004D307F" w:rsidRDefault="00EA34C0" w:rsidP="00ED0863">
      <w:pPr>
        <w:numPr>
          <w:ilvl w:val="0"/>
          <w:numId w:val="6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Diploma level qualifications. Schools wishing to provide Diplomas may fund this delivery from the core SRP allocation</w:t>
      </w:r>
    </w:p>
    <w:p w14:paraId="558005CF" w14:textId="77777777" w:rsidR="00EA34C0" w:rsidRPr="004D307F" w:rsidRDefault="00EA34C0" w:rsidP="00ED0863">
      <w:pPr>
        <w:numPr>
          <w:ilvl w:val="0"/>
          <w:numId w:val="6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School-based apprenticeships and traineeships, or Head Start apprenticeships and traineeships</w:t>
      </w:r>
    </w:p>
    <w:p w14:paraId="2B6BAC71"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student who is enrolled in a school, either full-time or part-time and also enrolled independently of their school in a VET program at a TAFE or Registered Training Organisation (RTO), is not eligible to have their VET studies subsidised through targeted VET funding.</w:t>
      </w:r>
    </w:p>
    <w:p w14:paraId="5CC34783"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Criteria for determining targeted VET funding</w:t>
      </w:r>
    </w:p>
    <w:p w14:paraId="4A9B4BF9"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Full Time Equivalent (FTE) enrolment in an eligible VET course is defined as a minimum of 180 hours of training per year. This will attract the full per certificate amount. Enrolments of less than 180 hours of training in a year will attract pro-rata funding.</w:t>
      </w:r>
    </w:p>
    <w:p w14:paraId="42BE7210"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Schools should refer to Band 5a and the Rates table below for additional information regarding CUA30915 Certificate III in Music Industry, for which a FTE enrolment is a minimum of 360 hours.</w:t>
      </w:r>
    </w:p>
    <w:p w14:paraId="1F2AAB27"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Funding formula</w:t>
      </w:r>
      <w:r w:rsidRPr="004D307F">
        <w:rPr>
          <w:rFonts w:ascii="VIC-Bold" w:eastAsia="Times New Roman" w:hAnsi="VIC-Bold" w:cs="Times New Roman" w:hint="eastAsia"/>
          <w:b/>
          <w:bCs/>
          <w:color w:val="011A3C"/>
          <w:sz w:val="27"/>
          <w:szCs w:val="27"/>
          <w:lang w:val="en" w:eastAsia="en-AU"/>
        </w:rPr>
        <w:t> </w:t>
      </w:r>
    </w:p>
    <w:p w14:paraId="42F4BAC1"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Allocation to support VET is comprised of:</w:t>
      </w:r>
    </w:p>
    <w:p w14:paraId="41AD51CF"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lastRenderedPageBreak/>
        <w:t xml:space="preserve">Eligible FTE certificate enrolments X Funding Level </w:t>
      </w:r>
      <w:r w:rsidRPr="004D307F">
        <w:rPr>
          <w:rFonts w:ascii="VIC-Regular" w:eastAsia="Times New Roman" w:hAnsi="VIC-Regular" w:cs="Times New Roman"/>
          <w:color w:val="011A3C"/>
          <w:sz w:val="24"/>
          <w:szCs w:val="24"/>
          <w:lang w:val="en" w:eastAsia="en-AU"/>
        </w:rPr>
        <w:t>(for students aged from 15 years to 20 years inclusive at annual VET enrolment deadline on VASS)</w:t>
      </w:r>
    </w:p>
    <w:p w14:paraId="312847EB"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Plus</w:t>
      </w:r>
    </w:p>
    <w:p w14:paraId="3BCFB014" w14:textId="50062533" w:rsidR="00F85311"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FTE X Location Index X Rural Rate</w:t>
      </w:r>
      <w:r w:rsidRPr="004D307F">
        <w:rPr>
          <w:rFonts w:ascii="VIC-Regular" w:eastAsia="Times New Roman" w:hAnsi="VIC-Regular" w:cs="Times New Roman"/>
          <w:color w:val="011A3C"/>
          <w:sz w:val="24"/>
          <w:szCs w:val="24"/>
          <w:lang w:val="en" w:eastAsia="en-AU"/>
        </w:rPr>
        <w:t xml:space="preserve"> (Where Location Index ≥0.2)</w:t>
      </w:r>
    </w:p>
    <w:p w14:paraId="6AF0E2BD"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w:t>
      </w:r>
    </w:p>
    <w:p w14:paraId="36374CCB" w14:textId="2EB6A30A" w:rsidR="00EA34C0" w:rsidRPr="004D307F" w:rsidRDefault="003776F1"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Revised</w:t>
      </w:r>
      <w:r w:rsidRPr="004D307F">
        <w:rPr>
          <w:rFonts w:ascii="VIC-Regular" w:eastAsia="Times New Roman" w:hAnsi="VIC-Regular" w:cs="Times New Roman"/>
          <w:color w:val="011A3C"/>
          <w:sz w:val="24"/>
          <w:szCs w:val="24"/>
          <w:lang w:val="en" w:eastAsia="en-AU"/>
        </w:rPr>
        <w:t xml:space="preserve"> </w:t>
      </w:r>
      <w:r w:rsidR="00EA34C0" w:rsidRPr="004D307F">
        <w:rPr>
          <w:rFonts w:ascii="VIC-Regular" w:eastAsia="Times New Roman" w:hAnsi="VIC-Regular" w:cs="Times New Roman"/>
          <w:color w:val="011A3C"/>
          <w:sz w:val="24"/>
          <w:szCs w:val="24"/>
          <w:lang w:val="en" w:eastAsia="en-AU"/>
        </w:rPr>
        <w:t xml:space="preserve">band rates </w:t>
      </w:r>
      <w:r w:rsidR="00B605AD" w:rsidRPr="004D307F">
        <w:rPr>
          <w:rFonts w:ascii="VIC-Regular" w:eastAsia="Times New Roman" w:hAnsi="VIC-Regular" w:cs="Times New Roman"/>
          <w:color w:val="011A3C"/>
          <w:sz w:val="24"/>
          <w:szCs w:val="24"/>
          <w:lang w:val="en" w:eastAsia="en-AU"/>
        </w:rPr>
        <w:t>have been</w:t>
      </w:r>
      <w:r w:rsidR="00EA34C0" w:rsidRPr="004D307F">
        <w:rPr>
          <w:rFonts w:ascii="VIC-Regular" w:eastAsia="Times New Roman" w:hAnsi="VIC-Regular" w:cs="Times New Roman"/>
          <w:color w:val="011A3C"/>
          <w:sz w:val="24"/>
          <w:szCs w:val="24"/>
          <w:lang w:val="en" w:eastAsia="en-AU"/>
        </w:rPr>
        <w:t xml:space="preserve"> used to determine allocations in Terms 3 and 4</w:t>
      </w:r>
      <w:r>
        <w:rPr>
          <w:rFonts w:ascii="VIC-Regular" w:eastAsia="Times New Roman" w:hAnsi="VIC-Regular" w:cs="Times New Roman"/>
          <w:color w:val="011A3C"/>
          <w:sz w:val="24"/>
          <w:szCs w:val="24"/>
          <w:lang w:val="en" w:eastAsia="en-AU"/>
        </w:rPr>
        <w:t xml:space="preserve"> of 2022</w:t>
      </w:r>
      <w:r w:rsidR="00EA34C0" w:rsidRPr="004D307F">
        <w:rPr>
          <w:rFonts w:ascii="VIC-Regular" w:eastAsia="Times New Roman" w:hAnsi="VIC-Regular" w:cs="Times New Roman"/>
          <w:color w:val="011A3C"/>
          <w:sz w:val="24"/>
          <w:szCs w:val="24"/>
          <w:lang w:val="en" w:eastAsia="en-AU"/>
        </w:rPr>
        <w:t xml:space="preserve"> as per confirmed enrolments on VASS.</w:t>
      </w:r>
    </w:p>
    <w:p w14:paraId="38423BB9" w14:textId="5FFA063E" w:rsidR="00F173EC" w:rsidRPr="004D307F" w:rsidRDefault="00F173EC"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7"/>
        <w:gridCol w:w="2088"/>
        <w:gridCol w:w="2015"/>
        <w:gridCol w:w="2333"/>
      </w:tblGrid>
      <w:tr w:rsidR="00F173EC" w:rsidRPr="004D307F" w14:paraId="7ECB00C0" w14:textId="77777777" w:rsidTr="00992D99">
        <w:trPr>
          <w:trHeight w:val="834"/>
          <w:tblHeader/>
        </w:trPr>
        <w:tc>
          <w:tcPr>
            <w:tcW w:w="1477" w:type="pct"/>
            <w:tcBorders>
              <w:top w:val="single" w:sz="4" w:space="0" w:color="auto"/>
              <w:left w:val="single" w:sz="4" w:space="0" w:color="auto"/>
              <w:bottom w:val="single" w:sz="4" w:space="0" w:color="auto"/>
              <w:right w:val="single" w:sz="4" w:space="0" w:color="auto"/>
            </w:tcBorders>
          </w:tcPr>
          <w:p w14:paraId="28B5FA63" w14:textId="77777777" w:rsidR="00F173EC" w:rsidRPr="004D307F"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VET Band Funding Level and Weighting Level (WL)</w:t>
            </w:r>
          </w:p>
        </w:tc>
        <w:tc>
          <w:tcPr>
            <w:tcW w:w="1143" w:type="pct"/>
            <w:tcBorders>
              <w:top w:val="single" w:sz="4" w:space="0" w:color="auto"/>
              <w:left w:val="single" w:sz="4" w:space="0" w:color="auto"/>
              <w:bottom w:val="single" w:sz="4" w:space="0" w:color="auto"/>
              <w:right w:val="single" w:sz="4" w:space="0" w:color="auto"/>
            </w:tcBorders>
          </w:tcPr>
          <w:p w14:paraId="68537A75" w14:textId="721FA4BD" w:rsidR="00F173EC" w:rsidRPr="004D307F"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Targeted Funding (</w:t>
            </w:r>
            <w:r w:rsidR="00951A5D">
              <w:rPr>
                <w:rFonts w:ascii="VIC-Bold" w:eastAsia="Times New Roman" w:hAnsi="VIC-Bold" w:cs="Times New Roman"/>
                <w:color w:val="323E4F" w:themeColor="text2" w:themeShade="BF"/>
                <w:sz w:val="24"/>
                <w:szCs w:val="24"/>
                <w:lang w:eastAsia="en-AU"/>
              </w:rPr>
              <w:t>Revised</w:t>
            </w:r>
            <w:r w:rsidRPr="004D307F">
              <w:rPr>
                <w:rFonts w:ascii="VIC-Bold" w:eastAsia="Times New Roman" w:hAnsi="VIC-Bold" w:cs="Times New Roman"/>
                <w:color w:val="323E4F" w:themeColor="text2" w:themeShade="BF"/>
                <w:sz w:val="24"/>
                <w:szCs w:val="24"/>
                <w:lang w:eastAsia="en-AU"/>
              </w:rPr>
              <w:t>)</w:t>
            </w:r>
          </w:p>
        </w:tc>
        <w:tc>
          <w:tcPr>
            <w:tcW w:w="1103" w:type="pct"/>
            <w:tcBorders>
              <w:top w:val="single" w:sz="4" w:space="0" w:color="auto"/>
              <w:left w:val="single" w:sz="4" w:space="0" w:color="auto"/>
              <w:bottom w:val="single" w:sz="4" w:space="0" w:color="auto"/>
              <w:right w:val="single" w:sz="4" w:space="0" w:color="auto"/>
            </w:tcBorders>
          </w:tcPr>
          <w:p w14:paraId="658DDA2E" w14:textId="77777777" w:rsidR="00F173EC" w:rsidRPr="004D307F"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SRP (VET is 1 of 5 subjects)</w:t>
            </w:r>
          </w:p>
        </w:tc>
        <w:tc>
          <w:tcPr>
            <w:tcW w:w="1277" w:type="pct"/>
            <w:tcBorders>
              <w:top w:val="single" w:sz="4" w:space="0" w:color="auto"/>
              <w:left w:val="single" w:sz="4" w:space="0" w:color="auto"/>
              <w:bottom w:val="single" w:sz="4" w:space="0" w:color="auto"/>
              <w:right w:val="single" w:sz="4" w:space="0" w:color="auto"/>
            </w:tcBorders>
          </w:tcPr>
          <w:p w14:paraId="0DF80456" w14:textId="77777777" w:rsidR="00F173EC" w:rsidRPr="004D307F"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Funds provided for VET Programs (without Rural Rate or TAFE Supplement)</w:t>
            </w:r>
          </w:p>
        </w:tc>
      </w:tr>
      <w:tr w:rsidR="00F173EC" w:rsidRPr="004D307F" w14:paraId="426F8EFF" w14:textId="77777777" w:rsidTr="00992D99">
        <w:trPr>
          <w:trHeight w:val="297"/>
          <w:tblHeader/>
        </w:trPr>
        <w:tc>
          <w:tcPr>
            <w:tcW w:w="1477" w:type="pct"/>
            <w:tcBorders>
              <w:top w:val="single" w:sz="4" w:space="0" w:color="auto"/>
              <w:left w:val="single" w:sz="4" w:space="0" w:color="auto"/>
              <w:bottom w:val="single" w:sz="4" w:space="0" w:color="auto"/>
              <w:right w:val="single" w:sz="4" w:space="0" w:color="auto"/>
            </w:tcBorders>
          </w:tcPr>
          <w:p w14:paraId="4CE8B7B7" w14:textId="77777777" w:rsidR="00F173EC" w:rsidRPr="004D307F"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Band Level 1 (WL 3.347)</w:t>
            </w:r>
          </w:p>
        </w:tc>
        <w:tc>
          <w:tcPr>
            <w:tcW w:w="1143" w:type="pct"/>
            <w:tcBorders>
              <w:top w:val="single" w:sz="4" w:space="0" w:color="auto"/>
              <w:left w:val="single" w:sz="4" w:space="0" w:color="auto"/>
              <w:bottom w:val="single" w:sz="4" w:space="0" w:color="auto"/>
              <w:right w:val="single" w:sz="4" w:space="0" w:color="auto"/>
            </w:tcBorders>
          </w:tcPr>
          <w:p w14:paraId="16DCCBF6" w14:textId="42FFD375" w:rsidR="00F173EC" w:rsidRPr="004D307F" w:rsidRDefault="00951A5D" w:rsidP="00F173EC">
            <w:pPr>
              <w:spacing w:after="0" w:line="240" w:lineRule="atLeast"/>
              <w:jc w:val="center"/>
              <w:rPr>
                <w:rFonts w:ascii="VIC" w:eastAsia="Times New Roman" w:hAnsi="VIC" w:cs="Times New Roman"/>
                <w:color w:val="323E4F" w:themeColor="text2" w:themeShade="BF"/>
                <w:sz w:val="24"/>
                <w:szCs w:val="24"/>
                <w:lang w:eastAsia="en-AU"/>
              </w:rPr>
            </w:pPr>
            <w:r>
              <w:rPr>
                <w:rFonts w:ascii="VIC" w:eastAsia="Times New Roman" w:hAnsi="VIC" w:cs="Times New Roman"/>
                <w:color w:val="323E4F" w:themeColor="text2" w:themeShade="BF"/>
                <w:sz w:val="24"/>
                <w:szCs w:val="24"/>
                <w:lang w:eastAsia="en-AU"/>
              </w:rPr>
              <w:t>$1,182.03</w:t>
            </w:r>
          </w:p>
        </w:tc>
        <w:tc>
          <w:tcPr>
            <w:tcW w:w="1103" w:type="pct"/>
            <w:tcBorders>
              <w:top w:val="single" w:sz="4" w:space="0" w:color="auto"/>
              <w:left w:val="single" w:sz="4" w:space="0" w:color="auto"/>
              <w:bottom w:val="single" w:sz="4" w:space="0" w:color="auto"/>
              <w:right w:val="single" w:sz="4" w:space="0" w:color="auto"/>
            </w:tcBorders>
          </w:tcPr>
          <w:p w14:paraId="54F3F2A0" w14:textId="77777777" w:rsidR="003F28D3" w:rsidRPr="003F28D3"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3F28D3">
              <w:rPr>
                <w:rFonts w:ascii="VIC" w:eastAsia="Times New Roman" w:hAnsi="VIC" w:cs="Times New Roman"/>
                <w:color w:val="323E4F" w:themeColor="text2" w:themeShade="BF"/>
                <w:sz w:val="24"/>
                <w:szCs w:val="24"/>
                <w:lang w:eastAsia="en-AU"/>
              </w:rPr>
              <w:t>$1,273.00</w:t>
            </w:r>
          </w:p>
          <w:p w14:paraId="2F896619" w14:textId="6B5FFF73"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p>
        </w:tc>
        <w:tc>
          <w:tcPr>
            <w:tcW w:w="1277" w:type="pct"/>
            <w:tcBorders>
              <w:top w:val="single" w:sz="4" w:space="0" w:color="auto"/>
              <w:left w:val="single" w:sz="4" w:space="0" w:color="auto"/>
              <w:bottom w:val="single" w:sz="4" w:space="0" w:color="auto"/>
              <w:right w:val="single" w:sz="4" w:space="0" w:color="auto"/>
            </w:tcBorders>
          </w:tcPr>
          <w:p w14:paraId="451E9CBB" w14:textId="5CD7D7B6" w:rsidR="00F173EC" w:rsidRPr="004D307F" w:rsidRDefault="003F28D3" w:rsidP="00F173EC">
            <w:pPr>
              <w:spacing w:after="0" w:line="240" w:lineRule="atLeast"/>
              <w:jc w:val="center"/>
              <w:rPr>
                <w:rFonts w:ascii="VIC" w:eastAsia="Times New Roman" w:hAnsi="VIC" w:cs="Times New Roman"/>
                <w:color w:val="323E4F" w:themeColor="text2" w:themeShade="BF"/>
                <w:sz w:val="24"/>
                <w:szCs w:val="24"/>
                <w:lang w:eastAsia="en-AU"/>
              </w:rPr>
            </w:pPr>
            <w:r w:rsidRPr="003F28D3">
              <w:rPr>
                <w:rFonts w:ascii="VIC" w:eastAsia="Times New Roman" w:hAnsi="VIC" w:cs="Times New Roman"/>
                <w:color w:val="323E4F" w:themeColor="text2" w:themeShade="BF"/>
                <w:sz w:val="24"/>
                <w:szCs w:val="24"/>
                <w:lang w:eastAsia="en-AU"/>
              </w:rPr>
              <w:t>$2,455.03</w:t>
            </w:r>
          </w:p>
        </w:tc>
      </w:tr>
      <w:tr w:rsidR="003F28D3" w:rsidRPr="004D307F" w14:paraId="39070049" w14:textId="77777777" w:rsidTr="00992D99">
        <w:trPr>
          <w:trHeight w:val="306"/>
          <w:tblHeader/>
        </w:trPr>
        <w:tc>
          <w:tcPr>
            <w:tcW w:w="1477" w:type="pct"/>
            <w:tcBorders>
              <w:top w:val="single" w:sz="4" w:space="0" w:color="auto"/>
              <w:left w:val="single" w:sz="4" w:space="0" w:color="auto"/>
              <w:bottom w:val="single" w:sz="4" w:space="0" w:color="auto"/>
              <w:right w:val="single" w:sz="4" w:space="0" w:color="auto"/>
            </w:tcBorders>
          </w:tcPr>
          <w:p w14:paraId="4CCD970A" w14:textId="77777777" w:rsidR="003F28D3" w:rsidRPr="004D307F" w:rsidRDefault="003F28D3" w:rsidP="003F28D3">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Band Level 2 (WL 2.988)</w:t>
            </w:r>
          </w:p>
        </w:tc>
        <w:tc>
          <w:tcPr>
            <w:tcW w:w="1143" w:type="pct"/>
            <w:tcBorders>
              <w:top w:val="single" w:sz="4" w:space="0" w:color="auto"/>
              <w:left w:val="single" w:sz="4" w:space="0" w:color="auto"/>
              <w:bottom w:val="single" w:sz="4" w:space="0" w:color="auto"/>
              <w:right w:val="single" w:sz="4" w:space="0" w:color="auto"/>
            </w:tcBorders>
          </w:tcPr>
          <w:p w14:paraId="062842A3" w14:textId="5F7B418C"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Pr>
                <w:rFonts w:ascii="VIC" w:eastAsia="Times New Roman" w:hAnsi="VIC" w:cs="Times New Roman"/>
                <w:color w:val="323E4F" w:themeColor="text2" w:themeShade="BF"/>
                <w:sz w:val="24"/>
                <w:szCs w:val="24"/>
                <w:lang w:eastAsia="en-AU"/>
              </w:rPr>
              <w:t>$</w:t>
            </w:r>
            <w:r w:rsidRPr="00951A5D">
              <w:rPr>
                <w:rFonts w:ascii="VIC" w:eastAsia="Times New Roman" w:hAnsi="VIC" w:cs="Times New Roman"/>
                <w:color w:val="323E4F" w:themeColor="text2" w:themeShade="BF"/>
                <w:sz w:val="24"/>
                <w:szCs w:val="24"/>
                <w:lang w:eastAsia="en-AU"/>
              </w:rPr>
              <w:t>1</w:t>
            </w:r>
            <w:r>
              <w:rPr>
                <w:rFonts w:ascii="VIC" w:eastAsia="Times New Roman" w:hAnsi="VIC" w:cs="Times New Roman"/>
                <w:color w:val="323E4F" w:themeColor="text2" w:themeShade="BF"/>
                <w:sz w:val="24"/>
                <w:szCs w:val="24"/>
                <w:lang w:eastAsia="en-AU"/>
              </w:rPr>
              <w:t>,</w:t>
            </w:r>
            <w:r w:rsidRPr="00951A5D">
              <w:rPr>
                <w:rFonts w:ascii="VIC" w:eastAsia="Times New Roman" w:hAnsi="VIC" w:cs="Times New Roman"/>
                <w:color w:val="323E4F" w:themeColor="text2" w:themeShade="BF"/>
                <w:sz w:val="24"/>
                <w:szCs w:val="24"/>
                <w:lang w:eastAsia="en-AU"/>
              </w:rPr>
              <w:t>055.24</w:t>
            </w:r>
            <w:r w:rsidRPr="004D307F">
              <w:rPr>
                <w:rFonts w:ascii="VIC" w:eastAsia="Times New Roman" w:hAnsi="VIC" w:cs="Times New Roman"/>
                <w:color w:val="323E4F" w:themeColor="text2" w:themeShade="BF"/>
                <w:sz w:val="24"/>
                <w:szCs w:val="24"/>
                <w:lang w:eastAsia="en-AU"/>
              </w:rPr>
              <w:t xml:space="preserve"> </w:t>
            </w:r>
          </w:p>
        </w:tc>
        <w:tc>
          <w:tcPr>
            <w:tcW w:w="1103" w:type="pct"/>
            <w:tcBorders>
              <w:top w:val="single" w:sz="4" w:space="0" w:color="auto"/>
              <w:left w:val="single" w:sz="4" w:space="0" w:color="auto"/>
              <w:bottom w:val="single" w:sz="4" w:space="0" w:color="auto"/>
              <w:right w:val="single" w:sz="4" w:space="0" w:color="auto"/>
            </w:tcBorders>
          </w:tcPr>
          <w:p w14:paraId="51911F2F" w14:textId="168E8F4C"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AB5A7E">
              <w:rPr>
                <w:rFonts w:ascii="VIC" w:eastAsia="Times New Roman" w:hAnsi="VIC" w:cs="Times New Roman"/>
                <w:color w:val="323E4F" w:themeColor="text2" w:themeShade="BF"/>
                <w:sz w:val="24"/>
                <w:szCs w:val="24"/>
                <w:lang w:eastAsia="en-AU"/>
              </w:rPr>
              <w:t>$1,273.00</w:t>
            </w:r>
          </w:p>
        </w:tc>
        <w:tc>
          <w:tcPr>
            <w:tcW w:w="1277" w:type="pct"/>
            <w:tcBorders>
              <w:top w:val="single" w:sz="4" w:space="0" w:color="auto"/>
              <w:left w:val="single" w:sz="4" w:space="0" w:color="auto"/>
              <w:bottom w:val="single" w:sz="4" w:space="0" w:color="auto"/>
              <w:right w:val="single" w:sz="4" w:space="0" w:color="auto"/>
            </w:tcBorders>
          </w:tcPr>
          <w:p w14:paraId="47664237" w14:textId="761C1E9D"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3F28D3">
              <w:rPr>
                <w:rFonts w:ascii="VIC" w:eastAsia="Times New Roman" w:hAnsi="VIC" w:cs="Times New Roman"/>
                <w:color w:val="323E4F" w:themeColor="text2" w:themeShade="BF"/>
                <w:sz w:val="24"/>
                <w:szCs w:val="24"/>
                <w:lang w:eastAsia="en-AU"/>
              </w:rPr>
              <w:t>$2,328.24</w:t>
            </w:r>
          </w:p>
        </w:tc>
      </w:tr>
      <w:tr w:rsidR="003F28D3" w:rsidRPr="004D307F" w14:paraId="1B464421" w14:textId="77777777" w:rsidTr="00992D99">
        <w:trPr>
          <w:trHeight w:val="297"/>
          <w:tblHeader/>
        </w:trPr>
        <w:tc>
          <w:tcPr>
            <w:tcW w:w="1477" w:type="pct"/>
            <w:tcBorders>
              <w:top w:val="single" w:sz="4" w:space="0" w:color="auto"/>
              <w:left w:val="single" w:sz="4" w:space="0" w:color="auto"/>
              <w:bottom w:val="single" w:sz="4" w:space="0" w:color="auto"/>
              <w:right w:val="single" w:sz="4" w:space="0" w:color="auto"/>
            </w:tcBorders>
          </w:tcPr>
          <w:p w14:paraId="5CA2D539" w14:textId="77777777" w:rsidR="003F28D3" w:rsidRPr="004D307F" w:rsidRDefault="003F28D3" w:rsidP="003F28D3">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Band Level 3 (WL 2.721)</w:t>
            </w:r>
          </w:p>
        </w:tc>
        <w:tc>
          <w:tcPr>
            <w:tcW w:w="1143" w:type="pct"/>
            <w:tcBorders>
              <w:top w:val="single" w:sz="4" w:space="0" w:color="auto"/>
              <w:left w:val="single" w:sz="4" w:space="0" w:color="auto"/>
              <w:bottom w:val="single" w:sz="4" w:space="0" w:color="auto"/>
              <w:right w:val="single" w:sz="4" w:space="0" w:color="auto"/>
            </w:tcBorders>
          </w:tcPr>
          <w:p w14:paraId="6DDACA57" w14:textId="2FCF5C3B"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951A5D">
              <w:rPr>
                <w:rFonts w:ascii="VIC" w:eastAsia="Times New Roman" w:hAnsi="VIC" w:cs="Times New Roman"/>
                <w:color w:val="323E4F" w:themeColor="text2" w:themeShade="BF"/>
                <w:sz w:val="24"/>
                <w:szCs w:val="24"/>
                <w:lang w:eastAsia="en-AU"/>
              </w:rPr>
              <w:t>$960.95</w:t>
            </w:r>
          </w:p>
        </w:tc>
        <w:tc>
          <w:tcPr>
            <w:tcW w:w="1103" w:type="pct"/>
            <w:tcBorders>
              <w:top w:val="single" w:sz="4" w:space="0" w:color="auto"/>
              <w:left w:val="single" w:sz="4" w:space="0" w:color="auto"/>
              <w:bottom w:val="single" w:sz="4" w:space="0" w:color="auto"/>
              <w:right w:val="single" w:sz="4" w:space="0" w:color="auto"/>
            </w:tcBorders>
          </w:tcPr>
          <w:p w14:paraId="7D915540" w14:textId="41120C30"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AB5A7E">
              <w:rPr>
                <w:rFonts w:ascii="VIC" w:eastAsia="Times New Roman" w:hAnsi="VIC" w:cs="Times New Roman"/>
                <w:color w:val="323E4F" w:themeColor="text2" w:themeShade="BF"/>
                <w:sz w:val="24"/>
                <w:szCs w:val="24"/>
                <w:lang w:eastAsia="en-AU"/>
              </w:rPr>
              <w:t>$1,273.00</w:t>
            </w:r>
          </w:p>
        </w:tc>
        <w:tc>
          <w:tcPr>
            <w:tcW w:w="1277" w:type="pct"/>
            <w:tcBorders>
              <w:top w:val="single" w:sz="4" w:space="0" w:color="auto"/>
              <w:left w:val="single" w:sz="4" w:space="0" w:color="auto"/>
              <w:bottom w:val="single" w:sz="4" w:space="0" w:color="auto"/>
              <w:right w:val="single" w:sz="4" w:space="0" w:color="auto"/>
            </w:tcBorders>
          </w:tcPr>
          <w:p w14:paraId="4B807CF3" w14:textId="6C6A7596"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3F28D3">
              <w:rPr>
                <w:rFonts w:ascii="VIC" w:eastAsia="Times New Roman" w:hAnsi="VIC" w:cs="Times New Roman"/>
                <w:color w:val="323E4F" w:themeColor="text2" w:themeShade="BF"/>
                <w:sz w:val="24"/>
                <w:szCs w:val="24"/>
                <w:lang w:eastAsia="en-AU"/>
              </w:rPr>
              <w:t>$2,233.95</w:t>
            </w:r>
            <w:r w:rsidRPr="004D307F">
              <w:rPr>
                <w:rFonts w:ascii="VIC" w:eastAsia="Times New Roman" w:hAnsi="VIC" w:cs="Times New Roman"/>
                <w:color w:val="323E4F" w:themeColor="text2" w:themeShade="BF"/>
                <w:sz w:val="24"/>
                <w:szCs w:val="24"/>
                <w:lang w:eastAsia="en-AU"/>
              </w:rPr>
              <w:t xml:space="preserve"> </w:t>
            </w:r>
          </w:p>
        </w:tc>
      </w:tr>
      <w:tr w:rsidR="003F28D3" w:rsidRPr="004D307F" w14:paraId="010AC1A4" w14:textId="77777777" w:rsidTr="00992D99">
        <w:trPr>
          <w:trHeight w:val="297"/>
          <w:tblHeader/>
        </w:trPr>
        <w:tc>
          <w:tcPr>
            <w:tcW w:w="1477" w:type="pct"/>
            <w:tcBorders>
              <w:top w:val="single" w:sz="4" w:space="0" w:color="auto"/>
              <w:left w:val="single" w:sz="4" w:space="0" w:color="auto"/>
              <w:bottom w:val="single" w:sz="4" w:space="0" w:color="auto"/>
              <w:right w:val="single" w:sz="4" w:space="0" w:color="auto"/>
            </w:tcBorders>
          </w:tcPr>
          <w:p w14:paraId="71B07542" w14:textId="77777777" w:rsidR="003F28D3" w:rsidRPr="004D307F" w:rsidRDefault="003F28D3" w:rsidP="003F28D3">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Band Level 4 (WL 2.569)</w:t>
            </w:r>
          </w:p>
        </w:tc>
        <w:tc>
          <w:tcPr>
            <w:tcW w:w="1143" w:type="pct"/>
            <w:tcBorders>
              <w:top w:val="single" w:sz="4" w:space="0" w:color="auto"/>
              <w:left w:val="single" w:sz="4" w:space="0" w:color="auto"/>
              <w:bottom w:val="single" w:sz="4" w:space="0" w:color="auto"/>
              <w:right w:val="single" w:sz="4" w:space="0" w:color="auto"/>
            </w:tcBorders>
          </w:tcPr>
          <w:p w14:paraId="198F6BED" w14:textId="4B2DE7C3"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 </w:t>
            </w:r>
            <w:r w:rsidRPr="00951A5D">
              <w:rPr>
                <w:rFonts w:ascii="VIC" w:eastAsia="Times New Roman" w:hAnsi="VIC" w:cs="Times New Roman"/>
                <w:color w:val="323E4F" w:themeColor="text2" w:themeShade="BF"/>
                <w:sz w:val="24"/>
                <w:szCs w:val="24"/>
                <w:lang w:eastAsia="en-AU"/>
              </w:rPr>
              <w:t>$907.27</w:t>
            </w:r>
          </w:p>
        </w:tc>
        <w:tc>
          <w:tcPr>
            <w:tcW w:w="1103" w:type="pct"/>
            <w:tcBorders>
              <w:top w:val="single" w:sz="4" w:space="0" w:color="auto"/>
              <w:left w:val="single" w:sz="4" w:space="0" w:color="auto"/>
              <w:bottom w:val="single" w:sz="4" w:space="0" w:color="auto"/>
              <w:right w:val="single" w:sz="4" w:space="0" w:color="auto"/>
            </w:tcBorders>
          </w:tcPr>
          <w:p w14:paraId="2E2C1BD2" w14:textId="3B210FD0"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AB5A7E">
              <w:rPr>
                <w:rFonts w:ascii="VIC" w:eastAsia="Times New Roman" w:hAnsi="VIC" w:cs="Times New Roman"/>
                <w:color w:val="323E4F" w:themeColor="text2" w:themeShade="BF"/>
                <w:sz w:val="24"/>
                <w:szCs w:val="24"/>
                <w:lang w:eastAsia="en-AU"/>
              </w:rPr>
              <w:t>$1,273.00</w:t>
            </w:r>
          </w:p>
        </w:tc>
        <w:tc>
          <w:tcPr>
            <w:tcW w:w="1277" w:type="pct"/>
            <w:tcBorders>
              <w:top w:val="single" w:sz="4" w:space="0" w:color="auto"/>
              <w:left w:val="single" w:sz="4" w:space="0" w:color="auto"/>
              <w:bottom w:val="single" w:sz="4" w:space="0" w:color="auto"/>
              <w:right w:val="single" w:sz="4" w:space="0" w:color="auto"/>
            </w:tcBorders>
          </w:tcPr>
          <w:p w14:paraId="6D340E05" w14:textId="7E686E95"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3F28D3">
              <w:rPr>
                <w:rFonts w:ascii="VIC" w:eastAsia="Times New Roman" w:hAnsi="VIC" w:cs="Times New Roman"/>
                <w:color w:val="323E4F" w:themeColor="text2" w:themeShade="BF"/>
                <w:sz w:val="24"/>
                <w:szCs w:val="24"/>
                <w:lang w:eastAsia="en-AU"/>
              </w:rPr>
              <w:t>$2,180.27</w:t>
            </w:r>
          </w:p>
        </w:tc>
      </w:tr>
      <w:tr w:rsidR="003F28D3" w:rsidRPr="004D307F" w14:paraId="3F29729A" w14:textId="77777777" w:rsidTr="00992D99">
        <w:trPr>
          <w:trHeight w:val="306"/>
          <w:tblHeader/>
        </w:trPr>
        <w:tc>
          <w:tcPr>
            <w:tcW w:w="1477" w:type="pct"/>
            <w:tcBorders>
              <w:top w:val="single" w:sz="4" w:space="0" w:color="auto"/>
              <w:left w:val="single" w:sz="4" w:space="0" w:color="auto"/>
              <w:bottom w:val="single" w:sz="4" w:space="0" w:color="auto"/>
              <w:right w:val="single" w:sz="4" w:space="0" w:color="auto"/>
            </w:tcBorders>
          </w:tcPr>
          <w:p w14:paraId="14B372BE" w14:textId="77777777" w:rsidR="003F28D3" w:rsidRPr="004D307F" w:rsidRDefault="003F28D3" w:rsidP="003F28D3">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Band Level 5 (WL 2.318)</w:t>
            </w:r>
          </w:p>
        </w:tc>
        <w:tc>
          <w:tcPr>
            <w:tcW w:w="1143" w:type="pct"/>
            <w:tcBorders>
              <w:top w:val="single" w:sz="4" w:space="0" w:color="auto"/>
              <w:left w:val="single" w:sz="4" w:space="0" w:color="auto"/>
              <w:bottom w:val="single" w:sz="4" w:space="0" w:color="auto"/>
              <w:right w:val="single" w:sz="4" w:space="0" w:color="auto"/>
            </w:tcBorders>
          </w:tcPr>
          <w:p w14:paraId="4345A569" w14:textId="07674A09"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1A25FA">
              <w:rPr>
                <w:rFonts w:ascii="VIC" w:eastAsia="Times New Roman" w:hAnsi="VIC" w:cs="Times New Roman"/>
                <w:color w:val="323E4F" w:themeColor="text2" w:themeShade="BF"/>
                <w:sz w:val="24"/>
                <w:szCs w:val="24"/>
                <w:lang w:eastAsia="en-AU"/>
              </w:rPr>
              <w:t>$818.63</w:t>
            </w:r>
            <w:r w:rsidRPr="004D307F">
              <w:rPr>
                <w:rFonts w:ascii="VIC" w:eastAsia="Times New Roman" w:hAnsi="VIC" w:cs="Times New Roman"/>
                <w:color w:val="323E4F" w:themeColor="text2" w:themeShade="BF"/>
                <w:sz w:val="24"/>
                <w:szCs w:val="24"/>
                <w:lang w:eastAsia="en-AU"/>
              </w:rPr>
              <w:t xml:space="preserve"> </w:t>
            </w:r>
          </w:p>
        </w:tc>
        <w:tc>
          <w:tcPr>
            <w:tcW w:w="1103" w:type="pct"/>
            <w:tcBorders>
              <w:top w:val="single" w:sz="4" w:space="0" w:color="auto"/>
              <w:left w:val="single" w:sz="4" w:space="0" w:color="auto"/>
              <w:bottom w:val="single" w:sz="4" w:space="0" w:color="auto"/>
              <w:right w:val="single" w:sz="4" w:space="0" w:color="auto"/>
            </w:tcBorders>
          </w:tcPr>
          <w:p w14:paraId="61E78FF0" w14:textId="208FF125"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AB5A7E">
              <w:rPr>
                <w:rFonts w:ascii="VIC" w:eastAsia="Times New Roman" w:hAnsi="VIC" w:cs="Times New Roman"/>
                <w:color w:val="323E4F" w:themeColor="text2" w:themeShade="BF"/>
                <w:sz w:val="24"/>
                <w:szCs w:val="24"/>
                <w:lang w:eastAsia="en-AU"/>
              </w:rPr>
              <w:t>$1,273.00</w:t>
            </w:r>
          </w:p>
        </w:tc>
        <w:tc>
          <w:tcPr>
            <w:tcW w:w="1277" w:type="pct"/>
            <w:tcBorders>
              <w:top w:val="single" w:sz="4" w:space="0" w:color="auto"/>
              <w:left w:val="single" w:sz="4" w:space="0" w:color="auto"/>
              <w:bottom w:val="single" w:sz="4" w:space="0" w:color="auto"/>
              <w:right w:val="single" w:sz="4" w:space="0" w:color="auto"/>
            </w:tcBorders>
          </w:tcPr>
          <w:p w14:paraId="0B89C3CE" w14:textId="4D22E2EB"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3F28D3">
              <w:rPr>
                <w:rFonts w:ascii="VIC" w:eastAsia="Times New Roman" w:hAnsi="VIC" w:cs="Times New Roman"/>
                <w:color w:val="323E4F" w:themeColor="text2" w:themeShade="BF"/>
                <w:sz w:val="24"/>
                <w:szCs w:val="24"/>
                <w:lang w:eastAsia="en-AU"/>
              </w:rPr>
              <w:t>$2,091.63</w:t>
            </w:r>
          </w:p>
        </w:tc>
      </w:tr>
      <w:tr w:rsidR="003F28D3" w:rsidRPr="004D307F" w14:paraId="35F19C77" w14:textId="77777777" w:rsidTr="00992D99">
        <w:trPr>
          <w:trHeight w:val="297"/>
          <w:tblHeader/>
        </w:trPr>
        <w:tc>
          <w:tcPr>
            <w:tcW w:w="1477" w:type="pct"/>
            <w:tcBorders>
              <w:top w:val="single" w:sz="4" w:space="0" w:color="auto"/>
              <w:left w:val="single" w:sz="4" w:space="0" w:color="auto"/>
              <w:bottom w:val="single" w:sz="4" w:space="0" w:color="auto"/>
              <w:right w:val="single" w:sz="4" w:space="0" w:color="auto"/>
            </w:tcBorders>
          </w:tcPr>
          <w:p w14:paraId="341E63B3" w14:textId="77777777" w:rsidR="003F28D3" w:rsidRPr="004D307F" w:rsidRDefault="003F28D3" w:rsidP="003F28D3">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Band Level 5a ** (WL 4.637)</w:t>
            </w:r>
          </w:p>
        </w:tc>
        <w:tc>
          <w:tcPr>
            <w:tcW w:w="1143" w:type="pct"/>
            <w:tcBorders>
              <w:top w:val="single" w:sz="4" w:space="0" w:color="auto"/>
              <w:left w:val="single" w:sz="4" w:space="0" w:color="auto"/>
              <w:bottom w:val="single" w:sz="4" w:space="0" w:color="auto"/>
              <w:right w:val="single" w:sz="4" w:space="0" w:color="auto"/>
            </w:tcBorders>
          </w:tcPr>
          <w:p w14:paraId="0CE39722" w14:textId="4E684057"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1A25FA">
              <w:rPr>
                <w:rFonts w:ascii="VIC" w:eastAsia="Times New Roman" w:hAnsi="VIC" w:cs="Times New Roman"/>
                <w:color w:val="323E4F" w:themeColor="text2" w:themeShade="BF"/>
                <w:sz w:val="24"/>
                <w:szCs w:val="24"/>
                <w:lang w:eastAsia="en-AU"/>
              </w:rPr>
              <w:t>$1,637.60</w:t>
            </w:r>
          </w:p>
        </w:tc>
        <w:tc>
          <w:tcPr>
            <w:tcW w:w="1103" w:type="pct"/>
            <w:tcBorders>
              <w:top w:val="single" w:sz="4" w:space="0" w:color="auto"/>
              <w:left w:val="single" w:sz="4" w:space="0" w:color="auto"/>
              <w:bottom w:val="single" w:sz="4" w:space="0" w:color="auto"/>
              <w:right w:val="single" w:sz="4" w:space="0" w:color="auto"/>
            </w:tcBorders>
          </w:tcPr>
          <w:p w14:paraId="1229A34F" w14:textId="107923D3"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AB5A7E">
              <w:rPr>
                <w:rFonts w:ascii="VIC" w:eastAsia="Times New Roman" w:hAnsi="VIC" w:cs="Times New Roman"/>
                <w:color w:val="323E4F" w:themeColor="text2" w:themeShade="BF"/>
                <w:sz w:val="24"/>
                <w:szCs w:val="24"/>
                <w:lang w:eastAsia="en-AU"/>
              </w:rPr>
              <w:t>$1,273.00</w:t>
            </w:r>
          </w:p>
        </w:tc>
        <w:tc>
          <w:tcPr>
            <w:tcW w:w="1277" w:type="pct"/>
            <w:tcBorders>
              <w:top w:val="single" w:sz="4" w:space="0" w:color="auto"/>
              <w:left w:val="single" w:sz="4" w:space="0" w:color="auto"/>
              <w:bottom w:val="single" w:sz="4" w:space="0" w:color="auto"/>
              <w:right w:val="single" w:sz="4" w:space="0" w:color="auto"/>
            </w:tcBorders>
          </w:tcPr>
          <w:p w14:paraId="626ACAC4" w14:textId="125FFD71"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3F28D3">
              <w:rPr>
                <w:rFonts w:ascii="VIC" w:eastAsia="Times New Roman" w:hAnsi="VIC" w:cs="Times New Roman"/>
                <w:color w:val="323E4F" w:themeColor="text2" w:themeShade="BF"/>
                <w:sz w:val="24"/>
                <w:szCs w:val="24"/>
                <w:lang w:eastAsia="en-AU"/>
              </w:rPr>
              <w:t>$2,910.60</w:t>
            </w:r>
            <w:r w:rsidRPr="004D307F">
              <w:rPr>
                <w:rFonts w:ascii="VIC" w:eastAsia="Times New Roman" w:hAnsi="VIC" w:cs="Times New Roman"/>
                <w:color w:val="323E4F" w:themeColor="text2" w:themeShade="BF"/>
                <w:sz w:val="24"/>
                <w:szCs w:val="24"/>
                <w:lang w:eastAsia="en-AU"/>
              </w:rPr>
              <w:t xml:space="preserve"> </w:t>
            </w:r>
          </w:p>
        </w:tc>
      </w:tr>
      <w:tr w:rsidR="003F28D3" w:rsidRPr="004D307F" w14:paraId="47F58969" w14:textId="77777777" w:rsidTr="00992D99">
        <w:trPr>
          <w:trHeight w:val="306"/>
          <w:tblHeader/>
        </w:trPr>
        <w:tc>
          <w:tcPr>
            <w:tcW w:w="1477" w:type="pct"/>
            <w:tcBorders>
              <w:top w:val="single" w:sz="4" w:space="0" w:color="auto"/>
              <w:left w:val="single" w:sz="4" w:space="0" w:color="auto"/>
              <w:bottom w:val="single" w:sz="4" w:space="0" w:color="auto"/>
              <w:right w:val="single" w:sz="4" w:space="0" w:color="auto"/>
            </w:tcBorders>
          </w:tcPr>
          <w:p w14:paraId="110C6437" w14:textId="77777777" w:rsidR="003F28D3" w:rsidRPr="004D307F" w:rsidRDefault="003F28D3" w:rsidP="003F28D3">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Band Level 6 (WL 1.374)</w:t>
            </w:r>
          </w:p>
        </w:tc>
        <w:tc>
          <w:tcPr>
            <w:tcW w:w="1143" w:type="pct"/>
            <w:tcBorders>
              <w:top w:val="single" w:sz="4" w:space="0" w:color="auto"/>
              <w:left w:val="single" w:sz="4" w:space="0" w:color="auto"/>
              <w:bottom w:val="single" w:sz="4" w:space="0" w:color="auto"/>
              <w:right w:val="single" w:sz="4" w:space="0" w:color="auto"/>
            </w:tcBorders>
          </w:tcPr>
          <w:p w14:paraId="236D436F" w14:textId="078A9CD7"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1A25FA">
              <w:rPr>
                <w:rFonts w:ascii="VIC" w:eastAsia="Times New Roman" w:hAnsi="VIC" w:cs="Times New Roman"/>
                <w:color w:val="323E4F" w:themeColor="text2" w:themeShade="BF"/>
                <w:sz w:val="24"/>
                <w:szCs w:val="24"/>
                <w:lang w:eastAsia="en-AU"/>
              </w:rPr>
              <w:t>$485.24</w:t>
            </w:r>
          </w:p>
        </w:tc>
        <w:tc>
          <w:tcPr>
            <w:tcW w:w="1103" w:type="pct"/>
            <w:tcBorders>
              <w:top w:val="single" w:sz="4" w:space="0" w:color="auto"/>
              <w:left w:val="single" w:sz="4" w:space="0" w:color="auto"/>
              <w:bottom w:val="single" w:sz="4" w:space="0" w:color="auto"/>
              <w:right w:val="single" w:sz="4" w:space="0" w:color="auto"/>
            </w:tcBorders>
          </w:tcPr>
          <w:p w14:paraId="31C0CEAB" w14:textId="6BAF8DD7"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AB5A7E">
              <w:rPr>
                <w:rFonts w:ascii="VIC" w:eastAsia="Times New Roman" w:hAnsi="VIC" w:cs="Times New Roman"/>
                <w:color w:val="323E4F" w:themeColor="text2" w:themeShade="BF"/>
                <w:sz w:val="24"/>
                <w:szCs w:val="24"/>
                <w:lang w:eastAsia="en-AU"/>
              </w:rPr>
              <w:t>$1,273.00</w:t>
            </w:r>
          </w:p>
        </w:tc>
        <w:tc>
          <w:tcPr>
            <w:tcW w:w="1277" w:type="pct"/>
            <w:tcBorders>
              <w:top w:val="single" w:sz="4" w:space="0" w:color="auto"/>
              <w:left w:val="single" w:sz="4" w:space="0" w:color="auto"/>
              <w:bottom w:val="single" w:sz="4" w:space="0" w:color="auto"/>
              <w:right w:val="single" w:sz="4" w:space="0" w:color="auto"/>
            </w:tcBorders>
          </w:tcPr>
          <w:p w14:paraId="4CC54BB0" w14:textId="48E1519D"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3F28D3">
              <w:rPr>
                <w:rFonts w:ascii="VIC" w:eastAsia="Times New Roman" w:hAnsi="VIC" w:cs="Times New Roman"/>
                <w:color w:val="323E4F" w:themeColor="text2" w:themeShade="BF"/>
                <w:sz w:val="24"/>
                <w:szCs w:val="24"/>
                <w:lang w:eastAsia="en-AU"/>
              </w:rPr>
              <w:t>$1,758.24</w:t>
            </w:r>
          </w:p>
        </w:tc>
      </w:tr>
      <w:tr w:rsidR="003F28D3" w:rsidRPr="004D307F" w14:paraId="273EEE77" w14:textId="77777777" w:rsidTr="00992D99">
        <w:trPr>
          <w:trHeight w:val="297"/>
          <w:tblHeader/>
        </w:trPr>
        <w:tc>
          <w:tcPr>
            <w:tcW w:w="1477" w:type="pct"/>
            <w:tcBorders>
              <w:top w:val="single" w:sz="4" w:space="0" w:color="auto"/>
              <w:left w:val="single" w:sz="4" w:space="0" w:color="auto"/>
              <w:bottom w:val="single" w:sz="4" w:space="0" w:color="auto"/>
              <w:right w:val="single" w:sz="4" w:space="0" w:color="auto"/>
            </w:tcBorders>
          </w:tcPr>
          <w:p w14:paraId="31A55F41" w14:textId="77777777" w:rsidR="003F28D3" w:rsidRPr="004D307F" w:rsidRDefault="003F28D3" w:rsidP="003F28D3">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Band Level 7 (WL 1.123)</w:t>
            </w:r>
          </w:p>
        </w:tc>
        <w:tc>
          <w:tcPr>
            <w:tcW w:w="1143" w:type="pct"/>
            <w:tcBorders>
              <w:top w:val="single" w:sz="4" w:space="0" w:color="auto"/>
              <w:left w:val="single" w:sz="4" w:space="0" w:color="auto"/>
              <w:bottom w:val="single" w:sz="4" w:space="0" w:color="auto"/>
              <w:right w:val="single" w:sz="4" w:space="0" w:color="auto"/>
            </w:tcBorders>
          </w:tcPr>
          <w:p w14:paraId="30441FD9" w14:textId="0704CC14"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1A25FA">
              <w:rPr>
                <w:rFonts w:ascii="VIC" w:eastAsia="Times New Roman" w:hAnsi="VIC" w:cs="Times New Roman"/>
                <w:color w:val="323E4F" w:themeColor="text2" w:themeShade="BF"/>
                <w:sz w:val="24"/>
                <w:szCs w:val="24"/>
                <w:lang w:eastAsia="en-AU"/>
              </w:rPr>
              <w:t>$396.60</w:t>
            </w:r>
          </w:p>
        </w:tc>
        <w:tc>
          <w:tcPr>
            <w:tcW w:w="1103" w:type="pct"/>
            <w:tcBorders>
              <w:top w:val="single" w:sz="4" w:space="0" w:color="auto"/>
              <w:left w:val="single" w:sz="4" w:space="0" w:color="auto"/>
              <w:bottom w:val="single" w:sz="4" w:space="0" w:color="auto"/>
              <w:right w:val="single" w:sz="4" w:space="0" w:color="auto"/>
            </w:tcBorders>
          </w:tcPr>
          <w:p w14:paraId="40869C80" w14:textId="5E15DF26"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AB5A7E">
              <w:rPr>
                <w:rFonts w:ascii="VIC" w:eastAsia="Times New Roman" w:hAnsi="VIC" w:cs="Times New Roman"/>
                <w:color w:val="323E4F" w:themeColor="text2" w:themeShade="BF"/>
                <w:sz w:val="24"/>
                <w:szCs w:val="24"/>
                <w:lang w:eastAsia="en-AU"/>
              </w:rPr>
              <w:t>$1,273.00</w:t>
            </w:r>
          </w:p>
        </w:tc>
        <w:tc>
          <w:tcPr>
            <w:tcW w:w="1277" w:type="pct"/>
            <w:tcBorders>
              <w:top w:val="single" w:sz="4" w:space="0" w:color="auto"/>
              <w:left w:val="single" w:sz="4" w:space="0" w:color="auto"/>
              <w:bottom w:val="single" w:sz="4" w:space="0" w:color="auto"/>
              <w:right w:val="single" w:sz="4" w:space="0" w:color="auto"/>
            </w:tcBorders>
          </w:tcPr>
          <w:p w14:paraId="072EBE15" w14:textId="081EA460"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3F28D3">
              <w:rPr>
                <w:rFonts w:ascii="VIC" w:eastAsia="Times New Roman" w:hAnsi="VIC" w:cs="Times New Roman"/>
                <w:color w:val="323E4F" w:themeColor="text2" w:themeShade="BF"/>
                <w:sz w:val="24"/>
                <w:szCs w:val="24"/>
                <w:lang w:eastAsia="en-AU"/>
              </w:rPr>
              <w:t>$1,669.60</w:t>
            </w:r>
          </w:p>
        </w:tc>
      </w:tr>
      <w:tr w:rsidR="003F28D3" w:rsidRPr="004D307F" w14:paraId="57A5E8D2" w14:textId="77777777" w:rsidTr="00992D99">
        <w:trPr>
          <w:trHeight w:val="192"/>
          <w:tblHeader/>
        </w:trPr>
        <w:tc>
          <w:tcPr>
            <w:tcW w:w="1477" w:type="pct"/>
            <w:tcBorders>
              <w:top w:val="single" w:sz="4" w:space="0" w:color="auto"/>
              <w:left w:val="single" w:sz="4" w:space="0" w:color="auto"/>
              <w:bottom w:val="single" w:sz="4" w:space="0" w:color="auto"/>
              <w:right w:val="single" w:sz="4" w:space="0" w:color="auto"/>
            </w:tcBorders>
          </w:tcPr>
          <w:p w14:paraId="344F25F8" w14:textId="77777777" w:rsidR="003F28D3" w:rsidRPr="004D307F" w:rsidRDefault="003F28D3" w:rsidP="003F28D3">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Band Level 8 (WL 1.000)</w:t>
            </w:r>
          </w:p>
        </w:tc>
        <w:tc>
          <w:tcPr>
            <w:tcW w:w="1143" w:type="pct"/>
            <w:tcBorders>
              <w:top w:val="single" w:sz="4" w:space="0" w:color="auto"/>
              <w:left w:val="single" w:sz="4" w:space="0" w:color="auto"/>
              <w:bottom w:val="single" w:sz="4" w:space="0" w:color="auto"/>
              <w:right w:val="single" w:sz="4" w:space="0" w:color="auto"/>
            </w:tcBorders>
          </w:tcPr>
          <w:p w14:paraId="5B7073A8" w14:textId="1A94BC1D"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1A25FA">
              <w:rPr>
                <w:rFonts w:ascii="VIC" w:eastAsia="Times New Roman" w:hAnsi="VIC" w:cs="Times New Roman"/>
                <w:color w:val="323E4F" w:themeColor="text2" w:themeShade="BF"/>
                <w:sz w:val="24"/>
                <w:szCs w:val="24"/>
                <w:lang w:eastAsia="en-AU"/>
              </w:rPr>
              <w:t>$353.16</w:t>
            </w:r>
            <w:r w:rsidRPr="004D307F">
              <w:rPr>
                <w:rFonts w:ascii="VIC" w:eastAsia="Times New Roman" w:hAnsi="VIC" w:cs="Times New Roman"/>
                <w:color w:val="323E4F" w:themeColor="text2" w:themeShade="BF"/>
                <w:sz w:val="24"/>
                <w:szCs w:val="24"/>
                <w:lang w:eastAsia="en-AU"/>
              </w:rPr>
              <w:t xml:space="preserve"> </w:t>
            </w:r>
          </w:p>
        </w:tc>
        <w:tc>
          <w:tcPr>
            <w:tcW w:w="1103" w:type="pct"/>
            <w:tcBorders>
              <w:top w:val="single" w:sz="4" w:space="0" w:color="auto"/>
              <w:left w:val="single" w:sz="4" w:space="0" w:color="auto"/>
              <w:bottom w:val="single" w:sz="4" w:space="0" w:color="auto"/>
              <w:right w:val="single" w:sz="4" w:space="0" w:color="auto"/>
            </w:tcBorders>
          </w:tcPr>
          <w:p w14:paraId="0411E8B3" w14:textId="68A8C79F"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AB5A7E">
              <w:rPr>
                <w:rFonts w:ascii="VIC" w:eastAsia="Times New Roman" w:hAnsi="VIC" w:cs="Times New Roman"/>
                <w:color w:val="323E4F" w:themeColor="text2" w:themeShade="BF"/>
                <w:sz w:val="24"/>
                <w:szCs w:val="24"/>
                <w:lang w:eastAsia="en-AU"/>
              </w:rPr>
              <w:t>$1,273.00</w:t>
            </w:r>
          </w:p>
        </w:tc>
        <w:tc>
          <w:tcPr>
            <w:tcW w:w="1277" w:type="pct"/>
            <w:tcBorders>
              <w:top w:val="single" w:sz="4" w:space="0" w:color="auto"/>
              <w:left w:val="single" w:sz="4" w:space="0" w:color="auto"/>
              <w:bottom w:val="single" w:sz="4" w:space="0" w:color="auto"/>
              <w:right w:val="single" w:sz="4" w:space="0" w:color="auto"/>
            </w:tcBorders>
          </w:tcPr>
          <w:p w14:paraId="3E18C763" w14:textId="2DFF1F6A" w:rsidR="003F28D3" w:rsidRPr="004D307F" w:rsidRDefault="003F28D3" w:rsidP="003F28D3">
            <w:pPr>
              <w:spacing w:after="0" w:line="240" w:lineRule="atLeast"/>
              <w:jc w:val="center"/>
              <w:rPr>
                <w:rFonts w:ascii="VIC" w:eastAsia="Times New Roman" w:hAnsi="VIC" w:cs="Times New Roman"/>
                <w:color w:val="323E4F" w:themeColor="text2" w:themeShade="BF"/>
                <w:sz w:val="24"/>
                <w:szCs w:val="24"/>
                <w:lang w:eastAsia="en-AU"/>
              </w:rPr>
            </w:pPr>
            <w:r w:rsidRPr="003F28D3">
              <w:rPr>
                <w:rFonts w:ascii="VIC" w:eastAsia="Times New Roman" w:hAnsi="VIC" w:cs="Times New Roman"/>
                <w:color w:val="323E4F" w:themeColor="text2" w:themeShade="BF"/>
                <w:sz w:val="24"/>
                <w:szCs w:val="24"/>
                <w:lang w:eastAsia="en-AU"/>
              </w:rPr>
              <w:t>$1,626.16</w:t>
            </w:r>
            <w:r w:rsidRPr="004D307F">
              <w:rPr>
                <w:rFonts w:ascii="VIC" w:eastAsia="Times New Roman" w:hAnsi="VIC" w:cs="Times New Roman"/>
                <w:color w:val="323E4F" w:themeColor="text2" w:themeShade="BF"/>
                <w:sz w:val="24"/>
                <w:szCs w:val="24"/>
                <w:lang w:eastAsia="en-AU"/>
              </w:rPr>
              <w:t xml:space="preserve"> </w:t>
            </w:r>
          </w:p>
        </w:tc>
      </w:tr>
      <w:tr w:rsidR="00F173EC" w:rsidRPr="004D307F" w14:paraId="2861CCC2" w14:textId="77777777" w:rsidTr="00992D99">
        <w:trPr>
          <w:trHeight w:val="613"/>
          <w:tblHeader/>
        </w:trPr>
        <w:tc>
          <w:tcPr>
            <w:tcW w:w="1477" w:type="pct"/>
            <w:tcBorders>
              <w:top w:val="single" w:sz="4" w:space="0" w:color="auto"/>
              <w:left w:val="single" w:sz="4" w:space="0" w:color="auto"/>
              <w:bottom w:val="single" w:sz="4" w:space="0" w:color="auto"/>
              <w:right w:val="single" w:sz="4" w:space="0" w:color="auto"/>
            </w:tcBorders>
          </w:tcPr>
          <w:p w14:paraId="12E1A18D" w14:textId="77777777" w:rsidR="00F173EC" w:rsidRPr="004D307F"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Additional Rural Rate (if eligible)***</w:t>
            </w:r>
          </w:p>
        </w:tc>
        <w:tc>
          <w:tcPr>
            <w:tcW w:w="1143" w:type="pct"/>
            <w:tcBorders>
              <w:top w:val="single" w:sz="4" w:space="0" w:color="auto"/>
              <w:left w:val="single" w:sz="4" w:space="0" w:color="auto"/>
              <w:bottom w:val="single" w:sz="4" w:space="0" w:color="auto"/>
              <w:right w:val="single" w:sz="4" w:space="0" w:color="auto"/>
            </w:tcBorders>
          </w:tcPr>
          <w:p w14:paraId="009AE0F7" w14:textId="4FEFB327" w:rsidR="00F173EC" w:rsidRPr="004D307F" w:rsidRDefault="001A25FA" w:rsidP="00F173EC">
            <w:pPr>
              <w:spacing w:after="0" w:line="240" w:lineRule="atLeast"/>
              <w:jc w:val="center"/>
              <w:rPr>
                <w:rFonts w:ascii="VIC" w:eastAsia="Times New Roman" w:hAnsi="VIC" w:cs="Times New Roman"/>
                <w:color w:val="323E4F" w:themeColor="text2" w:themeShade="BF"/>
                <w:sz w:val="24"/>
                <w:szCs w:val="24"/>
                <w:lang w:eastAsia="en-AU"/>
              </w:rPr>
            </w:pPr>
            <w:r w:rsidRPr="001A25FA">
              <w:rPr>
                <w:rFonts w:ascii="VIC" w:eastAsia="Times New Roman" w:hAnsi="VIC" w:cs="Times New Roman"/>
                <w:color w:val="323E4F" w:themeColor="text2" w:themeShade="BF"/>
                <w:sz w:val="24"/>
                <w:szCs w:val="24"/>
                <w:lang w:eastAsia="en-AU"/>
              </w:rPr>
              <w:t>$600.02</w:t>
            </w:r>
          </w:p>
        </w:tc>
        <w:tc>
          <w:tcPr>
            <w:tcW w:w="1103" w:type="pct"/>
            <w:tcBorders>
              <w:top w:val="single" w:sz="4" w:space="0" w:color="auto"/>
              <w:left w:val="single" w:sz="4" w:space="0" w:color="auto"/>
              <w:bottom w:val="single" w:sz="4" w:space="0" w:color="auto"/>
              <w:right w:val="single" w:sz="4" w:space="0" w:color="auto"/>
            </w:tcBorders>
          </w:tcPr>
          <w:p w14:paraId="50B50A51"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p>
        </w:tc>
        <w:tc>
          <w:tcPr>
            <w:tcW w:w="1277" w:type="pct"/>
            <w:tcBorders>
              <w:top w:val="single" w:sz="4" w:space="0" w:color="auto"/>
              <w:left w:val="single" w:sz="4" w:space="0" w:color="auto"/>
              <w:bottom w:val="single" w:sz="4" w:space="0" w:color="auto"/>
              <w:right w:val="single" w:sz="4" w:space="0" w:color="auto"/>
            </w:tcBorders>
          </w:tcPr>
          <w:p w14:paraId="4C59B42C"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p>
        </w:tc>
      </w:tr>
    </w:tbl>
    <w:p w14:paraId="6D333352" w14:textId="06FAB5EE" w:rsidR="00EA34C0" w:rsidRPr="004D307F" w:rsidRDefault="00EA34C0" w:rsidP="005A7E0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 </w:t>
      </w:r>
      <w:r w:rsidR="001D1CB6" w:rsidRPr="004D307F">
        <w:rPr>
          <w:rFonts w:ascii="VIC-Regular" w:eastAsia="Times New Roman" w:hAnsi="VIC-Regular" w:cs="Times New Roman"/>
          <w:color w:val="011A3C"/>
          <w:sz w:val="24"/>
          <w:szCs w:val="24"/>
          <w:lang w:val="en" w:eastAsia="en-AU"/>
        </w:rPr>
        <w:t>Due to</w:t>
      </w:r>
      <w:r w:rsidRPr="004D307F">
        <w:rPr>
          <w:rFonts w:ascii="VIC-Regular" w:eastAsia="Times New Roman" w:hAnsi="VIC-Regular" w:cs="Times New Roman"/>
          <w:color w:val="011A3C"/>
          <w:sz w:val="24"/>
          <w:szCs w:val="24"/>
          <w:lang w:val="en" w:eastAsia="en-AU"/>
        </w:rPr>
        <w:t xml:space="preserve"> a major change in the CUA Creative Arts and Culture Training Package, the CUS30109 Certificate III in Music and CUS30209 Certificate III in Technical Production have been merged into the one qualification, CUA30915 Certificate III in Music Industry. Previously, it was common practice for students to enrol in two separate qualifications (Music – Performance and Technical Production) and be funded up to 180 hours for both. These enrolments will now be in a single Certificate III in Music Industry, with many students undertaking a scored Unit 3 &amp; 4 in both streams in a single enrolment year. Band 5a has been introduced to enable funding for the two streams within the one qualification, up to a maximum of 360 hours.</w:t>
      </w:r>
    </w:p>
    <w:p w14:paraId="4526999A" w14:textId="4900B83A" w:rsidR="0089477A" w:rsidRPr="004D307F" w:rsidRDefault="0089477A"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w:t>
      </w:r>
      <w:r w:rsidR="00F173EC" w:rsidRPr="004D307F">
        <w:rPr>
          <w:rFonts w:ascii="VIC-Regular" w:eastAsia="Times New Roman" w:hAnsi="VIC-Regular" w:cs="Times New Roman"/>
          <w:color w:val="011A3C"/>
          <w:sz w:val="24"/>
          <w:szCs w:val="24"/>
          <w:lang w:val="en" w:eastAsia="en-AU"/>
        </w:rPr>
        <w:t xml:space="preserve">Updated </w:t>
      </w:r>
      <w:r w:rsidRPr="004D307F">
        <w:rPr>
          <w:rFonts w:ascii="VIC-Regular" w:eastAsia="Times New Roman" w:hAnsi="VIC-Regular" w:cs="Times New Roman"/>
          <w:color w:val="011A3C"/>
          <w:sz w:val="24"/>
          <w:szCs w:val="24"/>
          <w:lang w:val="en" w:eastAsia="en-AU"/>
        </w:rPr>
        <w:t>Location indexes</w:t>
      </w:r>
      <w:r w:rsidR="00F173EC" w:rsidRPr="004D307F">
        <w:rPr>
          <w:rFonts w:ascii="VIC-Regular" w:eastAsia="Times New Roman" w:hAnsi="VIC-Regular" w:cs="Times New Roman"/>
          <w:color w:val="011A3C"/>
          <w:sz w:val="24"/>
          <w:szCs w:val="24"/>
          <w:lang w:val="en" w:eastAsia="en-AU"/>
        </w:rPr>
        <w:t xml:space="preserve"> developed as a part of the rurality reform</w:t>
      </w:r>
      <w:r w:rsidRPr="004D307F">
        <w:rPr>
          <w:rFonts w:ascii="VIC-Regular" w:eastAsia="Times New Roman" w:hAnsi="VIC-Regular" w:cs="Times New Roman"/>
          <w:color w:val="011A3C"/>
          <w:sz w:val="24"/>
          <w:szCs w:val="24"/>
          <w:lang w:val="en" w:eastAsia="en-AU"/>
        </w:rPr>
        <w:t xml:space="preserve"> have been used for</w:t>
      </w:r>
      <w:r w:rsidR="006717C9" w:rsidRPr="004D307F">
        <w:rPr>
          <w:rFonts w:ascii="VIC-Regular" w:eastAsia="Times New Roman" w:hAnsi="VIC-Regular" w:cs="Times New Roman"/>
          <w:color w:val="011A3C"/>
          <w:sz w:val="24"/>
          <w:szCs w:val="24"/>
          <w:lang w:val="en" w:eastAsia="en-AU"/>
        </w:rPr>
        <w:t xml:space="preserve"> </w:t>
      </w:r>
      <w:r w:rsidR="00F173EC" w:rsidRPr="004D307F">
        <w:rPr>
          <w:rFonts w:ascii="VIC-Regular" w:eastAsia="Times New Roman" w:hAnsi="VIC-Regular" w:cs="Times New Roman"/>
          <w:color w:val="011A3C"/>
          <w:sz w:val="24"/>
          <w:szCs w:val="24"/>
          <w:lang w:val="en" w:eastAsia="en-AU"/>
        </w:rPr>
        <w:t>calculating</w:t>
      </w:r>
      <w:r w:rsidRPr="004D307F">
        <w:rPr>
          <w:rFonts w:ascii="VIC-Regular" w:eastAsia="Times New Roman" w:hAnsi="VIC-Regular" w:cs="Times New Roman"/>
          <w:color w:val="011A3C"/>
          <w:sz w:val="24"/>
          <w:szCs w:val="24"/>
          <w:lang w:val="en" w:eastAsia="en-AU"/>
        </w:rPr>
        <w:t xml:space="preserve"> the additional rural funding element.</w:t>
      </w:r>
    </w:p>
    <w:p w14:paraId="55D644CA" w14:textId="5FAB99FA" w:rsidR="00F173EC" w:rsidRPr="004D307F" w:rsidRDefault="00F173EC"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location index of a multicampus school is the average of the location indexes of its constituent campuses</w:t>
      </w:r>
      <w:r w:rsidR="006717C9"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  </w:t>
      </w:r>
    </w:p>
    <w:p w14:paraId="40574044" w14:textId="2396EC8F" w:rsidR="00216245" w:rsidRPr="004D307F" w:rsidRDefault="00EA34C0" w:rsidP="004D307F">
      <w:pPr>
        <w:spacing w:before="120" w:after="120" w:line="360" w:lineRule="atLeast"/>
        <w:rPr>
          <w:rFonts w:ascii="VIC-Regular" w:eastAsia="Times New Roman" w:hAnsi="VIC-Regular" w:cs="Times New Roman"/>
          <w:b/>
          <w:bCs/>
          <w:color w:val="011A3C"/>
          <w:sz w:val="24"/>
          <w:szCs w:val="24"/>
          <w:lang w:val="en" w:eastAsia="en-AU"/>
        </w:rPr>
      </w:pPr>
      <w:r w:rsidRPr="004D307F">
        <w:rPr>
          <w:rFonts w:ascii="VIC-Regular" w:eastAsia="Times New Roman" w:hAnsi="VIC-Regular" w:cs="Times New Roman"/>
          <w:b/>
          <w:bCs/>
          <w:color w:val="011A3C"/>
          <w:sz w:val="24"/>
          <w:szCs w:val="24"/>
          <w:lang w:val="en" w:eastAsia="en-AU"/>
        </w:rPr>
        <w:t>Targeted VET funding operates within a capped budget</w:t>
      </w:r>
    </w:p>
    <w:p w14:paraId="6044B5B7" w14:textId="3BA86A2E"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This means that band rates may be adjusted up or down </w:t>
      </w:r>
      <w:r w:rsidR="00216245" w:rsidRPr="004D307F">
        <w:rPr>
          <w:rFonts w:ascii="VIC-Regular" w:eastAsia="Times New Roman" w:hAnsi="VIC-Regular" w:cs="Times New Roman"/>
          <w:color w:val="011A3C"/>
          <w:sz w:val="24"/>
          <w:szCs w:val="24"/>
          <w:lang w:val="en" w:eastAsia="en-AU"/>
        </w:rPr>
        <w:t>annually as they are</w:t>
      </w:r>
      <w:r w:rsidR="00D8139D" w:rsidRPr="004D307F">
        <w:rPr>
          <w:rFonts w:ascii="VIC-Regular" w:eastAsia="Times New Roman" w:hAnsi="VIC-Regular" w:cs="Times New Roman"/>
          <w:color w:val="011A3C"/>
          <w:sz w:val="24"/>
          <w:szCs w:val="24"/>
          <w:lang w:val="en" w:eastAsia="en-AU"/>
        </w:rPr>
        <w:t xml:space="preserve"> dependent on a number of factors including </w:t>
      </w:r>
      <w:r w:rsidRPr="004D307F">
        <w:rPr>
          <w:rFonts w:ascii="VIC-Regular" w:eastAsia="Times New Roman" w:hAnsi="VIC-Regular" w:cs="Times New Roman"/>
          <w:color w:val="011A3C"/>
          <w:sz w:val="24"/>
          <w:szCs w:val="24"/>
          <w:lang w:val="en" w:eastAsia="en-AU"/>
        </w:rPr>
        <w:t>changes in total eligible enrolments from all schools and the spread of these enrolments across band levels.</w:t>
      </w:r>
    </w:p>
    <w:p w14:paraId="46FC2118" w14:textId="3FB295D2"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example, even if the total number of enrolments did not change between 20</w:t>
      </w:r>
      <w:r w:rsidR="00A95154" w:rsidRPr="004D307F">
        <w:rPr>
          <w:rFonts w:ascii="VIC-Regular" w:eastAsia="Times New Roman" w:hAnsi="VIC-Regular" w:cs="Times New Roman"/>
          <w:color w:val="011A3C"/>
          <w:sz w:val="24"/>
          <w:szCs w:val="24"/>
          <w:lang w:val="en" w:eastAsia="en-AU"/>
        </w:rPr>
        <w:t>2</w:t>
      </w:r>
      <w:r w:rsidR="001D1CB6" w:rsidRPr="004D307F">
        <w:rPr>
          <w:rFonts w:ascii="VIC-Regular" w:eastAsia="Times New Roman" w:hAnsi="VIC-Regular" w:cs="Times New Roman"/>
          <w:color w:val="011A3C"/>
          <w:sz w:val="24"/>
          <w:szCs w:val="24"/>
          <w:lang w:val="en" w:eastAsia="en-AU"/>
        </w:rPr>
        <w:t>1</w:t>
      </w:r>
      <w:r w:rsidRPr="004D307F">
        <w:rPr>
          <w:rFonts w:ascii="VIC-Regular" w:eastAsia="Times New Roman" w:hAnsi="VIC-Regular" w:cs="Times New Roman"/>
          <w:color w:val="011A3C"/>
          <w:sz w:val="24"/>
          <w:szCs w:val="24"/>
          <w:lang w:val="en" w:eastAsia="en-AU"/>
        </w:rPr>
        <w:t xml:space="preserve"> and 202</w:t>
      </w:r>
      <w:r w:rsidR="001D1CB6" w:rsidRPr="004D307F">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if there was an increase in the proportion of enrolments towards the higher funded bands, the confirmed band rates for 202</w:t>
      </w:r>
      <w:r w:rsidR="001D1CB6" w:rsidRPr="004D307F">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xml:space="preserve"> may be adjusted down, once enrolments are confirmed.</w:t>
      </w:r>
    </w:p>
    <w:p w14:paraId="518E79F9" w14:textId="6BB6B70F"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Conversely, if the total number of enrolments did not change between 20</w:t>
      </w:r>
      <w:r w:rsidR="00A95154" w:rsidRPr="004D307F">
        <w:rPr>
          <w:rFonts w:ascii="VIC-Regular" w:eastAsia="Times New Roman" w:hAnsi="VIC-Regular" w:cs="Times New Roman"/>
          <w:color w:val="011A3C"/>
          <w:sz w:val="24"/>
          <w:szCs w:val="24"/>
          <w:lang w:val="en" w:eastAsia="en-AU"/>
        </w:rPr>
        <w:t>2</w:t>
      </w:r>
      <w:r w:rsidR="001D1CB6" w:rsidRPr="004D307F">
        <w:rPr>
          <w:rFonts w:ascii="VIC-Regular" w:eastAsia="Times New Roman" w:hAnsi="VIC-Regular" w:cs="Times New Roman"/>
          <w:color w:val="011A3C"/>
          <w:sz w:val="24"/>
          <w:szCs w:val="24"/>
          <w:lang w:val="en" w:eastAsia="en-AU"/>
        </w:rPr>
        <w:t>1</w:t>
      </w:r>
      <w:r w:rsidRPr="004D307F">
        <w:rPr>
          <w:rFonts w:ascii="VIC-Regular" w:eastAsia="Times New Roman" w:hAnsi="VIC-Regular" w:cs="Times New Roman"/>
          <w:color w:val="011A3C"/>
          <w:sz w:val="24"/>
          <w:szCs w:val="24"/>
          <w:lang w:val="en" w:eastAsia="en-AU"/>
        </w:rPr>
        <w:t xml:space="preserve"> and 20</w:t>
      </w:r>
      <w:r w:rsidR="001D1CB6" w:rsidRPr="004D307F">
        <w:rPr>
          <w:rFonts w:ascii="VIC-Regular" w:eastAsia="Times New Roman" w:hAnsi="VIC-Regular" w:cs="Times New Roman"/>
          <w:color w:val="011A3C"/>
          <w:sz w:val="24"/>
          <w:szCs w:val="24"/>
          <w:lang w:val="en" w:eastAsia="en-AU"/>
        </w:rPr>
        <w:t>22</w:t>
      </w:r>
      <w:r w:rsidRPr="004D307F">
        <w:rPr>
          <w:rFonts w:ascii="VIC-Regular" w:eastAsia="Times New Roman" w:hAnsi="VIC-Regular" w:cs="Times New Roman"/>
          <w:color w:val="011A3C"/>
          <w:sz w:val="24"/>
          <w:szCs w:val="24"/>
          <w:lang w:val="en" w:eastAsia="en-AU"/>
        </w:rPr>
        <w:t>, if there was a significant increase in the proportion of enrolments towards the lower funded bands, the confirmed band rates for 202</w:t>
      </w:r>
      <w:r w:rsidR="001D1CB6" w:rsidRPr="004D307F">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xml:space="preserve"> may be adjusted up, once enrolments are confirmed. The impact of changes in enrolment patterns is spread proportionally across all band funding levels.</w:t>
      </w:r>
    </w:p>
    <w:p w14:paraId="61EA20A5" w14:textId="5B99A359"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This reinforces the importance for schools to </w:t>
      </w:r>
      <w:r w:rsidRPr="004D307F">
        <w:rPr>
          <w:rFonts w:ascii="VIC-Regular" w:eastAsia="Times New Roman" w:hAnsi="VIC-Regular" w:cs="Times New Roman"/>
          <w:b/>
          <w:bCs/>
          <w:color w:val="011A3C"/>
          <w:sz w:val="24"/>
          <w:szCs w:val="24"/>
          <w:lang w:val="en" w:eastAsia="en-AU"/>
        </w:rPr>
        <w:t xml:space="preserve">CORRECTLY </w:t>
      </w:r>
      <w:r w:rsidRPr="004D307F">
        <w:rPr>
          <w:rFonts w:ascii="VIC-Regular" w:eastAsia="Times New Roman" w:hAnsi="VIC-Regular" w:cs="Times New Roman"/>
          <w:color w:val="011A3C"/>
          <w:sz w:val="24"/>
          <w:szCs w:val="24"/>
          <w:lang w:val="en" w:eastAsia="en-AU"/>
        </w:rPr>
        <w:t>enter enrolments on VASS by the due date. Entries must include</w:t>
      </w:r>
      <w:r w:rsidR="001D1CB6" w:rsidRPr="004D307F">
        <w:rPr>
          <w:rFonts w:ascii="VIC-Regular" w:eastAsia="Times New Roman" w:hAnsi="VIC-Regular" w:cs="Times New Roman"/>
          <w:color w:val="011A3C"/>
          <w:sz w:val="24"/>
          <w:szCs w:val="24"/>
          <w:lang w:val="en" w:eastAsia="en-AU"/>
        </w:rPr>
        <w:t xml:space="preserve"> the</w:t>
      </w:r>
      <w:r w:rsidRPr="004D307F">
        <w:rPr>
          <w:rFonts w:ascii="VIC-Regular" w:eastAsia="Times New Roman" w:hAnsi="VIC-Regular" w:cs="Times New Roman"/>
          <w:color w:val="011A3C"/>
          <w:sz w:val="24"/>
          <w:szCs w:val="24"/>
          <w:lang w:val="en" w:eastAsia="en-AU"/>
        </w:rPr>
        <w:t xml:space="preserve"> certificate title, units of competency, and hours.</w:t>
      </w:r>
    </w:p>
    <w:p w14:paraId="6DF335F3" w14:textId="77777777"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There is no capacity within a capped budget to provide funding to schools that have not entered VET enrolments on VASS at all or have entered them with incorrect information.</w:t>
      </w:r>
    </w:p>
    <w:p w14:paraId="2669AD94" w14:textId="77777777" w:rsidR="00EA34C0" w:rsidRPr="004D307F" w:rsidRDefault="00EA34C0" w:rsidP="005A7E0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TAFE supplement</w:t>
      </w:r>
    </w:p>
    <w:p w14:paraId="3F34DBCF" w14:textId="77777777" w:rsidR="00EA34C0" w:rsidRPr="004D307F" w:rsidRDefault="00EA34C0" w:rsidP="004D307F">
      <w:pPr>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From 2019 an </w:t>
      </w:r>
      <w:r w:rsidRPr="004D307F">
        <w:rPr>
          <w:rFonts w:ascii="VIC" w:eastAsia="Times New Roman" w:hAnsi="VIC" w:cs="Times New Roman"/>
          <w:b/>
          <w:bCs/>
          <w:color w:val="011A3C"/>
          <w:sz w:val="24"/>
          <w:szCs w:val="24"/>
          <w:lang w:val="en" w:eastAsia="en-AU"/>
        </w:rPr>
        <w:t xml:space="preserve">additional supplement </w:t>
      </w:r>
      <w:r w:rsidRPr="004D307F">
        <w:rPr>
          <w:rFonts w:ascii="VIC" w:eastAsia="Times New Roman" w:hAnsi="VIC" w:cs="Times New Roman"/>
          <w:color w:val="011A3C"/>
          <w:sz w:val="24"/>
          <w:szCs w:val="24"/>
          <w:lang w:val="en" w:eastAsia="en-AU"/>
        </w:rPr>
        <w:t>(over 4 years) is available to government schools that purchase VET courses on the Skills First list from the TAFE network.</w:t>
      </w:r>
    </w:p>
    <w:p w14:paraId="69E17441" w14:textId="77777777" w:rsidR="00EA34C0" w:rsidRPr="004D307F" w:rsidRDefault="00EA34C0" w:rsidP="004D307F">
      <w:pPr>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amount of funding provided will be equal to the gap between current total funding (core SRP for VET + targeted VET funding) and the Skills First subsidy and maximum exemption rate. A 10% rural loading will be applied where relevant.</w:t>
      </w:r>
    </w:p>
    <w:p w14:paraId="0935DC93" w14:textId="77777777" w:rsidR="00EA34C0" w:rsidRPr="004D307F" w:rsidRDefault="00EA34C0" w:rsidP="004D307F">
      <w:pPr>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TAFE Supplement funds will be paid against a separate budget line in the Term 3 quarterly cash grants through the Student Resource Package once actual eligible VET enrolments are known.</w:t>
      </w:r>
    </w:p>
    <w:p w14:paraId="725BA9A6" w14:textId="68B84CE3" w:rsidR="00EA34C0" w:rsidRPr="004D307F" w:rsidRDefault="00EA34C0" w:rsidP="004D307F">
      <w:pPr>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 xml:space="preserve">The </w:t>
      </w:r>
      <w:r w:rsidR="00DA3BD5">
        <w:rPr>
          <w:rFonts w:ascii="VIC" w:eastAsia="Times New Roman" w:hAnsi="VIC" w:cs="Times New Roman"/>
          <w:color w:val="011A3C"/>
          <w:sz w:val="24"/>
          <w:szCs w:val="24"/>
          <w:lang w:val="en" w:eastAsia="en-AU"/>
        </w:rPr>
        <w:t>revised</w:t>
      </w:r>
      <w:r w:rsidR="00DA3BD5"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amount of the TAFE supplement against eligible VET qualifications will be available when actual eligible 202</w:t>
      </w:r>
      <w:r w:rsidR="001D1CB6" w:rsidRPr="004D307F">
        <w:rPr>
          <w:rFonts w:ascii="VIC" w:eastAsia="Times New Roman" w:hAnsi="VIC" w:cs="Times New Roman"/>
          <w:color w:val="011A3C"/>
          <w:sz w:val="24"/>
          <w:szCs w:val="24"/>
          <w:lang w:val="en" w:eastAsia="en-AU"/>
        </w:rPr>
        <w:t>2</w:t>
      </w:r>
      <w:r w:rsidRPr="004D307F">
        <w:rPr>
          <w:rFonts w:ascii="VIC" w:eastAsia="Times New Roman" w:hAnsi="VIC" w:cs="Times New Roman"/>
          <w:color w:val="011A3C"/>
          <w:sz w:val="24"/>
          <w:szCs w:val="24"/>
          <w:lang w:val="en" w:eastAsia="en-AU"/>
        </w:rPr>
        <w:t xml:space="preserve"> VET enrolments with the TAFE network are known. Where the current total funding (core SRP for VET $</w:t>
      </w:r>
      <w:r w:rsidR="003776F1">
        <w:rPr>
          <w:rFonts w:ascii="VIC" w:eastAsia="Times New Roman" w:hAnsi="VIC" w:cs="Times New Roman"/>
          <w:color w:val="011A3C"/>
          <w:sz w:val="24"/>
          <w:szCs w:val="24"/>
          <w:lang w:val="en" w:eastAsia="en-AU"/>
        </w:rPr>
        <w:t>1</w:t>
      </w:r>
      <w:r w:rsidR="00AF7A35">
        <w:rPr>
          <w:rFonts w:ascii="VIC" w:eastAsia="Times New Roman" w:hAnsi="VIC" w:cs="Times New Roman"/>
          <w:color w:val="011A3C"/>
          <w:sz w:val="24"/>
          <w:szCs w:val="24"/>
          <w:lang w:val="en" w:eastAsia="en-AU"/>
        </w:rPr>
        <w:t>,</w:t>
      </w:r>
      <w:r w:rsidR="003776F1">
        <w:rPr>
          <w:rFonts w:ascii="VIC" w:eastAsia="Times New Roman" w:hAnsi="VIC" w:cs="Times New Roman"/>
          <w:color w:val="011A3C"/>
          <w:sz w:val="24"/>
          <w:szCs w:val="24"/>
          <w:lang w:val="en" w:eastAsia="en-AU"/>
        </w:rPr>
        <w:t>273</w:t>
      </w:r>
      <w:r w:rsidR="003776F1"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 targeted VET funding) is higher than the Skills First subsidy rate, no supplement will be provided.</w:t>
      </w:r>
    </w:p>
    <w:p w14:paraId="129198B8" w14:textId="501E6D15" w:rsidR="003E6B76" w:rsidRPr="004D307F" w:rsidRDefault="00EA34C0" w:rsidP="004D307F">
      <w:pPr>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To help inform purchasing decisions, a table of TAFE Supplement calculations based on </w:t>
      </w:r>
      <w:r w:rsidR="00C37A79" w:rsidRPr="004D307F">
        <w:rPr>
          <w:rFonts w:ascii="VIC" w:eastAsia="Times New Roman" w:hAnsi="VIC" w:cs="Times New Roman"/>
          <w:color w:val="011A3C"/>
          <w:sz w:val="24"/>
          <w:szCs w:val="24"/>
          <w:lang w:val="en" w:eastAsia="en-AU"/>
        </w:rPr>
        <w:t xml:space="preserve">the most recent </w:t>
      </w:r>
      <w:r w:rsidRPr="004D307F">
        <w:rPr>
          <w:rFonts w:ascii="VIC" w:eastAsia="Times New Roman" w:hAnsi="VIC" w:cs="Times New Roman"/>
          <w:color w:val="011A3C"/>
          <w:sz w:val="24"/>
          <w:szCs w:val="24"/>
          <w:lang w:val="en" w:eastAsia="en-AU"/>
        </w:rPr>
        <w:t xml:space="preserve">Skills First rates is available at: </w:t>
      </w:r>
      <w:hyperlink r:id="rId141" w:history="1">
        <w:r w:rsidR="001D1CB6" w:rsidRPr="004D307F">
          <w:rPr>
            <w:rStyle w:val="Hyperlink"/>
            <w:rFonts w:ascii="VIC" w:hAnsi="VIC"/>
            <w:sz w:val="24"/>
            <w:szCs w:val="24"/>
          </w:rPr>
          <w:t>VET Delivered to Secondary Students: Resources</w:t>
        </w:r>
      </w:hyperlink>
      <w:r w:rsidR="001D1CB6" w:rsidRPr="004D307F">
        <w:rPr>
          <w:rFonts w:ascii="VIC" w:eastAsia="Times New Roman" w:hAnsi="VIC" w:cs="Times New Roman"/>
          <w:color w:val="011A3C"/>
          <w:sz w:val="24"/>
          <w:szCs w:val="24"/>
          <w:lang w:val="en" w:eastAsia="en-AU"/>
        </w:rPr>
        <w:t>.</w:t>
      </w:r>
      <w:r w:rsidRPr="004D307F">
        <w:rPr>
          <w:rFonts w:ascii="VIC" w:eastAsia="Times New Roman" w:hAnsi="VIC" w:cs="Times New Roman"/>
          <w:color w:val="011A3C"/>
          <w:sz w:val="24"/>
          <w:szCs w:val="24"/>
          <w:lang w:val="en" w:eastAsia="en-AU"/>
        </w:rPr>
        <w:t>.</w:t>
      </w:r>
    </w:p>
    <w:p w14:paraId="210AFE91"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School-based apprenticeships and traineeships</w:t>
      </w:r>
    </w:p>
    <w:p w14:paraId="3DD4BD5E" w14:textId="3A4B9CF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 student enrolled in a VET qualification through a school-based apprenticeship or traineeship (SBAT) is funded under Skills First and is not eligible for targeted VET funding. </w:t>
      </w:r>
      <w:r w:rsidR="001D1CB6" w:rsidRPr="004D307F">
        <w:rPr>
          <w:rFonts w:ascii="VIC-Regular" w:eastAsia="Times New Roman" w:hAnsi="VIC-Regular" w:cs="Times New Roman"/>
          <w:color w:val="011A3C"/>
          <w:sz w:val="24"/>
          <w:szCs w:val="24"/>
          <w:lang w:val="en" w:eastAsia="en-AU"/>
        </w:rPr>
        <w:t>F</w:t>
      </w:r>
      <w:r w:rsidRPr="004D307F">
        <w:rPr>
          <w:rFonts w:ascii="VIC-Regular" w:eastAsia="Times New Roman" w:hAnsi="VIC-Regular" w:cs="Times New Roman"/>
          <w:color w:val="011A3C"/>
          <w:sz w:val="24"/>
          <w:szCs w:val="24"/>
          <w:lang w:val="en" w:eastAsia="en-AU"/>
        </w:rPr>
        <w:t xml:space="preserve">or assessment purposes, students undertaking VET as part of an SBAT are still able to gain credit towards completion of their senior secondary certificate. Further information on SBATs is available at: </w:t>
      </w:r>
      <w:hyperlink r:id="rId142" w:history="1">
        <w:r w:rsidRPr="004D307F">
          <w:rPr>
            <w:rFonts w:ascii="VIC-Regular" w:eastAsia="Times New Roman" w:hAnsi="VIC-Regular" w:cs="Times New Roman"/>
            <w:color w:val="011A3C"/>
            <w:sz w:val="24"/>
            <w:szCs w:val="24"/>
            <w:lang w:val="en" w:eastAsia="en-AU"/>
          </w:rPr>
          <w:t>Part-time and School-based Apprenticeships and Traineeships</w:t>
        </w:r>
      </w:hyperlink>
      <w:r w:rsidRPr="004D307F">
        <w:rPr>
          <w:rFonts w:ascii="VIC-Regular" w:eastAsia="Times New Roman" w:hAnsi="VIC-Regular" w:cs="Times New Roman"/>
          <w:color w:val="011A3C"/>
          <w:sz w:val="24"/>
          <w:szCs w:val="24"/>
          <w:lang w:val="en" w:eastAsia="en-AU"/>
        </w:rPr>
        <w:t>.</w:t>
      </w:r>
    </w:p>
    <w:p w14:paraId="25719DEF"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Head Start</w:t>
      </w:r>
    </w:p>
    <w:p w14:paraId="12C4AB0D" w14:textId="4271CC25" w:rsidR="00EA34C0" w:rsidRPr="004D307F" w:rsidRDefault="001D1CB6"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From 2019, t</w:t>
      </w:r>
      <w:r w:rsidR="00EA34C0" w:rsidRPr="004D307F">
        <w:rPr>
          <w:rFonts w:ascii="VIC-Regular" w:eastAsia="Times New Roman" w:hAnsi="VIC-Regular" w:cs="Times New Roman"/>
          <w:color w:val="011A3C"/>
          <w:sz w:val="24"/>
          <w:szCs w:val="24"/>
          <w:lang w:val="en" w:eastAsia="en-AU"/>
        </w:rPr>
        <w:t>he Government has also committed $</w:t>
      </w:r>
      <w:r w:rsidRPr="004D307F">
        <w:rPr>
          <w:rFonts w:ascii="VIC-Regular" w:eastAsia="Times New Roman" w:hAnsi="VIC-Regular" w:cs="Times New Roman"/>
          <w:color w:val="011A3C"/>
          <w:sz w:val="24"/>
          <w:szCs w:val="24"/>
          <w:lang w:val="en" w:eastAsia="en-AU"/>
        </w:rPr>
        <w:t>55</w:t>
      </w:r>
      <w:r w:rsidR="00EA34C0"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6</w:t>
      </w:r>
      <w:r w:rsidR="00EA34C0" w:rsidRPr="004D307F">
        <w:rPr>
          <w:rFonts w:ascii="VIC-Regular" w:eastAsia="Times New Roman" w:hAnsi="VIC-Regular" w:cs="Times New Roman"/>
          <w:color w:val="011A3C"/>
          <w:sz w:val="24"/>
          <w:szCs w:val="24"/>
          <w:lang w:val="en" w:eastAsia="en-AU"/>
        </w:rPr>
        <w:t>m over four years for the Head Start initiative which is</w:t>
      </w:r>
      <w:r w:rsidRPr="004D307F">
        <w:rPr>
          <w:rFonts w:ascii="VIC-Regular" w:eastAsia="Times New Roman" w:hAnsi="VIC-Regular" w:cs="Times New Roman"/>
          <w:color w:val="011A3C"/>
          <w:sz w:val="24"/>
          <w:szCs w:val="24"/>
          <w:lang w:val="en" w:eastAsia="en-AU"/>
        </w:rPr>
        <w:t xml:space="preserve"> now offered in 130</w:t>
      </w:r>
      <w:r w:rsidR="00EA34C0" w:rsidRPr="004D307F">
        <w:rPr>
          <w:rFonts w:ascii="VIC-Regular" w:eastAsia="Times New Roman" w:hAnsi="VIC-Regular" w:cs="Times New Roman"/>
          <w:color w:val="011A3C"/>
          <w:sz w:val="24"/>
          <w:szCs w:val="24"/>
          <w:lang w:val="en" w:eastAsia="en-AU"/>
        </w:rPr>
        <w:t xml:space="preserve"> secondary schools across Victoria </w:t>
      </w:r>
      <w:r w:rsidRPr="004D307F">
        <w:rPr>
          <w:rFonts w:ascii="VIC-Regular" w:eastAsia="Times New Roman" w:hAnsi="VIC-Regular" w:cs="Times New Roman"/>
          <w:color w:val="011A3C"/>
          <w:sz w:val="24"/>
          <w:szCs w:val="24"/>
          <w:lang w:val="en" w:eastAsia="en-AU"/>
        </w:rPr>
        <w:t xml:space="preserve">up from the 100 schools initially targeted. </w:t>
      </w:r>
      <w:r w:rsidR="00EA34C0" w:rsidRPr="004D307F">
        <w:rPr>
          <w:rFonts w:ascii="VIC-Regular" w:eastAsia="Times New Roman" w:hAnsi="VIC-Regular" w:cs="Times New Roman"/>
          <w:color w:val="011A3C"/>
          <w:sz w:val="24"/>
          <w:szCs w:val="24"/>
          <w:lang w:val="en" w:eastAsia="en-AU"/>
        </w:rPr>
        <w:t xml:space="preserve">Head Start provides an innovative approach that encourages students to undertake an apprenticeship or traineeship with high quality Certificate III qualifications in priority industries as part of their senior secondary studies. Like all SBATs, </w:t>
      </w:r>
      <w:hyperlink r:id="rId143" w:history="1">
        <w:r w:rsidR="00EA34C0" w:rsidRPr="004D307F">
          <w:rPr>
            <w:rFonts w:ascii="VIC-Regular" w:eastAsia="Times New Roman" w:hAnsi="VIC-Regular" w:cs="Times New Roman"/>
            <w:color w:val="011A3C"/>
            <w:sz w:val="24"/>
            <w:szCs w:val="24"/>
            <w:lang w:val="en" w:eastAsia="en-AU"/>
          </w:rPr>
          <w:t>Head Start apprenticeships and traineeships</w:t>
        </w:r>
      </w:hyperlink>
      <w:r w:rsidR="00EA34C0" w:rsidRPr="004D307F">
        <w:rPr>
          <w:rFonts w:ascii="VIC-Regular" w:eastAsia="Times New Roman" w:hAnsi="VIC-Regular" w:cs="Times New Roman"/>
          <w:color w:val="011A3C"/>
          <w:sz w:val="24"/>
          <w:szCs w:val="24"/>
          <w:lang w:val="en" w:eastAsia="en-AU"/>
        </w:rPr>
        <w:t xml:space="preserve"> are funded through Skills First.</w:t>
      </w:r>
    </w:p>
    <w:p w14:paraId="1DE2C14E"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School VET</w:t>
      </w:r>
      <w:r w:rsidRPr="004D307F">
        <w:rPr>
          <w:rFonts w:ascii="VIC-Bold" w:eastAsia="Times New Roman" w:hAnsi="VIC-Bold" w:cs="Times New Roman" w:hint="eastAsia"/>
          <w:b/>
          <w:bCs/>
          <w:color w:val="011A3C"/>
          <w:sz w:val="27"/>
          <w:szCs w:val="27"/>
          <w:lang w:val="en" w:eastAsia="en-AU"/>
        </w:rPr>
        <w:t> </w:t>
      </w:r>
      <w:r w:rsidRPr="004D307F">
        <w:rPr>
          <w:rFonts w:ascii="VIC-Bold" w:eastAsia="Times New Roman" w:hAnsi="VIC-Bold" w:cs="Times New Roman"/>
          <w:b/>
          <w:bCs/>
          <w:color w:val="011A3C"/>
          <w:sz w:val="27"/>
          <w:szCs w:val="27"/>
          <w:lang w:val="en" w:eastAsia="en-AU"/>
        </w:rPr>
        <w:t>fees and charges</w:t>
      </w:r>
    </w:p>
    <w:p w14:paraId="1F1E8DED" w14:textId="129B0A0C"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VET programs are considered standard </w:t>
      </w:r>
      <w:r w:rsidR="00992D19" w:rsidRPr="004D307F">
        <w:rPr>
          <w:rFonts w:ascii="VIC-Regular" w:eastAsia="Times New Roman" w:hAnsi="VIC-Regular" w:cs="Times New Roman"/>
          <w:color w:val="011A3C"/>
          <w:sz w:val="24"/>
          <w:szCs w:val="24"/>
          <w:lang w:val="en" w:eastAsia="en-AU"/>
        </w:rPr>
        <w:t>curriculum;</w:t>
      </w:r>
      <w:r w:rsidRPr="004D307F">
        <w:rPr>
          <w:rFonts w:ascii="VIC-Regular" w:eastAsia="Times New Roman" w:hAnsi="VIC-Regular" w:cs="Times New Roman"/>
          <w:color w:val="011A3C"/>
          <w:sz w:val="24"/>
          <w:szCs w:val="24"/>
          <w:lang w:val="en" w:eastAsia="en-AU"/>
        </w:rPr>
        <w:t xml:space="preserve"> therefore government schools must provide VET tuition free of charge. </w:t>
      </w:r>
    </w:p>
    <w:p w14:paraId="72378699" w14:textId="4CDA2E9F" w:rsidR="00EA34C0" w:rsidRPr="004D307F" w:rsidRDefault="001D1CB6"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From the start of the 2022 school year government schools will be reimbursed for VET material fees to address the cost barrier for families. Government schools will no longer request payments from parents for essential learning materials for VET studies.</w:t>
      </w:r>
    </w:p>
    <w:p w14:paraId="5733A30D"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Use of targeted VET funding</w:t>
      </w:r>
    </w:p>
    <w:p w14:paraId="7DECF92C" w14:textId="618C3BB6" w:rsidR="008A6CE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Targeted VET funding allocated to support VET provision can be used for a range of purposes.</w:t>
      </w:r>
    </w:p>
    <w:p w14:paraId="58026215" w14:textId="77777777"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This may include: </w:t>
      </w:r>
    </w:p>
    <w:p w14:paraId="6E79B257" w14:textId="77777777" w:rsidR="00EA34C0" w:rsidRPr="004D307F" w:rsidRDefault="00EA34C0" w:rsidP="00ED0863">
      <w:pPr>
        <w:numPr>
          <w:ilvl w:val="0"/>
          <w:numId w:val="65"/>
        </w:num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a contribution towards the purchase of delivery</w:t>
      </w:r>
    </w:p>
    <w:p w14:paraId="4DBBB754" w14:textId="77777777" w:rsidR="00EA34C0" w:rsidRPr="004D307F" w:rsidRDefault="00EA34C0" w:rsidP="00ED0863">
      <w:pPr>
        <w:numPr>
          <w:ilvl w:val="0"/>
          <w:numId w:val="65"/>
        </w:num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contribution towards teacher professional development and training</w:t>
      </w:r>
    </w:p>
    <w:p w14:paraId="3574F7F2" w14:textId="77777777" w:rsidR="00EA34C0" w:rsidRPr="004D307F" w:rsidRDefault="00EA34C0" w:rsidP="00ED0863">
      <w:pPr>
        <w:numPr>
          <w:ilvl w:val="0"/>
          <w:numId w:val="65"/>
        </w:num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costs associated with registering as an RTO</w:t>
      </w:r>
    </w:p>
    <w:p w14:paraId="6358BE00" w14:textId="77777777" w:rsidR="00EA34C0" w:rsidRPr="004D307F" w:rsidRDefault="00EA34C0" w:rsidP="00ED0863">
      <w:pPr>
        <w:numPr>
          <w:ilvl w:val="0"/>
          <w:numId w:val="65"/>
        </w:num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program planning</w:t>
      </w:r>
    </w:p>
    <w:p w14:paraId="5E7E03F4" w14:textId="77777777" w:rsidR="00EA34C0" w:rsidRPr="004D307F" w:rsidRDefault="00EA34C0" w:rsidP="00ED0863">
      <w:pPr>
        <w:numPr>
          <w:ilvl w:val="0"/>
          <w:numId w:val="65"/>
        </w:num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purchase of curriculum materials, and</w:t>
      </w:r>
    </w:p>
    <w:p w14:paraId="236A8E72" w14:textId="77777777" w:rsidR="00EA34C0" w:rsidRPr="004D307F" w:rsidRDefault="00EA34C0" w:rsidP="00ED0863">
      <w:pPr>
        <w:numPr>
          <w:ilvl w:val="0"/>
          <w:numId w:val="65"/>
        </w:num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costs associated with the transition to new training packages</w:t>
      </w:r>
    </w:p>
    <w:p w14:paraId="49E766FB"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Contractual arrangements between schools and VET providers</w:t>
      </w:r>
    </w:p>
    <w:p w14:paraId="4D669488" w14:textId="77777777"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entering into arrangements with RTOs must use the appropriate Department template and have a valid, signed Contract or Agreement.</w:t>
      </w:r>
    </w:p>
    <w:p w14:paraId="735D0E14" w14:textId="5BDB8F41"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available standard contracts and agreements are: Standard VET purchasing contract, Standard VET </w:t>
      </w:r>
      <w:r w:rsidR="00B21CA6" w:rsidRPr="004D307F">
        <w:rPr>
          <w:rFonts w:ascii="VIC-Regular" w:eastAsia="Times New Roman" w:hAnsi="VIC-Regular" w:cs="Times New Roman"/>
          <w:color w:val="011A3C"/>
          <w:sz w:val="24"/>
          <w:szCs w:val="24"/>
          <w:lang w:val="en" w:eastAsia="en-AU"/>
        </w:rPr>
        <w:t>A</w:t>
      </w:r>
      <w:r w:rsidRPr="004D307F">
        <w:rPr>
          <w:rFonts w:ascii="VIC-Regular" w:eastAsia="Times New Roman" w:hAnsi="VIC-Regular" w:cs="Times New Roman"/>
          <w:color w:val="011A3C"/>
          <w:sz w:val="24"/>
          <w:szCs w:val="24"/>
          <w:lang w:val="en" w:eastAsia="en-AU"/>
        </w:rPr>
        <w:t>uspicing contract, School to school VET purchasing agreement, and School to school VET access agreement.</w:t>
      </w:r>
    </w:p>
    <w:p w14:paraId="53F20BF3" w14:textId="77777777"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templates have been designed for the specific use of government schools purchasing services from RTOs and are not recommended for use by other parties. Use of the templates by other parties is subject to the Department’s copyright licensing arrangements (detailed at the base of the website’s landing page). </w:t>
      </w:r>
    </w:p>
    <w:p w14:paraId="07C15EB2" w14:textId="77777777"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For more information on guidelines for the delivery of VET to secondary school students and the template Contracts and Agreements refer to: </w:t>
      </w:r>
      <w:hyperlink r:id="rId144" w:history="1">
        <w:r w:rsidRPr="004D307F">
          <w:rPr>
            <w:rFonts w:ascii="VIC-Regular" w:eastAsia="Times New Roman" w:hAnsi="VIC-Regular" w:cs="Times New Roman"/>
            <w:color w:val="011A3C"/>
            <w:sz w:val="24"/>
            <w:szCs w:val="24"/>
            <w:lang w:val="en" w:eastAsia="en-AU"/>
          </w:rPr>
          <w:t>Purchasing Secondary Courses and Vocational Training from External Providers</w:t>
        </w:r>
      </w:hyperlink>
      <w:r w:rsidRPr="004D307F">
        <w:rPr>
          <w:rFonts w:ascii="VIC-Regular" w:eastAsia="Times New Roman" w:hAnsi="VIC-Regular" w:cs="Times New Roman"/>
          <w:color w:val="011A3C"/>
          <w:sz w:val="24"/>
          <w:szCs w:val="24"/>
          <w:lang w:val="en" w:eastAsia="en-AU"/>
        </w:rPr>
        <w:t>. </w:t>
      </w:r>
    </w:p>
    <w:p w14:paraId="205A77FB"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Timing of payments to schools</w:t>
      </w:r>
    </w:p>
    <w:p w14:paraId="49B99D31" w14:textId="072015E2" w:rsidR="00EA34C0" w:rsidRPr="004D307F" w:rsidRDefault="00EA34C0" w:rsidP="005A7E0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Government schools are provided with targeted funding for every eligible VET certificate enrolment (including a new line item payment for TAFE Supplement if eligible) provided that they have entered the certificates, units and hours for each VET enrolment on VASS no later than annual VET funding deadline. Payments are made in the quarterly cash grant through the Student Resource Package, as per the schedule details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6"/>
        <w:gridCol w:w="3459"/>
        <w:gridCol w:w="4921"/>
      </w:tblGrid>
      <w:tr w:rsidR="00EA34C0" w:rsidRPr="004D307F" w14:paraId="0112C3FC" w14:textId="77777777" w:rsidTr="00D8139D">
        <w:trPr>
          <w:tblHeader/>
        </w:trPr>
        <w:tc>
          <w:tcPr>
            <w:tcW w:w="0" w:type="auto"/>
            <w:gridSpan w:val="3"/>
            <w:vAlign w:val="center"/>
            <w:hideMark/>
          </w:tcPr>
          <w:p w14:paraId="70D045CD" w14:textId="77777777" w:rsidR="00EA34C0" w:rsidRPr="004D307F" w:rsidRDefault="00EA34C0" w:rsidP="00EA34C0">
            <w:pPr>
              <w:spacing w:before="100" w:beforeAutospacing="1" w:after="100" w:afterAutospacing="1" w:line="288" w:lineRule="atLeast"/>
              <w:textAlignment w:val="top"/>
              <w:outlineLvl w:val="3"/>
              <w:rPr>
                <w:rFonts w:ascii="VIC-Bold" w:eastAsia="Times New Roman" w:hAnsi="VIC-Bold" w:cs="Times New Roman"/>
                <w:b/>
                <w:bCs/>
                <w:sz w:val="24"/>
                <w:szCs w:val="24"/>
                <w:lang w:eastAsia="en-AU"/>
              </w:rPr>
            </w:pPr>
            <w:r w:rsidRPr="004D307F">
              <w:rPr>
                <w:rFonts w:ascii="VIC-Bold" w:eastAsia="Times New Roman" w:hAnsi="VIC-Bold" w:cs="Times New Roman"/>
                <w:b/>
                <w:bCs/>
                <w:color w:val="323E4F" w:themeColor="text2" w:themeShade="BF"/>
                <w:sz w:val="24"/>
                <w:szCs w:val="24"/>
                <w:lang w:eastAsia="en-AU"/>
              </w:rPr>
              <w:t>Timing of payments to schools</w:t>
            </w:r>
          </w:p>
        </w:tc>
      </w:tr>
      <w:tr w:rsidR="00EA34C0" w:rsidRPr="004D307F" w14:paraId="6133BC4E" w14:textId="77777777" w:rsidTr="00D8139D">
        <w:trPr>
          <w:tblHeader/>
        </w:trPr>
        <w:tc>
          <w:tcPr>
            <w:tcW w:w="0" w:type="auto"/>
            <w:hideMark/>
          </w:tcPr>
          <w:p w14:paraId="47F54D6C" w14:textId="77777777" w:rsidR="00EA34C0" w:rsidRPr="004D307F" w:rsidRDefault="00EA34C0" w:rsidP="00EA34C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Terms</w:t>
            </w:r>
          </w:p>
        </w:tc>
        <w:tc>
          <w:tcPr>
            <w:tcW w:w="0" w:type="auto"/>
            <w:hideMark/>
          </w:tcPr>
          <w:p w14:paraId="28A80EE4" w14:textId="77777777" w:rsidR="00EA34C0" w:rsidRPr="004D307F" w:rsidRDefault="00EA34C0" w:rsidP="00EA34C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Allocation</w:t>
            </w:r>
          </w:p>
        </w:tc>
        <w:tc>
          <w:tcPr>
            <w:tcW w:w="0" w:type="auto"/>
            <w:hideMark/>
          </w:tcPr>
          <w:p w14:paraId="524FF9EC" w14:textId="77777777" w:rsidR="00EA34C0" w:rsidRPr="004D307F" w:rsidRDefault="00EA34C0" w:rsidP="00EA34C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Enrolment Basis</w:t>
            </w:r>
          </w:p>
        </w:tc>
      </w:tr>
      <w:tr w:rsidR="00EA34C0" w:rsidRPr="004D307F" w14:paraId="59C40333" w14:textId="77777777" w:rsidTr="00D8139D">
        <w:tc>
          <w:tcPr>
            <w:tcW w:w="0" w:type="auto"/>
            <w:hideMark/>
          </w:tcPr>
          <w:p w14:paraId="18CBF9EB" w14:textId="77777777"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w:t>
            </w:r>
          </w:p>
        </w:tc>
        <w:tc>
          <w:tcPr>
            <w:tcW w:w="0" w:type="auto"/>
            <w:hideMark/>
          </w:tcPr>
          <w:p w14:paraId="643F7054" w14:textId="77777777"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25% of indicative funding</w:t>
            </w:r>
          </w:p>
        </w:tc>
        <w:tc>
          <w:tcPr>
            <w:tcW w:w="0" w:type="auto"/>
            <w:hideMark/>
          </w:tcPr>
          <w:p w14:paraId="70C53D0D" w14:textId="38A753CD"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20</w:t>
            </w:r>
            <w:r w:rsidR="006B4B01" w:rsidRPr="004D307F">
              <w:rPr>
                <w:rFonts w:ascii="VIC-Regular" w:eastAsia="Times New Roman" w:hAnsi="VIC-Regular" w:cs="Times New Roman"/>
                <w:color w:val="323E4F" w:themeColor="text2" w:themeShade="BF"/>
                <w:sz w:val="24"/>
                <w:szCs w:val="24"/>
                <w:lang w:eastAsia="en-AU"/>
              </w:rPr>
              <w:t>2</w:t>
            </w:r>
            <w:r w:rsidR="00B21CA6" w:rsidRPr="004D307F">
              <w:rPr>
                <w:rFonts w:ascii="VIC-Regular" w:eastAsia="Times New Roman" w:hAnsi="VIC-Regular" w:cs="Times New Roman"/>
                <w:color w:val="323E4F" w:themeColor="text2" w:themeShade="BF"/>
                <w:sz w:val="24"/>
                <w:szCs w:val="24"/>
                <w:lang w:eastAsia="en-AU"/>
              </w:rPr>
              <w:t>1</w:t>
            </w:r>
            <w:r w:rsidRPr="004D307F">
              <w:rPr>
                <w:rFonts w:ascii="VIC-Regular" w:eastAsia="Times New Roman" w:hAnsi="VIC-Regular" w:cs="Times New Roman"/>
                <w:color w:val="323E4F" w:themeColor="text2" w:themeShade="BF"/>
                <w:sz w:val="24"/>
                <w:szCs w:val="24"/>
                <w:lang w:eastAsia="en-AU"/>
              </w:rPr>
              <w:t xml:space="preserve"> enrolments applying 202</w:t>
            </w:r>
            <w:r w:rsidR="00B21CA6" w:rsidRPr="004D307F">
              <w:rPr>
                <w:rFonts w:ascii="VIC-Regular" w:eastAsia="Times New Roman" w:hAnsi="VIC-Regular" w:cs="Times New Roman"/>
                <w:color w:val="323E4F" w:themeColor="text2" w:themeShade="BF"/>
                <w:sz w:val="24"/>
                <w:szCs w:val="24"/>
                <w:lang w:eastAsia="en-AU"/>
              </w:rPr>
              <w:t>2</w:t>
            </w:r>
            <w:r w:rsidRPr="004D307F">
              <w:rPr>
                <w:rFonts w:ascii="VIC-Regular" w:eastAsia="Times New Roman" w:hAnsi="VIC-Regular" w:cs="Times New Roman"/>
                <w:color w:val="323E4F" w:themeColor="text2" w:themeShade="BF"/>
                <w:sz w:val="24"/>
                <w:szCs w:val="24"/>
                <w:lang w:eastAsia="en-AU"/>
              </w:rPr>
              <w:t xml:space="preserve"> Indicative Band Levels</w:t>
            </w:r>
          </w:p>
        </w:tc>
      </w:tr>
      <w:tr w:rsidR="00EA34C0" w:rsidRPr="004D307F" w14:paraId="74C2269E" w14:textId="77777777" w:rsidTr="00D8139D">
        <w:tc>
          <w:tcPr>
            <w:tcW w:w="0" w:type="auto"/>
            <w:hideMark/>
          </w:tcPr>
          <w:p w14:paraId="4FBB8F85" w14:textId="77777777"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w:t>
            </w:r>
          </w:p>
        </w:tc>
        <w:tc>
          <w:tcPr>
            <w:tcW w:w="0" w:type="auto"/>
            <w:hideMark/>
          </w:tcPr>
          <w:p w14:paraId="697DD2E8" w14:textId="77777777"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25% of indicative funding</w:t>
            </w:r>
          </w:p>
        </w:tc>
        <w:tc>
          <w:tcPr>
            <w:tcW w:w="0" w:type="auto"/>
            <w:hideMark/>
          </w:tcPr>
          <w:p w14:paraId="1B10F636" w14:textId="60BBF531"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20</w:t>
            </w:r>
            <w:r w:rsidR="006B4B01" w:rsidRPr="004D307F">
              <w:rPr>
                <w:rFonts w:ascii="VIC-Regular" w:eastAsia="Times New Roman" w:hAnsi="VIC-Regular" w:cs="Times New Roman"/>
                <w:color w:val="323E4F" w:themeColor="text2" w:themeShade="BF"/>
                <w:sz w:val="24"/>
                <w:szCs w:val="24"/>
                <w:lang w:eastAsia="en-AU"/>
              </w:rPr>
              <w:t>2</w:t>
            </w:r>
            <w:r w:rsidR="00B21CA6" w:rsidRPr="004D307F">
              <w:rPr>
                <w:rFonts w:ascii="VIC-Regular" w:eastAsia="Times New Roman" w:hAnsi="VIC-Regular" w:cs="Times New Roman"/>
                <w:color w:val="323E4F" w:themeColor="text2" w:themeShade="BF"/>
                <w:sz w:val="24"/>
                <w:szCs w:val="24"/>
                <w:lang w:eastAsia="en-AU"/>
              </w:rPr>
              <w:t>1</w:t>
            </w:r>
            <w:r w:rsidRPr="004D307F">
              <w:rPr>
                <w:rFonts w:ascii="VIC-Regular" w:eastAsia="Times New Roman" w:hAnsi="VIC-Regular" w:cs="Times New Roman"/>
                <w:color w:val="323E4F" w:themeColor="text2" w:themeShade="BF"/>
                <w:sz w:val="24"/>
                <w:szCs w:val="24"/>
                <w:lang w:eastAsia="en-AU"/>
              </w:rPr>
              <w:t xml:space="preserve"> enrolments applying 202</w:t>
            </w:r>
            <w:r w:rsidR="00B21CA6" w:rsidRPr="004D307F">
              <w:rPr>
                <w:rFonts w:ascii="VIC-Regular" w:eastAsia="Times New Roman" w:hAnsi="VIC-Regular" w:cs="Times New Roman"/>
                <w:color w:val="323E4F" w:themeColor="text2" w:themeShade="BF"/>
                <w:sz w:val="24"/>
                <w:szCs w:val="24"/>
                <w:lang w:eastAsia="en-AU"/>
              </w:rPr>
              <w:t>2</w:t>
            </w:r>
            <w:r w:rsidRPr="004D307F">
              <w:rPr>
                <w:rFonts w:ascii="VIC-Regular" w:eastAsia="Times New Roman" w:hAnsi="VIC-Regular" w:cs="Times New Roman"/>
                <w:color w:val="323E4F" w:themeColor="text2" w:themeShade="BF"/>
                <w:sz w:val="24"/>
                <w:szCs w:val="24"/>
                <w:lang w:eastAsia="en-AU"/>
              </w:rPr>
              <w:t xml:space="preserve"> Indicative Band Levels</w:t>
            </w:r>
          </w:p>
        </w:tc>
      </w:tr>
      <w:tr w:rsidR="00EA34C0" w:rsidRPr="004D307F" w14:paraId="13EB2A02" w14:textId="77777777" w:rsidTr="00D8139D">
        <w:tc>
          <w:tcPr>
            <w:tcW w:w="0" w:type="auto"/>
            <w:hideMark/>
          </w:tcPr>
          <w:p w14:paraId="575073A8" w14:textId="77777777"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lastRenderedPageBreak/>
              <w:t>2/3</w:t>
            </w:r>
          </w:p>
        </w:tc>
        <w:tc>
          <w:tcPr>
            <w:tcW w:w="0" w:type="auto"/>
            <w:hideMark/>
          </w:tcPr>
          <w:p w14:paraId="4471E267" w14:textId="7D8E9540"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 xml:space="preserve">Term 1 and 2 </w:t>
            </w:r>
            <w:r w:rsidR="0042488F" w:rsidRPr="004D307F">
              <w:rPr>
                <w:rFonts w:ascii="VIC-Regular" w:eastAsia="Times New Roman" w:hAnsi="VIC-Regular" w:cs="Times New Roman"/>
                <w:color w:val="323E4F" w:themeColor="text2" w:themeShade="BF"/>
                <w:sz w:val="24"/>
                <w:szCs w:val="24"/>
                <w:lang w:eastAsia="en-AU"/>
              </w:rPr>
              <w:t>adjustments</w:t>
            </w:r>
            <w:r w:rsidRPr="004D307F">
              <w:rPr>
                <w:rFonts w:ascii="VIC-Regular" w:eastAsia="Times New Roman" w:hAnsi="VIC-Regular" w:cs="Times New Roman"/>
                <w:color w:val="323E4F" w:themeColor="text2" w:themeShade="BF"/>
                <w:sz w:val="24"/>
                <w:szCs w:val="24"/>
                <w:lang w:eastAsia="en-AU"/>
              </w:rPr>
              <w:t xml:space="preserve"> to school budgets</w:t>
            </w:r>
          </w:p>
        </w:tc>
        <w:tc>
          <w:tcPr>
            <w:tcW w:w="0" w:type="auto"/>
            <w:hideMark/>
          </w:tcPr>
          <w:p w14:paraId="6007523F" w14:textId="76070EC9"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202</w:t>
            </w:r>
            <w:r w:rsidR="00B21CA6" w:rsidRPr="004D307F">
              <w:rPr>
                <w:rFonts w:ascii="VIC-Regular" w:eastAsia="Times New Roman" w:hAnsi="VIC-Regular" w:cs="Times New Roman"/>
                <w:color w:val="323E4F" w:themeColor="text2" w:themeShade="BF"/>
                <w:sz w:val="24"/>
                <w:szCs w:val="24"/>
                <w:lang w:eastAsia="en-AU"/>
              </w:rPr>
              <w:t>2</w:t>
            </w:r>
            <w:r w:rsidRPr="004D307F">
              <w:rPr>
                <w:rFonts w:ascii="VIC-Regular" w:eastAsia="Times New Roman" w:hAnsi="VIC-Regular" w:cs="Times New Roman"/>
                <w:color w:val="323E4F" w:themeColor="text2" w:themeShade="BF"/>
                <w:sz w:val="24"/>
                <w:szCs w:val="24"/>
                <w:lang w:eastAsia="en-AU"/>
              </w:rPr>
              <w:t xml:space="preserve"> confirmed enrolments applying 202</w:t>
            </w:r>
            <w:r w:rsidR="00B21CA6" w:rsidRPr="004D307F">
              <w:rPr>
                <w:rFonts w:ascii="VIC-Regular" w:eastAsia="Times New Roman" w:hAnsi="VIC-Regular" w:cs="Times New Roman"/>
                <w:color w:val="323E4F" w:themeColor="text2" w:themeShade="BF"/>
                <w:sz w:val="24"/>
                <w:szCs w:val="24"/>
                <w:lang w:eastAsia="en-AU"/>
              </w:rPr>
              <w:t>2</w:t>
            </w:r>
            <w:r w:rsidRPr="004D307F">
              <w:rPr>
                <w:rFonts w:ascii="VIC-Regular" w:eastAsia="Times New Roman" w:hAnsi="VIC-Regular" w:cs="Times New Roman"/>
                <w:color w:val="323E4F" w:themeColor="text2" w:themeShade="BF"/>
                <w:sz w:val="24"/>
                <w:szCs w:val="24"/>
                <w:lang w:eastAsia="en-AU"/>
              </w:rPr>
              <w:t xml:space="preserve"> Confirmed Band Levels</w:t>
            </w:r>
          </w:p>
        </w:tc>
      </w:tr>
      <w:tr w:rsidR="00EA34C0" w:rsidRPr="004D307F" w14:paraId="3745FD58" w14:textId="77777777" w:rsidTr="00D8139D">
        <w:tc>
          <w:tcPr>
            <w:tcW w:w="0" w:type="auto"/>
            <w:hideMark/>
          </w:tcPr>
          <w:p w14:paraId="3FB75084" w14:textId="77777777"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w:t>
            </w:r>
          </w:p>
        </w:tc>
        <w:tc>
          <w:tcPr>
            <w:tcW w:w="0" w:type="auto"/>
            <w:hideMark/>
          </w:tcPr>
          <w:p w14:paraId="76989DDC" w14:textId="77777777"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25% of confirmed funding</w:t>
            </w:r>
          </w:p>
        </w:tc>
        <w:tc>
          <w:tcPr>
            <w:tcW w:w="0" w:type="auto"/>
            <w:hideMark/>
          </w:tcPr>
          <w:p w14:paraId="57ECECD1" w14:textId="335EFBB3"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202</w:t>
            </w:r>
            <w:r w:rsidR="00B21CA6" w:rsidRPr="004D307F">
              <w:rPr>
                <w:rFonts w:ascii="VIC-Regular" w:eastAsia="Times New Roman" w:hAnsi="VIC-Regular" w:cs="Times New Roman"/>
                <w:color w:val="323E4F" w:themeColor="text2" w:themeShade="BF"/>
                <w:sz w:val="24"/>
                <w:szCs w:val="24"/>
                <w:lang w:eastAsia="en-AU"/>
              </w:rPr>
              <w:t>2</w:t>
            </w:r>
            <w:r w:rsidRPr="004D307F">
              <w:rPr>
                <w:rFonts w:ascii="VIC-Regular" w:eastAsia="Times New Roman" w:hAnsi="VIC-Regular" w:cs="Times New Roman"/>
                <w:color w:val="323E4F" w:themeColor="text2" w:themeShade="BF"/>
                <w:sz w:val="24"/>
                <w:szCs w:val="24"/>
                <w:lang w:eastAsia="en-AU"/>
              </w:rPr>
              <w:t xml:space="preserve"> confirmed enrolments applying 202</w:t>
            </w:r>
            <w:r w:rsidR="00B21CA6" w:rsidRPr="004D307F">
              <w:rPr>
                <w:rFonts w:ascii="VIC-Regular" w:eastAsia="Times New Roman" w:hAnsi="VIC-Regular" w:cs="Times New Roman"/>
                <w:color w:val="323E4F" w:themeColor="text2" w:themeShade="BF"/>
                <w:sz w:val="24"/>
                <w:szCs w:val="24"/>
                <w:lang w:eastAsia="en-AU"/>
              </w:rPr>
              <w:t>2</w:t>
            </w:r>
            <w:r w:rsidRPr="004D307F">
              <w:rPr>
                <w:rFonts w:ascii="VIC-Regular" w:eastAsia="Times New Roman" w:hAnsi="VIC-Regular" w:cs="Times New Roman"/>
                <w:color w:val="323E4F" w:themeColor="text2" w:themeShade="BF"/>
                <w:sz w:val="24"/>
                <w:szCs w:val="24"/>
                <w:lang w:eastAsia="en-AU"/>
              </w:rPr>
              <w:t xml:space="preserve"> Confirmed Band Levels</w:t>
            </w:r>
          </w:p>
        </w:tc>
      </w:tr>
      <w:tr w:rsidR="00EA34C0" w:rsidRPr="004D307F" w14:paraId="1018ABFD" w14:textId="77777777" w:rsidTr="00D8139D">
        <w:tc>
          <w:tcPr>
            <w:tcW w:w="0" w:type="auto"/>
            <w:hideMark/>
          </w:tcPr>
          <w:p w14:paraId="1314F6A2" w14:textId="77777777"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w:t>
            </w:r>
          </w:p>
        </w:tc>
        <w:tc>
          <w:tcPr>
            <w:tcW w:w="0" w:type="auto"/>
            <w:hideMark/>
          </w:tcPr>
          <w:p w14:paraId="26465A47" w14:textId="77777777"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25% of confirmed funding</w:t>
            </w:r>
          </w:p>
        </w:tc>
        <w:tc>
          <w:tcPr>
            <w:tcW w:w="0" w:type="auto"/>
            <w:hideMark/>
          </w:tcPr>
          <w:p w14:paraId="74021CD2" w14:textId="13A8E05A"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202</w:t>
            </w:r>
            <w:r w:rsidR="00B21CA6" w:rsidRPr="004D307F">
              <w:rPr>
                <w:rFonts w:ascii="VIC-Regular" w:eastAsia="Times New Roman" w:hAnsi="VIC-Regular" w:cs="Times New Roman"/>
                <w:color w:val="323E4F" w:themeColor="text2" w:themeShade="BF"/>
                <w:sz w:val="24"/>
                <w:szCs w:val="24"/>
                <w:lang w:eastAsia="en-AU"/>
              </w:rPr>
              <w:t>2</w:t>
            </w:r>
            <w:r w:rsidRPr="004D307F">
              <w:rPr>
                <w:rFonts w:ascii="VIC-Regular" w:eastAsia="Times New Roman" w:hAnsi="VIC-Regular" w:cs="Times New Roman"/>
                <w:color w:val="323E4F" w:themeColor="text2" w:themeShade="BF"/>
                <w:sz w:val="24"/>
                <w:szCs w:val="24"/>
                <w:lang w:eastAsia="en-AU"/>
              </w:rPr>
              <w:t xml:space="preserve"> confirmed enrolments applying 202</w:t>
            </w:r>
            <w:r w:rsidR="00B21CA6" w:rsidRPr="004D307F">
              <w:rPr>
                <w:rFonts w:ascii="VIC-Regular" w:eastAsia="Times New Roman" w:hAnsi="VIC-Regular" w:cs="Times New Roman"/>
                <w:color w:val="323E4F" w:themeColor="text2" w:themeShade="BF"/>
                <w:sz w:val="24"/>
                <w:szCs w:val="24"/>
                <w:lang w:eastAsia="en-AU"/>
              </w:rPr>
              <w:t>2</w:t>
            </w:r>
            <w:r w:rsidRPr="004D307F">
              <w:rPr>
                <w:rFonts w:ascii="VIC-Regular" w:eastAsia="Times New Roman" w:hAnsi="VIC-Regular" w:cs="Times New Roman"/>
                <w:color w:val="323E4F" w:themeColor="text2" w:themeShade="BF"/>
                <w:sz w:val="24"/>
                <w:szCs w:val="24"/>
                <w:lang w:eastAsia="en-AU"/>
              </w:rPr>
              <w:t xml:space="preserve"> Confirmed Band Levels</w:t>
            </w:r>
          </w:p>
        </w:tc>
      </w:tr>
    </w:tbl>
    <w:p w14:paraId="1D8ABA97"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Note: TAFE Supplement funds will be paid against a separate budget line in the Term 3 quarterly cash grants through the Student Resource Package once actual eligible VET enrolments are known.</w:t>
      </w:r>
    </w:p>
    <w:p w14:paraId="6E24F6BD"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Professional Development for newly appointed VASS users</w:t>
      </w:r>
    </w:p>
    <w:p w14:paraId="1B1AA03B" w14:textId="77777777"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 the early part of each year, the Victorian Curriculum and Assessment Authority (VCAA) conducts professional development training specifically designed for VASS administrators who are new to their position or who have never used VASS, and new schools offering a VCE, VET or VCAL program for the first time.</w:t>
      </w:r>
    </w:p>
    <w:p w14:paraId="6781BCBD" w14:textId="77777777"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Any queries related to VASS Operations should be directed to the VCAA’s VASS Support team:</w:t>
      </w:r>
    </w:p>
    <w:p w14:paraId="77329F89" w14:textId="77777777"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Phone: </w:t>
      </w:r>
      <w:hyperlink r:id="rId145" w:history="1">
        <w:r w:rsidRPr="004D307F">
          <w:rPr>
            <w:rFonts w:ascii="VIC-Regular" w:eastAsia="Times New Roman" w:hAnsi="VIC-Regular" w:cs="Times New Roman"/>
            <w:color w:val="011A3C"/>
            <w:sz w:val="24"/>
            <w:szCs w:val="24"/>
            <w:lang w:val="en" w:eastAsia="en-AU"/>
          </w:rPr>
          <w:t>03 9032 1758</w:t>
        </w:r>
      </w:hyperlink>
      <w:r w:rsidRPr="004D307F">
        <w:rPr>
          <w:rFonts w:ascii="VIC-Regular" w:eastAsia="Times New Roman" w:hAnsi="VIC-Regular" w:cs="Times New Roman"/>
          <w:color w:val="011A3C"/>
          <w:sz w:val="24"/>
          <w:szCs w:val="24"/>
          <w:lang w:val="en" w:eastAsia="en-AU"/>
        </w:rPr>
        <w:t xml:space="preserve"> or </w:t>
      </w:r>
      <w:hyperlink r:id="rId146" w:history="1">
        <w:r w:rsidRPr="004D307F">
          <w:rPr>
            <w:rFonts w:ascii="VIC-Regular" w:eastAsia="Times New Roman" w:hAnsi="VIC-Regular" w:cs="Times New Roman"/>
            <w:color w:val="011A3C"/>
            <w:sz w:val="24"/>
            <w:szCs w:val="24"/>
            <w:lang w:val="en" w:eastAsia="en-AU"/>
          </w:rPr>
          <w:t>1800 623 681</w:t>
        </w:r>
      </w:hyperlink>
    </w:p>
    <w:p w14:paraId="04392A7D" w14:textId="46E12D2D"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Email: </w:t>
      </w:r>
      <w:hyperlink r:id="rId147" w:history="1">
        <w:r w:rsidR="00DD239B" w:rsidRPr="004D307F">
          <w:rPr>
            <w:rStyle w:val="Hyperlink"/>
            <w:rFonts w:ascii="VIC-Regular" w:eastAsia="Times New Roman" w:hAnsi="VIC-Regular" w:cs="Times New Roman"/>
            <w:sz w:val="24"/>
            <w:szCs w:val="24"/>
            <w:lang w:val="en" w:eastAsia="en-AU"/>
          </w:rPr>
          <w:t>vass.support@education.vic.gov.au</w:t>
        </w:r>
      </w:hyperlink>
    </w:p>
    <w:bookmarkEnd w:id="98"/>
    <w:p w14:paraId="201FAFB0" w14:textId="77777777" w:rsidR="00EA34C0" w:rsidRPr="004D307F" w:rsidRDefault="00EA34C0" w:rsidP="004D307F">
      <w:pPr>
        <w:spacing w:before="120" w:after="120" w:line="360" w:lineRule="atLeast"/>
      </w:pPr>
      <w:r w:rsidRPr="004D307F">
        <w:br w:type="page"/>
      </w:r>
    </w:p>
    <w:p w14:paraId="1C2AB6B6" w14:textId="7A3B26A4" w:rsidR="0034555D" w:rsidRPr="004D307F" w:rsidRDefault="007F66A6" w:rsidP="00B566E7">
      <w:pPr>
        <w:pStyle w:val="Heading2"/>
      </w:pPr>
      <w:bookmarkStart w:id="102" w:name="_Toc106793792"/>
      <w:r w:rsidRPr="004D307F">
        <w:lastRenderedPageBreak/>
        <w:t xml:space="preserve">Respectful </w:t>
      </w:r>
      <w:r w:rsidR="006A743D" w:rsidRPr="004D307F">
        <w:t>Relationships (</w:t>
      </w:r>
      <w:r w:rsidR="000E2D3A" w:rsidRPr="004D307F">
        <w:t xml:space="preserve">Reference </w:t>
      </w:r>
      <w:r w:rsidR="00934E2E" w:rsidRPr="004D307F">
        <w:t>86)</w:t>
      </w:r>
      <w:bookmarkEnd w:id="102"/>
    </w:p>
    <w:p w14:paraId="482B1F7D" w14:textId="7CEF90B6" w:rsidR="0034555D" w:rsidRPr="004D307F" w:rsidRDefault="00901FCB" w:rsidP="0034555D">
      <w:p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48" w:history="1">
        <w:r w:rsidR="0034555D" w:rsidRPr="004D307F">
          <w:rPr>
            <w:rFonts w:ascii="VIC-Regular" w:eastAsia="Times New Roman" w:hAnsi="VIC-Regular" w:cs="Times New Roman"/>
            <w:color w:val="011A3C"/>
            <w:sz w:val="24"/>
            <w:szCs w:val="24"/>
            <w:lang w:val="en" w:eastAsia="en-AU"/>
          </w:rPr>
          <w:t>Respectful Relationships</w:t>
        </w:r>
      </w:hyperlink>
      <w:r w:rsidR="0034555D" w:rsidRPr="004D307F">
        <w:rPr>
          <w:rFonts w:ascii="VIC-Regular" w:eastAsia="Times New Roman" w:hAnsi="VIC-Regular" w:cs="Times New Roman"/>
          <w:color w:val="011A3C"/>
          <w:sz w:val="24"/>
          <w:szCs w:val="24"/>
          <w:lang w:val="en" w:eastAsia="en-AU"/>
        </w:rPr>
        <w:t xml:space="preserve"> is being rolled out across the state through a </w:t>
      </w:r>
      <w:hyperlink r:id="rId149" w:history="1">
        <w:r w:rsidR="00DD3790" w:rsidRPr="004D307F">
          <w:rPr>
            <w:rFonts w:ascii="VIC-Regular" w:eastAsia="Times New Roman" w:hAnsi="VIC-Regular" w:cs="Times New Roman"/>
            <w:color w:val="011A3C"/>
            <w:sz w:val="24"/>
            <w:szCs w:val="24"/>
            <w:lang w:val="en" w:eastAsia="en-AU"/>
          </w:rPr>
          <w:t>L</w:t>
        </w:r>
        <w:r w:rsidR="0034555D" w:rsidRPr="004D307F">
          <w:rPr>
            <w:rFonts w:ascii="VIC-Regular" w:eastAsia="Times New Roman" w:hAnsi="VIC-Regular" w:cs="Times New Roman"/>
            <w:color w:val="011A3C"/>
            <w:sz w:val="24"/>
            <w:szCs w:val="24"/>
            <w:lang w:val="en" w:eastAsia="en-AU"/>
          </w:rPr>
          <w:t xml:space="preserve">ead and </w:t>
        </w:r>
        <w:r w:rsidR="00DD3790" w:rsidRPr="004D307F">
          <w:rPr>
            <w:rFonts w:ascii="VIC-Regular" w:eastAsia="Times New Roman" w:hAnsi="VIC-Regular" w:cs="Times New Roman"/>
            <w:color w:val="011A3C"/>
            <w:sz w:val="24"/>
            <w:szCs w:val="24"/>
            <w:lang w:val="en" w:eastAsia="en-AU"/>
          </w:rPr>
          <w:t>P</w:t>
        </w:r>
        <w:r w:rsidR="0034555D" w:rsidRPr="004D307F">
          <w:rPr>
            <w:rFonts w:ascii="VIC-Regular" w:eastAsia="Times New Roman" w:hAnsi="VIC-Regular" w:cs="Times New Roman"/>
            <w:color w:val="011A3C"/>
            <w:sz w:val="24"/>
            <w:szCs w:val="24"/>
            <w:lang w:val="en" w:eastAsia="en-AU"/>
          </w:rPr>
          <w:t>artner school model</w:t>
        </w:r>
      </w:hyperlink>
      <w:r w:rsidR="0034555D" w:rsidRPr="004D307F">
        <w:rPr>
          <w:rFonts w:ascii="VIC-Regular" w:eastAsia="Times New Roman" w:hAnsi="VIC-Regular" w:cs="Times New Roman"/>
          <w:color w:val="011A3C"/>
          <w:sz w:val="24"/>
          <w:szCs w:val="24"/>
          <w:lang w:val="en" w:eastAsia="en-AU"/>
        </w:rPr>
        <w:t>.</w:t>
      </w:r>
      <w:r w:rsidR="00DB5CA6" w:rsidRPr="004D307F">
        <w:rPr>
          <w:rFonts w:ascii="VIC-Regular" w:eastAsia="Times New Roman" w:hAnsi="VIC-Regular" w:cs="Times New Roman"/>
          <w:color w:val="011A3C"/>
          <w:sz w:val="24"/>
          <w:szCs w:val="24"/>
          <w:lang w:val="en" w:eastAsia="en-AU"/>
        </w:rPr>
        <w:t xml:space="preserve"> </w:t>
      </w:r>
      <w:r w:rsidR="0034555D" w:rsidRPr="004D307F">
        <w:rPr>
          <w:rFonts w:ascii="VIC-Regular" w:eastAsia="Times New Roman" w:hAnsi="VIC-Regular" w:cs="Times New Roman"/>
          <w:color w:val="011A3C"/>
          <w:sz w:val="24"/>
          <w:szCs w:val="24"/>
          <w:lang w:val="en" w:eastAsia="en-AU"/>
        </w:rPr>
        <w:t xml:space="preserve">Funding for this initiative is allocated through the </w:t>
      </w:r>
      <w:r w:rsidR="00133037" w:rsidRPr="004D307F">
        <w:rPr>
          <w:rFonts w:ascii="VIC-Regular" w:eastAsia="Times New Roman" w:hAnsi="VIC-Regular" w:cs="Times New Roman"/>
          <w:color w:val="011A3C"/>
          <w:sz w:val="24"/>
          <w:szCs w:val="24"/>
          <w:lang w:val="en" w:eastAsia="en-AU"/>
        </w:rPr>
        <w:t>S</w:t>
      </w:r>
      <w:r w:rsidR="0034555D" w:rsidRPr="004D307F">
        <w:rPr>
          <w:rFonts w:ascii="VIC-Regular" w:eastAsia="Times New Roman" w:hAnsi="VIC-Regular" w:cs="Times New Roman"/>
          <w:color w:val="011A3C"/>
          <w:sz w:val="24"/>
          <w:szCs w:val="24"/>
          <w:lang w:val="en" w:eastAsia="en-AU"/>
        </w:rPr>
        <w:t xml:space="preserve">tudent </w:t>
      </w:r>
      <w:r w:rsidR="00133037" w:rsidRPr="004D307F">
        <w:rPr>
          <w:rFonts w:ascii="VIC-Regular" w:eastAsia="Times New Roman" w:hAnsi="VIC-Regular" w:cs="Times New Roman"/>
          <w:color w:val="011A3C"/>
          <w:sz w:val="24"/>
          <w:szCs w:val="24"/>
          <w:lang w:val="en" w:eastAsia="en-AU"/>
        </w:rPr>
        <w:t>R</w:t>
      </w:r>
      <w:r w:rsidR="0034555D" w:rsidRPr="004D307F">
        <w:rPr>
          <w:rFonts w:ascii="VIC-Regular" w:eastAsia="Times New Roman" w:hAnsi="VIC-Regular" w:cs="Times New Roman"/>
          <w:color w:val="011A3C"/>
          <w:sz w:val="24"/>
          <w:szCs w:val="24"/>
          <w:lang w:val="en" w:eastAsia="en-AU"/>
        </w:rPr>
        <w:t xml:space="preserve">esource </w:t>
      </w:r>
      <w:r w:rsidR="00133037" w:rsidRPr="004D307F">
        <w:rPr>
          <w:rFonts w:ascii="VIC-Regular" w:eastAsia="Times New Roman" w:hAnsi="VIC-Regular" w:cs="Times New Roman"/>
          <w:color w:val="011A3C"/>
          <w:sz w:val="24"/>
          <w:szCs w:val="24"/>
          <w:lang w:val="en" w:eastAsia="en-AU"/>
        </w:rPr>
        <w:t>P</w:t>
      </w:r>
      <w:r w:rsidR="0034555D" w:rsidRPr="004D307F">
        <w:rPr>
          <w:rFonts w:ascii="VIC-Regular" w:eastAsia="Times New Roman" w:hAnsi="VIC-Regular" w:cs="Times New Roman"/>
          <w:color w:val="011A3C"/>
          <w:sz w:val="24"/>
          <w:szCs w:val="24"/>
          <w:lang w:val="en" w:eastAsia="en-AU"/>
        </w:rPr>
        <w:t>ackage (SRP)</w:t>
      </w:r>
      <w:r w:rsidR="00133037" w:rsidRPr="004D307F">
        <w:rPr>
          <w:rFonts w:ascii="VIC-Regular" w:eastAsia="Times New Roman" w:hAnsi="VIC-Regular" w:cs="Times New Roman"/>
          <w:color w:val="011A3C"/>
          <w:sz w:val="24"/>
          <w:szCs w:val="24"/>
          <w:lang w:val="en" w:eastAsia="en-AU"/>
        </w:rPr>
        <w:t>.</w:t>
      </w:r>
    </w:p>
    <w:p w14:paraId="3963E4B0" w14:textId="77777777" w:rsidR="0034555D" w:rsidRPr="004D307F" w:rsidRDefault="0034555D" w:rsidP="00ED0863">
      <w:pPr>
        <w:numPr>
          <w:ilvl w:val="0"/>
          <w:numId w:val="6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are encouraged to use the CASES 21 sub-program code for their RR transactions.</w:t>
      </w:r>
    </w:p>
    <w:p w14:paraId="48490B74" w14:textId="77777777" w:rsidR="0034555D" w:rsidRPr="004D307F" w:rsidRDefault="0034555D" w:rsidP="00ED0863">
      <w:pPr>
        <w:numPr>
          <w:ilvl w:val="0"/>
          <w:numId w:val="6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Lead schools CASES21 Respectful Relationships sub-program code is 5215.</w:t>
      </w:r>
    </w:p>
    <w:p w14:paraId="354940FA" w14:textId="77777777" w:rsidR="0034555D" w:rsidRPr="004D307F" w:rsidRDefault="0034555D" w:rsidP="00ED0863">
      <w:pPr>
        <w:numPr>
          <w:ilvl w:val="0"/>
          <w:numId w:val="6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Partner schools CASES21 Respectful Relationships sub-program code is 5216.</w:t>
      </w:r>
    </w:p>
    <w:p w14:paraId="564E7682" w14:textId="77777777" w:rsidR="0034555D" w:rsidRPr="004D307F" w:rsidRDefault="0034555D" w:rsidP="0034555D">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r w:rsidRPr="004D307F">
        <w:rPr>
          <w:rFonts w:ascii="VIC-Regular" w:eastAsia="Times New Roman" w:hAnsi="VIC-Regular" w:cs="Times New Roman"/>
          <w:b/>
          <w:bCs/>
          <w:color w:val="011A3C"/>
          <w:sz w:val="26"/>
          <w:szCs w:val="28"/>
          <w:lang w:val="en" w:eastAsia="en-AU"/>
        </w:rPr>
        <w:t>Eligibility</w:t>
      </w:r>
    </w:p>
    <w:p w14:paraId="1B254234" w14:textId="0D8F889C" w:rsidR="0034555D" w:rsidRPr="004D307F" w:rsidRDefault="0034555D" w:rsidP="0034555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with the following school types are eligible for Respectful Relationships funding at school level</w:t>
      </w:r>
      <w:r w:rsidR="00DD3790" w:rsidRPr="004D307F">
        <w:rPr>
          <w:rFonts w:ascii="VIC-Regular" w:eastAsia="Times New Roman" w:hAnsi="VIC-Regular" w:cs="Times New Roman"/>
          <w:color w:val="011A3C"/>
          <w:sz w:val="24"/>
          <w:szCs w:val="24"/>
          <w:lang w:val="en" w:eastAsia="en-AU"/>
        </w:rPr>
        <w:t>:</w:t>
      </w:r>
    </w:p>
    <w:p w14:paraId="7F698AB8" w14:textId="77777777" w:rsidR="0034555D" w:rsidRPr="004D307F" w:rsidRDefault="0034555D" w:rsidP="00ED0863">
      <w:pPr>
        <w:numPr>
          <w:ilvl w:val="0"/>
          <w:numId w:val="68"/>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Primary</w:t>
      </w:r>
    </w:p>
    <w:p w14:paraId="0EFBC024" w14:textId="77777777" w:rsidR="0034555D" w:rsidRPr="004D307F" w:rsidRDefault="0034555D" w:rsidP="00ED0863">
      <w:pPr>
        <w:numPr>
          <w:ilvl w:val="0"/>
          <w:numId w:val="68"/>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Secondary</w:t>
      </w:r>
    </w:p>
    <w:p w14:paraId="4951C5FE" w14:textId="2B0EACD5" w:rsidR="00413518" w:rsidRPr="004D307F" w:rsidRDefault="0034555D" w:rsidP="00ED0863">
      <w:pPr>
        <w:numPr>
          <w:ilvl w:val="0"/>
          <w:numId w:val="68"/>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Primary/Secondary Combined</w:t>
      </w:r>
    </w:p>
    <w:p w14:paraId="6B06CBF7" w14:textId="78024B0B" w:rsidR="0034555D" w:rsidRPr="004D307F" w:rsidRDefault="0034555D" w:rsidP="00ED0863">
      <w:pPr>
        <w:numPr>
          <w:ilvl w:val="0"/>
          <w:numId w:val="68"/>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Special</w:t>
      </w:r>
      <w:r w:rsidR="001C2D5B" w:rsidRPr="004D307F">
        <w:rPr>
          <w:rFonts w:ascii="VIC-Regular" w:eastAsia="Times New Roman" w:hAnsi="VIC-Regular" w:cs="Times New Roman"/>
          <w:color w:val="011A3C"/>
          <w:lang w:val="en" w:eastAsia="en-AU"/>
        </w:rPr>
        <w:t>ist</w:t>
      </w:r>
    </w:p>
    <w:p w14:paraId="7ECBA6FB" w14:textId="77777777" w:rsidR="0034555D" w:rsidRPr="004D307F" w:rsidRDefault="0034555D" w:rsidP="00ED0863">
      <w:pPr>
        <w:numPr>
          <w:ilvl w:val="0"/>
          <w:numId w:val="68"/>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Language</w:t>
      </w:r>
    </w:p>
    <w:p w14:paraId="65D1ECE2" w14:textId="56789120" w:rsidR="0034555D" w:rsidRPr="004D307F" w:rsidRDefault="0034555D" w:rsidP="0034555D">
      <w:pPr>
        <w:spacing w:before="100" w:beforeAutospacing="1" w:after="100" w:afterAutospacing="1" w:line="360" w:lineRule="atLeast"/>
        <w:ind w:left="360"/>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may be calculated at the Indicative, Confirmed and Revised cycles, funding is allocated through cash funding.</w:t>
      </w:r>
    </w:p>
    <w:p w14:paraId="41798420" w14:textId="77777777" w:rsidR="0034555D" w:rsidRPr="004D307F" w:rsidRDefault="0034555D" w:rsidP="0034555D">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Funding allocation</w:t>
      </w:r>
    </w:p>
    <w:p w14:paraId="6DCE9A49" w14:textId="1A50830B" w:rsidR="0034555D" w:rsidRPr="004D307F" w:rsidRDefault="0034555D" w:rsidP="0034555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funding allocation for </w:t>
      </w:r>
      <w:r w:rsidR="00DD3790" w:rsidRPr="004D307F">
        <w:rPr>
          <w:rFonts w:ascii="VIC-Regular" w:eastAsia="Times New Roman" w:hAnsi="VIC-Regular" w:cs="Times New Roman"/>
          <w:color w:val="011A3C"/>
          <w:sz w:val="24"/>
          <w:szCs w:val="24"/>
          <w:lang w:val="en" w:eastAsia="en-AU"/>
        </w:rPr>
        <w:t>2022 is $10,000 for Lead schools.</w:t>
      </w:r>
    </w:p>
    <w:p w14:paraId="187A8507" w14:textId="77777777" w:rsidR="0034555D" w:rsidRPr="004D307F" w:rsidRDefault="0034555D" w:rsidP="0034555D">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Additional funding for current lead schools</w:t>
      </w:r>
    </w:p>
    <w:p w14:paraId="2F4E24CD" w14:textId="602B0790" w:rsidR="0034555D" w:rsidRPr="004D307F" w:rsidRDefault="00DD3790" w:rsidP="0034555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Tranche 3 Lead</w:t>
      </w:r>
      <w:r w:rsidR="0034555D" w:rsidRPr="004D307F">
        <w:rPr>
          <w:rFonts w:ascii="VIC-Regular" w:eastAsia="Times New Roman" w:hAnsi="VIC-Regular" w:cs="Times New Roman"/>
          <w:color w:val="011A3C"/>
          <w:sz w:val="24"/>
          <w:szCs w:val="24"/>
          <w:lang w:val="en" w:eastAsia="en-AU"/>
        </w:rPr>
        <w:t xml:space="preserve"> schools will each receive $10,000 in </w:t>
      </w:r>
      <w:r w:rsidRPr="004D307F">
        <w:rPr>
          <w:rFonts w:ascii="VIC-Regular" w:eastAsia="Times New Roman" w:hAnsi="VIC-Regular" w:cs="Times New Roman"/>
          <w:color w:val="011A3C"/>
          <w:sz w:val="24"/>
          <w:szCs w:val="24"/>
          <w:lang w:val="en" w:eastAsia="en-AU"/>
        </w:rPr>
        <w:t xml:space="preserve">2022 </w:t>
      </w:r>
      <w:r w:rsidR="0034555D" w:rsidRPr="004D307F">
        <w:rPr>
          <w:rFonts w:ascii="VIC-Regular" w:eastAsia="Times New Roman" w:hAnsi="VIC-Regular" w:cs="Times New Roman"/>
          <w:color w:val="011A3C"/>
          <w:sz w:val="24"/>
          <w:szCs w:val="24"/>
          <w:lang w:val="en" w:eastAsia="en-AU"/>
        </w:rPr>
        <w:t>to:</w:t>
      </w:r>
    </w:p>
    <w:p w14:paraId="63E69C58" w14:textId="77777777" w:rsidR="0034555D" w:rsidRPr="004D307F" w:rsidRDefault="0034555D" w:rsidP="00ED0863">
      <w:pPr>
        <w:numPr>
          <w:ilvl w:val="0"/>
          <w:numId w:val="6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support the implementation of the whole school approach to Respectful Relationships</w:t>
      </w:r>
    </w:p>
    <w:p w14:paraId="2108CDF0" w14:textId="77777777" w:rsidR="0034555D" w:rsidRPr="004D307F" w:rsidRDefault="0034555D" w:rsidP="00ED0863">
      <w:pPr>
        <w:numPr>
          <w:ilvl w:val="0"/>
          <w:numId w:val="6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support you to mentor and facilitate your partner school cluster</w:t>
      </w:r>
    </w:p>
    <w:p w14:paraId="69D12E3A" w14:textId="3B0C2ED4" w:rsidR="0034555D" w:rsidRPr="004D307F" w:rsidRDefault="0034555D" w:rsidP="00ED0863">
      <w:pPr>
        <w:numPr>
          <w:ilvl w:val="0"/>
          <w:numId w:val="6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participate in Respectful Relationships professional learning</w:t>
      </w:r>
    </w:p>
    <w:p w14:paraId="2DA51B8F" w14:textId="77777777" w:rsidR="009A70F7" w:rsidRPr="004D307F" w:rsidRDefault="009A70F7" w:rsidP="009A70F7">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Funding for partner schools</w:t>
      </w:r>
    </w:p>
    <w:p w14:paraId="321F051B" w14:textId="674831C5" w:rsidR="009A70F7" w:rsidRPr="004D307F" w:rsidRDefault="009A70F7"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New schools opening in 2022 will receive $4,000 to:</w:t>
      </w:r>
    </w:p>
    <w:p w14:paraId="6B13B393" w14:textId="77777777" w:rsidR="009A70F7" w:rsidRPr="004D307F" w:rsidRDefault="009A70F7" w:rsidP="00ED0863">
      <w:pPr>
        <w:numPr>
          <w:ilvl w:val="0"/>
          <w:numId w:val="6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support the implementation of the whole school approach to Respectful Relationships as a Partner School</w:t>
      </w:r>
    </w:p>
    <w:p w14:paraId="6DDCF547" w14:textId="77777777" w:rsidR="009A70F7" w:rsidRPr="004D307F" w:rsidRDefault="009A70F7" w:rsidP="00ED0863">
      <w:pPr>
        <w:numPr>
          <w:ilvl w:val="0"/>
          <w:numId w:val="6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participate in your local lead and partner school cluster</w:t>
      </w:r>
    </w:p>
    <w:p w14:paraId="5D6D4B43" w14:textId="7095F418" w:rsidR="009A70F7" w:rsidRPr="004D307F" w:rsidRDefault="009A70F7" w:rsidP="00ED0863">
      <w:pPr>
        <w:numPr>
          <w:ilvl w:val="0"/>
          <w:numId w:val="6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participate in Respectful Relationships professional learning</w:t>
      </w:r>
    </w:p>
    <w:p w14:paraId="2642C364" w14:textId="77777777" w:rsidR="0034555D" w:rsidRPr="004D307F" w:rsidRDefault="0034555D" w:rsidP="0034555D">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More</w:t>
      </w:r>
      <w:r w:rsidRPr="004D307F">
        <w:rPr>
          <w:rFonts w:ascii="VIC-Bold" w:eastAsia="Times New Roman" w:hAnsi="VIC-Bold" w:cs="Times New Roman" w:hint="eastAsia"/>
          <w:b/>
          <w:bCs/>
          <w:color w:val="011A3C"/>
          <w:sz w:val="27"/>
          <w:szCs w:val="27"/>
          <w:lang w:val="en" w:eastAsia="en-AU"/>
        </w:rPr>
        <w:t> </w:t>
      </w:r>
      <w:r w:rsidRPr="004D307F">
        <w:rPr>
          <w:rFonts w:ascii="VIC-Bold" w:eastAsia="Times New Roman" w:hAnsi="VIC-Bold" w:cs="Times New Roman"/>
          <w:b/>
          <w:bCs/>
          <w:color w:val="011A3C"/>
          <w:sz w:val="27"/>
          <w:szCs w:val="27"/>
          <w:lang w:val="en" w:eastAsia="en-AU"/>
        </w:rPr>
        <w:t>information</w:t>
      </w:r>
    </w:p>
    <w:p w14:paraId="6A4E889A" w14:textId="77777777" w:rsidR="0034555D" w:rsidRPr="004D307F" w:rsidRDefault="00901FCB" w:rsidP="00ED0863">
      <w:pPr>
        <w:numPr>
          <w:ilvl w:val="0"/>
          <w:numId w:val="70"/>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50" w:history="1">
        <w:r w:rsidR="0034555D" w:rsidRPr="004D307F">
          <w:rPr>
            <w:rFonts w:ascii="VIC-Regular" w:eastAsia="Times New Roman" w:hAnsi="VIC-Regular" w:cs="Times New Roman"/>
            <w:color w:val="011A3C"/>
            <w:sz w:val="24"/>
            <w:szCs w:val="24"/>
            <w:lang w:val="en" w:eastAsia="en-AU"/>
          </w:rPr>
          <w:t>Respectful Relationships</w:t>
        </w:r>
      </w:hyperlink>
    </w:p>
    <w:p w14:paraId="1CA1F67B" w14:textId="77777777" w:rsidR="00CF603A" w:rsidRPr="004D307F" w:rsidRDefault="0034555D" w:rsidP="00ED0863">
      <w:pPr>
        <w:numPr>
          <w:ilvl w:val="0"/>
          <w:numId w:val="70"/>
        </w:numPr>
        <w:spacing w:before="100" w:beforeAutospacing="1" w:after="100" w:afterAutospacing="1" w:line="360" w:lineRule="atLeast"/>
        <w:rPr>
          <w:rStyle w:val="Hyperlink"/>
          <w:color w:val="auto"/>
          <w:u w:val="none"/>
        </w:rPr>
      </w:pPr>
      <w:r w:rsidRPr="004D307F">
        <w:rPr>
          <w:rFonts w:ascii="VIC-Regular" w:eastAsia="Times New Roman" w:hAnsi="VIC-Regular" w:cs="Times New Roman"/>
          <w:color w:val="011A3C"/>
          <w:sz w:val="24"/>
          <w:szCs w:val="24"/>
          <w:lang w:val="en" w:eastAsia="en-AU"/>
        </w:rPr>
        <w:t xml:space="preserve">Email: </w:t>
      </w:r>
      <w:hyperlink r:id="rId151" w:history="1">
        <w:r w:rsidR="00DD239B" w:rsidRPr="004D307F">
          <w:rPr>
            <w:rStyle w:val="Hyperlink"/>
            <w:rFonts w:ascii="VIC-Regular" w:eastAsia="Times New Roman" w:hAnsi="VIC-Regular" w:cs="Times New Roman"/>
            <w:sz w:val="24"/>
            <w:szCs w:val="24"/>
            <w:lang w:val="en" w:eastAsia="en-AU"/>
          </w:rPr>
          <w:t>respectful.relationships@education.vic.gov.au</w:t>
        </w:r>
      </w:hyperlink>
    </w:p>
    <w:p w14:paraId="0E64F4DC" w14:textId="77777777" w:rsidR="00CF603A" w:rsidRPr="004D307F" w:rsidRDefault="00CF603A" w:rsidP="00CF603A">
      <w:pPr>
        <w:spacing w:before="100" w:beforeAutospacing="1" w:after="100" w:afterAutospacing="1" w:line="360" w:lineRule="atLeast"/>
      </w:pPr>
    </w:p>
    <w:p w14:paraId="3BF9E552" w14:textId="77777777" w:rsidR="00CF603A" w:rsidRPr="004D307F" w:rsidRDefault="00CF603A" w:rsidP="00CF603A">
      <w:pPr>
        <w:spacing w:before="100" w:beforeAutospacing="1" w:after="100" w:afterAutospacing="1" w:line="360" w:lineRule="atLeast"/>
      </w:pPr>
    </w:p>
    <w:p w14:paraId="4BA50778" w14:textId="754A3C58" w:rsidR="007F66A6" w:rsidRPr="004D307F" w:rsidRDefault="007F66A6" w:rsidP="004D307F">
      <w:pPr>
        <w:spacing w:before="100" w:beforeAutospacing="1" w:after="100" w:afterAutospacing="1" w:line="360" w:lineRule="atLeast"/>
      </w:pPr>
      <w:r w:rsidRPr="004D307F">
        <w:br w:type="page"/>
      </w:r>
    </w:p>
    <w:p w14:paraId="114676F8" w14:textId="512216E3" w:rsidR="00FC29EB" w:rsidRPr="004D307F" w:rsidRDefault="00FC29EB" w:rsidP="004D307F">
      <w:pPr>
        <w:pStyle w:val="Heading2"/>
      </w:pPr>
      <w:bookmarkStart w:id="103" w:name="_Toc106793793"/>
      <w:r w:rsidRPr="004D307F">
        <w:lastRenderedPageBreak/>
        <w:t>Extended Koorie Literacy and Numeracy Program (Reference 88)</w:t>
      </w:r>
      <w:bookmarkEnd w:id="103"/>
    </w:p>
    <w:p w14:paraId="574EC3BC" w14:textId="77777777" w:rsidR="00FC29EB" w:rsidRPr="004D307F" w:rsidRDefault="00FC29EB" w:rsidP="00FC29EB">
      <w:pPr>
        <w:spacing w:before="100" w:beforeAutospacing="1" w:after="100" w:afterAutospacing="1" w:line="360" w:lineRule="atLeast"/>
        <w:rPr>
          <w:rFonts w:ascii="VIC" w:eastAsia="Times New Roman" w:hAnsi="VIC" w:cstheme="minorHAnsi"/>
          <w:color w:val="011A3C"/>
          <w:lang w:val="en" w:eastAsia="en-AU"/>
        </w:rPr>
      </w:pPr>
      <w:r w:rsidRPr="004D307F">
        <w:rPr>
          <w:rFonts w:ascii="VIC" w:hAnsi="VIC" w:cstheme="minorHAnsi"/>
          <w:color w:val="011A3C"/>
          <w:lang w:val="en"/>
        </w:rPr>
        <w:t>The Extended Koorie Literacy and Numeracy Program (E-KLNP) supports improved literacy/numeracy outcomes for Koorie students in Victorian Government schools. The program provides funding for Koorie students in Years 4 to 6 who are below National Minimum Standards in NAPLAN in the domains of Reading and Numeracy. Schools use E-KLNP funding to provide additional targeted assistance in literacy/numeracy to eligible students.</w:t>
      </w:r>
      <w:r w:rsidRPr="004D307F">
        <w:rPr>
          <w:rFonts w:ascii="Calibri" w:hAnsi="Calibri" w:cs="Calibri"/>
          <w:color w:val="011A3C"/>
          <w:lang w:val="en"/>
        </w:rPr>
        <w:t> </w:t>
      </w:r>
      <w:r w:rsidRPr="004D307F">
        <w:rPr>
          <w:rFonts w:ascii="VIC" w:hAnsi="VIC" w:cstheme="minorHAnsi"/>
          <w:color w:val="011A3C"/>
          <w:lang w:val="en"/>
        </w:rPr>
        <w:t xml:space="preserve"> </w:t>
      </w:r>
      <w:r w:rsidRPr="004D307F">
        <w:rPr>
          <w:rFonts w:ascii="VIC" w:eastAsia="Times New Roman" w:hAnsi="VIC" w:cstheme="minorHAnsi"/>
          <w:color w:val="011A3C"/>
          <w:lang w:val="en" w:eastAsia="en-AU"/>
        </w:rPr>
        <w:t xml:space="preserve">Funding to schools is determined using student assessment data collected centrally during Term 1. Schools are informed of the program via the School Update and can check their funding via the </w:t>
      </w:r>
      <w:hyperlink r:id="rId152" w:history="1">
        <w:r w:rsidRPr="004D307F">
          <w:rPr>
            <w:rFonts w:ascii="VIC" w:eastAsia="Times New Roman" w:hAnsi="VIC" w:cstheme="minorHAnsi"/>
            <w:color w:val="0563C1" w:themeColor="hyperlink"/>
            <w:u w:val="single"/>
            <w:lang w:val="en" w:eastAsia="en-AU"/>
          </w:rPr>
          <w:t>School Performance Reports</w:t>
        </w:r>
      </w:hyperlink>
      <w:r w:rsidRPr="004D307F">
        <w:rPr>
          <w:rFonts w:ascii="VIC" w:eastAsia="Times New Roman" w:hAnsi="VIC" w:cstheme="minorHAnsi"/>
          <w:color w:val="011A3C"/>
          <w:lang w:val="en" w:eastAsia="en-AU"/>
        </w:rPr>
        <w:t xml:space="preserve"> website. </w:t>
      </w:r>
    </w:p>
    <w:p w14:paraId="03B7F39E" w14:textId="77777777" w:rsidR="00FC29EB" w:rsidRPr="004D307F" w:rsidRDefault="00FC29EB" w:rsidP="00FC29EB">
      <w:pPr>
        <w:spacing w:before="100" w:beforeAutospacing="1" w:after="100" w:afterAutospacing="1" w:line="360" w:lineRule="atLeast"/>
        <w:rPr>
          <w:rFonts w:ascii="VIC" w:eastAsia="Times New Roman" w:hAnsi="VIC" w:cstheme="minorHAnsi"/>
          <w:b/>
          <w:bCs/>
          <w:color w:val="011A3C"/>
          <w:sz w:val="24"/>
          <w:szCs w:val="24"/>
          <w:lang w:val="en" w:eastAsia="en-AU"/>
        </w:rPr>
      </w:pPr>
      <w:r w:rsidRPr="004D307F">
        <w:rPr>
          <w:rFonts w:ascii="VIC" w:eastAsia="Times New Roman" w:hAnsi="VIC" w:cstheme="minorHAnsi"/>
          <w:b/>
          <w:bCs/>
          <w:color w:val="011A3C"/>
          <w:sz w:val="24"/>
          <w:szCs w:val="24"/>
          <w:lang w:val="en" w:eastAsia="en-AU"/>
        </w:rPr>
        <w:t>Accountability</w:t>
      </w:r>
    </w:p>
    <w:p w14:paraId="4309B297" w14:textId="77777777" w:rsidR="00FC29EB" w:rsidRPr="004D307F" w:rsidRDefault="00FC29EB" w:rsidP="00FC29EB">
      <w:pPr>
        <w:spacing w:before="100" w:beforeAutospacing="1" w:after="100" w:afterAutospacing="1" w:line="360" w:lineRule="atLeast"/>
        <w:rPr>
          <w:rFonts w:ascii="VIC" w:eastAsia="Times New Roman" w:hAnsi="VIC" w:cstheme="minorHAnsi"/>
          <w:color w:val="011A3C"/>
          <w:lang w:val="en" w:eastAsia="en-AU"/>
        </w:rPr>
      </w:pPr>
      <w:r w:rsidRPr="004D307F">
        <w:rPr>
          <w:rFonts w:ascii="VIC" w:eastAsia="Times New Roman" w:hAnsi="VIC" w:cstheme="minorHAnsi"/>
          <w:color w:val="011A3C"/>
          <w:lang w:val="en" w:eastAsia="en-AU"/>
        </w:rPr>
        <w:t xml:space="preserve">Funded schools are expected to commit to a program of targeted support for eligible students and provide feedback to DET at the end of the year. Schools should retain appropriate financial records and acquit revenue and expenditure in CASES21 as advised in the Program Guidelines available at </w:t>
      </w:r>
      <w:hyperlink r:id="rId153" w:history="1">
        <w:r w:rsidRPr="004D307F">
          <w:rPr>
            <w:rFonts w:ascii="VIC" w:eastAsia="Times New Roman" w:hAnsi="VIC" w:cstheme="minorHAnsi"/>
            <w:color w:val="0563C1" w:themeColor="hyperlink"/>
            <w:u w:val="single"/>
            <w:lang w:eastAsia="en-AU"/>
          </w:rPr>
          <w:t>KLNP Implementation</w:t>
        </w:r>
      </w:hyperlink>
      <w:r w:rsidRPr="004D307F">
        <w:rPr>
          <w:rFonts w:ascii="VIC" w:eastAsia="Times New Roman" w:hAnsi="VIC" w:cstheme="minorHAnsi"/>
          <w:lang w:eastAsia="en-AU"/>
        </w:rPr>
        <w:t>.</w:t>
      </w:r>
    </w:p>
    <w:p w14:paraId="66151B8D" w14:textId="77777777" w:rsidR="00FC29EB" w:rsidRPr="004D307F" w:rsidRDefault="00FC29EB" w:rsidP="00FC29EB">
      <w:pPr>
        <w:spacing w:before="100" w:beforeAutospacing="1" w:after="100" w:afterAutospacing="1" w:line="288" w:lineRule="atLeast"/>
        <w:outlineLvl w:val="2"/>
        <w:rPr>
          <w:rFonts w:ascii="VIC" w:eastAsia="Times New Roman" w:hAnsi="VIC" w:cstheme="minorHAnsi"/>
          <w:b/>
          <w:bCs/>
          <w:color w:val="011A3C"/>
          <w:sz w:val="24"/>
          <w:szCs w:val="24"/>
          <w:lang w:val="en" w:eastAsia="en-AU"/>
        </w:rPr>
      </w:pPr>
      <w:r w:rsidRPr="004D307F">
        <w:rPr>
          <w:rFonts w:ascii="VIC" w:eastAsia="Times New Roman" w:hAnsi="VIC" w:cstheme="minorHAnsi"/>
          <w:b/>
          <w:bCs/>
          <w:color w:val="011A3C"/>
          <w:sz w:val="24"/>
          <w:szCs w:val="24"/>
          <w:lang w:val="en" w:eastAsia="en-AU"/>
        </w:rPr>
        <w:t>Eligibility</w:t>
      </w:r>
    </w:p>
    <w:p w14:paraId="52CEE21D" w14:textId="77777777" w:rsidR="00FC29EB" w:rsidRPr="004D307F" w:rsidRDefault="00FC29EB" w:rsidP="00FC29EB">
      <w:pPr>
        <w:spacing w:before="100" w:beforeAutospacing="1" w:after="100" w:afterAutospacing="1" w:line="360" w:lineRule="atLeast"/>
        <w:rPr>
          <w:rFonts w:ascii="VIC" w:eastAsia="Times New Roman" w:hAnsi="VIC" w:cstheme="minorHAnsi"/>
          <w:color w:val="011A3C"/>
          <w:lang w:val="en" w:eastAsia="en-AU"/>
        </w:rPr>
      </w:pPr>
      <w:r w:rsidRPr="004D307F">
        <w:rPr>
          <w:rFonts w:ascii="VIC" w:eastAsia="Times New Roman" w:hAnsi="VIC" w:cstheme="minorHAnsi"/>
          <w:color w:val="011A3C"/>
          <w:lang w:val="en" w:eastAsia="en-AU"/>
        </w:rPr>
        <w:t>Schools do not have to apply for funding. Eligible Koorie students are identified using data collected centrally. In some cases, additional students may be eligible for variance funding, subject to evidence provided by schools. Variance application forms are available at</w:t>
      </w:r>
      <w:r w:rsidRPr="004D307F">
        <w:rPr>
          <w:rFonts w:ascii="VIC" w:eastAsia="Times New Roman" w:hAnsi="VIC" w:cstheme="minorHAnsi"/>
          <w:lang w:eastAsia="en-AU"/>
        </w:rPr>
        <w:t xml:space="preserve"> </w:t>
      </w:r>
      <w:hyperlink r:id="rId154" w:history="1">
        <w:r w:rsidRPr="004D307F">
          <w:rPr>
            <w:rFonts w:ascii="VIC" w:eastAsia="Times New Roman" w:hAnsi="VIC" w:cstheme="minorHAnsi"/>
            <w:color w:val="0563C1" w:themeColor="hyperlink"/>
            <w:u w:val="single"/>
            <w:lang w:eastAsia="en-AU"/>
          </w:rPr>
          <w:t>KLNP Implementation</w:t>
        </w:r>
      </w:hyperlink>
      <w:r w:rsidRPr="004D307F">
        <w:rPr>
          <w:rFonts w:ascii="VIC" w:eastAsia="Times New Roman" w:hAnsi="VIC" w:cstheme="minorHAnsi"/>
          <w:lang w:eastAsia="en-AU"/>
        </w:rPr>
        <w:t xml:space="preserve">. </w:t>
      </w:r>
      <w:r w:rsidRPr="004D307F">
        <w:rPr>
          <w:rFonts w:ascii="VIC" w:eastAsia="Times New Roman" w:hAnsi="VIC" w:cstheme="minorHAnsi"/>
          <w:color w:val="011A3C"/>
          <w:lang w:val="en" w:eastAsia="en-AU"/>
        </w:rPr>
        <w:t>Funding is be paid to schools through the confirmed SRP.</w:t>
      </w:r>
    </w:p>
    <w:p w14:paraId="65C54FF8" w14:textId="77777777" w:rsidR="00FC29EB" w:rsidRPr="004D307F" w:rsidRDefault="00FC29EB" w:rsidP="00FC29EB">
      <w:pPr>
        <w:spacing w:before="100" w:beforeAutospacing="1" w:after="100" w:afterAutospacing="1" w:line="360" w:lineRule="atLeast"/>
        <w:rPr>
          <w:rFonts w:ascii="VIC" w:eastAsia="Times New Roman" w:hAnsi="VIC" w:cstheme="minorHAnsi"/>
          <w:b/>
          <w:bCs/>
          <w:color w:val="011A3C"/>
          <w:sz w:val="24"/>
          <w:szCs w:val="24"/>
          <w:lang w:val="en" w:eastAsia="en-AU"/>
        </w:rPr>
      </w:pPr>
      <w:r w:rsidRPr="004D307F">
        <w:rPr>
          <w:rFonts w:ascii="VIC" w:eastAsia="Times New Roman" w:hAnsi="VIC" w:cstheme="minorHAnsi"/>
          <w:b/>
          <w:bCs/>
          <w:color w:val="011A3C"/>
          <w:sz w:val="24"/>
          <w:szCs w:val="24"/>
          <w:lang w:val="en" w:eastAsia="en-AU"/>
        </w:rPr>
        <w:t>Funding</w:t>
      </w:r>
    </w:p>
    <w:p w14:paraId="5D99CA56" w14:textId="77777777" w:rsidR="00FC29EB" w:rsidRPr="004D307F" w:rsidRDefault="00FC29EB" w:rsidP="00FC29EB">
      <w:pPr>
        <w:spacing w:before="100" w:beforeAutospacing="1" w:after="100" w:afterAutospacing="1" w:line="360" w:lineRule="atLeast"/>
        <w:rPr>
          <w:rFonts w:ascii="VIC" w:eastAsia="Times New Roman" w:hAnsi="VIC" w:cstheme="minorHAnsi"/>
          <w:color w:val="0066CC"/>
          <w:u w:val="single"/>
          <w:lang w:val="en" w:eastAsia="en-AU"/>
        </w:rPr>
      </w:pPr>
      <w:r w:rsidRPr="004D307F">
        <w:rPr>
          <w:rFonts w:ascii="VIC" w:eastAsia="Times New Roman" w:hAnsi="VIC" w:cstheme="minorHAnsi"/>
          <w:color w:val="011A3C"/>
          <w:lang w:val="en" w:eastAsia="en-AU"/>
        </w:rPr>
        <w:t xml:space="preserve">E-KLNP funding is based on the number of Koorie students in Years 4, 5 and 6 who are below National Minimum Standards (NMS) in the NAPLAN domains of Reading/Numeracy as outlined in </w:t>
      </w:r>
      <w:hyperlink r:id="rId155" w:tgtFrame="_blank" w:history="1">
        <w:r w:rsidRPr="004D307F">
          <w:rPr>
            <w:rFonts w:ascii="VIC" w:eastAsia="Times New Roman" w:hAnsi="VIC" w:cstheme="minorHAnsi"/>
            <w:color w:val="0563C1" w:themeColor="hyperlink"/>
            <w:u w:val="single"/>
            <w:lang w:val="en" w:eastAsia="en-AU"/>
          </w:rPr>
          <w:t>Eligibility criteria</w:t>
        </w:r>
      </w:hyperlink>
    </w:p>
    <w:p w14:paraId="6FF43F00" w14:textId="77777777" w:rsidR="00FC29EB" w:rsidRPr="004D307F" w:rsidRDefault="00FC29EB" w:rsidP="00FC29EB">
      <w:pPr>
        <w:spacing w:before="100" w:beforeAutospacing="1" w:after="100" w:afterAutospacing="1" w:line="360" w:lineRule="atLeast"/>
        <w:rPr>
          <w:rFonts w:ascii="VIC" w:eastAsia="Times New Roman" w:hAnsi="VIC" w:cstheme="minorHAnsi"/>
          <w:b/>
          <w:bCs/>
          <w:color w:val="011A3C"/>
          <w:sz w:val="24"/>
          <w:szCs w:val="24"/>
          <w:lang w:val="en" w:eastAsia="en-AU"/>
        </w:rPr>
      </w:pPr>
      <w:r w:rsidRPr="004D307F">
        <w:rPr>
          <w:rFonts w:ascii="VIC" w:eastAsia="Times New Roman" w:hAnsi="VIC" w:cstheme="minorHAnsi"/>
          <w:b/>
          <w:bCs/>
          <w:color w:val="011A3C"/>
          <w:sz w:val="24"/>
          <w:szCs w:val="24"/>
          <w:lang w:val="en" w:eastAsia="en-AU"/>
        </w:rPr>
        <w:t>Use of E-KLNP funding</w:t>
      </w:r>
    </w:p>
    <w:p w14:paraId="0821C336" w14:textId="77777777" w:rsidR="00FC29EB" w:rsidRPr="004D307F" w:rsidRDefault="00FC29EB" w:rsidP="00FC29EB">
      <w:pPr>
        <w:spacing w:after="120" w:line="288" w:lineRule="auto"/>
        <w:jc w:val="both"/>
        <w:rPr>
          <w:rFonts w:ascii="VIC" w:hAnsi="VIC" w:cstheme="minorHAnsi"/>
          <w:color w:val="323E4F" w:themeColor="text2" w:themeShade="BF"/>
          <w:spacing w:val="4"/>
          <w:kern w:val="20"/>
          <w:szCs w:val="24"/>
        </w:rPr>
      </w:pPr>
      <w:r w:rsidRPr="004D307F">
        <w:rPr>
          <w:rFonts w:ascii="VIC" w:hAnsi="VIC" w:cstheme="minorHAnsi"/>
          <w:color w:val="323E4F" w:themeColor="text2" w:themeShade="BF"/>
          <w:spacing w:val="4"/>
          <w:kern w:val="20"/>
          <w:szCs w:val="24"/>
        </w:rPr>
        <w:t xml:space="preserve">EYKLNP </w:t>
      </w:r>
      <w:r w:rsidRPr="004D307F">
        <w:rPr>
          <w:rFonts w:ascii="VIC" w:hAnsi="VIC" w:cstheme="minorHAnsi"/>
          <w:color w:val="323E4F" w:themeColor="text2" w:themeShade="BF"/>
          <w:spacing w:val="4"/>
          <w:kern w:val="20"/>
          <w:sz w:val="20"/>
        </w:rPr>
        <w:t>f</w:t>
      </w:r>
      <w:r w:rsidRPr="004D307F">
        <w:rPr>
          <w:rFonts w:ascii="VIC" w:hAnsi="VIC" w:cstheme="minorHAnsi"/>
          <w:color w:val="323E4F" w:themeColor="text2" w:themeShade="BF"/>
          <w:spacing w:val="4"/>
          <w:kern w:val="20"/>
          <w:szCs w:val="24"/>
        </w:rPr>
        <w:t xml:space="preserve">unding is intended to support accelerated progress of eligible Koorie students in literacy/numeracy. The model of support will be determined by schools in consultation with students and families. Funds should be used to provide </w:t>
      </w:r>
      <w:r w:rsidRPr="004D307F">
        <w:rPr>
          <w:rFonts w:ascii="VIC" w:hAnsi="VIC" w:cstheme="minorHAnsi"/>
          <w:color w:val="323E4F" w:themeColor="text2" w:themeShade="BF"/>
          <w:spacing w:val="4"/>
          <w:kern w:val="20"/>
          <w:szCs w:val="24"/>
        </w:rPr>
        <w:lastRenderedPageBreak/>
        <w:t>additional targeted support to identified students, for example by engaging additional personnel to:</w:t>
      </w:r>
    </w:p>
    <w:p w14:paraId="124AAACA" w14:textId="77777777" w:rsidR="00FC29EB" w:rsidRPr="004D307F" w:rsidRDefault="00FC29EB" w:rsidP="00ED0863">
      <w:pPr>
        <w:numPr>
          <w:ilvl w:val="0"/>
          <w:numId w:val="167"/>
        </w:numPr>
        <w:spacing w:before="120" w:after="0" w:line="264" w:lineRule="auto"/>
        <w:contextualSpacing/>
        <w:jc w:val="both"/>
        <w:rPr>
          <w:rFonts w:ascii="VIC" w:hAnsi="VIC" w:cstheme="minorHAnsi"/>
          <w:noProof/>
          <w:color w:val="323E4F" w:themeColor="text2" w:themeShade="BF"/>
          <w:spacing w:val="2"/>
          <w:szCs w:val="24"/>
          <w:lang w:eastAsia="en-AU"/>
        </w:rPr>
      </w:pPr>
      <w:r w:rsidRPr="004D307F">
        <w:rPr>
          <w:rFonts w:ascii="VIC" w:hAnsi="VIC" w:cstheme="minorHAnsi"/>
          <w:noProof/>
          <w:color w:val="323E4F" w:themeColor="text2" w:themeShade="BF"/>
          <w:spacing w:val="2"/>
          <w:szCs w:val="24"/>
          <w:lang w:eastAsia="en-AU"/>
        </w:rPr>
        <w:t xml:space="preserve">work directly with the identified students individually or in groups </w:t>
      </w:r>
    </w:p>
    <w:p w14:paraId="5586B563" w14:textId="77777777" w:rsidR="00FC29EB" w:rsidRPr="004D307F" w:rsidRDefault="00FC29EB" w:rsidP="00ED0863">
      <w:pPr>
        <w:numPr>
          <w:ilvl w:val="0"/>
          <w:numId w:val="167"/>
        </w:numPr>
        <w:spacing w:before="120" w:after="0" w:line="264" w:lineRule="auto"/>
        <w:contextualSpacing/>
        <w:jc w:val="both"/>
        <w:rPr>
          <w:rFonts w:ascii="VIC" w:hAnsi="VIC" w:cstheme="minorHAnsi"/>
          <w:noProof/>
          <w:color w:val="323E4F" w:themeColor="text2" w:themeShade="BF"/>
          <w:spacing w:val="2"/>
          <w:szCs w:val="24"/>
          <w:lang w:eastAsia="en-AU"/>
        </w:rPr>
      </w:pPr>
      <w:r w:rsidRPr="004D307F">
        <w:rPr>
          <w:rFonts w:ascii="VIC" w:hAnsi="VIC" w:cstheme="minorHAnsi"/>
          <w:noProof/>
          <w:color w:val="323E4F" w:themeColor="text2" w:themeShade="BF"/>
          <w:spacing w:val="2"/>
          <w:szCs w:val="24"/>
          <w:lang w:eastAsia="en-AU"/>
        </w:rPr>
        <w:t>free the classroom teacher to work with the identified students</w:t>
      </w:r>
    </w:p>
    <w:p w14:paraId="2BE98509" w14:textId="77777777" w:rsidR="00FC29EB" w:rsidRPr="004D307F" w:rsidRDefault="00FC29EB" w:rsidP="00ED0863">
      <w:pPr>
        <w:numPr>
          <w:ilvl w:val="0"/>
          <w:numId w:val="167"/>
        </w:numPr>
        <w:spacing w:before="120" w:after="0" w:line="264" w:lineRule="auto"/>
        <w:contextualSpacing/>
        <w:jc w:val="both"/>
        <w:rPr>
          <w:rFonts w:ascii="VIC" w:hAnsi="VIC" w:cstheme="minorHAnsi"/>
          <w:noProof/>
          <w:color w:val="323E4F" w:themeColor="text2" w:themeShade="BF"/>
          <w:spacing w:val="2"/>
          <w:szCs w:val="24"/>
          <w:lang w:eastAsia="en-AU"/>
        </w:rPr>
      </w:pPr>
      <w:r w:rsidRPr="004D307F">
        <w:rPr>
          <w:rFonts w:ascii="VIC" w:hAnsi="VIC" w:cstheme="minorHAnsi"/>
          <w:noProof/>
          <w:color w:val="323E4F" w:themeColor="text2" w:themeShade="BF"/>
          <w:spacing w:val="2"/>
          <w:szCs w:val="24"/>
          <w:lang w:eastAsia="en-AU"/>
        </w:rPr>
        <w:t>release an expert teacher from classroom duties to provide targetted support.</w:t>
      </w:r>
    </w:p>
    <w:p w14:paraId="38A17D97" w14:textId="77777777" w:rsidR="00FC29EB" w:rsidRPr="004D307F" w:rsidRDefault="00FC29EB" w:rsidP="00FC29EB">
      <w:pPr>
        <w:spacing w:before="120" w:after="120" w:line="288" w:lineRule="auto"/>
        <w:jc w:val="both"/>
        <w:rPr>
          <w:rFonts w:ascii="VIC" w:hAnsi="VIC" w:cstheme="minorHAnsi"/>
          <w:color w:val="323E4F" w:themeColor="text2" w:themeShade="BF"/>
          <w:spacing w:val="4"/>
          <w:kern w:val="20"/>
          <w:szCs w:val="24"/>
        </w:rPr>
      </w:pPr>
      <w:r w:rsidRPr="004D307F">
        <w:rPr>
          <w:rFonts w:ascii="VIC" w:hAnsi="VIC" w:cstheme="minorHAnsi"/>
          <w:color w:val="323E4F" w:themeColor="text2" w:themeShade="BF"/>
          <w:spacing w:val="4"/>
          <w:kern w:val="20"/>
          <w:szCs w:val="24"/>
        </w:rPr>
        <w:t xml:space="preserve">Personnel engaged to provide additional support need to demonstrate high-level skills in literacy and/or numeracy teaching and learning and be culturally sensitive to build trusting and productive working relationships with students and families. </w:t>
      </w:r>
    </w:p>
    <w:p w14:paraId="265BE319" w14:textId="77777777" w:rsidR="00FC29EB" w:rsidRPr="004D307F" w:rsidRDefault="00FC29EB" w:rsidP="00FC29EB">
      <w:pPr>
        <w:spacing w:before="100" w:beforeAutospacing="1" w:after="100" w:afterAutospacing="1" w:line="360" w:lineRule="atLeast"/>
        <w:rPr>
          <w:rFonts w:ascii="VIC" w:eastAsia="Times New Roman" w:hAnsi="VIC" w:cstheme="minorHAnsi"/>
          <w:color w:val="011A3C"/>
          <w:sz w:val="24"/>
          <w:szCs w:val="24"/>
          <w:lang w:val="en" w:eastAsia="en-AU"/>
        </w:rPr>
      </w:pPr>
      <w:r w:rsidRPr="004D307F">
        <w:rPr>
          <w:rFonts w:ascii="VIC" w:eastAsia="Times New Roman" w:hAnsi="VIC" w:cstheme="minorHAnsi"/>
          <w:color w:val="011A3C"/>
          <w:sz w:val="24"/>
          <w:szCs w:val="24"/>
          <w:lang w:val="en" w:eastAsia="en-AU"/>
        </w:rPr>
        <w:t>Further information</w:t>
      </w:r>
    </w:p>
    <w:p w14:paraId="2E23F65F" w14:textId="77777777" w:rsidR="00FC29EB" w:rsidRPr="004D307F" w:rsidRDefault="00FC29EB" w:rsidP="00ED0863">
      <w:pPr>
        <w:numPr>
          <w:ilvl w:val="0"/>
          <w:numId w:val="144"/>
        </w:numPr>
        <w:spacing w:before="100" w:beforeAutospacing="1" w:after="100" w:afterAutospacing="1" w:line="360" w:lineRule="atLeast"/>
        <w:rPr>
          <w:rFonts w:ascii="VIC" w:hAnsi="VIC" w:cstheme="minorHAnsi"/>
          <w:color w:val="0563C1" w:themeColor="hyperlink"/>
          <w:u w:val="single"/>
          <w:lang w:val="en"/>
        </w:rPr>
      </w:pPr>
      <w:r w:rsidRPr="004D307F">
        <w:rPr>
          <w:rFonts w:ascii="VIC" w:hAnsi="VIC" w:cstheme="minorHAnsi"/>
          <w:color w:val="011A3C"/>
          <w:lang w:val="en"/>
        </w:rPr>
        <w:fldChar w:fldCharType="begin"/>
      </w:r>
      <w:r w:rsidRPr="004D307F">
        <w:rPr>
          <w:rFonts w:ascii="VIC" w:hAnsi="VIC" w:cstheme="minorHAnsi"/>
          <w:color w:val="011A3C"/>
          <w:lang w:val="en"/>
        </w:rPr>
        <w:instrText xml:space="preserve"> HYPERLINK "https://edugate.eduweb.vic.gov.au/edrms/KOD/Pages/KLNP.aspx" </w:instrText>
      </w:r>
      <w:r w:rsidRPr="004D307F">
        <w:rPr>
          <w:rFonts w:ascii="VIC" w:hAnsi="VIC" w:cstheme="minorHAnsi"/>
          <w:color w:val="011A3C"/>
          <w:lang w:val="en"/>
        </w:rPr>
        <w:fldChar w:fldCharType="separate"/>
      </w:r>
      <w:r w:rsidRPr="004D307F">
        <w:rPr>
          <w:rFonts w:ascii="VIC" w:hAnsi="VIC" w:cstheme="minorHAnsi"/>
          <w:color w:val="0563C1" w:themeColor="hyperlink"/>
          <w:u w:val="single"/>
          <w:lang w:val="en"/>
        </w:rPr>
        <w:t>Koorie Literacy and Numeracy Program Implementation</w:t>
      </w:r>
    </w:p>
    <w:p w14:paraId="34AF6E82" w14:textId="77777777" w:rsidR="00FC29EB" w:rsidRPr="004D307F" w:rsidRDefault="00FC29EB" w:rsidP="00FC29EB">
      <w:pPr>
        <w:rPr>
          <w:rFonts w:ascii="VIC" w:hAnsi="VIC" w:cstheme="minorHAnsi"/>
          <w:color w:val="0563C1" w:themeColor="hyperlink"/>
          <w:u w:val="single"/>
          <w:lang w:val="en"/>
        </w:rPr>
      </w:pPr>
      <w:r w:rsidRPr="004D307F">
        <w:rPr>
          <w:rFonts w:ascii="VIC" w:hAnsi="VIC" w:cstheme="minorHAnsi"/>
          <w:color w:val="011A3C"/>
          <w:lang w:val="en"/>
        </w:rPr>
        <w:fldChar w:fldCharType="end"/>
      </w:r>
      <w:r w:rsidRPr="004D307F">
        <w:rPr>
          <w:rFonts w:ascii="VIC" w:hAnsi="VIC" w:cstheme="minorHAnsi"/>
          <w:color w:val="011A3C"/>
          <w:lang w:val="en"/>
        </w:rPr>
        <w:t xml:space="preserve">Contact: </w:t>
      </w:r>
      <w:hyperlink r:id="rId156" w:history="1">
        <w:r w:rsidRPr="004D307F">
          <w:rPr>
            <w:rFonts w:ascii="VIC" w:hAnsi="VIC" w:cstheme="minorHAnsi"/>
            <w:color w:val="0563C1" w:themeColor="hyperlink"/>
            <w:u w:val="single"/>
            <w:lang w:val="en"/>
          </w:rPr>
          <w:t>koorielitnum@education.vic.gov.au</w:t>
        </w:r>
      </w:hyperlink>
      <w:r w:rsidRPr="004D307F">
        <w:rPr>
          <w:rFonts w:ascii="VIC" w:hAnsi="VIC" w:cstheme="minorHAnsi"/>
          <w:color w:val="0563C1" w:themeColor="hyperlink"/>
          <w:u w:val="single"/>
          <w:lang w:val="en"/>
        </w:rPr>
        <w:t xml:space="preserve"> </w:t>
      </w:r>
    </w:p>
    <w:p w14:paraId="492F3C74" w14:textId="77777777" w:rsidR="00FC29EB" w:rsidRPr="004D307F" w:rsidRDefault="00FC29EB" w:rsidP="00FC29EB">
      <w:pPr>
        <w:rPr>
          <w:rFonts w:ascii="VIC" w:hAnsi="VIC"/>
        </w:rPr>
      </w:pPr>
      <w:r w:rsidRPr="004D307F">
        <w:rPr>
          <w:rFonts w:ascii="VIC" w:hAnsi="VIC" w:cstheme="minorHAnsi"/>
          <w:color w:val="0563C1" w:themeColor="hyperlink"/>
          <w:lang w:val="en"/>
        </w:rPr>
        <w:t>Phone: 7022 1869</w:t>
      </w:r>
    </w:p>
    <w:p w14:paraId="234F0934" w14:textId="4229A54B" w:rsidR="004F6FD9" w:rsidRPr="004D307F" w:rsidRDefault="004F6FD9">
      <w:pPr>
        <w:rPr>
          <w:rFonts w:ascii="VIC" w:eastAsia="Calibri" w:hAnsi="VIC" w:cstheme="majorBidi"/>
          <w:b/>
          <w:color w:val="2F5496" w:themeColor="accent1" w:themeShade="BF"/>
          <w:sz w:val="36"/>
          <w:szCs w:val="26"/>
          <w:lang w:val="en" w:eastAsia="en-AU"/>
        </w:rPr>
      </w:pPr>
      <w:r w:rsidRPr="004D307F">
        <w:rPr>
          <w:rFonts w:ascii="VIC" w:hAnsi="VIC"/>
        </w:rPr>
        <w:br w:type="page"/>
      </w:r>
    </w:p>
    <w:p w14:paraId="5E665F56" w14:textId="6F7B0998" w:rsidR="00983CC8" w:rsidRPr="004D307F" w:rsidRDefault="00983CC8" w:rsidP="00B566E7">
      <w:pPr>
        <w:pStyle w:val="Heading2"/>
      </w:pPr>
      <w:bookmarkStart w:id="104" w:name="_Hlk98851791"/>
      <w:bookmarkStart w:id="105" w:name="_Toc106793794"/>
      <w:r w:rsidRPr="004D307F">
        <w:lastRenderedPageBreak/>
        <w:t xml:space="preserve">Early Years Koorie Literacy and Numeracy Program </w:t>
      </w:r>
      <w:bookmarkEnd w:id="104"/>
      <w:r w:rsidRPr="004D307F">
        <w:t>(Reference 90)</w:t>
      </w:r>
      <w:bookmarkEnd w:id="105"/>
    </w:p>
    <w:p w14:paraId="186446AD" w14:textId="77777777" w:rsidR="00983CC8" w:rsidRPr="004D307F" w:rsidRDefault="00983CC8" w:rsidP="00983CC8">
      <w:pPr>
        <w:rPr>
          <w:lang w:val="en" w:eastAsia="en-AU"/>
        </w:rPr>
      </w:pPr>
    </w:p>
    <w:p w14:paraId="43DF5D21" w14:textId="77777777" w:rsidR="004001DB" w:rsidRPr="004D307F" w:rsidRDefault="004001DB" w:rsidP="004001DB">
      <w:pPr>
        <w:spacing w:line="360" w:lineRule="atLeast"/>
        <w:rPr>
          <w:rFonts w:ascii="VIC" w:hAnsi="VIC"/>
          <w:b/>
          <w:bCs/>
          <w:i/>
          <w:lang w:val="en-US"/>
        </w:rPr>
      </w:pPr>
      <w:r w:rsidRPr="004D307F">
        <w:rPr>
          <w:rFonts w:ascii="VIC" w:hAnsi="VIC"/>
          <w:b/>
          <w:bCs/>
          <w:lang w:val="en-US"/>
        </w:rPr>
        <w:t>Description of Funding</w:t>
      </w:r>
      <w:r w:rsidRPr="004D307F">
        <w:rPr>
          <w:rFonts w:ascii="VIC" w:hAnsi="VIC"/>
          <w:b/>
          <w:bCs/>
          <w:i/>
          <w:lang w:val="en-US"/>
        </w:rPr>
        <w:t xml:space="preserve"> </w:t>
      </w:r>
    </w:p>
    <w:p w14:paraId="6B04A190" w14:textId="77777777" w:rsidR="004001DB" w:rsidRPr="004D307F" w:rsidRDefault="004001DB" w:rsidP="004001DB">
      <w:pPr>
        <w:spacing w:line="360" w:lineRule="atLeast"/>
        <w:rPr>
          <w:rFonts w:ascii="VIC" w:eastAsia="Calibri" w:hAnsi="VIC" w:cs="Times New Roman"/>
        </w:rPr>
      </w:pPr>
      <w:r w:rsidRPr="004D307F">
        <w:rPr>
          <w:rFonts w:ascii="VIC" w:eastAsia="Calibri" w:hAnsi="VIC" w:cs="Times New Roman"/>
        </w:rPr>
        <w:t xml:space="preserve">The Early Years Koorie Literacy and Numeracy Program (EYKLNP) provides funding for Prep–Year 3 Koorie students who are below expected levels in literacy/numeracy and to Koorie students in special development schools who are age-equivalent to the Prep to Year 3 cohort. Schools use EYKLNP funding to provide additional targeted assistance in literacy/numeracy to eligible students. Funding to schools is determined using the February preliminary school census and student assessment data collected centrally during term 1. </w:t>
      </w:r>
    </w:p>
    <w:p w14:paraId="2BB7102B" w14:textId="59E4B9FA" w:rsidR="004001DB" w:rsidRPr="004D307F" w:rsidRDefault="004001DB" w:rsidP="004001DB">
      <w:pPr>
        <w:spacing w:line="360" w:lineRule="atLeast"/>
        <w:rPr>
          <w:rFonts w:ascii="VIC" w:hAnsi="VIC"/>
          <w:b/>
          <w:bCs/>
          <w:lang w:val="en-US"/>
        </w:rPr>
      </w:pPr>
      <w:r w:rsidRPr="004D307F">
        <w:rPr>
          <w:rFonts w:ascii="VIC" w:hAnsi="VIC"/>
          <w:b/>
          <w:bCs/>
          <w:lang w:val="en-US"/>
        </w:rPr>
        <w:t>Eligibility and rate</w:t>
      </w:r>
    </w:p>
    <w:p w14:paraId="28F40908" w14:textId="77777777" w:rsidR="004001DB" w:rsidRPr="004D307F" w:rsidRDefault="004001DB" w:rsidP="004001DB">
      <w:pPr>
        <w:spacing w:line="360" w:lineRule="atLeast"/>
        <w:rPr>
          <w:rFonts w:ascii="VIC" w:eastAsia="Calibri" w:hAnsi="VIC" w:cs="Times New Roman"/>
        </w:rPr>
      </w:pPr>
      <w:r w:rsidRPr="004D307F">
        <w:rPr>
          <w:rFonts w:ascii="VIC" w:eastAsia="Calibri" w:hAnsi="VIC" w:cs="Times New Roman"/>
        </w:rPr>
        <w:t>The eligibility criteria for the EYKLNP are as follows</w:t>
      </w:r>
      <w:r>
        <w:rPr>
          <w:rFonts w:ascii="VIC" w:eastAsia="Calibri" w:hAnsi="VIC" w:cs="Times New Roman"/>
        </w:rPr>
        <w:t>.</w:t>
      </w:r>
      <w:r w:rsidRPr="004D307F">
        <w:rPr>
          <w:rFonts w:ascii="VIC" w:eastAsia="Calibri" w:hAnsi="VIC" w:cs="Times New Roman"/>
        </w:rPr>
        <w:t xml:space="preserve">  </w:t>
      </w:r>
    </w:p>
    <w:p w14:paraId="350B2F5B" w14:textId="77777777" w:rsidR="004001DB" w:rsidRDefault="004001DB" w:rsidP="004001DB">
      <w:pPr>
        <w:spacing w:line="360" w:lineRule="atLeast"/>
        <w:rPr>
          <w:rFonts w:ascii="VIC" w:eastAsia="Calibri" w:hAnsi="VIC" w:cs="Times New Roman"/>
          <w:b/>
          <w:bCs/>
        </w:rPr>
      </w:pPr>
      <w:r>
        <w:rPr>
          <w:rFonts w:ascii="VIC" w:eastAsia="Calibri" w:hAnsi="VIC" w:cs="Times New Roman"/>
          <w:b/>
          <w:bCs/>
        </w:rPr>
        <w:t>Prep</w:t>
      </w:r>
    </w:p>
    <w:p w14:paraId="0924796C" w14:textId="77777777" w:rsidR="004001DB" w:rsidRDefault="004001DB" w:rsidP="004001DB">
      <w:pPr>
        <w:spacing w:line="360" w:lineRule="atLeast"/>
        <w:rPr>
          <w:rFonts w:ascii="VIC" w:eastAsia="Calibri" w:hAnsi="VIC" w:cs="Times New Roman"/>
        </w:rPr>
      </w:pPr>
      <w:r>
        <w:rPr>
          <w:rFonts w:ascii="VIC" w:eastAsia="Calibri" w:hAnsi="VIC" w:cs="Times New Roman"/>
        </w:rPr>
        <w:t>Literacy/numeracy proxy: Listening and Speaking</w:t>
      </w:r>
    </w:p>
    <w:p w14:paraId="5752E306" w14:textId="77777777" w:rsidR="004001DB" w:rsidRDefault="004001DB" w:rsidP="004001DB">
      <w:pPr>
        <w:spacing w:line="360" w:lineRule="atLeast"/>
        <w:rPr>
          <w:rFonts w:ascii="VIC" w:eastAsia="Calibri" w:hAnsi="VIC" w:cs="Times New Roman"/>
        </w:rPr>
      </w:pPr>
      <w:r>
        <w:rPr>
          <w:rFonts w:ascii="VIC" w:eastAsia="Calibri" w:hAnsi="VIC" w:cs="Times New Roman"/>
        </w:rPr>
        <w:t>Eligibility criteria: Towards 0.5 at the start of the year</w:t>
      </w:r>
    </w:p>
    <w:p w14:paraId="21DC3F43" w14:textId="77777777" w:rsidR="004001DB" w:rsidRDefault="004001DB" w:rsidP="004001DB">
      <w:pPr>
        <w:spacing w:line="360" w:lineRule="atLeast"/>
        <w:rPr>
          <w:rFonts w:ascii="VIC" w:eastAsia="Calibri" w:hAnsi="VIC" w:cs="Times New Roman"/>
        </w:rPr>
      </w:pPr>
      <w:r>
        <w:rPr>
          <w:rFonts w:ascii="VIC" w:eastAsia="Calibri" w:hAnsi="VIC" w:cs="Times New Roman"/>
        </w:rPr>
        <w:t>Data source: English Online Interview (start of Prep)</w:t>
      </w:r>
    </w:p>
    <w:p w14:paraId="1973BE44" w14:textId="77777777" w:rsidR="004001DB" w:rsidRDefault="004001DB" w:rsidP="004001DB">
      <w:pPr>
        <w:spacing w:line="360" w:lineRule="atLeast"/>
        <w:rPr>
          <w:rFonts w:ascii="VIC" w:eastAsia="Calibri" w:hAnsi="VIC" w:cs="Times New Roman"/>
        </w:rPr>
      </w:pPr>
      <w:r>
        <w:rPr>
          <w:rFonts w:ascii="VIC" w:eastAsia="Calibri" w:hAnsi="VIC" w:cs="Times New Roman"/>
        </w:rPr>
        <w:t xml:space="preserve">Eligibility score: </w:t>
      </w:r>
      <w:r w:rsidRPr="004D307F">
        <w:rPr>
          <w:rFonts w:ascii="VIC" w:hAnsi="VIC" w:cstheme="minorHAnsi"/>
          <w:lang w:eastAsia="en-AU"/>
        </w:rPr>
        <w:t>≤</w:t>
      </w:r>
      <w:r>
        <w:rPr>
          <w:rFonts w:ascii="VIC" w:hAnsi="VIC" w:cstheme="minorHAnsi"/>
          <w:lang w:eastAsia="en-AU"/>
        </w:rPr>
        <w:t xml:space="preserve"> 101 (English Online Scale Score)</w:t>
      </w:r>
    </w:p>
    <w:p w14:paraId="0856F0C7" w14:textId="77777777" w:rsidR="004001DB" w:rsidRDefault="004001DB" w:rsidP="004001DB">
      <w:pPr>
        <w:spacing w:line="360" w:lineRule="atLeast"/>
        <w:rPr>
          <w:rFonts w:ascii="VIC" w:eastAsia="Calibri" w:hAnsi="VIC" w:cs="Times New Roman"/>
          <w:b/>
          <w:bCs/>
        </w:rPr>
      </w:pPr>
      <w:r>
        <w:rPr>
          <w:rFonts w:ascii="VIC" w:eastAsia="Calibri" w:hAnsi="VIC" w:cs="Times New Roman"/>
          <w:b/>
          <w:bCs/>
        </w:rPr>
        <w:t>Year 1</w:t>
      </w:r>
    </w:p>
    <w:p w14:paraId="0A5FAD01" w14:textId="77777777" w:rsidR="004001DB" w:rsidRDefault="004001DB" w:rsidP="004001DB">
      <w:pPr>
        <w:spacing w:line="360" w:lineRule="atLeast"/>
        <w:rPr>
          <w:rFonts w:ascii="VIC" w:eastAsia="Calibri" w:hAnsi="VIC" w:cs="Times New Roman"/>
        </w:rPr>
      </w:pPr>
      <w:r>
        <w:rPr>
          <w:rFonts w:ascii="VIC" w:eastAsia="Calibri" w:hAnsi="VIC" w:cs="Times New Roman"/>
        </w:rPr>
        <w:t>Literacy/numeracy proxy: Reading and Viewing and/or Number and Algebra</w:t>
      </w:r>
    </w:p>
    <w:p w14:paraId="137CC75F" w14:textId="77777777" w:rsidR="004001DB" w:rsidRDefault="004001DB" w:rsidP="004001DB">
      <w:pPr>
        <w:spacing w:line="360" w:lineRule="atLeast"/>
        <w:rPr>
          <w:rFonts w:ascii="VIC" w:eastAsia="Calibri" w:hAnsi="VIC" w:cs="Times New Roman"/>
        </w:rPr>
      </w:pPr>
      <w:r>
        <w:rPr>
          <w:rFonts w:ascii="VIC" w:eastAsia="Calibri" w:hAnsi="VIC" w:cs="Times New Roman"/>
        </w:rPr>
        <w:t>Eligibility criteria: Below Foundation at the end of previous year</w:t>
      </w:r>
    </w:p>
    <w:p w14:paraId="34F95058" w14:textId="77777777" w:rsidR="004001DB" w:rsidRDefault="004001DB" w:rsidP="004001DB">
      <w:pPr>
        <w:spacing w:line="360" w:lineRule="atLeast"/>
        <w:rPr>
          <w:rFonts w:ascii="VIC" w:eastAsia="Calibri" w:hAnsi="VIC" w:cs="Times New Roman"/>
        </w:rPr>
      </w:pPr>
      <w:r>
        <w:rPr>
          <w:rFonts w:ascii="VIC" w:eastAsia="Calibri" w:hAnsi="VIC" w:cs="Times New Roman"/>
        </w:rPr>
        <w:t>Data source: Teacher judgement (end of Prep)</w:t>
      </w:r>
    </w:p>
    <w:p w14:paraId="5B8C08B9" w14:textId="77777777" w:rsidR="004001DB" w:rsidRPr="00150C12" w:rsidRDefault="004001DB" w:rsidP="004001DB">
      <w:pPr>
        <w:spacing w:line="360" w:lineRule="atLeast"/>
        <w:rPr>
          <w:rFonts w:ascii="VIC" w:eastAsia="Calibri" w:hAnsi="VIC" w:cs="Times New Roman"/>
        </w:rPr>
      </w:pPr>
      <w:r>
        <w:rPr>
          <w:rFonts w:ascii="VIC" w:eastAsia="Calibri" w:hAnsi="VIC" w:cs="Times New Roman"/>
        </w:rPr>
        <w:t xml:space="preserve">Eligibility score: </w:t>
      </w:r>
      <w:r w:rsidRPr="004D307F">
        <w:rPr>
          <w:rFonts w:ascii="VIC" w:hAnsi="VIC" w:cstheme="minorHAnsi"/>
          <w:lang w:eastAsia="en-AU"/>
        </w:rPr>
        <w:t>≤</w:t>
      </w:r>
      <w:r>
        <w:rPr>
          <w:rFonts w:ascii="VIC" w:hAnsi="VIC" w:cstheme="minorHAnsi"/>
          <w:lang w:eastAsia="en-AU"/>
        </w:rPr>
        <w:t xml:space="preserve"> 0.5 Vic Curriculum</w:t>
      </w:r>
    </w:p>
    <w:p w14:paraId="2637895C" w14:textId="77777777" w:rsidR="004001DB" w:rsidRDefault="004001DB" w:rsidP="004001DB">
      <w:pPr>
        <w:spacing w:line="360" w:lineRule="atLeast"/>
        <w:rPr>
          <w:rFonts w:ascii="VIC" w:eastAsia="Calibri" w:hAnsi="VIC" w:cs="Times New Roman"/>
          <w:b/>
          <w:bCs/>
        </w:rPr>
      </w:pPr>
      <w:r>
        <w:rPr>
          <w:rFonts w:ascii="VIC" w:eastAsia="Calibri" w:hAnsi="VIC" w:cs="Times New Roman"/>
          <w:b/>
          <w:bCs/>
        </w:rPr>
        <w:t>Year 2</w:t>
      </w:r>
    </w:p>
    <w:p w14:paraId="3B9D5455" w14:textId="77777777" w:rsidR="004001DB" w:rsidRDefault="004001DB" w:rsidP="004001DB">
      <w:pPr>
        <w:spacing w:line="360" w:lineRule="atLeast"/>
        <w:rPr>
          <w:rFonts w:ascii="VIC" w:eastAsia="Calibri" w:hAnsi="VIC" w:cs="Times New Roman"/>
        </w:rPr>
      </w:pPr>
      <w:r>
        <w:rPr>
          <w:rFonts w:ascii="VIC" w:eastAsia="Calibri" w:hAnsi="VIC" w:cs="Times New Roman"/>
        </w:rPr>
        <w:t>Literacy/numeracy proxy: Reading and Viewing and/or Number and Algebra</w:t>
      </w:r>
    </w:p>
    <w:p w14:paraId="1DB9066A" w14:textId="77777777" w:rsidR="004001DB" w:rsidRDefault="004001DB" w:rsidP="004001DB">
      <w:pPr>
        <w:spacing w:line="360" w:lineRule="atLeast"/>
        <w:rPr>
          <w:rFonts w:ascii="VIC" w:eastAsia="Calibri" w:hAnsi="VIC" w:cs="Times New Roman"/>
        </w:rPr>
      </w:pPr>
      <w:r>
        <w:rPr>
          <w:rFonts w:ascii="VIC" w:eastAsia="Calibri" w:hAnsi="VIC" w:cs="Times New Roman"/>
        </w:rPr>
        <w:t>Eligibility criteria: Below expected level for Year 1 at the end of previous year</w:t>
      </w:r>
    </w:p>
    <w:p w14:paraId="5E37D990" w14:textId="77777777" w:rsidR="004001DB" w:rsidRDefault="004001DB" w:rsidP="004001DB">
      <w:pPr>
        <w:spacing w:line="360" w:lineRule="atLeast"/>
        <w:rPr>
          <w:rFonts w:ascii="VIC" w:eastAsia="Calibri" w:hAnsi="VIC" w:cs="Times New Roman"/>
        </w:rPr>
      </w:pPr>
      <w:r>
        <w:rPr>
          <w:rFonts w:ascii="VIC" w:eastAsia="Calibri" w:hAnsi="VIC" w:cs="Times New Roman"/>
        </w:rPr>
        <w:t>Data source: Teacher judgement: (end of Year 1)</w:t>
      </w:r>
    </w:p>
    <w:p w14:paraId="1FA246FA" w14:textId="77777777" w:rsidR="004001DB" w:rsidRPr="00150C12" w:rsidRDefault="004001DB" w:rsidP="004001DB">
      <w:pPr>
        <w:spacing w:line="360" w:lineRule="atLeast"/>
        <w:rPr>
          <w:rFonts w:ascii="VIC" w:eastAsia="Calibri" w:hAnsi="VIC" w:cs="Times New Roman"/>
        </w:rPr>
      </w:pPr>
      <w:r>
        <w:rPr>
          <w:rFonts w:ascii="VIC" w:eastAsia="Calibri" w:hAnsi="VIC" w:cs="Times New Roman"/>
        </w:rPr>
        <w:t xml:space="preserve">Eligibility score:  </w:t>
      </w:r>
      <w:r w:rsidRPr="004D307F">
        <w:rPr>
          <w:rFonts w:ascii="VIC" w:hAnsi="VIC" w:cstheme="minorHAnsi"/>
          <w:lang w:eastAsia="en-AU"/>
        </w:rPr>
        <w:t>≤</w:t>
      </w:r>
      <w:r>
        <w:rPr>
          <w:rFonts w:ascii="VIC" w:hAnsi="VIC" w:cstheme="minorHAnsi"/>
          <w:lang w:eastAsia="en-AU"/>
        </w:rPr>
        <w:t xml:space="preserve"> F Vic Curriculum</w:t>
      </w:r>
    </w:p>
    <w:p w14:paraId="2F899A3F" w14:textId="77777777" w:rsidR="004001DB" w:rsidRDefault="004001DB" w:rsidP="004001DB">
      <w:pPr>
        <w:spacing w:line="360" w:lineRule="atLeast"/>
        <w:rPr>
          <w:rFonts w:ascii="VIC" w:eastAsia="Calibri" w:hAnsi="VIC" w:cs="Times New Roman"/>
          <w:b/>
          <w:bCs/>
        </w:rPr>
      </w:pPr>
      <w:r>
        <w:rPr>
          <w:rFonts w:ascii="VIC" w:eastAsia="Calibri" w:hAnsi="VIC" w:cs="Times New Roman"/>
          <w:b/>
          <w:bCs/>
        </w:rPr>
        <w:t>Year 3</w:t>
      </w:r>
    </w:p>
    <w:p w14:paraId="4CEF29EB" w14:textId="77777777" w:rsidR="004001DB" w:rsidRDefault="004001DB" w:rsidP="004001DB">
      <w:pPr>
        <w:spacing w:line="360" w:lineRule="atLeast"/>
        <w:rPr>
          <w:rFonts w:ascii="VIC" w:eastAsia="Calibri" w:hAnsi="VIC" w:cs="Times New Roman"/>
        </w:rPr>
      </w:pPr>
      <w:r>
        <w:rPr>
          <w:rFonts w:ascii="VIC" w:eastAsia="Calibri" w:hAnsi="VIC" w:cs="Times New Roman"/>
        </w:rPr>
        <w:lastRenderedPageBreak/>
        <w:t xml:space="preserve">Literacy/numeracy proxy: Reading and Viewing and/or Number and Algebra </w:t>
      </w:r>
    </w:p>
    <w:p w14:paraId="0E27FDB5" w14:textId="77777777" w:rsidR="004001DB" w:rsidRDefault="004001DB" w:rsidP="004001DB">
      <w:pPr>
        <w:spacing w:line="360" w:lineRule="atLeast"/>
        <w:rPr>
          <w:rFonts w:ascii="VIC" w:eastAsia="Calibri" w:hAnsi="VIC" w:cs="Times New Roman"/>
        </w:rPr>
      </w:pPr>
      <w:r>
        <w:rPr>
          <w:rFonts w:ascii="VIC" w:eastAsia="Calibri" w:hAnsi="VIC" w:cs="Times New Roman"/>
        </w:rPr>
        <w:t>Eligibility criteria: Below expected level for Year 2 at the end of previous year</w:t>
      </w:r>
    </w:p>
    <w:p w14:paraId="2F3CBA5C" w14:textId="77777777" w:rsidR="004001DB" w:rsidRDefault="004001DB" w:rsidP="004001DB">
      <w:pPr>
        <w:spacing w:line="360" w:lineRule="atLeast"/>
        <w:rPr>
          <w:rFonts w:ascii="VIC" w:eastAsia="Calibri" w:hAnsi="VIC" w:cs="Times New Roman"/>
        </w:rPr>
      </w:pPr>
      <w:r>
        <w:rPr>
          <w:rFonts w:ascii="VIC" w:eastAsia="Calibri" w:hAnsi="VIC" w:cs="Times New Roman"/>
        </w:rPr>
        <w:t>Data source: Teacher judgement (end of Year 2)</w:t>
      </w:r>
    </w:p>
    <w:p w14:paraId="47C61857" w14:textId="77777777" w:rsidR="004001DB" w:rsidRPr="00150C12" w:rsidRDefault="004001DB" w:rsidP="004001DB">
      <w:pPr>
        <w:spacing w:line="360" w:lineRule="atLeast"/>
        <w:rPr>
          <w:rFonts w:ascii="VIC" w:eastAsia="Calibri" w:hAnsi="VIC" w:cs="Times New Roman"/>
        </w:rPr>
      </w:pPr>
      <w:r>
        <w:rPr>
          <w:rFonts w:ascii="VIC" w:eastAsia="Calibri" w:hAnsi="VIC" w:cs="Times New Roman"/>
        </w:rPr>
        <w:t xml:space="preserve">Eligibility score: </w:t>
      </w:r>
      <w:r w:rsidRPr="004D307F">
        <w:rPr>
          <w:rFonts w:ascii="VIC" w:hAnsi="VIC" w:cstheme="minorHAnsi"/>
          <w:lang w:eastAsia="en-AU"/>
        </w:rPr>
        <w:t>≤</w:t>
      </w:r>
      <w:r>
        <w:rPr>
          <w:rFonts w:ascii="VIC" w:hAnsi="VIC" w:cstheme="minorHAnsi"/>
          <w:lang w:eastAsia="en-AU"/>
        </w:rPr>
        <w:t xml:space="preserve"> 1 Vic Curriculum</w:t>
      </w:r>
    </w:p>
    <w:p w14:paraId="15A08EEF" w14:textId="77777777" w:rsidR="004001DB" w:rsidRDefault="004001DB" w:rsidP="004001DB">
      <w:pPr>
        <w:spacing w:line="360" w:lineRule="atLeast"/>
        <w:rPr>
          <w:rFonts w:ascii="VIC" w:eastAsia="Calibri" w:hAnsi="VIC" w:cs="Times New Roman"/>
          <w:b/>
          <w:bCs/>
        </w:rPr>
      </w:pPr>
      <w:r>
        <w:rPr>
          <w:rFonts w:ascii="VIC" w:eastAsia="Calibri" w:hAnsi="VIC" w:cs="Times New Roman"/>
          <w:b/>
          <w:bCs/>
        </w:rPr>
        <w:t>Special schools</w:t>
      </w:r>
    </w:p>
    <w:p w14:paraId="4B982BAF" w14:textId="77777777" w:rsidR="004001DB" w:rsidRDefault="004001DB" w:rsidP="004001DB">
      <w:pPr>
        <w:spacing w:line="360" w:lineRule="atLeast"/>
        <w:rPr>
          <w:rFonts w:ascii="VIC" w:eastAsia="Calibri" w:hAnsi="VIC" w:cs="Times New Roman"/>
        </w:rPr>
      </w:pPr>
      <w:r>
        <w:rPr>
          <w:rFonts w:ascii="VIC" w:eastAsia="Calibri" w:hAnsi="VIC" w:cs="Times New Roman"/>
        </w:rPr>
        <w:t>Literacy/numeracy proxy: Not applicable</w:t>
      </w:r>
    </w:p>
    <w:p w14:paraId="27D0AFA5" w14:textId="77777777" w:rsidR="004001DB" w:rsidRDefault="004001DB" w:rsidP="004001DB">
      <w:pPr>
        <w:spacing w:line="360" w:lineRule="atLeast"/>
        <w:rPr>
          <w:rFonts w:ascii="VIC" w:eastAsia="Calibri" w:hAnsi="VIC" w:cs="Times New Roman"/>
        </w:rPr>
      </w:pPr>
      <w:r>
        <w:rPr>
          <w:rFonts w:ascii="VIC" w:eastAsia="Calibri" w:hAnsi="VIC" w:cs="Times New Roman"/>
        </w:rPr>
        <w:t>Eligibility criteria: Birth date</w:t>
      </w:r>
    </w:p>
    <w:p w14:paraId="0BEF02F8" w14:textId="77777777" w:rsidR="004001DB" w:rsidRDefault="004001DB" w:rsidP="004001DB">
      <w:pPr>
        <w:spacing w:line="360" w:lineRule="atLeast"/>
        <w:rPr>
          <w:rFonts w:ascii="VIC" w:eastAsia="Calibri" w:hAnsi="VIC" w:cs="Times New Roman"/>
        </w:rPr>
      </w:pPr>
      <w:r>
        <w:rPr>
          <w:rFonts w:ascii="VIC" w:eastAsia="Calibri" w:hAnsi="VIC" w:cs="Times New Roman"/>
        </w:rPr>
        <w:t>Data source: CASES21</w:t>
      </w:r>
    </w:p>
    <w:p w14:paraId="6B519625" w14:textId="481A7B98" w:rsidR="004001DB" w:rsidRPr="00150C12" w:rsidRDefault="004001DB" w:rsidP="004001DB">
      <w:pPr>
        <w:spacing w:line="360" w:lineRule="atLeast"/>
        <w:rPr>
          <w:rFonts w:ascii="VIC" w:eastAsia="Calibri" w:hAnsi="VIC" w:cs="Times New Roman"/>
        </w:rPr>
      </w:pPr>
      <w:r>
        <w:rPr>
          <w:rFonts w:ascii="VIC" w:eastAsia="Calibri" w:hAnsi="VIC" w:cs="Times New Roman"/>
        </w:rPr>
        <w:t xml:space="preserve">Eligibility score: Born between </w:t>
      </w:r>
      <w:r w:rsidR="005B0A79">
        <w:rPr>
          <w:rFonts w:ascii="VIC" w:eastAsia="Calibri" w:hAnsi="VIC" w:cs="Times New Roman"/>
        </w:rPr>
        <w:t xml:space="preserve">1 </w:t>
      </w:r>
      <w:r>
        <w:rPr>
          <w:rFonts w:ascii="VIC" w:eastAsia="Calibri" w:hAnsi="VIC" w:cs="Times New Roman"/>
        </w:rPr>
        <w:t xml:space="preserve">January in the current year minus </w:t>
      </w:r>
      <w:r w:rsidR="005B0A79">
        <w:rPr>
          <w:rFonts w:ascii="VIC" w:eastAsia="Calibri" w:hAnsi="VIC" w:cs="Times New Roman"/>
        </w:rPr>
        <w:t>9</w:t>
      </w:r>
      <w:r>
        <w:rPr>
          <w:rFonts w:ascii="VIC" w:eastAsia="Calibri" w:hAnsi="VIC" w:cs="Times New Roman"/>
        </w:rPr>
        <w:t xml:space="preserve"> years and 30 April of current year minus </w:t>
      </w:r>
      <w:r w:rsidR="005B0A79">
        <w:rPr>
          <w:rFonts w:ascii="VIC" w:eastAsia="Calibri" w:hAnsi="VIC" w:cs="Times New Roman"/>
        </w:rPr>
        <w:t>5</w:t>
      </w:r>
      <w:r>
        <w:rPr>
          <w:rFonts w:ascii="VIC" w:eastAsia="Calibri" w:hAnsi="VIC" w:cs="Times New Roman"/>
        </w:rPr>
        <w:t xml:space="preserve"> years. For example, in 2022 students are eligible if born between </w:t>
      </w:r>
      <w:r w:rsidR="005B0A79">
        <w:rPr>
          <w:rFonts w:ascii="VIC" w:eastAsia="Calibri" w:hAnsi="VIC" w:cs="Times New Roman"/>
        </w:rPr>
        <w:t xml:space="preserve">1 </w:t>
      </w:r>
      <w:r>
        <w:rPr>
          <w:rFonts w:ascii="VIC" w:eastAsia="Calibri" w:hAnsi="VIC" w:cs="Times New Roman"/>
        </w:rPr>
        <w:t>January 2013 (2022 – 9) and 30 April 2017 (2022 – 5).</w:t>
      </w:r>
    </w:p>
    <w:p w14:paraId="33F9F02B" w14:textId="77777777" w:rsidR="004001DB" w:rsidRPr="004D307F" w:rsidRDefault="004001DB" w:rsidP="004001DB">
      <w:pPr>
        <w:spacing w:line="360" w:lineRule="atLeast"/>
        <w:rPr>
          <w:rFonts w:ascii="VIC" w:eastAsia="Calibri" w:hAnsi="VIC" w:cs="Times New Roman"/>
        </w:rPr>
      </w:pPr>
      <w:r w:rsidRPr="004D307F">
        <w:rPr>
          <w:rFonts w:ascii="VIC" w:eastAsia="Calibri" w:hAnsi="VIC" w:cs="Times New Roman"/>
        </w:rPr>
        <w:t>Funding is provided at $1,700 per eligible Koorie student. Total funding to school = number of eligible students x $1700</w:t>
      </w:r>
    </w:p>
    <w:p w14:paraId="167F7CA9" w14:textId="77777777" w:rsidR="004001DB" w:rsidRPr="004D307F" w:rsidRDefault="004001DB" w:rsidP="004001DB">
      <w:pPr>
        <w:spacing w:line="360" w:lineRule="atLeast"/>
        <w:rPr>
          <w:rFonts w:ascii="VIC" w:hAnsi="VIC"/>
          <w:b/>
          <w:bCs/>
          <w:lang w:val="en-US"/>
        </w:rPr>
      </w:pPr>
      <w:r w:rsidRPr="004D307F">
        <w:rPr>
          <w:rFonts w:ascii="VIC" w:hAnsi="VIC"/>
          <w:b/>
          <w:bCs/>
          <w:lang w:val="en-US"/>
        </w:rPr>
        <w:t>Payment and management of funds</w:t>
      </w:r>
    </w:p>
    <w:p w14:paraId="33DE2D79" w14:textId="77777777" w:rsidR="004001DB" w:rsidRPr="004D307F" w:rsidRDefault="004001DB" w:rsidP="004001DB">
      <w:pPr>
        <w:spacing w:line="360" w:lineRule="atLeast"/>
        <w:rPr>
          <w:rFonts w:ascii="VIC" w:hAnsi="VIC"/>
        </w:rPr>
      </w:pPr>
      <w:r w:rsidRPr="004D307F">
        <w:rPr>
          <w:rFonts w:ascii="VIC" w:hAnsi="VIC"/>
        </w:rPr>
        <w:t xml:space="preserve">EYKLNP funds are paid to schools through the revised SRP. Funds are listed the School Budget Management Report under Targeted Initiatives. Schools should use funds in line with the acceptable use policy outlined in the program guidelines. Schools are expected to retain appropriate financial records relating to the administration of funding and should acquit revenue and all expenditure relating to the EYKLNP against CASES21 sub-program 9623. </w:t>
      </w:r>
    </w:p>
    <w:p w14:paraId="5574007D" w14:textId="488EB704" w:rsidR="00983CC8" w:rsidRPr="004D307F" w:rsidRDefault="004001DB" w:rsidP="004001DB">
      <w:pPr>
        <w:spacing w:line="360" w:lineRule="atLeast"/>
        <w:rPr>
          <w:rFonts w:ascii="VIC" w:hAnsi="VIC"/>
          <w:lang w:val="en-US"/>
        </w:rPr>
      </w:pPr>
      <w:r w:rsidRPr="004D307F">
        <w:rPr>
          <w:rFonts w:ascii="VIC" w:hAnsi="VIC"/>
          <w:lang w:val="en-US"/>
        </w:rPr>
        <w:t xml:space="preserve">Further information:  Additional information including program guidelines are available </w:t>
      </w:r>
      <w:r w:rsidRPr="00BE358B">
        <w:rPr>
          <w:rFonts w:ascii="VIC" w:hAnsi="VIC"/>
          <w:lang w:val="en-US"/>
        </w:rPr>
        <w:t xml:space="preserve">at </w:t>
      </w:r>
      <w:hyperlink r:id="rId157" w:history="1">
        <w:r w:rsidRPr="00BE358B">
          <w:rPr>
            <w:rStyle w:val="Hyperlink"/>
            <w:rFonts w:ascii="VIC" w:hAnsi="VIC" w:cs="Calibri"/>
            <w:lang w:val="en-US"/>
          </w:rPr>
          <w:t>Koorie Literacy and Numeracy Program implementation</w:t>
        </w:r>
      </w:hyperlink>
      <w:r w:rsidRPr="004D307F">
        <w:rPr>
          <w:rFonts w:ascii="VIC" w:hAnsi="VIC"/>
          <w:lang w:val="en-US"/>
        </w:rPr>
        <w:t xml:space="preserve"> </w:t>
      </w:r>
      <w:r w:rsidR="006951C5">
        <w:rPr>
          <w:rFonts w:ascii="VIC" w:hAnsi="VIC"/>
          <w:lang w:val="en-US"/>
        </w:rPr>
        <w:t xml:space="preserve">(staff login required). </w:t>
      </w:r>
      <w:r w:rsidRPr="004D307F">
        <w:rPr>
          <w:rFonts w:ascii="VIC" w:hAnsi="VIC"/>
          <w:lang w:val="en-US"/>
        </w:rPr>
        <w:t xml:space="preserve">For further enquiries, contact the coordinator </w:t>
      </w:r>
      <w:r w:rsidRPr="00BE358B">
        <w:rPr>
          <w:rFonts w:ascii="VIC" w:hAnsi="VIC"/>
          <w:lang w:val="en-US"/>
        </w:rPr>
        <w:t xml:space="preserve">at </w:t>
      </w:r>
      <w:hyperlink r:id="rId158" w:history="1">
        <w:r w:rsidRPr="00BE358B">
          <w:rPr>
            <w:rStyle w:val="Hyperlink"/>
            <w:rFonts w:ascii="VIC" w:hAnsi="VIC"/>
          </w:rPr>
          <w:t>koorielitnum@education.vic.gov.au</w:t>
        </w:r>
      </w:hyperlink>
      <w:r w:rsidRPr="004D307F">
        <w:rPr>
          <w:rFonts w:ascii="VIC" w:hAnsi="VIC"/>
          <w:lang w:val="en-US"/>
        </w:rPr>
        <w:t xml:space="preserve"> or </w:t>
      </w:r>
      <w:r>
        <w:rPr>
          <w:rFonts w:ascii="VIC" w:hAnsi="VIC"/>
          <w:lang w:val="en-US"/>
        </w:rPr>
        <w:t xml:space="preserve">03 </w:t>
      </w:r>
      <w:r w:rsidRPr="004D307F">
        <w:rPr>
          <w:rFonts w:ascii="VIC" w:hAnsi="VIC"/>
          <w:lang w:val="en-US"/>
        </w:rPr>
        <w:t>7022 1869</w:t>
      </w:r>
      <w:r w:rsidR="00983CC8" w:rsidRPr="004D307F">
        <w:rPr>
          <w:rFonts w:ascii="VIC" w:hAnsi="VIC"/>
          <w:lang w:val="en-US"/>
        </w:rPr>
        <w:t xml:space="preserve">. </w:t>
      </w:r>
    </w:p>
    <w:p w14:paraId="4AE6A493" w14:textId="77777777" w:rsidR="004F6FD9" w:rsidRPr="004D307F" w:rsidRDefault="004F6FD9">
      <w:pPr>
        <w:rPr>
          <w:rFonts w:asciiTheme="majorHAnsi" w:eastAsia="Calibri" w:hAnsiTheme="majorHAnsi" w:cstheme="majorBidi"/>
          <w:b/>
          <w:color w:val="2F5496" w:themeColor="accent1" w:themeShade="BF"/>
          <w:sz w:val="36"/>
          <w:szCs w:val="26"/>
          <w:lang w:val="en" w:eastAsia="en-AU"/>
        </w:rPr>
      </w:pPr>
      <w:r w:rsidRPr="004D307F">
        <w:br w:type="page"/>
      </w:r>
    </w:p>
    <w:p w14:paraId="7AA3C834" w14:textId="010F8179" w:rsidR="00EA34C0" w:rsidRPr="004D307F" w:rsidRDefault="00EA34C0" w:rsidP="00B566E7">
      <w:pPr>
        <w:pStyle w:val="Heading2"/>
      </w:pPr>
      <w:bookmarkStart w:id="106" w:name="_Toc106793795"/>
      <w:r w:rsidRPr="004D307F">
        <w:lastRenderedPageBreak/>
        <w:t>Doctors in Secondary Schools — School program lead funding (Reference 64)</w:t>
      </w:r>
      <w:bookmarkEnd w:id="106"/>
    </w:p>
    <w:p w14:paraId="784467DA"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w:t>
      </w:r>
      <w:hyperlink r:id="rId159" w:history="1">
        <w:r w:rsidRPr="004D307F">
          <w:rPr>
            <w:rFonts w:ascii="VIC" w:eastAsia="Times New Roman" w:hAnsi="VIC" w:cs="Times New Roman"/>
            <w:color w:val="011A3C"/>
            <w:sz w:val="24"/>
            <w:szCs w:val="24"/>
            <w:lang w:val="en" w:eastAsia="en-AU"/>
          </w:rPr>
          <w:t>Doctors in Secondary Schools Program</w:t>
        </w:r>
      </w:hyperlink>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(DiSS)</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initiative is underway, funding general practitioners (GPs) and practice nurses to attend 100 Victorian government secondary schools up to one day a week to provide medical advice and health care to those students most in need.</w:t>
      </w:r>
      <w:r w:rsidRPr="004D307F">
        <w:rPr>
          <w:rFonts w:ascii="Calibri" w:eastAsia="Times New Roman" w:hAnsi="Calibri" w:cs="Calibri" w:hint="eastAsia"/>
          <w:color w:val="011A3C"/>
          <w:sz w:val="24"/>
          <w:szCs w:val="24"/>
          <w:lang w:val="en" w:eastAsia="en-AU"/>
        </w:rPr>
        <w:t> </w:t>
      </w:r>
    </w:p>
    <w:p w14:paraId="735104DD" w14:textId="77777777"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School program lead funding</w:t>
      </w:r>
    </w:p>
    <w:p w14:paraId="06347711"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will be required to appoint a Leading Teacher to hold overall responsibility for program coordination duties for the school.</w:t>
      </w:r>
    </w:p>
    <w:p w14:paraId="25C8867E" w14:textId="6E1EE4E8"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will be provided with the funding equivalent to 0.2 FTE at Leading Teacher Level 3.1 pay rate to support this. This funding will extend from each school's implementation start date until the end of the 202</w:t>
      </w:r>
      <w:r w:rsidR="005F3BD1" w:rsidRPr="004D307F">
        <w:rPr>
          <w:rFonts w:ascii="VIC" w:eastAsia="Times New Roman" w:hAnsi="VIC" w:cs="Times New Roman"/>
          <w:color w:val="011A3C"/>
          <w:sz w:val="24"/>
          <w:szCs w:val="24"/>
          <w:lang w:val="en" w:eastAsia="en-AU"/>
        </w:rPr>
        <w:t>2</w:t>
      </w:r>
      <w:r w:rsidRPr="004D307F">
        <w:rPr>
          <w:rFonts w:ascii="VIC" w:eastAsia="Times New Roman" w:hAnsi="VIC" w:cs="Times New Roman"/>
          <w:color w:val="011A3C"/>
          <w:sz w:val="24"/>
          <w:szCs w:val="24"/>
          <w:lang w:val="en" w:eastAsia="en-AU"/>
        </w:rPr>
        <w:t xml:space="preserve"> school year.</w:t>
      </w:r>
    </w:p>
    <w:p w14:paraId="18DC55E9"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responsibility for coordination of the program within the school can also rest with an Assistant Principal, if that is more appropriate than a Leading Teacher. However, if a school appoints an Assistant Principal to the School Program Lead role, the school will still receive the same amount of funding as if a Leading Teacher were appointed.</w:t>
      </w:r>
    </w:p>
    <w:p w14:paraId="4DED19EC" w14:textId="77777777" w:rsidR="00006C3B" w:rsidRPr="004D307F" w:rsidRDefault="00006C3B" w:rsidP="00006C3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Eligibility</w:t>
      </w:r>
    </w:p>
    <w:p w14:paraId="1C084B74" w14:textId="77777777" w:rsidR="00006C3B" w:rsidRPr="004D307F" w:rsidRDefault="00006C3B" w:rsidP="00006C3B">
      <w:pPr>
        <w:rPr>
          <w:rFonts w:ascii="VIC" w:eastAsia="Times New Roman" w:hAnsi="VIC" w:cs="Times New Roman"/>
          <w:color w:val="323E4F" w:themeColor="text2" w:themeShade="BF"/>
          <w:sz w:val="24"/>
          <w:szCs w:val="24"/>
          <w:lang w:val="en" w:eastAsia="en-AU"/>
        </w:rPr>
      </w:pPr>
      <w:r w:rsidRPr="004D307F">
        <w:rPr>
          <w:rFonts w:ascii="VIC" w:eastAsia="Times New Roman" w:hAnsi="VIC" w:cs="Times New Roman"/>
          <w:color w:val="011A3C"/>
          <w:sz w:val="24"/>
          <w:szCs w:val="24"/>
          <w:lang w:val="en" w:eastAsia="en-AU"/>
        </w:rPr>
        <w:t xml:space="preserve">Schools with </w:t>
      </w:r>
      <w:r w:rsidRPr="004D307F">
        <w:rPr>
          <w:rFonts w:ascii="VIC" w:eastAsia="Times New Roman" w:hAnsi="VIC" w:cs="Times New Roman"/>
          <w:color w:val="323E4F" w:themeColor="text2" w:themeShade="BF"/>
          <w:sz w:val="24"/>
          <w:szCs w:val="24"/>
          <w:lang w:val="en" w:eastAsia="en-AU"/>
        </w:rPr>
        <w:t>the following campus types are eligible for DiSS Funding at school level.</w:t>
      </w:r>
    </w:p>
    <w:p w14:paraId="05435705" w14:textId="77777777" w:rsidR="00006C3B" w:rsidRPr="004D307F" w:rsidRDefault="00006C3B" w:rsidP="00ED0863">
      <w:pPr>
        <w:pStyle w:val="ListParagraph"/>
        <w:numPr>
          <w:ilvl w:val="0"/>
          <w:numId w:val="80"/>
        </w:numPr>
        <w:rPr>
          <w:rFonts w:ascii="VIC" w:eastAsia="Times New Roman" w:hAnsi="VIC" w:cs="Times New Roman"/>
          <w:color w:val="323E4F" w:themeColor="text2" w:themeShade="BF"/>
          <w:sz w:val="24"/>
          <w:szCs w:val="24"/>
          <w:lang w:val="en" w:eastAsia="en-AU"/>
        </w:rPr>
      </w:pPr>
      <w:r w:rsidRPr="004D307F">
        <w:rPr>
          <w:rFonts w:ascii="VIC" w:hAnsi="VIC"/>
          <w:color w:val="323E4F" w:themeColor="text2" w:themeShade="BF"/>
          <w:lang w:val="en-US"/>
        </w:rPr>
        <w:t>Secondary</w:t>
      </w:r>
    </w:p>
    <w:p w14:paraId="036DFEF0" w14:textId="2C9EBD2C" w:rsidR="00006C3B" w:rsidRPr="004D307F" w:rsidRDefault="00006C3B" w:rsidP="00ED0863">
      <w:pPr>
        <w:pStyle w:val="ListParagraph"/>
        <w:numPr>
          <w:ilvl w:val="0"/>
          <w:numId w:val="54"/>
        </w:numPr>
        <w:rPr>
          <w:rFonts w:ascii="VIC" w:eastAsia="Times New Roman" w:hAnsi="VIC" w:cs="Times New Roman"/>
          <w:color w:val="323E4F" w:themeColor="text2" w:themeShade="BF"/>
          <w:sz w:val="24"/>
          <w:szCs w:val="24"/>
          <w:lang w:val="en" w:eastAsia="en-AU"/>
        </w:rPr>
      </w:pPr>
      <w:r w:rsidRPr="004D307F">
        <w:rPr>
          <w:rFonts w:ascii="VIC" w:hAnsi="VIC"/>
          <w:color w:val="323E4F" w:themeColor="text2" w:themeShade="BF"/>
          <w:lang w:val="en-US"/>
        </w:rPr>
        <w:t>Pri</w:t>
      </w:r>
      <w:r w:rsidR="001F2ECD" w:rsidRPr="004D307F">
        <w:rPr>
          <w:rFonts w:ascii="VIC" w:hAnsi="VIC"/>
          <w:color w:val="323E4F" w:themeColor="text2" w:themeShade="BF"/>
          <w:lang w:val="en-US"/>
        </w:rPr>
        <w:t>mary</w:t>
      </w:r>
      <w:r w:rsidRPr="004D307F">
        <w:rPr>
          <w:rFonts w:ascii="VIC" w:hAnsi="VIC"/>
          <w:color w:val="323E4F" w:themeColor="text2" w:themeShade="BF"/>
          <w:lang w:val="en-US"/>
        </w:rPr>
        <w:t>/</w:t>
      </w:r>
      <w:r w:rsidR="001F2ECD" w:rsidRPr="004D307F">
        <w:rPr>
          <w:rFonts w:ascii="VIC" w:hAnsi="VIC"/>
          <w:color w:val="323E4F" w:themeColor="text2" w:themeShade="BF"/>
          <w:lang w:val="en-US"/>
        </w:rPr>
        <w:t>S</w:t>
      </w:r>
      <w:r w:rsidRPr="004D307F">
        <w:rPr>
          <w:rFonts w:ascii="VIC" w:hAnsi="VIC"/>
          <w:color w:val="323E4F" w:themeColor="text2" w:themeShade="BF"/>
          <w:lang w:val="en-US"/>
        </w:rPr>
        <w:t>ec</w:t>
      </w:r>
      <w:r w:rsidR="001F2ECD" w:rsidRPr="004D307F">
        <w:rPr>
          <w:rFonts w:ascii="VIC" w:hAnsi="VIC"/>
          <w:color w:val="323E4F" w:themeColor="text2" w:themeShade="BF"/>
          <w:lang w:val="en-US"/>
        </w:rPr>
        <w:t>ondary Combined</w:t>
      </w:r>
    </w:p>
    <w:p w14:paraId="2DD9DF6E" w14:textId="77777777" w:rsidR="00006C3B" w:rsidRPr="004D307F" w:rsidRDefault="00006C3B" w:rsidP="00006C3B">
      <w:pPr>
        <w:spacing w:before="100" w:beforeAutospacing="1" w:after="100" w:afterAutospacing="1" w:line="288" w:lineRule="atLeast"/>
        <w:outlineLvl w:val="2"/>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Funding is calculated at the Indicative budget cycle, through credit funding.</w:t>
      </w:r>
    </w:p>
    <w:p w14:paraId="1A5D592D" w14:textId="77777777" w:rsidR="00006C3B" w:rsidRPr="004D307F" w:rsidRDefault="00006C3B" w:rsidP="009B1B1C">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Calculation</w:t>
      </w:r>
    </w:p>
    <w:p w14:paraId="0A32E180" w14:textId="77777777" w:rsidR="00006C3B" w:rsidRPr="004D307F" w:rsidRDefault="00006C3B" w:rsidP="00006C3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b/>
          <w:bCs/>
          <w:color w:val="011A3C"/>
          <w:sz w:val="24"/>
          <w:szCs w:val="24"/>
          <w:lang w:val="en" w:eastAsia="en-AU"/>
        </w:rPr>
        <w:t>Funding</w:t>
      </w:r>
      <w:r w:rsidRPr="004D307F">
        <w:rPr>
          <w:rFonts w:ascii="VIC" w:eastAsia="Times New Roman" w:hAnsi="VIC" w:cs="Times New Roman"/>
          <w:color w:val="011A3C"/>
          <w:sz w:val="24"/>
          <w:szCs w:val="24"/>
          <w:lang w:val="en" w:eastAsia="en-AU"/>
        </w:rPr>
        <w:t xml:space="preserve"> = Leading Teacher Level 3.1 x 0.2 FTE</w:t>
      </w:r>
    </w:p>
    <w:p w14:paraId="52CAECD9" w14:textId="5745B3B2" w:rsidR="00006C3B" w:rsidRPr="004D307F" w:rsidRDefault="00006C3B" w:rsidP="00006C3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t>
      </w:r>
      <w:r w:rsidR="009A130D" w:rsidRPr="004D307F">
        <w:rPr>
          <w:rFonts w:ascii="VIC" w:eastAsia="Times New Roman" w:hAnsi="VIC" w:cs="Times New Roman"/>
          <w:color w:val="011A3C"/>
          <w:sz w:val="24"/>
          <w:szCs w:val="24"/>
          <w:lang w:val="en" w:eastAsia="en-AU"/>
        </w:rPr>
        <w:t>Student Resource Package (</w:t>
      </w:r>
      <w:r w:rsidRPr="004D307F">
        <w:rPr>
          <w:rFonts w:ascii="VIC" w:eastAsia="Times New Roman" w:hAnsi="VIC" w:cs="Times New Roman"/>
          <w:color w:val="011A3C"/>
          <w:sz w:val="24"/>
          <w:szCs w:val="24"/>
          <w:lang w:val="en" w:eastAsia="en-AU"/>
        </w:rPr>
        <w:t>SRP</w:t>
      </w:r>
      <w:r w:rsidR="009A130D" w:rsidRPr="004D307F">
        <w:rPr>
          <w:rFonts w:ascii="VIC" w:eastAsia="Times New Roman" w:hAnsi="VIC" w:cs="Times New Roman"/>
          <w:color w:val="011A3C"/>
          <w:sz w:val="24"/>
          <w:szCs w:val="24"/>
          <w:lang w:val="en" w:eastAsia="en-AU"/>
        </w:rPr>
        <w:t>)</w:t>
      </w:r>
      <w:r w:rsidRPr="004D307F">
        <w:rPr>
          <w:rFonts w:ascii="VIC" w:eastAsia="Times New Roman" w:hAnsi="VIC" w:cs="Times New Roman"/>
          <w:color w:val="011A3C"/>
          <w:sz w:val="24"/>
          <w:szCs w:val="24"/>
          <w:lang w:val="en" w:eastAsia="en-AU"/>
        </w:rPr>
        <w:t xml:space="preserve"> Indexation has been applied to the rate annually since commencement.</w:t>
      </w:r>
    </w:p>
    <w:p w14:paraId="0E230D4E" w14:textId="634B1754" w:rsidR="00EA34C0" w:rsidRPr="004D307F" w:rsidRDefault="00EA34C0" w:rsidP="004D1CF3">
      <w:pPr>
        <w:keepNext/>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lastRenderedPageBreak/>
        <w:t>Responsibilities of the school program lead</w:t>
      </w:r>
    </w:p>
    <w:p w14:paraId="71C2329D" w14:textId="75FABBBC"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Doctors in Secondary Schools Program Lead is responsible for providing leadership in the school around the implementation of the </w:t>
      </w:r>
      <w:r w:rsidR="00EF1322" w:rsidRPr="004D307F">
        <w:rPr>
          <w:rFonts w:ascii="VIC" w:eastAsia="Times New Roman" w:hAnsi="VIC" w:cs="Times New Roman"/>
          <w:color w:val="011A3C"/>
          <w:sz w:val="24"/>
          <w:szCs w:val="24"/>
          <w:lang w:val="en" w:eastAsia="en-AU"/>
        </w:rPr>
        <w:t>program and</w:t>
      </w:r>
      <w:r w:rsidRPr="004D307F">
        <w:rPr>
          <w:rFonts w:ascii="VIC" w:eastAsia="Times New Roman" w:hAnsi="VIC" w:cs="Times New Roman"/>
          <w:color w:val="011A3C"/>
          <w:sz w:val="24"/>
          <w:szCs w:val="24"/>
          <w:lang w:val="en" w:eastAsia="en-AU"/>
        </w:rPr>
        <w:t xml:space="preserve"> plays a crucial role in leading the partnership between the health and education sectors as part of the DiSS program. This includes:</w:t>
      </w:r>
    </w:p>
    <w:p w14:paraId="421CA39A" w14:textId="77777777" w:rsidR="00EA34C0" w:rsidRPr="004D307F" w:rsidRDefault="00EA34C0" w:rsidP="00ED0863">
      <w:pPr>
        <w:numPr>
          <w:ilvl w:val="0"/>
          <w:numId w:val="6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support the GP to deliver youth-friendly primary health care to the student population</w:t>
      </w:r>
    </w:p>
    <w:p w14:paraId="5FBD1A71" w14:textId="77777777" w:rsidR="00EA34C0" w:rsidRPr="004D307F" w:rsidRDefault="00EA34C0" w:rsidP="00ED0863">
      <w:pPr>
        <w:numPr>
          <w:ilvl w:val="0"/>
          <w:numId w:val="6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collaborate with the practice nurse to ensure effective management of the service, including appointment systems</w:t>
      </w:r>
    </w:p>
    <w:p w14:paraId="74AC5689" w14:textId="77777777" w:rsidR="00EA34C0" w:rsidRPr="004D307F" w:rsidRDefault="00EA34C0" w:rsidP="00ED0863">
      <w:pPr>
        <w:numPr>
          <w:ilvl w:val="0"/>
          <w:numId w:val="6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integrate the GP service into the broader health and wellbeing offering of the school</w:t>
      </w:r>
    </w:p>
    <w:p w14:paraId="1280BEC8" w14:textId="59942325" w:rsidR="00EA34C0" w:rsidRPr="004D307F" w:rsidRDefault="00EA34C0" w:rsidP="00ED0863">
      <w:pPr>
        <w:numPr>
          <w:ilvl w:val="0"/>
          <w:numId w:val="6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provide leadership around parent/carer/broader school community involvement in the Doctors in Secondary Schools program</w:t>
      </w:r>
    </w:p>
    <w:p w14:paraId="7023BF9E" w14:textId="77777777" w:rsidR="00EA34C0" w:rsidRPr="004D307F" w:rsidRDefault="00EA34C0" w:rsidP="00ED0863">
      <w:pPr>
        <w:numPr>
          <w:ilvl w:val="0"/>
          <w:numId w:val="6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supporting the programs strategic planning to ensure a high-quality service that is trusted, fully utilised and youth friendly</w:t>
      </w:r>
    </w:p>
    <w:p w14:paraId="267AFCBF" w14:textId="77777777" w:rsidR="00EA34C0" w:rsidRPr="004D307F" w:rsidRDefault="00EA34C0" w:rsidP="00ED0863">
      <w:pPr>
        <w:numPr>
          <w:ilvl w:val="0"/>
          <w:numId w:val="6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promoting the service to the students and the broader school community and linking the clinical team with other members of school staff</w:t>
      </w:r>
    </w:p>
    <w:p w14:paraId="573EF80A" w14:textId="77777777" w:rsidR="00EA34C0" w:rsidRPr="004D307F" w:rsidRDefault="00EA34C0" w:rsidP="00ED0863">
      <w:pPr>
        <w:numPr>
          <w:ilvl w:val="0"/>
          <w:numId w:val="6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ensure compliance to relevant privacy legislation and provide a child safe environment in accordance with the </w:t>
      </w:r>
      <w:hyperlink r:id="rId160" w:history="1">
        <w:r w:rsidRPr="004D307F">
          <w:rPr>
            <w:rFonts w:ascii="VIC" w:eastAsia="Times New Roman" w:hAnsi="VIC" w:cs="Times New Roman"/>
            <w:color w:val="011A3C"/>
            <w:sz w:val="24"/>
            <w:szCs w:val="24"/>
            <w:lang w:val="en" w:eastAsia="en-AU"/>
          </w:rPr>
          <w:t>Child Safe Standards</w:t>
        </w:r>
      </w:hyperlink>
    </w:p>
    <w:p w14:paraId="25BE6A81" w14:textId="77777777" w:rsidR="00EA34C0" w:rsidRPr="004D307F" w:rsidRDefault="00EA34C0" w:rsidP="00ED0863">
      <w:pPr>
        <w:numPr>
          <w:ilvl w:val="0"/>
          <w:numId w:val="6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build a positive relationship with the local GP practice and facilitate partnerships with community health providers for the benefit of the student population</w:t>
      </w:r>
    </w:p>
    <w:p w14:paraId="1508ACA9" w14:textId="77777777"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Further information</w:t>
      </w:r>
    </w:p>
    <w:p w14:paraId="08D4820D" w14:textId="77777777" w:rsidR="00EA34C0" w:rsidRPr="004D307F" w:rsidRDefault="00901FCB" w:rsidP="00ED0863">
      <w:pPr>
        <w:numPr>
          <w:ilvl w:val="0"/>
          <w:numId w:val="67"/>
        </w:numPr>
        <w:spacing w:before="100" w:beforeAutospacing="1" w:after="100" w:afterAutospacing="1" w:line="360" w:lineRule="atLeast"/>
        <w:rPr>
          <w:rFonts w:ascii="VIC" w:eastAsia="Times New Roman" w:hAnsi="VIC" w:cs="Times New Roman"/>
          <w:color w:val="011A3C"/>
          <w:sz w:val="24"/>
          <w:szCs w:val="24"/>
          <w:lang w:val="en" w:eastAsia="en-AU"/>
        </w:rPr>
      </w:pPr>
      <w:hyperlink r:id="rId161" w:history="1">
        <w:r w:rsidR="00EA34C0" w:rsidRPr="004D307F">
          <w:rPr>
            <w:rFonts w:ascii="VIC" w:eastAsia="Times New Roman" w:hAnsi="VIC" w:cs="Times New Roman"/>
            <w:color w:val="011A3C"/>
            <w:sz w:val="24"/>
            <w:szCs w:val="24"/>
            <w:lang w:val="en" w:eastAsia="en-AU"/>
          </w:rPr>
          <w:t>Doctors in Secondary Schools</w:t>
        </w:r>
        <w:r w:rsidR="00EA34C0" w:rsidRPr="004D307F">
          <w:rPr>
            <w:rFonts w:ascii="Cambria Math" w:eastAsia="Times New Roman" w:hAnsi="Cambria Math" w:cs="Cambria Math"/>
            <w:color w:val="011A3C"/>
            <w:sz w:val="24"/>
            <w:szCs w:val="24"/>
            <w:lang w:val="en" w:eastAsia="en-AU"/>
          </w:rPr>
          <w:t>​</w:t>
        </w:r>
      </w:hyperlink>
    </w:p>
    <w:p w14:paraId="6BA8642A" w14:textId="5E9488D1" w:rsidR="00EA34C0" w:rsidRPr="004D307F" w:rsidRDefault="00EA34C0" w:rsidP="00ED0863">
      <w:pPr>
        <w:numPr>
          <w:ilvl w:val="0"/>
          <w:numId w:val="6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Contact</w:t>
      </w:r>
      <w:r w:rsidRPr="004D307F">
        <w:rPr>
          <w:rFonts w:ascii="Calibri" w:eastAsia="Times New Roman" w:hAnsi="Calibri" w:cs="Calibri" w:hint="eastAsia"/>
          <w:color w:val="011A3C"/>
          <w:sz w:val="24"/>
          <w:szCs w:val="24"/>
          <w:lang w:val="en" w:eastAsia="en-AU"/>
        </w:rPr>
        <w:t> </w:t>
      </w:r>
      <w:hyperlink r:id="rId162" w:history="1">
        <w:r w:rsidR="00DD4FDB" w:rsidRPr="004D307F">
          <w:rPr>
            <w:rStyle w:val="Hyperlink"/>
            <w:rFonts w:ascii="VIC" w:eastAsia="Times New Roman" w:hAnsi="VIC" w:cs="Times New Roman"/>
            <w:sz w:val="24"/>
            <w:szCs w:val="24"/>
            <w:lang w:val="en" w:eastAsia="en-AU"/>
          </w:rPr>
          <w:t>doctors.in.schools@education.vic.gov.au</w:t>
        </w:r>
      </w:hyperlink>
    </w:p>
    <w:p w14:paraId="36178FBA" w14:textId="77777777" w:rsidR="00EA34C0" w:rsidRPr="004D307F" w:rsidRDefault="00EA34C0" w:rsidP="00EA34C0">
      <w:pPr>
        <w:rPr>
          <w:rFonts w:ascii="VIC" w:hAnsi="VIC"/>
        </w:rPr>
      </w:pPr>
      <w:r w:rsidRPr="004D307F">
        <w:rPr>
          <w:rFonts w:ascii="VIC" w:hAnsi="VIC"/>
        </w:rPr>
        <w:br w:type="page"/>
      </w:r>
    </w:p>
    <w:p w14:paraId="00E8BC5D" w14:textId="32E84E10" w:rsidR="00EA34C0" w:rsidRPr="004D307F" w:rsidRDefault="00EA34C0" w:rsidP="00B566E7">
      <w:pPr>
        <w:pStyle w:val="Heading2"/>
      </w:pPr>
      <w:bookmarkStart w:id="107" w:name="_Toc106793796"/>
      <w:r w:rsidRPr="004D307F">
        <w:lastRenderedPageBreak/>
        <w:t>Career Education Funding (Ref</w:t>
      </w:r>
      <w:r w:rsidR="003E5908" w:rsidRPr="004D307F">
        <w:t>erence</w:t>
      </w:r>
      <w:r w:rsidRPr="004D307F">
        <w:t xml:space="preserve"> 91)</w:t>
      </w:r>
      <w:bookmarkEnd w:id="107"/>
    </w:p>
    <w:p w14:paraId="7B8EDC13"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bookmarkStart w:id="108" w:name="_Hlk50545369"/>
      <w:r w:rsidRPr="004D307F">
        <w:rPr>
          <w:rFonts w:ascii="VIC" w:eastAsia="Times New Roman" w:hAnsi="VIC" w:cs="Times New Roman"/>
          <w:color w:val="011A3C"/>
          <w:sz w:val="24"/>
          <w:szCs w:val="24"/>
          <w:lang w:val="en" w:eastAsia="en-AU"/>
        </w:rPr>
        <w:t>Career Education Funding (CEF) supports schools to provide career education activities for all students in Years 7 to 12.</w:t>
      </w:r>
    </w:p>
    <w:p w14:paraId="329DD01F"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CEF replaced managed individual pathways (MIPs) funding in 2019.</w:t>
      </w:r>
    </w:p>
    <w:p w14:paraId="6B460702" w14:textId="324090B1"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CEF accountability and reporting requirements are available at </w:t>
      </w:r>
      <w:hyperlink r:id="rId163" w:history="1">
        <w:r w:rsidR="00EA6F80" w:rsidRPr="004D307F">
          <w:rPr>
            <w:rStyle w:val="Hyperlink"/>
            <w:rFonts w:ascii="VIC" w:eastAsia="Times New Roman" w:hAnsi="VIC" w:cs="Times New Roman"/>
            <w:lang w:val="en" w:eastAsia="en-AU"/>
          </w:rPr>
          <w:t xml:space="preserve">Career Education Funding </w:t>
        </w:r>
        <w:r w:rsidR="00EA6F80" w:rsidRPr="004D307F">
          <w:rPr>
            <w:rStyle w:val="Hyperlink"/>
            <w:rFonts w:ascii="VIC" w:eastAsia="Times New Roman" w:hAnsi="VIC" w:cs="Times New Roman" w:hint="eastAsia"/>
            <w:lang w:val="en" w:eastAsia="en-AU"/>
          </w:rPr>
          <w:t>–</w:t>
        </w:r>
        <w:r w:rsidR="00EA6F80" w:rsidRPr="004D307F">
          <w:rPr>
            <w:rStyle w:val="Hyperlink"/>
            <w:rFonts w:ascii="VIC" w:eastAsia="Times New Roman" w:hAnsi="VIC" w:cs="Times New Roman"/>
            <w:lang w:val="en" w:eastAsia="en-AU"/>
          </w:rPr>
          <w:t xml:space="preserve"> Accountability and Reporting Requirements</w:t>
        </w:r>
      </w:hyperlink>
      <w:r w:rsidRPr="004D307F">
        <w:rPr>
          <w:rFonts w:ascii="VIC" w:eastAsia="Times New Roman" w:hAnsi="VIC" w:cs="Times New Roman"/>
          <w:color w:val="011A3C"/>
          <w:sz w:val="24"/>
          <w:szCs w:val="24"/>
          <w:lang w:val="en" w:eastAsia="en-AU"/>
        </w:rPr>
        <w:t>.</w:t>
      </w:r>
    </w:p>
    <w:p w14:paraId="7887B815" w14:textId="77777777"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bookmarkStart w:id="109" w:name="_Hlk74755711"/>
      <w:r w:rsidRPr="004D307F">
        <w:rPr>
          <w:rFonts w:ascii="VIC" w:eastAsia="Times New Roman" w:hAnsi="VIC" w:cs="Times New Roman"/>
          <w:b/>
          <w:bCs/>
          <w:color w:val="011A3C"/>
          <w:sz w:val="27"/>
          <w:szCs w:val="27"/>
          <w:lang w:val="en" w:eastAsia="en-AU"/>
        </w:rPr>
        <w:t>Funding and Eligibility</w:t>
      </w:r>
    </w:p>
    <w:p w14:paraId="09ADEE40" w14:textId="3DA35DD6"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Eligible School </w:t>
      </w:r>
      <w:r w:rsidR="00081E3C" w:rsidRPr="004D307F">
        <w:rPr>
          <w:rFonts w:ascii="VIC" w:eastAsia="Times New Roman" w:hAnsi="VIC" w:cs="Times New Roman"/>
          <w:color w:val="011A3C"/>
          <w:sz w:val="24"/>
          <w:szCs w:val="24"/>
          <w:lang w:val="en" w:eastAsia="en-AU"/>
        </w:rPr>
        <w:t xml:space="preserve">or </w:t>
      </w:r>
      <w:r w:rsidR="00B52991" w:rsidRPr="004D307F">
        <w:rPr>
          <w:rFonts w:ascii="VIC" w:eastAsia="Times New Roman" w:hAnsi="VIC" w:cs="Times New Roman"/>
          <w:color w:val="011A3C"/>
          <w:sz w:val="24"/>
          <w:szCs w:val="24"/>
          <w:lang w:val="en" w:eastAsia="en-AU"/>
        </w:rPr>
        <w:t xml:space="preserve">Campus </w:t>
      </w:r>
      <w:r w:rsidRPr="004D307F">
        <w:rPr>
          <w:rFonts w:ascii="VIC" w:eastAsia="Times New Roman" w:hAnsi="VIC" w:cs="Times New Roman"/>
          <w:color w:val="011A3C"/>
          <w:sz w:val="24"/>
          <w:szCs w:val="24"/>
          <w:lang w:val="en" w:eastAsia="en-AU"/>
        </w:rPr>
        <w:t>Types:</w:t>
      </w:r>
    </w:p>
    <w:bookmarkEnd w:id="108"/>
    <w:p w14:paraId="7099C106" w14:textId="77777777" w:rsidR="00EA34C0" w:rsidRPr="004D307F" w:rsidRDefault="00EA34C0" w:rsidP="00ED0863">
      <w:pPr>
        <w:numPr>
          <w:ilvl w:val="0"/>
          <w:numId w:val="7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Secondary</w:t>
      </w:r>
    </w:p>
    <w:p w14:paraId="558EF0B9" w14:textId="77777777" w:rsidR="00EA34C0" w:rsidRPr="004D307F" w:rsidRDefault="00EA34C0" w:rsidP="00ED0863">
      <w:pPr>
        <w:numPr>
          <w:ilvl w:val="0"/>
          <w:numId w:val="7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Primary/Secondary combined</w:t>
      </w:r>
    </w:p>
    <w:p w14:paraId="37DA91D8" w14:textId="3F53A452" w:rsidR="0003603B" w:rsidRPr="004D307F" w:rsidRDefault="00EA34C0" w:rsidP="00ED0863">
      <w:pPr>
        <w:numPr>
          <w:ilvl w:val="0"/>
          <w:numId w:val="7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Special</w:t>
      </w:r>
    </w:p>
    <w:p w14:paraId="26ECD443" w14:textId="31104407" w:rsidR="00B13202" w:rsidRPr="004D307F" w:rsidRDefault="00B13202" w:rsidP="00ED0863">
      <w:pPr>
        <w:numPr>
          <w:ilvl w:val="0"/>
          <w:numId w:val="7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Spec Dev</w:t>
      </w:r>
    </w:p>
    <w:p w14:paraId="1F5DF57B" w14:textId="77777777" w:rsidR="00342526" w:rsidRPr="004D307F" w:rsidRDefault="00EA34C0" w:rsidP="00ED0863">
      <w:pPr>
        <w:numPr>
          <w:ilvl w:val="0"/>
          <w:numId w:val="7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Language</w:t>
      </w:r>
    </w:p>
    <w:p w14:paraId="106D2ADD" w14:textId="729F3823" w:rsidR="00081E3C" w:rsidRPr="004D307F" w:rsidRDefault="00081E3C" w:rsidP="00ED0863">
      <w:pPr>
        <w:numPr>
          <w:ilvl w:val="0"/>
          <w:numId w:val="7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Victorian College of the Deaf </w:t>
      </w:r>
    </w:p>
    <w:bookmarkEnd w:id="109"/>
    <w:p w14:paraId="047F81C7" w14:textId="381C2045" w:rsidR="00E177EC" w:rsidRPr="004D307F" w:rsidRDefault="00B52991" w:rsidP="00E177EC">
      <w:pPr>
        <w:spacing w:before="100" w:beforeAutospacing="1" w:after="100" w:afterAutospacing="1" w:line="288" w:lineRule="atLeast"/>
        <w:outlineLvl w:val="2"/>
        <w:rPr>
          <w:rFonts w:ascii="VIC" w:eastAsia="Times New Roman" w:hAnsi="VIC" w:cs="Times New Roman"/>
          <w:color w:val="011A3C"/>
          <w:sz w:val="27"/>
          <w:szCs w:val="27"/>
          <w:lang w:val="en" w:eastAsia="en-AU"/>
        </w:rPr>
      </w:pPr>
      <w:r w:rsidRPr="004D307F">
        <w:rPr>
          <w:rFonts w:ascii="VIC" w:eastAsia="Times New Roman" w:hAnsi="VIC" w:cs="Times New Roman"/>
          <w:color w:val="011A3C"/>
          <w:sz w:val="24"/>
          <w:szCs w:val="24"/>
          <w:lang w:val="en" w:eastAsia="en-AU"/>
        </w:rPr>
        <w:t>NOTE: Hospital and Misc campuses are not eligible for CEF funding except Virtual School Victoria. Camp/Outdoor schools are ineligible irrespective of their entity register classification.</w:t>
      </w:r>
      <w:r w:rsidR="00C30C5F" w:rsidRPr="004D307F">
        <w:rPr>
          <w:rFonts w:ascii="VIC" w:eastAsia="Times New Roman" w:hAnsi="VIC" w:cs="Times New Roman"/>
          <w:color w:val="011A3C"/>
          <w:sz w:val="24"/>
          <w:szCs w:val="24"/>
          <w:lang w:val="en" w:eastAsia="en-AU"/>
        </w:rPr>
        <w:t xml:space="preserve"> Aurora School, Yarra Me School and the Netschool Campus of Bendigo Senior Secondary College use deemed enrolments and are not eligible.</w:t>
      </w:r>
      <w:r w:rsidR="00E177EC" w:rsidRPr="004D307F">
        <w:rPr>
          <w:rFonts w:ascii="VIC" w:eastAsia="Times New Roman" w:hAnsi="VIC" w:cs="Times New Roman"/>
          <w:color w:val="011A3C"/>
          <w:sz w:val="24"/>
          <w:szCs w:val="24"/>
          <w:lang w:val="en" w:eastAsia="en-AU"/>
        </w:rPr>
        <w:t>Funding is calculated at the Indicative, Confirmed and Revised cycles, funding is allocated through cash funding.</w:t>
      </w:r>
    </w:p>
    <w:p w14:paraId="65D9A53B" w14:textId="5F8ECDF1" w:rsidR="00EA34C0" w:rsidRPr="004D307F" w:rsidRDefault="00EA34C0" w:rsidP="00EA34C0">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For Years 7 to 9</w:t>
      </w:r>
    </w:p>
    <w:p w14:paraId="69A4A9C3"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CEF funding is based on enrolments of students in Years</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7 to 9 in Victorian government secondary school settings and students aged 12 to 14 years in Victorian government specialist schools and English Language settings.</w:t>
      </w:r>
    </w:p>
    <w:p w14:paraId="6D119C2B" w14:textId="77777777" w:rsidR="00EA34C0" w:rsidRPr="004D307F" w:rsidRDefault="00EA34C0" w:rsidP="00EA34C0">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For Years 10 to 12</w:t>
      </w:r>
    </w:p>
    <w:p w14:paraId="57A100E6"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CEF funding is based on enrolments of students aged 15 years and over in Victorian government specialist schools and English Language settings and Years 10 to 12 in all other Victorian government secondary schools, and the school's Student Family Occupation (SFO) density.</w:t>
      </w:r>
    </w:p>
    <w:p w14:paraId="6EB7C9AA" w14:textId="07CCA486" w:rsidR="003E6B76" w:rsidRPr="004D307F" w:rsidRDefault="00EA34C0" w:rsidP="004D1CF3">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Additional funding is provided to schools with SFO densities greater than a threshold value to support young people at risk of disengaging or not making a successful transition to further education, training or secure employment.</w:t>
      </w:r>
    </w:p>
    <w:p w14:paraId="2F9DF49E" w14:textId="1BC0614B" w:rsidR="00EA34C0" w:rsidRPr="004D307F" w:rsidRDefault="00EA34C0" w:rsidP="004D1CF3">
      <w:pPr>
        <w:keepNext/>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Calculation</w:t>
      </w:r>
    </w:p>
    <w:p w14:paraId="59BE2458" w14:textId="77777777" w:rsidR="00EA34C0" w:rsidRPr="004D307F" w:rsidRDefault="00EA34C0" w:rsidP="00EA34C0">
      <w:pPr>
        <w:spacing w:before="100" w:beforeAutospacing="1" w:after="100" w:afterAutospacing="1" w:line="288" w:lineRule="atLeast"/>
        <w:outlineLvl w:val="3"/>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For Years 7 to 9</w:t>
      </w:r>
    </w:p>
    <w:p w14:paraId="6E8520BA"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CEF Allocation = CEF Enrolments x Base per Student Rate</w:t>
      </w:r>
    </w:p>
    <w:p w14:paraId="04457AD5"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Note: If a school's CEF Allocation is less than the Minimum Allocation (as identified in 'Rates' below), the school will receive the Minimum Allocation.</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The Minimum Allocation</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is set based on enrolment levels.</w:t>
      </w:r>
    </w:p>
    <w:p w14:paraId="3462D594" w14:textId="0185CA31" w:rsidR="00B241D3" w:rsidRPr="004D307F" w:rsidRDefault="00B241D3" w:rsidP="00B241D3">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 xml:space="preserve">Rates </w:t>
      </w:r>
      <w:r w:rsidRPr="004D307F">
        <w:rPr>
          <w:rFonts w:ascii="VIC" w:eastAsia="Times New Roman" w:hAnsi="VIC" w:cs="Times New Roman" w:hint="eastAsia"/>
          <w:b/>
          <w:bCs/>
          <w:color w:val="011A3C"/>
          <w:sz w:val="24"/>
          <w:szCs w:val="24"/>
          <w:lang w:val="en" w:eastAsia="en-AU"/>
        </w:rPr>
        <w:t>–</w:t>
      </w:r>
      <w:r w:rsidRPr="004D307F">
        <w:rPr>
          <w:rFonts w:ascii="VIC" w:eastAsia="Times New Roman" w:hAnsi="VIC" w:cs="Times New Roman"/>
          <w:b/>
          <w:bCs/>
          <w:color w:val="011A3C"/>
          <w:sz w:val="24"/>
          <w:szCs w:val="24"/>
          <w:lang w:val="en" w:eastAsia="en-AU"/>
        </w:rPr>
        <w:t xml:space="preserve"> 2022 </w:t>
      </w:r>
    </w:p>
    <w:p w14:paraId="4B29F251" w14:textId="068E222D" w:rsidR="00B241D3" w:rsidRPr="004D307F" w:rsidRDefault="00EA34C0" w:rsidP="00EA34C0">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For Year 7</w:t>
      </w:r>
    </w:p>
    <w:p w14:paraId="4450A06C" w14:textId="7B896424" w:rsidR="00EA34C0" w:rsidRPr="004D307F" w:rsidRDefault="00EA34C0" w:rsidP="00C116FE">
      <w:pPr>
        <w:spacing w:before="100" w:beforeAutospacing="1" w:after="100" w:afterAutospacing="1" w:line="288" w:lineRule="atLeast"/>
        <w:outlineLvl w:val="3"/>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Base Per Student Rate </w:t>
      </w:r>
      <w:r w:rsidRPr="004D307F">
        <w:rPr>
          <w:rFonts w:ascii="Cambria Math" w:eastAsia="Times New Roman" w:hAnsi="Cambria Math" w:cs="Cambria Math"/>
          <w:color w:val="011A3C"/>
          <w:sz w:val="24"/>
          <w:szCs w:val="24"/>
          <w:lang w:val="en" w:eastAsia="en-AU"/>
        </w:rPr>
        <w:t>​</w:t>
      </w:r>
      <w:r w:rsidRPr="004D307F">
        <w:rPr>
          <w:rFonts w:ascii="VIC" w:eastAsia="Times New Roman" w:hAnsi="VIC" w:cs="VIC" w:hint="eastAsia"/>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w:t>
      </w:r>
      <w:r w:rsidR="008C1E4F" w:rsidRPr="004D307F">
        <w:rPr>
          <w:rFonts w:ascii="VIC" w:eastAsia="Times New Roman" w:hAnsi="VIC" w:cs="Times New Roman"/>
          <w:color w:val="011A3C"/>
          <w:sz w:val="24"/>
          <w:szCs w:val="24"/>
          <w:lang w:val="en" w:eastAsia="en-AU"/>
        </w:rPr>
        <w:t>15</w:t>
      </w:r>
      <w:r w:rsidR="008C1E4F"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per CEF enrolment</w:t>
      </w:r>
      <w:r w:rsidRPr="004D307F">
        <w:rPr>
          <w:rFonts w:ascii="VIC" w:eastAsia="Times New Roman" w:hAnsi="VIC" w:cs="Times New Roman"/>
          <w:color w:val="011A3C"/>
          <w:sz w:val="24"/>
          <w:szCs w:val="24"/>
          <w:lang w:val="en" w:eastAsia="en-AU"/>
        </w:rPr>
        <w:br/>
        <w:t>Minimum Allocation $250</w:t>
      </w:r>
    </w:p>
    <w:p w14:paraId="642726F9" w14:textId="77777777" w:rsidR="00EA34C0" w:rsidRPr="004D307F" w:rsidRDefault="00EA34C0" w:rsidP="00EA34C0">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For Year 8</w:t>
      </w:r>
    </w:p>
    <w:p w14:paraId="4D0F1332" w14:textId="3407E175"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Base Per Student Rate </w:t>
      </w:r>
      <w:r w:rsidRPr="004D307F">
        <w:rPr>
          <w:rFonts w:ascii="Cambria Math" w:eastAsia="Times New Roman" w:hAnsi="Cambria Math" w:cs="Cambria Math"/>
          <w:color w:val="011A3C"/>
          <w:sz w:val="24"/>
          <w:szCs w:val="24"/>
          <w:lang w:val="en" w:eastAsia="en-AU"/>
        </w:rPr>
        <w:t>​</w:t>
      </w:r>
      <w:r w:rsidRPr="004D307F">
        <w:rPr>
          <w:rFonts w:ascii="VIC" w:eastAsia="Times New Roman" w:hAnsi="VIC" w:cs="VIC" w:hint="eastAsia"/>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w:t>
      </w:r>
      <w:r w:rsidR="008C1E4F" w:rsidRPr="004D307F">
        <w:rPr>
          <w:rFonts w:ascii="VIC" w:eastAsia="Times New Roman" w:hAnsi="VIC" w:cs="Times New Roman"/>
          <w:color w:val="011A3C"/>
          <w:sz w:val="24"/>
          <w:szCs w:val="24"/>
          <w:lang w:val="en" w:eastAsia="en-AU"/>
        </w:rPr>
        <w:t>20</w:t>
      </w:r>
      <w:r w:rsidR="008C1E4F"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per CEF enrolment</w:t>
      </w:r>
      <w:r w:rsidRPr="004D307F">
        <w:rPr>
          <w:rFonts w:ascii="VIC" w:eastAsia="Times New Roman" w:hAnsi="VIC" w:cs="Times New Roman"/>
          <w:color w:val="011A3C"/>
          <w:sz w:val="24"/>
          <w:szCs w:val="24"/>
          <w:lang w:val="en" w:eastAsia="en-AU"/>
        </w:rPr>
        <w:br/>
        <w:t>Minimum Allocation $250</w:t>
      </w:r>
    </w:p>
    <w:p w14:paraId="56603EDA" w14:textId="77777777" w:rsidR="00EA34C0" w:rsidRPr="004D307F" w:rsidRDefault="00EA34C0" w:rsidP="00EA34C0">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For Year 9</w:t>
      </w:r>
    </w:p>
    <w:p w14:paraId="45581B4B" w14:textId="018669F2"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Base Per Student Rate </w:t>
      </w:r>
      <w:r w:rsidRPr="004D307F">
        <w:rPr>
          <w:rFonts w:ascii="Cambria Math" w:eastAsia="Times New Roman" w:hAnsi="Cambria Math" w:cs="Cambria Math"/>
          <w:color w:val="011A3C"/>
          <w:sz w:val="24"/>
          <w:szCs w:val="24"/>
          <w:lang w:val="en" w:eastAsia="en-AU"/>
        </w:rPr>
        <w:t>​</w:t>
      </w:r>
      <w:r w:rsidRPr="004D307F">
        <w:rPr>
          <w:rFonts w:ascii="VIC" w:eastAsia="Times New Roman" w:hAnsi="VIC" w:cs="VIC" w:hint="eastAsia"/>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w:t>
      </w:r>
      <w:r w:rsidR="008C1E4F" w:rsidRPr="004D307F">
        <w:rPr>
          <w:rFonts w:ascii="VIC" w:eastAsia="Times New Roman" w:hAnsi="VIC" w:cs="Times New Roman"/>
          <w:color w:val="011A3C"/>
          <w:sz w:val="24"/>
          <w:szCs w:val="24"/>
          <w:lang w:val="en" w:eastAsia="en-AU"/>
        </w:rPr>
        <w:t>40</w:t>
      </w:r>
      <w:r w:rsidR="008C1E4F"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per CEF enrolment</w:t>
      </w:r>
      <w:r w:rsidRPr="004D307F">
        <w:rPr>
          <w:rFonts w:ascii="VIC" w:eastAsia="Times New Roman" w:hAnsi="VIC" w:cs="Times New Roman"/>
          <w:color w:val="011A3C"/>
          <w:sz w:val="24"/>
          <w:szCs w:val="24"/>
          <w:lang w:val="en" w:eastAsia="en-AU"/>
        </w:rPr>
        <w:br/>
        <w:t>Minimum Allocation $500</w:t>
      </w:r>
    </w:p>
    <w:p w14:paraId="601BEDE0" w14:textId="77777777" w:rsidR="00EA34C0" w:rsidRPr="004D307F" w:rsidRDefault="00EA34C0" w:rsidP="00EA34C0">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For Years 10 to 12</w:t>
      </w:r>
    </w:p>
    <w:p w14:paraId="2A819E37"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CEF Allocation = Base Allocation + At Risk Allocation</w:t>
      </w:r>
    </w:p>
    <w:p w14:paraId="499F76C7"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Note: If a school's CEF Allocation is less than the Minimum Allocations (as identified in 'Rates' below), the school will receive the Minimum Allocation.</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The Minimum Allocation is set based on enrolment levels.</w:t>
      </w:r>
    </w:p>
    <w:p w14:paraId="059C7F1F"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Base Allocation = CEF</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Enrolments x Base per Student Rate</w:t>
      </w:r>
    </w:p>
    <w:p w14:paraId="5FC57F08"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At Risk Allocation (Only if the schools SFO index is greater than the SFO threshold - see 'Rates' below) = CEF Enrolments x ([School SFO Index] - [SFO Threshold]) / (1 - [SFO Threshold]) x At Risk Allocation</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per Student Rate.</w:t>
      </w:r>
    </w:p>
    <w:p w14:paraId="36A74DA4" w14:textId="77777777" w:rsidR="00EA34C0" w:rsidRPr="004D307F" w:rsidRDefault="00EA34C0" w:rsidP="004D1CF3">
      <w:pPr>
        <w:keepNext/>
        <w:spacing w:before="100" w:beforeAutospacing="1" w:after="100" w:afterAutospacing="1" w:line="288" w:lineRule="atLeast"/>
        <w:outlineLvl w:val="3"/>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Years 10 to 12</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VIC"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per student rates</w:t>
      </w:r>
    </w:p>
    <w:p w14:paraId="4B5A7075" w14:textId="1C9B2B74"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Base per student rate: $</w:t>
      </w:r>
      <w:r w:rsidR="008C1E4F" w:rsidRPr="004D307F">
        <w:rPr>
          <w:rFonts w:ascii="VIC" w:eastAsia="Times New Roman" w:hAnsi="VIC" w:cs="Times New Roman"/>
          <w:color w:val="011A3C"/>
          <w:sz w:val="24"/>
          <w:szCs w:val="24"/>
          <w:lang w:val="en" w:eastAsia="en-AU"/>
        </w:rPr>
        <w:t xml:space="preserve">61 </w:t>
      </w:r>
      <w:r w:rsidRPr="004D307F">
        <w:rPr>
          <w:rFonts w:ascii="VIC" w:eastAsia="Times New Roman" w:hAnsi="VIC" w:cs="Times New Roman"/>
          <w:color w:val="011A3C"/>
          <w:sz w:val="24"/>
          <w:szCs w:val="24"/>
          <w:lang w:val="en" w:eastAsia="en-AU"/>
        </w:rPr>
        <w:t>per CEF enrolment</w:t>
      </w:r>
      <w:r w:rsidRPr="004D307F">
        <w:rPr>
          <w:rFonts w:ascii="VIC" w:eastAsia="Times New Roman" w:hAnsi="VIC" w:cs="Times New Roman"/>
          <w:color w:val="011A3C"/>
          <w:sz w:val="24"/>
          <w:szCs w:val="24"/>
          <w:lang w:val="en" w:eastAsia="en-AU"/>
        </w:rPr>
        <w:br/>
        <w:t>At risk allocation per student rate: $559 per CEF enrolment</w:t>
      </w:r>
      <w:r w:rsidRPr="004D307F">
        <w:rPr>
          <w:rFonts w:ascii="VIC" w:eastAsia="Times New Roman" w:hAnsi="VIC" w:cs="Times New Roman"/>
          <w:color w:val="011A3C"/>
          <w:sz w:val="24"/>
          <w:szCs w:val="24"/>
          <w:lang w:val="en" w:eastAsia="en-AU"/>
        </w:rPr>
        <w:br/>
        <w:t>SFO Threshold: 0.4190</w:t>
      </w:r>
    </w:p>
    <w:p w14:paraId="67991736" w14:textId="77777777" w:rsidR="00EA34C0" w:rsidRPr="004D307F" w:rsidRDefault="00EA34C0" w:rsidP="00EA34C0">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Minimum allocations:</w:t>
      </w:r>
    </w:p>
    <w:p w14:paraId="771C633B" w14:textId="77777777" w:rsidR="00EA34C0" w:rsidRPr="004D307F" w:rsidRDefault="00EA34C0" w:rsidP="00ED0863">
      <w:pPr>
        <w:numPr>
          <w:ilvl w:val="0"/>
          <w:numId w:val="7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&lt;30 CEF enrolments: $208 per CEF enrolment</w:t>
      </w:r>
    </w:p>
    <w:p w14:paraId="1717CEDD" w14:textId="01EF4FBD" w:rsidR="00EA34C0" w:rsidRPr="004D307F" w:rsidRDefault="00EA34C0" w:rsidP="00ED0863">
      <w:pPr>
        <w:numPr>
          <w:ilvl w:val="0"/>
          <w:numId w:val="7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30 to 99 CEF enrolments: $6</w:t>
      </w:r>
      <w:r w:rsidR="002E15F1" w:rsidRPr="004D307F">
        <w:rPr>
          <w:rFonts w:ascii="VIC" w:eastAsia="Times New Roman" w:hAnsi="VIC" w:cs="Times New Roman"/>
          <w:color w:val="011A3C"/>
          <w:sz w:val="24"/>
          <w:szCs w:val="24"/>
          <w:lang w:val="en" w:eastAsia="en-AU"/>
        </w:rPr>
        <w:t>,</w:t>
      </w:r>
      <w:r w:rsidRPr="004D307F">
        <w:rPr>
          <w:rFonts w:ascii="VIC" w:eastAsia="Times New Roman" w:hAnsi="VIC" w:cs="Times New Roman"/>
          <w:color w:val="011A3C"/>
          <w:sz w:val="24"/>
          <w:szCs w:val="24"/>
          <w:lang w:val="en" w:eastAsia="en-AU"/>
        </w:rPr>
        <w:t>000 in total</w:t>
      </w:r>
      <w:r w:rsidRPr="004D307F">
        <w:rPr>
          <w:rFonts w:ascii="Cambria Math" w:eastAsia="Times New Roman" w:hAnsi="Cambria Math" w:cs="Cambria Math"/>
          <w:color w:val="011A3C"/>
          <w:sz w:val="24"/>
          <w:szCs w:val="24"/>
          <w:lang w:val="en" w:eastAsia="en-AU"/>
        </w:rPr>
        <w:t>​</w:t>
      </w:r>
    </w:p>
    <w:p w14:paraId="308A1F45" w14:textId="0F677000" w:rsidR="00EA34C0" w:rsidRPr="004D307F" w:rsidRDefault="00EA34C0" w:rsidP="00ED0863">
      <w:pPr>
        <w:numPr>
          <w:ilvl w:val="0"/>
          <w:numId w:val="7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&gt;=100 CEF enrolment: $10,000 in total</w:t>
      </w:r>
    </w:p>
    <w:p w14:paraId="3DDE612C" w14:textId="77777777" w:rsidR="00EA34C0" w:rsidRPr="004D307F" w:rsidRDefault="00EA34C0" w:rsidP="00EA34C0">
      <w:pPr>
        <w:rPr>
          <w:rFonts w:ascii="VIC" w:hAnsi="VIC"/>
        </w:rPr>
      </w:pPr>
      <w:r w:rsidRPr="004D307F">
        <w:rPr>
          <w:rFonts w:ascii="VIC" w:hAnsi="VIC"/>
        </w:rPr>
        <w:br w:type="page"/>
      </w:r>
    </w:p>
    <w:p w14:paraId="2F00DDD8" w14:textId="4F1696E3" w:rsidR="002F58F8" w:rsidRPr="004D307F" w:rsidRDefault="00373667" w:rsidP="00B566E7">
      <w:pPr>
        <w:pStyle w:val="Heading2"/>
      </w:pPr>
      <w:bookmarkStart w:id="110" w:name="_Toc106793797"/>
      <w:r w:rsidRPr="004D307F">
        <w:lastRenderedPageBreak/>
        <w:t>Swimming in Schools</w:t>
      </w:r>
      <w:r w:rsidR="00934E2E" w:rsidRPr="004D307F">
        <w:t xml:space="preserve"> (Reference 115)</w:t>
      </w:r>
      <w:bookmarkEnd w:id="110"/>
    </w:p>
    <w:p w14:paraId="4F4B67AF" w14:textId="3C679F0B"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Swimming in Schools initiative is designed to increase opportunities for students to learn how to swim, and ensure they develop lifelong skills in swimming and water safety.</w:t>
      </w:r>
    </w:p>
    <w:p w14:paraId="1AD5719A" w14:textId="1CCC2499"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Swimming and water safety education is embedded across all bands of the Victorian Curriculum (F-10). By the end of Year 6, it is anticipated that students are able to demonstrate the skills and knowledge in the Victorian Water Safety Certificate (VWSC). Schools can seek the assistance of swimming providers to </w:t>
      </w:r>
      <w:r w:rsidR="00D57242" w:rsidRPr="004D307F">
        <w:rPr>
          <w:rFonts w:ascii="VIC-Regular" w:eastAsia="Times New Roman" w:hAnsi="VIC-Regular" w:cs="Times New Roman"/>
          <w:color w:val="011A3C"/>
          <w:sz w:val="24"/>
          <w:szCs w:val="24"/>
          <w:lang w:val="en" w:eastAsia="en-AU"/>
        </w:rPr>
        <w:t xml:space="preserve">provide swimming and water safety programs, to </w:t>
      </w:r>
      <w:r w:rsidRPr="004D307F">
        <w:rPr>
          <w:rFonts w:ascii="VIC-Regular" w:eastAsia="Times New Roman" w:hAnsi="VIC-Regular" w:cs="Times New Roman"/>
          <w:color w:val="011A3C"/>
          <w:sz w:val="24"/>
          <w:szCs w:val="24"/>
          <w:lang w:val="en" w:eastAsia="en-AU"/>
        </w:rPr>
        <w:t xml:space="preserve">assess the competencies of their students and to award VWSC through the </w:t>
      </w:r>
      <w:hyperlink r:id="rId164" w:history="1">
        <w:r w:rsidRPr="004D307F">
          <w:rPr>
            <w:rFonts w:ascii="VIC-Regular" w:eastAsia="Times New Roman" w:hAnsi="VIC-Regular" w:cs="Times New Roman"/>
            <w:color w:val="011A3C"/>
            <w:sz w:val="24"/>
            <w:szCs w:val="24"/>
            <w:lang w:val="en" w:eastAsia="en-AU"/>
          </w:rPr>
          <w:t>VWSC portal</w:t>
        </w:r>
      </w:hyperlink>
      <w:r w:rsidRPr="004D307F">
        <w:rPr>
          <w:rFonts w:ascii="VIC-Regular" w:eastAsia="Times New Roman" w:hAnsi="VIC-Regular" w:cs="Times New Roman"/>
          <w:color w:val="011A3C"/>
          <w:sz w:val="24"/>
          <w:szCs w:val="24"/>
          <w:lang w:val="en" w:eastAsia="en-AU"/>
        </w:rPr>
        <w:t>.</w:t>
      </w:r>
    </w:p>
    <w:p w14:paraId="4E941D5E" w14:textId="2713DC51" w:rsidR="00416C24" w:rsidRPr="004D307F" w:rsidRDefault="00416C24" w:rsidP="00416C24">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Swimming in Schools initiative </w:t>
      </w:r>
      <w:r w:rsidR="008A6CE0" w:rsidRPr="004D307F">
        <w:rPr>
          <w:rFonts w:ascii="VIC-Regular" w:eastAsia="Times New Roman" w:hAnsi="VIC-Regular" w:cs="Times New Roman"/>
          <w:color w:val="011A3C"/>
          <w:sz w:val="24"/>
          <w:szCs w:val="24"/>
          <w:lang w:val="en" w:eastAsia="en-AU"/>
        </w:rPr>
        <w:t>provides funding</w:t>
      </w:r>
      <w:r w:rsidRPr="004D307F">
        <w:rPr>
          <w:rFonts w:ascii="VIC-Regular" w:eastAsia="Times New Roman" w:hAnsi="VIC-Regular" w:cs="Times New Roman"/>
          <w:color w:val="011A3C"/>
          <w:sz w:val="24"/>
          <w:szCs w:val="24"/>
          <w:lang w:val="en" w:eastAsia="en-AU"/>
        </w:rPr>
        <w:t xml:space="preserve"> for the delivery of swimming and water safety programs. </w:t>
      </w:r>
    </w:p>
    <w:p w14:paraId="3FD654CC" w14:textId="77777777"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will be distributed through the Student Resource Package.</w:t>
      </w:r>
    </w:p>
    <w:p w14:paraId="1C7FF100" w14:textId="77777777" w:rsidR="002F58F8" w:rsidRPr="004D307F" w:rsidRDefault="002F58F8" w:rsidP="003D6624">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734D4D23" w14:textId="77777777"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with the following campus types are eligible to Swimming in Schools funding at school level.</w:t>
      </w:r>
    </w:p>
    <w:p w14:paraId="77952422" w14:textId="77777777" w:rsidR="002F58F8" w:rsidRPr="004D307F" w:rsidRDefault="002F58F8"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Primary</w:t>
      </w:r>
    </w:p>
    <w:p w14:paraId="2F982643" w14:textId="66F7C6BB" w:rsidR="002F58F8" w:rsidRPr="004D307F" w:rsidRDefault="002F58F8"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Primary/Secondary Combined</w:t>
      </w:r>
    </w:p>
    <w:p w14:paraId="7B00A031" w14:textId="27A9C902" w:rsidR="002F58F8" w:rsidRPr="004D307F" w:rsidRDefault="002F58F8"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Special</w:t>
      </w:r>
    </w:p>
    <w:p w14:paraId="237D476B" w14:textId="032F608C" w:rsidR="004449F8" w:rsidRPr="004D307F" w:rsidRDefault="004449F8"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 xml:space="preserve">Day Spec </w:t>
      </w:r>
    </w:p>
    <w:p w14:paraId="4B979F7E" w14:textId="3865F84C" w:rsidR="004449F8" w:rsidRPr="004D307F" w:rsidRDefault="004449F8"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 xml:space="preserve">Deaf </w:t>
      </w:r>
    </w:p>
    <w:p w14:paraId="3AF35034" w14:textId="49403290" w:rsidR="004449F8" w:rsidRPr="004D307F" w:rsidRDefault="004449F8"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 xml:space="preserve">Disability </w:t>
      </w:r>
    </w:p>
    <w:p w14:paraId="3EE0A6B0" w14:textId="0EA081BC" w:rsidR="004449F8" w:rsidRPr="004D307F" w:rsidRDefault="004449F8"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Spec Dev</w:t>
      </w:r>
    </w:p>
    <w:p w14:paraId="75AA707D" w14:textId="51255B97" w:rsidR="00DD3790" w:rsidRPr="004D307F" w:rsidRDefault="00DD3790"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English Language</w:t>
      </w:r>
    </w:p>
    <w:p w14:paraId="620E7F6B" w14:textId="37912054" w:rsidR="002F58F8" w:rsidRPr="004D307F" w:rsidRDefault="002F58F8" w:rsidP="003D662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Confirmed and Revised </w:t>
      </w:r>
      <w:r w:rsidR="00DD3790" w:rsidRPr="004D307F">
        <w:rPr>
          <w:rFonts w:ascii="VIC-Regular" w:eastAsia="Times New Roman" w:hAnsi="VIC-Regular" w:cs="Times New Roman"/>
          <w:color w:val="011A3C"/>
          <w:sz w:val="24"/>
          <w:szCs w:val="24"/>
          <w:lang w:val="en" w:eastAsia="en-AU"/>
        </w:rPr>
        <w:t>cycles;</w:t>
      </w:r>
      <w:r w:rsidRPr="004D307F">
        <w:rPr>
          <w:rFonts w:ascii="VIC-Regular" w:eastAsia="Times New Roman" w:hAnsi="VIC-Regular" w:cs="Times New Roman"/>
          <w:color w:val="011A3C"/>
          <w:sz w:val="24"/>
          <w:szCs w:val="24"/>
          <w:lang w:val="en" w:eastAsia="en-AU"/>
        </w:rPr>
        <w:t xml:space="preserve"> funding is provided through cash funding.</w:t>
      </w:r>
    </w:p>
    <w:p w14:paraId="34C93594" w14:textId="356FF19C" w:rsidR="002F58F8" w:rsidRPr="004D307F" w:rsidRDefault="00543F1A" w:rsidP="002F58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Funding Allocation</w:t>
      </w:r>
    </w:p>
    <w:p w14:paraId="2619337A" w14:textId="77777777" w:rsidR="002F58F8" w:rsidRPr="004D307F" w:rsidRDefault="002F58F8" w:rsidP="002F58F8">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color w:val="011A3C"/>
          <w:sz w:val="24"/>
          <w:szCs w:val="24"/>
          <w:lang w:val="en" w:eastAsia="en-AU"/>
        </w:rPr>
        <w:t>Primary and Primary-Secondary Schools</w:t>
      </w:r>
    </w:p>
    <w:p w14:paraId="2FD89874" w14:textId="77777777"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allocated based on the number of Year 6 enrolments.</w:t>
      </w:r>
    </w:p>
    <w:p w14:paraId="235D5868" w14:textId="451C36EA"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w:t>
      </w:r>
      <w:r w:rsidR="00D57242" w:rsidRPr="004D307F">
        <w:rPr>
          <w:rFonts w:ascii="VIC-Regular" w:eastAsia="Times New Roman" w:hAnsi="VIC-Regular" w:cs="Times New Roman"/>
          <w:color w:val="011A3C"/>
          <w:sz w:val="24"/>
          <w:szCs w:val="24"/>
          <w:lang w:val="en" w:eastAsia="en-AU"/>
        </w:rPr>
        <w:t>are to</w:t>
      </w:r>
      <w:r w:rsidRPr="004D307F">
        <w:rPr>
          <w:rFonts w:ascii="VIC-Regular" w:eastAsia="Times New Roman" w:hAnsi="VIC-Regular" w:cs="Times New Roman"/>
          <w:color w:val="011A3C"/>
          <w:sz w:val="24"/>
          <w:szCs w:val="24"/>
          <w:lang w:val="en" w:eastAsia="en-AU"/>
        </w:rPr>
        <w:t xml:space="preserve"> use the funding to support program provision at any year level.</w:t>
      </w:r>
    </w:p>
    <w:p w14:paraId="4F156572" w14:textId="1AC8DB16" w:rsidR="002F58F8" w:rsidRPr="004D307F" w:rsidRDefault="002F58F8" w:rsidP="002F58F8">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color w:val="011A3C"/>
          <w:sz w:val="24"/>
          <w:szCs w:val="24"/>
          <w:lang w:val="en" w:eastAsia="en-AU"/>
        </w:rPr>
        <w:lastRenderedPageBreak/>
        <w:t>Specialist Schools</w:t>
      </w:r>
      <w:r w:rsidR="00DD3790" w:rsidRPr="004D307F">
        <w:rPr>
          <w:rFonts w:ascii="VIC-Bold" w:eastAsia="Times New Roman" w:hAnsi="VIC-Bold" w:cs="Times New Roman"/>
          <w:color w:val="011A3C"/>
          <w:sz w:val="24"/>
          <w:szCs w:val="24"/>
          <w:lang w:val="en" w:eastAsia="en-AU"/>
        </w:rPr>
        <w:t xml:space="preserve"> and English Language schools</w:t>
      </w:r>
    </w:p>
    <w:p w14:paraId="02E1B430" w14:textId="77777777"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allocated based on the number of enrolments. </w:t>
      </w:r>
    </w:p>
    <w:p w14:paraId="27CA4CE3" w14:textId="58C4736A"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w:t>
      </w:r>
      <w:r w:rsidR="00D57242" w:rsidRPr="004D307F">
        <w:rPr>
          <w:rFonts w:ascii="VIC-Regular" w:eastAsia="Times New Roman" w:hAnsi="VIC-Regular" w:cs="Times New Roman"/>
          <w:color w:val="011A3C"/>
          <w:sz w:val="24"/>
          <w:szCs w:val="24"/>
          <w:lang w:val="en" w:eastAsia="en-AU"/>
        </w:rPr>
        <w:t>are to</w:t>
      </w:r>
      <w:r w:rsidRPr="004D307F">
        <w:rPr>
          <w:rFonts w:ascii="VIC-Regular" w:eastAsia="Times New Roman" w:hAnsi="VIC-Regular" w:cs="Times New Roman"/>
          <w:color w:val="011A3C"/>
          <w:sz w:val="24"/>
          <w:szCs w:val="24"/>
          <w:lang w:val="en" w:eastAsia="en-AU"/>
        </w:rPr>
        <w:t xml:space="preserve"> use the funding to support program provision at any year level.</w:t>
      </w:r>
    </w:p>
    <w:p w14:paraId="16F463D5" w14:textId="67642799" w:rsidR="002F58F8" w:rsidRPr="004D307F" w:rsidRDefault="002F58F8" w:rsidP="002F58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 xml:space="preserve">Rates </w:t>
      </w:r>
    </w:p>
    <w:p w14:paraId="38A691CF" w14:textId="77777777" w:rsidR="002F58F8" w:rsidRPr="004D307F" w:rsidRDefault="002F58F8" w:rsidP="002F58F8">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b/>
          <w:bCs/>
          <w:color w:val="011A3C"/>
          <w:sz w:val="24"/>
          <w:szCs w:val="24"/>
          <w:lang w:val="en" w:eastAsia="en-AU"/>
        </w:rPr>
        <w:t>Metropolitan Victorian Government Schools</w:t>
      </w:r>
      <w:r w:rsidRPr="004D307F">
        <w:rPr>
          <w:rFonts w:ascii="VIC-Bold" w:eastAsia="Times New Roman" w:hAnsi="VIC-Bold" w:cs="Times New Roman"/>
          <w:color w:val="011A3C"/>
          <w:sz w:val="24"/>
          <w:szCs w:val="24"/>
          <w:lang w:val="en" w:eastAsia="en-AU"/>
        </w:rPr>
        <w:t xml:space="preserve"> — Cash ($) Allocation</w:t>
      </w:r>
    </w:p>
    <w:p w14:paraId="69348B36" w14:textId="5591FEBF" w:rsidR="002F58F8" w:rsidRPr="004D307F" w:rsidRDefault="002F58F8" w:rsidP="00ED0863">
      <w:pPr>
        <w:numPr>
          <w:ilvl w:val="0"/>
          <w:numId w:val="7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Per Year 6 student — Primary and Primary-</w:t>
      </w:r>
      <w:r w:rsidR="00B5606E" w:rsidRPr="004D307F">
        <w:rPr>
          <w:rFonts w:ascii="VIC-Regular" w:eastAsia="Times New Roman" w:hAnsi="VIC-Regular" w:cs="Times New Roman"/>
          <w:color w:val="011A3C"/>
          <w:sz w:val="24"/>
          <w:szCs w:val="24"/>
          <w:lang w:val="en" w:eastAsia="en-AU"/>
        </w:rPr>
        <w:t>Secondary combined</w:t>
      </w:r>
      <w:r w:rsidRPr="004D307F">
        <w:rPr>
          <w:rFonts w:ascii="VIC-Regular" w:eastAsia="Times New Roman" w:hAnsi="VIC-Regular" w:cs="Times New Roman"/>
          <w:color w:val="011A3C"/>
          <w:sz w:val="24"/>
          <w:szCs w:val="24"/>
          <w:lang w:val="en" w:eastAsia="en-AU"/>
        </w:rPr>
        <w:t xml:space="preserve"> Schools — $</w:t>
      </w:r>
      <w:r w:rsidR="00DD3790" w:rsidRPr="004D307F">
        <w:rPr>
          <w:rFonts w:ascii="VIC-Regular" w:eastAsia="Times New Roman" w:hAnsi="VIC-Regular" w:cs="Times New Roman"/>
          <w:color w:val="011A3C"/>
          <w:sz w:val="24"/>
          <w:szCs w:val="24"/>
          <w:lang w:val="en" w:eastAsia="en-AU"/>
        </w:rPr>
        <w:t>235</w:t>
      </w:r>
    </w:p>
    <w:p w14:paraId="1FCD8EBB" w14:textId="5CE6C31F" w:rsidR="002F58F8" w:rsidRPr="004D307F" w:rsidRDefault="002F58F8" w:rsidP="00ED0863">
      <w:pPr>
        <w:numPr>
          <w:ilvl w:val="0"/>
          <w:numId w:val="7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Per Specialist School student — $</w:t>
      </w:r>
      <w:r w:rsidR="00DD3790" w:rsidRPr="004D307F">
        <w:rPr>
          <w:rFonts w:ascii="VIC-Regular" w:eastAsia="Times New Roman" w:hAnsi="VIC-Regular" w:cs="Times New Roman"/>
          <w:color w:val="011A3C"/>
          <w:sz w:val="24"/>
          <w:szCs w:val="24"/>
          <w:lang w:val="en" w:eastAsia="en-AU"/>
        </w:rPr>
        <w:t>235</w:t>
      </w:r>
    </w:p>
    <w:p w14:paraId="2D296CE5" w14:textId="70F18D8C" w:rsidR="00ED2F0A" w:rsidRPr="004D307F" w:rsidRDefault="00ED2F0A" w:rsidP="00ED0863">
      <w:pPr>
        <w:pStyle w:val="ListParagraph"/>
        <w:numPr>
          <w:ilvl w:val="0"/>
          <w:numId w:val="73"/>
        </w:num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Per English Language School student — $235</w:t>
      </w:r>
    </w:p>
    <w:p w14:paraId="2BE955EE" w14:textId="77777777" w:rsidR="002F58F8" w:rsidRPr="004D307F" w:rsidRDefault="002F58F8" w:rsidP="002F58F8">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b/>
          <w:bCs/>
          <w:color w:val="011A3C"/>
          <w:sz w:val="24"/>
          <w:szCs w:val="24"/>
          <w:lang w:val="en" w:eastAsia="en-AU"/>
        </w:rPr>
        <w:t>Regional Victorian Government Schools</w:t>
      </w:r>
      <w:r w:rsidRPr="004D307F">
        <w:rPr>
          <w:rFonts w:ascii="VIC-Bold" w:eastAsia="Times New Roman" w:hAnsi="VIC-Bold" w:cs="Times New Roman"/>
          <w:color w:val="011A3C"/>
          <w:sz w:val="24"/>
          <w:szCs w:val="24"/>
          <w:lang w:val="en" w:eastAsia="en-AU"/>
        </w:rPr>
        <w:t> — Cash ($) Allocation</w:t>
      </w:r>
    </w:p>
    <w:p w14:paraId="31925591" w14:textId="1BD85F05" w:rsidR="002F58F8" w:rsidRPr="004D307F" w:rsidRDefault="002F58F8" w:rsidP="00ED0863">
      <w:pPr>
        <w:numPr>
          <w:ilvl w:val="0"/>
          <w:numId w:val="7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Per Year 6 student — Primary and Primary-Secondary combined Schools — $</w:t>
      </w:r>
      <w:r w:rsidR="00DD3790" w:rsidRPr="004D307F">
        <w:rPr>
          <w:rFonts w:ascii="VIC-Regular" w:eastAsia="Times New Roman" w:hAnsi="VIC-Regular" w:cs="Times New Roman"/>
          <w:color w:val="011A3C"/>
          <w:sz w:val="24"/>
          <w:szCs w:val="24"/>
          <w:lang w:val="en" w:eastAsia="en-AU"/>
        </w:rPr>
        <w:t>270</w:t>
      </w:r>
    </w:p>
    <w:p w14:paraId="55E967CD" w14:textId="56C205BA" w:rsidR="002F58F8" w:rsidRPr="004D307F" w:rsidRDefault="002F58F8" w:rsidP="00ED0863">
      <w:pPr>
        <w:numPr>
          <w:ilvl w:val="0"/>
          <w:numId w:val="7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Per Specialist School student — $</w:t>
      </w:r>
      <w:r w:rsidR="00DD3790" w:rsidRPr="004D307F">
        <w:rPr>
          <w:rFonts w:ascii="VIC-Regular" w:eastAsia="Times New Roman" w:hAnsi="VIC-Regular" w:cs="Times New Roman"/>
          <w:color w:val="011A3C"/>
          <w:sz w:val="24"/>
          <w:szCs w:val="24"/>
          <w:lang w:val="en" w:eastAsia="en-AU"/>
        </w:rPr>
        <w:t>270</w:t>
      </w:r>
    </w:p>
    <w:p w14:paraId="4231E233" w14:textId="0FA0FE8A" w:rsidR="00DD3790" w:rsidRPr="004D307F" w:rsidRDefault="00DD3790" w:rsidP="00ED0863">
      <w:pPr>
        <w:numPr>
          <w:ilvl w:val="0"/>
          <w:numId w:val="7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Per English Language School student — $270</w:t>
      </w:r>
    </w:p>
    <w:p w14:paraId="38E4F258" w14:textId="77777777" w:rsidR="00DD3790" w:rsidRPr="004D307F" w:rsidRDefault="00DD3790" w:rsidP="00C116FE">
      <w:pPr>
        <w:spacing w:before="100" w:beforeAutospacing="1" w:after="100" w:afterAutospacing="1" w:line="360" w:lineRule="atLeast"/>
        <w:ind w:left="720"/>
        <w:rPr>
          <w:rFonts w:ascii="VIC-Regular" w:eastAsia="Times New Roman" w:hAnsi="VIC-Regular" w:cs="Times New Roman"/>
          <w:color w:val="011A3C"/>
          <w:sz w:val="24"/>
          <w:szCs w:val="24"/>
          <w:lang w:val="en" w:eastAsia="en-AU"/>
        </w:rPr>
      </w:pPr>
    </w:p>
    <w:p w14:paraId="7640124A" w14:textId="77777777" w:rsidR="002F58F8" w:rsidRPr="004D307F" w:rsidRDefault="002F58F8" w:rsidP="002F58F8"/>
    <w:p w14:paraId="3D584B24" w14:textId="57F5B01C" w:rsidR="002F58F8" w:rsidRPr="004D307F" w:rsidRDefault="002F58F8">
      <w:pPr>
        <w:rPr>
          <w:rFonts w:asciiTheme="majorHAnsi" w:eastAsia="Times New Roman" w:hAnsiTheme="majorHAnsi" w:cstheme="majorBidi"/>
          <w:b/>
          <w:color w:val="2F5496" w:themeColor="accent1" w:themeShade="BF"/>
          <w:sz w:val="36"/>
          <w:szCs w:val="26"/>
          <w:lang w:val="en" w:eastAsia="en-AU"/>
        </w:rPr>
      </w:pPr>
      <w:r w:rsidRPr="004D307F">
        <w:br w:type="page"/>
      </w:r>
    </w:p>
    <w:p w14:paraId="20E75844" w14:textId="6DA1730E" w:rsidR="00EA34C0" w:rsidRPr="004D307F" w:rsidRDefault="00EA34C0" w:rsidP="00B566E7">
      <w:pPr>
        <w:pStyle w:val="Heading2"/>
      </w:pPr>
      <w:bookmarkStart w:id="111" w:name="_Toc106793798"/>
      <w:r w:rsidRPr="004D307F">
        <w:lastRenderedPageBreak/>
        <w:t>Head Start (Reference 116)</w:t>
      </w:r>
      <w:bookmarkEnd w:id="111"/>
    </w:p>
    <w:p w14:paraId="6631E0F9" w14:textId="404B3C4A"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Head Start is a new apprenticeship and traineeship pathway for secondary students. </w:t>
      </w:r>
      <w:hyperlink r:id="rId165" w:history="1">
        <w:r w:rsidRPr="004D307F">
          <w:rPr>
            <w:rFonts w:ascii="VIC-Regular" w:eastAsia="Times New Roman" w:hAnsi="VIC-Regular" w:cs="Times New Roman"/>
            <w:color w:val="011A3C"/>
            <w:sz w:val="24"/>
            <w:szCs w:val="24"/>
            <w:lang w:val="en" w:eastAsia="en-AU"/>
          </w:rPr>
          <w:t>Head Start</w:t>
        </w:r>
      </w:hyperlink>
      <w:r w:rsidRPr="004D307F">
        <w:rPr>
          <w:rFonts w:ascii="VIC-Regular" w:eastAsia="Times New Roman" w:hAnsi="VIC-Regular" w:cs="Times New Roman"/>
          <w:color w:val="011A3C"/>
          <w:sz w:val="24"/>
          <w:szCs w:val="24"/>
          <w:lang w:val="en" w:eastAsia="en-AU"/>
        </w:rPr>
        <w:t xml:space="preserve"> students spend more time doing important, paid, on-the-job training while completing their VCE or VCAL at school.</w:t>
      </w:r>
    </w:p>
    <w:p w14:paraId="26999F2E" w14:textId="77777777" w:rsidR="0073330A" w:rsidRPr="004D307F" w:rsidRDefault="0073330A" w:rsidP="0073330A">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r w:rsidRPr="004D307F">
        <w:rPr>
          <w:rFonts w:ascii="VIC-Regular" w:eastAsia="Times New Roman" w:hAnsi="VIC-Regular" w:cs="Times New Roman"/>
          <w:b/>
          <w:bCs/>
          <w:color w:val="011A3C"/>
          <w:sz w:val="26"/>
          <w:szCs w:val="28"/>
          <w:lang w:val="en" w:eastAsia="en-AU"/>
        </w:rPr>
        <w:t>Eligibility</w:t>
      </w:r>
    </w:p>
    <w:p w14:paraId="6E7C8033" w14:textId="77777777" w:rsidR="0073330A" w:rsidRPr="004D307F" w:rsidRDefault="0073330A" w:rsidP="0073330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with the following campus types are eligible for Head Start funding at school level. </w:t>
      </w:r>
    </w:p>
    <w:p w14:paraId="394F1239" w14:textId="77777777" w:rsidR="0073330A" w:rsidRPr="004D307F" w:rsidRDefault="0073330A"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Secondary</w:t>
      </w:r>
    </w:p>
    <w:p w14:paraId="297AEB8D" w14:textId="77777777" w:rsidR="0073330A" w:rsidRPr="004D307F" w:rsidRDefault="0073330A"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Primary / Secondary Combined</w:t>
      </w:r>
    </w:p>
    <w:p w14:paraId="2154C8CA" w14:textId="1C92823D" w:rsidR="0073330A" w:rsidRPr="004D307F" w:rsidRDefault="0073330A"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Confirmed and Revised </w:t>
      </w:r>
      <w:r w:rsidR="00845A32" w:rsidRPr="004D307F">
        <w:rPr>
          <w:rFonts w:ascii="VIC-Regular" w:eastAsia="Times New Roman" w:hAnsi="VIC-Regular" w:cs="Times New Roman"/>
          <w:color w:val="011A3C"/>
          <w:sz w:val="24"/>
          <w:szCs w:val="24"/>
          <w:lang w:val="en" w:eastAsia="en-AU"/>
        </w:rPr>
        <w:t>cycles;</w:t>
      </w:r>
      <w:r w:rsidRPr="004D307F">
        <w:rPr>
          <w:rFonts w:ascii="VIC-Regular" w:eastAsia="Times New Roman" w:hAnsi="VIC-Regular" w:cs="Times New Roman"/>
          <w:color w:val="011A3C"/>
          <w:sz w:val="24"/>
          <w:szCs w:val="24"/>
          <w:lang w:val="en" w:eastAsia="en-AU"/>
        </w:rPr>
        <w:t xml:space="preserve"> funding is allocated through credit funding.</w:t>
      </w:r>
    </w:p>
    <w:p w14:paraId="7AACF29F"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Funding Allocation</w:t>
      </w:r>
    </w:p>
    <w:p w14:paraId="57E4AA42" w14:textId="3D72B3E9" w:rsidR="00EA34C0" w:rsidRPr="004D307F" w:rsidRDefault="009A130D"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Student Resource Package (</w:t>
      </w:r>
      <w:r w:rsidR="00EA34C0" w:rsidRPr="004D307F">
        <w:rPr>
          <w:rFonts w:ascii="VIC-Regular" w:eastAsia="Times New Roman" w:hAnsi="VIC-Regular" w:cs="Times New Roman"/>
          <w:color w:val="011A3C"/>
          <w:sz w:val="24"/>
          <w:szCs w:val="24"/>
          <w:lang w:val="en" w:eastAsia="en-AU"/>
        </w:rPr>
        <w:t>SRP</w:t>
      </w:r>
      <w:r w:rsidRPr="004D307F">
        <w:rPr>
          <w:rFonts w:ascii="VIC-Regular" w:eastAsia="Times New Roman" w:hAnsi="VIC-Regular" w:cs="Times New Roman"/>
          <w:color w:val="011A3C"/>
          <w:sz w:val="24"/>
          <w:szCs w:val="24"/>
          <w:lang w:val="en" w:eastAsia="en-AU"/>
        </w:rPr>
        <w:t>)</w:t>
      </w:r>
      <w:r w:rsidR="00EA34C0" w:rsidRPr="004D307F">
        <w:rPr>
          <w:rFonts w:ascii="VIC-Regular" w:eastAsia="Times New Roman" w:hAnsi="VIC-Regular" w:cs="Times New Roman"/>
          <w:color w:val="011A3C"/>
          <w:sz w:val="24"/>
          <w:szCs w:val="24"/>
          <w:lang w:val="en" w:eastAsia="en-AU"/>
        </w:rPr>
        <w:t xml:space="preserve"> credit funding will </w:t>
      </w:r>
      <w:r w:rsidR="00845A32" w:rsidRPr="004D307F">
        <w:rPr>
          <w:rFonts w:ascii="VIC-Regular" w:eastAsia="Times New Roman" w:hAnsi="VIC-Regular" w:cs="Times New Roman"/>
          <w:color w:val="011A3C"/>
          <w:sz w:val="24"/>
          <w:szCs w:val="24"/>
          <w:lang w:val="en" w:eastAsia="en-AU"/>
        </w:rPr>
        <w:t xml:space="preserve">be </w:t>
      </w:r>
      <w:r w:rsidR="00EA34C0" w:rsidRPr="004D307F">
        <w:rPr>
          <w:rFonts w:ascii="VIC-Regular" w:eastAsia="Times New Roman" w:hAnsi="VIC-Regular" w:cs="Times New Roman"/>
          <w:color w:val="011A3C"/>
          <w:sz w:val="24"/>
          <w:szCs w:val="24"/>
          <w:lang w:val="en" w:eastAsia="en-AU"/>
        </w:rPr>
        <w:t>provided to participating schools that host Head Start staff.</w:t>
      </w:r>
    </w:p>
    <w:p w14:paraId="7A648069"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will cover salary and will be allocated based on salary rates and time fractions of Head Start staff employed in each cluster.</w:t>
      </w:r>
    </w:p>
    <w:p w14:paraId="7C9F458F"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Operational costs</w:t>
      </w:r>
    </w:p>
    <w:p w14:paraId="053C8440" w14:textId="68FB2152"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Operational costs will be funded through the </w:t>
      </w:r>
      <w:hyperlink r:id="rId166" w:history="1">
        <w:r w:rsidRPr="004D307F">
          <w:rPr>
            <w:rFonts w:ascii="VIC-Regular" w:eastAsia="Times New Roman" w:hAnsi="VIC-Regular" w:cs="Times New Roman"/>
            <w:color w:val="011A3C"/>
            <w:sz w:val="24"/>
            <w:szCs w:val="24"/>
            <w:lang w:val="en" w:eastAsia="en-AU"/>
          </w:rPr>
          <w:t>Schools targeted funding governance portal (</w:t>
        </w:r>
        <w:r w:rsidR="00C64A4E" w:rsidRPr="004D307F">
          <w:rPr>
            <w:rFonts w:ascii="VIC-Regular" w:eastAsia="Times New Roman" w:hAnsi="VIC-Regular" w:cs="Times New Roman"/>
            <w:color w:val="011A3C"/>
            <w:sz w:val="24"/>
            <w:szCs w:val="24"/>
            <w:lang w:val="en" w:eastAsia="en-AU"/>
          </w:rPr>
          <w:t>education</w:t>
        </w:r>
        <w:r w:rsidRPr="004D307F">
          <w:rPr>
            <w:rFonts w:ascii="VIC-Regular" w:eastAsia="Times New Roman" w:hAnsi="VIC-Regular" w:cs="Times New Roman"/>
            <w:color w:val="011A3C"/>
            <w:sz w:val="24"/>
            <w:szCs w:val="24"/>
            <w:lang w:val="en" w:eastAsia="en-AU"/>
          </w:rPr>
          <w:t>account required)</w:t>
        </w:r>
      </w:hyperlink>
      <w:r w:rsidRPr="004D307F">
        <w:rPr>
          <w:rFonts w:ascii="VIC-Regular" w:eastAsia="Times New Roman" w:hAnsi="VIC-Regular" w:cs="Times New Roman"/>
          <w:color w:val="011A3C"/>
          <w:sz w:val="24"/>
          <w:szCs w:val="24"/>
          <w:lang w:val="en" w:eastAsia="en-AU"/>
        </w:rPr>
        <w:t>.</w:t>
      </w:r>
    </w:p>
    <w:p w14:paraId="7DAA441E"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NOTE: Arrangements have been made so mileage can be processed in eduPay and charged directly to the program area. Schools should refer to the Head Start Finance fact sheet for mileage processing instructions.</w:t>
      </w:r>
    </w:p>
    <w:p w14:paraId="08042DEF"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Find out more</w:t>
      </w:r>
    </w:p>
    <w:p w14:paraId="244C1393" w14:textId="059349DC" w:rsidR="00EA34C0" w:rsidRPr="004D307F" w:rsidRDefault="00EA34C0" w:rsidP="004D1CF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taking part in </w:t>
      </w:r>
      <w:hyperlink r:id="rId167" w:history="1">
        <w:r w:rsidRPr="004D307F">
          <w:rPr>
            <w:rFonts w:ascii="VIC-Regular" w:eastAsia="Times New Roman" w:hAnsi="VIC-Regular" w:cs="Times New Roman"/>
            <w:color w:val="011A3C"/>
            <w:sz w:val="24"/>
            <w:szCs w:val="24"/>
            <w:lang w:val="en" w:eastAsia="en-AU"/>
          </w:rPr>
          <w:t>Head Start</w:t>
        </w:r>
      </w:hyperlink>
      <w:r w:rsidRPr="004D307F">
        <w:rPr>
          <w:rFonts w:ascii="VIC-Regular" w:eastAsia="Times New Roman" w:hAnsi="VIC-Regular" w:cs="Times New Roman"/>
          <w:color w:val="011A3C"/>
          <w:sz w:val="24"/>
          <w:szCs w:val="24"/>
          <w:lang w:val="en" w:eastAsia="en-AU"/>
        </w:rPr>
        <w:t xml:space="preserve"> have been identified as part of the implementation of the program.</w:t>
      </w:r>
    </w:p>
    <w:p w14:paraId="1597C0E7" w14:textId="77777777" w:rsidR="00EA34C0" w:rsidRPr="004D307F" w:rsidRDefault="00EA34C0" w:rsidP="00EA34C0">
      <w:r w:rsidRPr="004D307F">
        <w:br w:type="page"/>
      </w:r>
    </w:p>
    <w:p w14:paraId="49603FB2" w14:textId="4916E162" w:rsidR="002F58F8" w:rsidRPr="004D307F" w:rsidRDefault="00B5606E" w:rsidP="00B566E7">
      <w:pPr>
        <w:pStyle w:val="Heading2"/>
      </w:pPr>
      <w:bookmarkStart w:id="112" w:name="_Toc106793799"/>
      <w:r w:rsidRPr="004D307F">
        <w:lastRenderedPageBreak/>
        <w:t xml:space="preserve">National School Chaplaincy Program (NSCP) </w:t>
      </w:r>
      <w:r w:rsidR="00F12C7A" w:rsidRPr="004D307F">
        <w:t>(Reference 117)</w:t>
      </w:r>
      <w:bookmarkEnd w:id="112"/>
    </w:p>
    <w:p w14:paraId="0C785F9E" w14:textId="77777777" w:rsidR="002F58F8" w:rsidRPr="004D307F" w:rsidRDefault="00901FCB"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68" w:history="1">
        <w:r w:rsidR="002F58F8" w:rsidRPr="004D307F">
          <w:rPr>
            <w:rFonts w:ascii="VIC-Regular" w:eastAsia="Times New Roman" w:hAnsi="VIC-Regular" w:cs="Times New Roman"/>
            <w:color w:val="011A3C"/>
            <w:sz w:val="24"/>
            <w:szCs w:val="24"/>
            <w:lang w:val="en" w:eastAsia="en-AU"/>
          </w:rPr>
          <w:t>The National School Chaplaincy Program</w:t>
        </w:r>
      </w:hyperlink>
      <w:r w:rsidR="002F58F8" w:rsidRPr="004D307F">
        <w:rPr>
          <w:rFonts w:ascii="VIC-Regular" w:eastAsia="Times New Roman" w:hAnsi="VIC-Regular" w:cs="Times New Roman"/>
          <w:color w:val="011A3C"/>
          <w:sz w:val="24"/>
          <w:szCs w:val="24"/>
          <w:lang w:val="en" w:eastAsia="en-AU"/>
        </w:rPr>
        <w:t xml:space="preserve"> (NSCP) is a Commonwealth initiative that funds chaplaincy services in Victorian schools.</w:t>
      </w:r>
    </w:p>
    <w:p w14:paraId="66340697" w14:textId="77777777"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with the following campus types are eligible for Chaplaincy funding at campus level. </w:t>
      </w:r>
    </w:p>
    <w:p w14:paraId="74EDB85A" w14:textId="77777777" w:rsidR="002F58F8" w:rsidRPr="004D307F" w:rsidRDefault="002F58F8"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Primary</w:t>
      </w:r>
    </w:p>
    <w:p w14:paraId="5EC656C5" w14:textId="77777777" w:rsidR="002F58F8" w:rsidRPr="004D307F" w:rsidRDefault="002F58F8"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Secondary</w:t>
      </w:r>
    </w:p>
    <w:p w14:paraId="79FBA9FD" w14:textId="77777777" w:rsidR="002F58F8" w:rsidRPr="004D307F" w:rsidRDefault="002F58F8"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 xml:space="preserve">Primary / Secondary Combined </w:t>
      </w:r>
    </w:p>
    <w:p w14:paraId="46B55ABA" w14:textId="77777777" w:rsidR="002F58F8" w:rsidRPr="004D307F" w:rsidRDefault="002F58F8"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Special</w:t>
      </w:r>
    </w:p>
    <w:p w14:paraId="11E2F071" w14:textId="0203A117"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may be calculated at the Indicative, Confirmed and Revised cycles, funding is allocated through cash funding.</w:t>
      </w:r>
    </w:p>
    <w:p w14:paraId="4A2ED260" w14:textId="77777777" w:rsidR="002F58F8" w:rsidRPr="004D307F" w:rsidRDefault="002F58F8" w:rsidP="002F58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Funding rates</w:t>
      </w:r>
    </w:p>
    <w:p w14:paraId="014996FA" w14:textId="77777777"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Eligible school campuses receive funding of $20,280 per year (or $24,336 for schools in remote/very remote areas) for chaplaincy services.</w:t>
      </w:r>
    </w:p>
    <w:p w14:paraId="7F31B016" w14:textId="77777777" w:rsidR="002F58F8" w:rsidRPr="004D307F" w:rsidRDefault="002F58F8" w:rsidP="002F58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Contact</w:t>
      </w:r>
    </w:p>
    <w:p w14:paraId="303D2FD5" w14:textId="6047A00F"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Email: </w:t>
      </w:r>
      <w:hyperlink r:id="rId169" w:history="1">
        <w:r w:rsidR="00B5606E" w:rsidRPr="004D307F">
          <w:rPr>
            <w:rStyle w:val="Hyperlink"/>
            <w:rFonts w:ascii="VIC-Regular" w:eastAsia="Times New Roman" w:hAnsi="VIC-Regular" w:cs="Times New Roman"/>
            <w:sz w:val="24"/>
            <w:szCs w:val="24"/>
            <w:lang w:val="en" w:eastAsia="en-AU"/>
          </w:rPr>
          <w:t>student.engagement@education.vic.gov.au</w:t>
        </w:r>
      </w:hyperlink>
      <w:r w:rsidRPr="004D307F">
        <w:rPr>
          <w:rFonts w:ascii="VIC-Regular" w:eastAsia="Times New Roman" w:hAnsi="VIC-Regular" w:cs="Times New Roman"/>
          <w:color w:val="011A3C"/>
          <w:sz w:val="24"/>
          <w:szCs w:val="24"/>
          <w:lang w:val="en" w:eastAsia="en-AU"/>
        </w:rPr>
        <w:br/>
        <w:t xml:space="preserve">Phone: </w:t>
      </w:r>
      <w:hyperlink r:id="rId170" w:history="1">
        <w:r w:rsidRPr="004D307F">
          <w:rPr>
            <w:rFonts w:ascii="VIC-Regular" w:eastAsia="Times New Roman" w:hAnsi="VIC-Regular" w:cs="Times New Roman"/>
            <w:color w:val="011A3C"/>
            <w:sz w:val="24"/>
            <w:szCs w:val="24"/>
            <w:lang w:val="en" w:eastAsia="en-AU"/>
          </w:rPr>
          <w:t>03 7022 0019​</w:t>
        </w:r>
      </w:hyperlink>
    </w:p>
    <w:p w14:paraId="47D63B93" w14:textId="00F39D0C" w:rsidR="00373667" w:rsidRPr="004D307F" w:rsidRDefault="002F58F8">
      <w:r w:rsidRPr="004D307F">
        <w:br w:type="page"/>
      </w:r>
    </w:p>
    <w:p w14:paraId="515457CD" w14:textId="0629B116" w:rsidR="00EA34C0" w:rsidRPr="004D307F" w:rsidRDefault="00EA34C0" w:rsidP="00B566E7">
      <w:pPr>
        <w:pStyle w:val="Heading2"/>
      </w:pPr>
      <w:bookmarkStart w:id="113" w:name="_Toc106793800"/>
      <w:r w:rsidRPr="004D307F">
        <w:lastRenderedPageBreak/>
        <w:t>Middle Years Literacy and Numeracy Support Initiative (</w:t>
      </w:r>
      <w:r w:rsidR="003E5908" w:rsidRPr="004D307F">
        <w:t xml:space="preserve">Reference </w:t>
      </w:r>
      <w:r w:rsidRPr="004D307F">
        <w:t>118)</w:t>
      </w:r>
      <w:bookmarkEnd w:id="113"/>
    </w:p>
    <w:p w14:paraId="2BB93F5F" w14:textId="17D0418E"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w:t>
      </w:r>
      <w:hyperlink r:id="rId171" w:anchor="link98" w:history="1">
        <w:r w:rsidRPr="004D307F">
          <w:rPr>
            <w:rFonts w:ascii="VIC" w:eastAsia="Times New Roman" w:hAnsi="VIC" w:cs="Times New Roman"/>
            <w:color w:val="011A3C"/>
            <w:sz w:val="24"/>
            <w:szCs w:val="24"/>
            <w:lang w:val="en" w:eastAsia="en-AU"/>
          </w:rPr>
          <w:t>Middle Years Literacy and Numeracy Support (MYLNS)</w:t>
        </w:r>
      </w:hyperlink>
      <w:r w:rsidRPr="004D307F">
        <w:rPr>
          <w:rFonts w:ascii="VIC" w:eastAsia="Times New Roman" w:hAnsi="VIC" w:cs="Times New Roman"/>
          <w:color w:val="011A3C"/>
          <w:sz w:val="24"/>
          <w:szCs w:val="24"/>
          <w:lang w:val="en" w:eastAsia="en-AU"/>
        </w:rPr>
        <w:t xml:space="preserve"> initiative provides funding to government secondary schools to improve outcomes for students who are at risk of finishing school without the literacy or numeracy they need for future work, education and training.</w:t>
      </w:r>
    </w:p>
    <w:p w14:paraId="7CC0E890" w14:textId="5BEE8200"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Through the MYLNS initiative, schools are provided funding to release existing teachers as Literacy Improvement Teachers and/or Numeracy Improvement Teachers</w:t>
      </w:r>
    </w:p>
    <w:p w14:paraId="0FA6E057"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Improvement Teachers have the following functions:</w:t>
      </w:r>
    </w:p>
    <w:p w14:paraId="0FF91F2F" w14:textId="77777777" w:rsidR="00EA34C0" w:rsidRPr="004D307F" w:rsidRDefault="00EA34C0" w:rsidP="00ED0863">
      <w:pPr>
        <w:numPr>
          <w:ilvl w:val="0"/>
          <w:numId w:val="75"/>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to deliver literacy or numeracy direct teaching support to students at risk of finishing school without the literacy or numeracy skills they need, and</w:t>
      </w:r>
    </w:p>
    <w:p w14:paraId="632DFCAE" w14:textId="77777777" w:rsidR="00EA34C0" w:rsidRPr="004D307F" w:rsidRDefault="00EA34C0" w:rsidP="00ED0863">
      <w:pPr>
        <w:numPr>
          <w:ilvl w:val="0"/>
          <w:numId w:val="75"/>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to build capability in literacy or numeracy teaching across the school</w:t>
      </w:r>
    </w:p>
    <w:p w14:paraId="156AFAB1" w14:textId="728B7C49"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In 202</w:t>
      </w:r>
      <w:r w:rsidR="00D62581" w:rsidRPr="004D307F">
        <w:rPr>
          <w:rFonts w:ascii="VIC" w:eastAsia="Times New Roman" w:hAnsi="VIC" w:cs="Times New Roman"/>
          <w:color w:val="011A3C"/>
          <w:sz w:val="24"/>
          <w:szCs w:val="24"/>
          <w:lang w:val="en" w:eastAsia="en-AU"/>
        </w:rPr>
        <w:t>2</w:t>
      </w:r>
      <w:r w:rsidRPr="004D307F">
        <w:rPr>
          <w:rFonts w:ascii="VIC" w:eastAsia="Times New Roman" w:hAnsi="VIC" w:cs="Times New Roman"/>
          <w:color w:val="011A3C"/>
          <w:sz w:val="24"/>
          <w:szCs w:val="24"/>
          <w:lang w:val="en" w:eastAsia="en-AU"/>
        </w:rPr>
        <w:t xml:space="preserve">, the MYLNS initiative provides funding to </w:t>
      </w:r>
      <w:r w:rsidR="0024684E" w:rsidRPr="004D307F">
        <w:rPr>
          <w:rFonts w:ascii="VIC" w:eastAsia="Times New Roman" w:hAnsi="VIC" w:cs="Times New Roman"/>
          <w:color w:val="011A3C"/>
          <w:sz w:val="24"/>
          <w:szCs w:val="24"/>
          <w:lang w:val="en" w:eastAsia="en-AU"/>
        </w:rPr>
        <w:t xml:space="preserve">deliver </w:t>
      </w:r>
      <w:r w:rsidRPr="004D307F">
        <w:rPr>
          <w:rFonts w:ascii="VIC" w:eastAsia="Times New Roman" w:hAnsi="VIC" w:cs="Times New Roman"/>
          <w:color w:val="011A3C"/>
          <w:sz w:val="24"/>
          <w:szCs w:val="24"/>
          <w:lang w:val="en" w:eastAsia="en-AU"/>
        </w:rPr>
        <w:t xml:space="preserve">direct </w:t>
      </w:r>
      <w:r w:rsidR="0024684E" w:rsidRPr="004D307F">
        <w:rPr>
          <w:rFonts w:ascii="VIC" w:eastAsia="Times New Roman" w:hAnsi="VIC" w:cs="Times New Roman"/>
          <w:color w:val="011A3C"/>
          <w:sz w:val="24"/>
          <w:szCs w:val="24"/>
          <w:lang w:val="en" w:eastAsia="en-AU"/>
        </w:rPr>
        <w:t xml:space="preserve">teaching </w:t>
      </w:r>
      <w:r w:rsidRPr="004D307F">
        <w:rPr>
          <w:rFonts w:ascii="VIC" w:eastAsia="Times New Roman" w:hAnsi="VIC" w:cs="Times New Roman"/>
          <w:color w:val="011A3C"/>
          <w:sz w:val="24"/>
          <w:szCs w:val="24"/>
          <w:lang w:val="en" w:eastAsia="en-AU"/>
        </w:rPr>
        <w:t>support to students in Year</w:t>
      </w:r>
      <w:r w:rsidR="00E67D70" w:rsidRPr="004D307F">
        <w:rPr>
          <w:rFonts w:ascii="VIC" w:eastAsia="Times New Roman" w:hAnsi="VIC" w:cs="Times New Roman"/>
          <w:color w:val="011A3C"/>
          <w:sz w:val="24"/>
          <w:szCs w:val="24"/>
          <w:lang w:val="en" w:eastAsia="en-AU"/>
        </w:rPr>
        <w:t>s</w:t>
      </w:r>
      <w:r w:rsidRPr="004D307F">
        <w:rPr>
          <w:rFonts w:ascii="VIC" w:eastAsia="Times New Roman" w:hAnsi="VIC" w:cs="Times New Roman"/>
          <w:color w:val="011A3C"/>
          <w:sz w:val="24"/>
          <w:szCs w:val="24"/>
          <w:lang w:val="en" w:eastAsia="en-AU"/>
        </w:rPr>
        <w:t xml:space="preserve"> </w:t>
      </w:r>
      <w:r w:rsidR="0024684E" w:rsidRPr="004D307F">
        <w:rPr>
          <w:rFonts w:ascii="VIC" w:eastAsia="Times New Roman" w:hAnsi="VIC" w:cs="Times New Roman"/>
          <w:color w:val="011A3C"/>
          <w:sz w:val="24"/>
          <w:szCs w:val="24"/>
          <w:lang w:val="en" w:eastAsia="en-AU"/>
        </w:rPr>
        <w:t>8</w:t>
      </w:r>
      <w:r w:rsidR="00D62581" w:rsidRPr="004D307F">
        <w:rPr>
          <w:rFonts w:ascii="VIC" w:eastAsia="Times New Roman" w:hAnsi="VIC" w:cs="Times New Roman"/>
          <w:color w:val="011A3C"/>
          <w:sz w:val="24"/>
          <w:szCs w:val="24"/>
          <w:lang w:val="en" w:eastAsia="en-AU"/>
        </w:rPr>
        <w:t>, 9</w:t>
      </w:r>
      <w:r w:rsidR="006618E7"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 xml:space="preserve">and </w:t>
      </w:r>
      <w:r w:rsidR="0024684E" w:rsidRPr="004D307F">
        <w:rPr>
          <w:rFonts w:ascii="VIC" w:eastAsia="Times New Roman" w:hAnsi="VIC" w:cs="Times New Roman"/>
          <w:color w:val="011A3C"/>
          <w:sz w:val="24"/>
          <w:szCs w:val="24"/>
          <w:lang w:val="en" w:eastAsia="en-AU"/>
        </w:rPr>
        <w:t>10</w:t>
      </w:r>
      <w:r w:rsidR="00D62581" w:rsidRPr="004D307F">
        <w:rPr>
          <w:rFonts w:ascii="VIC" w:eastAsia="Times New Roman" w:hAnsi="VIC" w:cs="Times New Roman"/>
          <w:color w:val="011A3C"/>
          <w:sz w:val="24"/>
          <w:szCs w:val="24"/>
          <w:lang w:val="en" w:eastAsia="en-AU"/>
        </w:rPr>
        <w:t xml:space="preserve"> to build capability in literacy and numeracy teaching across the school and for Improvement Teachers to attend MYLNS professional learning.</w:t>
      </w:r>
    </w:p>
    <w:p w14:paraId="5303C4CF" w14:textId="065AA41E" w:rsidR="006618E7" w:rsidRPr="004D307F" w:rsidRDefault="006618E7"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Refer to the Department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policy on </w:t>
      </w:r>
      <w:hyperlink r:id="rId172" w:history="1">
        <w:r w:rsidRPr="004D307F">
          <w:rPr>
            <w:rStyle w:val="Hyperlink"/>
            <w:rFonts w:ascii="VIC" w:eastAsia="Times New Roman" w:hAnsi="VIC" w:cs="Times New Roman"/>
            <w:sz w:val="24"/>
            <w:szCs w:val="24"/>
            <w:lang w:val="en" w:eastAsia="en-AU"/>
          </w:rPr>
          <w:t>Middle Years Literacy and Numeracy Support</w:t>
        </w:r>
      </w:hyperlink>
      <w:r w:rsidRPr="004D307F">
        <w:rPr>
          <w:rFonts w:ascii="VIC" w:eastAsia="Times New Roman" w:hAnsi="VIC" w:cs="Times New Roman"/>
          <w:color w:val="011A3C"/>
          <w:sz w:val="24"/>
          <w:szCs w:val="24"/>
          <w:lang w:val="en" w:eastAsia="en-AU"/>
        </w:rPr>
        <w:t xml:space="preserve"> for further information on implementing the initiative. </w:t>
      </w:r>
    </w:p>
    <w:p w14:paraId="7341A576" w14:textId="77777777" w:rsidR="0073330A" w:rsidRPr="004D307F" w:rsidRDefault="0073330A" w:rsidP="0073330A">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6"/>
          <w:szCs w:val="28"/>
          <w:lang w:val="en" w:eastAsia="en-AU"/>
        </w:rPr>
        <w:t>Eligibility</w:t>
      </w:r>
    </w:p>
    <w:p w14:paraId="38759222" w14:textId="6C2BE112" w:rsidR="0073330A" w:rsidRPr="004D307F" w:rsidRDefault="0073330A" w:rsidP="0073330A">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w:t>
      </w:r>
      <w:r w:rsidR="00E67D70" w:rsidRPr="004D307F">
        <w:rPr>
          <w:rFonts w:ascii="VIC" w:eastAsia="Times New Roman" w:hAnsi="VIC" w:cs="Times New Roman"/>
          <w:color w:val="011A3C"/>
          <w:sz w:val="24"/>
          <w:szCs w:val="24"/>
          <w:lang w:val="en" w:eastAsia="en-AU"/>
        </w:rPr>
        <w:t xml:space="preserve">that fall into the following categories </w:t>
      </w:r>
      <w:r w:rsidRPr="004D307F">
        <w:rPr>
          <w:rFonts w:ascii="VIC" w:eastAsia="Times New Roman" w:hAnsi="VIC" w:cs="Times New Roman"/>
          <w:color w:val="011A3C"/>
          <w:sz w:val="24"/>
          <w:szCs w:val="24"/>
          <w:lang w:val="en" w:eastAsia="en-AU"/>
        </w:rPr>
        <w:t>are eligible for MYLNS funding at school level.</w:t>
      </w:r>
    </w:p>
    <w:p w14:paraId="1173FC58" w14:textId="77777777" w:rsidR="0073330A" w:rsidRPr="004D307F" w:rsidRDefault="0073330A" w:rsidP="00ED0863">
      <w:pPr>
        <w:numPr>
          <w:ilvl w:val="0"/>
          <w:numId w:val="1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Secondary</w:t>
      </w:r>
    </w:p>
    <w:p w14:paraId="29A47537" w14:textId="1AB6207C" w:rsidR="0073330A" w:rsidRPr="004D307F" w:rsidRDefault="0073330A" w:rsidP="00ED0863">
      <w:pPr>
        <w:numPr>
          <w:ilvl w:val="0"/>
          <w:numId w:val="1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Primary/Secondary Combined</w:t>
      </w:r>
    </w:p>
    <w:p w14:paraId="5BF03126" w14:textId="6F51DCE6" w:rsidR="00D62581" w:rsidRPr="004D307F" w:rsidRDefault="00D62581" w:rsidP="00D62581">
      <w:pPr>
        <w:spacing w:before="100" w:beforeAutospacing="1" w:after="100" w:afterAutospacing="1" w:line="288" w:lineRule="atLeast"/>
        <w:outlineLvl w:val="2"/>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Funding is provided to all Victorian government schools with secondary students except </w:t>
      </w:r>
      <w:r w:rsidR="00E67D70" w:rsidRPr="004D307F">
        <w:rPr>
          <w:rFonts w:ascii="VIC" w:eastAsia="Times New Roman" w:hAnsi="VIC" w:cs="Times New Roman"/>
          <w:color w:val="011A3C"/>
          <w:sz w:val="24"/>
          <w:szCs w:val="24"/>
          <w:lang w:val="en" w:eastAsia="en-AU"/>
        </w:rPr>
        <w:t xml:space="preserve">for </w:t>
      </w:r>
      <w:r w:rsidRPr="004D307F">
        <w:rPr>
          <w:rFonts w:ascii="VIC" w:eastAsia="Times New Roman" w:hAnsi="VIC" w:cs="Times New Roman"/>
          <w:color w:val="011A3C"/>
          <w:sz w:val="24"/>
          <w:szCs w:val="24"/>
          <w:lang w:val="en" w:eastAsia="en-AU"/>
        </w:rPr>
        <w:t>select entry, camp, language and special schools.</w:t>
      </w:r>
    </w:p>
    <w:p w14:paraId="0CB75D3F" w14:textId="7580AD49" w:rsidR="00EA34C0" w:rsidRPr="004D307F" w:rsidRDefault="0073330A" w:rsidP="00EA34C0">
      <w:pPr>
        <w:spacing w:before="100" w:beforeAutospacing="1" w:after="100" w:afterAutospacing="1" w:line="288" w:lineRule="atLeast"/>
        <w:outlineLvl w:val="2"/>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Funding may be calculated at the Indicative, Confirmed and Revised cycles, </w:t>
      </w:r>
      <w:r w:rsidR="00E67D70" w:rsidRPr="004D307F">
        <w:rPr>
          <w:rFonts w:ascii="VIC" w:eastAsia="Times New Roman" w:hAnsi="VIC" w:cs="Times New Roman"/>
          <w:color w:val="011A3C"/>
          <w:sz w:val="24"/>
          <w:szCs w:val="24"/>
          <w:lang w:val="en" w:eastAsia="en-AU"/>
        </w:rPr>
        <w:t xml:space="preserve">with </w:t>
      </w:r>
      <w:r w:rsidRPr="004D307F">
        <w:rPr>
          <w:rFonts w:ascii="VIC" w:eastAsia="Times New Roman" w:hAnsi="VIC" w:cs="Times New Roman"/>
          <w:color w:val="011A3C"/>
          <w:sz w:val="24"/>
          <w:szCs w:val="24"/>
          <w:lang w:val="en" w:eastAsia="en-AU"/>
        </w:rPr>
        <w:t xml:space="preserve">funding </w:t>
      </w:r>
      <w:r w:rsidR="00E67D70" w:rsidRPr="004D307F">
        <w:rPr>
          <w:rFonts w:ascii="VIC" w:eastAsia="Times New Roman" w:hAnsi="VIC" w:cs="Times New Roman"/>
          <w:color w:val="011A3C"/>
          <w:sz w:val="24"/>
          <w:szCs w:val="24"/>
          <w:lang w:val="en" w:eastAsia="en-AU"/>
        </w:rPr>
        <w:t xml:space="preserve">provided </w:t>
      </w:r>
      <w:r w:rsidRPr="004D307F">
        <w:rPr>
          <w:rFonts w:ascii="VIC" w:eastAsia="Times New Roman" w:hAnsi="VIC" w:cs="Times New Roman"/>
          <w:color w:val="011A3C"/>
          <w:sz w:val="24"/>
          <w:szCs w:val="24"/>
          <w:lang w:val="en" w:eastAsia="en-AU"/>
        </w:rPr>
        <w:t>through credit and cash funding.</w:t>
      </w:r>
    </w:p>
    <w:p w14:paraId="7180E3C5" w14:textId="77777777"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lastRenderedPageBreak/>
        <w:t>Funding allocation</w:t>
      </w:r>
    </w:p>
    <w:p w14:paraId="6BD061C4" w14:textId="2C7EB145" w:rsidR="00DD62EE" w:rsidRPr="004D307F" w:rsidRDefault="00DD62EE"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do not have to apply for MYLNS funding. Funding is determined using NAPLAN literacy and numeracy data and </w:t>
      </w:r>
      <w:r w:rsidR="00E67D70" w:rsidRPr="004D307F">
        <w:rPr>
          <w:rFonts w:ascii="VIC" w:eastAsia="Times New Roman" w:hAnsi="VIC" w:cs="Times New Roman"/>
          <w:color w:val="011A3C"/>
          <w:sz w:val="24"/>
          <w:szCs w:val="24"/>
          <w:lang w:val="en" w:eastAsia="en-AU"/>
        </w:rPr>
        <w:t xml:space="preserve">is </w:t>
      </w:r>
      <w:r w:rsidRPr="004D307F">
        <w:rPr>
          <w:rFonts w:ascii="VIC" w:eastAsia="Times New Roman" w:hAnsi="VIC" w:cs="Times New Roman"/>
          <w:color w:val="011A3C"/>
          <w:sz w:val="24"/>
          <w:szCs w:val="24"/>
          <w:lang w:val="en" w:eastAsia="en-AU"/>
        </w:rPr>
        <w:t xml:space="preserve">included in the </w:t>
      </w:r>
      <w:r w:rsidR="009A130D" w:rsidRPr="004D307F">
        <w:rPr>
          <w:rFonts w:ascii="VIC" w:eastAsia="Times New Roman" w:hAnsi="VIC" w:cs="Times New Roman"/>
          <w:color w:val="011A3C"/>
          <w:sz w:val="24"/>
          <w:szCs w:val="24"/>
          <w:lang w:val="en" w:eastAsia="en-AU"/>
        </w:rPr>
        <w:t>Student Resource Package (</w:t>
      </w:r>
      <w:r w:rsidRPr="004D307F">
        <w:rPr>
          <w:rFonts w:ascii="VIC" w:eastAsia="Times New Roman" w:hAnsi="VIC" w:cs="Times New Roman"/>
          <w:color w:val="011A3C"/>
          <w:sz w:val="24"/>
          <w:szCs w:val="24"/>
          <w:lang w:val="en" w:eastAsia="en-AU"/>
        </w:rPr>
        <w:t>SRP</w:t>
      </w:r>
      <w:r w:rsidR="009A130D" w:rsidRPr="004D307F">
        <w:rPr>
          <w:rFonts w:ascii="VIC" w:eastAsia="Times New Roman" w:hAnsi="VIC" w:cs="Times New Roman"/>
          <w:color w:val="011A3C"/>
          <w:sz w:val="24"/>
          <w:szCs w:val="24"/>
          <w:lang w:val="en" w:eastAsia="en-AU"/>
        </w:rPr>
        <w:t>)</w:t>
      </w:r>
      <w:r w:rsidRPr="004D307F">
        <w:rPr>
          <w:rFonts w:ascii="VIC" w:eastAsia="Times New Roman" w:hAnsi="VIC" w:cs="Times New Roman"/>
          <w:color w:val="011A3C"/>
          <w:sz w:val="24"/>
          <w:szCs w:val="24"/>
          <w:lang w:val="en" w:eastAsia="en-AU"/>
        </w:rPr>
        <w:t xml:space="preserve">. Schools will also be notified of their funding allocation via an email from their </w:t>
      </w:r>
      <w:r w:rsidR="00101838">
        <w:rPr>
          <w:rFonts w:ascii="VIC" w:eastAsia="Times New Roman" w:hAnsi="VIC" w:cs="Times New Roman"/>
          <w:color w:val="011A3C"/>
          <w:sz w:val="24"/>
          <w:szCs w:val="24"/>
          <w:lang w:val="en" w:eastAsia="en-AU"/>
        </w:rPr>
        <w:t>r</w:t>
      </w:r>
      <w:r w:rsidRPr="004D307F">
        <w:rPr>
          <w:rFonts w:ascii="VIC" w:eastAsia="Times New Roman" w:hAnsi="VIC" w:cs="Times New Roman"/>
          <w:color w:val="011A3C"/>
          <w:sz w:val="24"/>
          <w:szCs w:val="24"/>
          <w:lang w:val="en" w:eastAsia="en-AU"/>
        </w:rPr>
        <w:t xml:space="preserve">egional </w:t>
      </w:r>
      <w:r w:rsidR="00101838">
        <w:rPr>
          <w:rFonts w:ascii="VIC" w:eastAsia="Times New Roman" w:hAnsi="VIC" w:cs="Times New Roman"/>
          <w:color w:val="011A3C"/>
          <w:sz w:val="24"/>
          <w:szCs w:val="24"/>
          <w:lang w:val="en" w:eastAsia="en-AU"/>
        </w:rPr>
        <w:t>d</w:t>
      </w:r>
      <w:r w:rsidRPr="004D307F">
        <w:rPr>
          <w:rFonts w:ascii="VIC" w:eastAsia="Times New Roman" w:hAnsi="VIC" w:cs="Times New Roman"/>
          <w:color w:val="011A3C"/>
          <w:sz w:val="24"/>
          <w:szCs w:val="24"/>
          <w:lang w:val="en" w:eastAsia="en-AU"/>
        </w:rPr>
        <w:t>irector.</w:t>
      </w:r>
    </w:p>
    <w:p w14:paraId="216325D3" w14:textId="77777777" w:rsidR="009A26CF" w:rsidRPr="009A26CF" w:rsidRDefault="009A26CF" w:rsidP="009A26CF">
      <w:pPr>
        <w:spacing w:before="100" w:beforeAutospacing="1" w:after="100" w:afterAutospacing="1" w:line="360" w:lineRule="atLeast"/>
        <w:rPr>
          <w:rFonts w:ascii="VIC" w:eastAsia="Times New Roman" w:hAnsi="VIC" w:cs="Times New Roman"/>
          <w:color w:val="011A3C"/>
          <w:sz w:val="24"/>
          <w:szCs w:val="24"/>
          <w:lang w:eastAsia="en-AU"/>
        </w:rPr>
      </w:pPr>
      <w:r w:rsidRPr="009A26CF">
        <w:rPr>
          <w:rFonts w:ascii="VIC" w:eastAsia="Times New Roman" w:hAnsi="VIC" w:cs="Times New Roman"/>
          <w:color w:val="011A3C"/>
          <w:sz w:val="24"/>
          <w:szCs w:val="24"/>
          <w:lang w:eastAsia="en-AU"/>
        </w:rPr>
        <w:t>In 2022, funding is determined by:</w:t>
      </w:r>
    </w:p>
    <w:p w14:paraId="73AED110" w14:textId="68962B70" w:rsidR="009A26CF" w:rsidRPr="009A26CF" w:rsidRDefault="00101838" w:rsidP="00ED0863">
      <w:pPr>
        <w:numPr>
          <w:ilvl w:val="0"/>
          <w:numId w:val="170"/>
        </w:numPr>
        <w:spacing w:before="100" w:beforeAutospacing="1" w:after="100" w:afterAutospacing="1" w:line="360" w:lineRule="atLeast"/>
        <w:rPr>
          <w:rFonts w:ascii="VIC" w:eastAsia="Times New Roman" w:hAnsi="VIC" w:cs="Times New Roman"/>
          <w:color w:val="011A3C"/>
          <w:sz w:val="24"/>
          <w:szCs w:val="24"/>
          <w:lang w:eastAsia="en-AU"/>
        </w:rPr>
      </w:pPr>
      <w:r>
        <w:rPr>
          <w:rFonts w:ascii="VIC" w:eastAsia="Times New Roman" w:hAnsi="VIC" w:cs="Times New Roman"/>
          <w:color w:val="011A3C"/>
          <w:sz w:val="24"/>
          <w:szCs w:val="24"/>
          <w:lang w:eastAsia="en-AU"/>
        </w:rPr>
        <w:t>a</w:t>
      </w:r>
      <w:r w:rsidR="009A26CF" w:rsidRPr="009A26CF">
        <w:rPr>
          <w:rFonts w:ascii="VIC" w:eastAsia="Times New Roman" w:hAnsi="VIC" w:cs="Times New Roman"/>
          <w:color w:val="011A3C"/>
          <w:sz w:val="24"/>
          <w:szCs w:val="24"/>
          <w:lang w:eastAsia="en-AU"/>
        </w:rPr>
        <w:t xml:space="preserve"> 3-year rolling average (2017</w:t>
      </w:r>
      <w:r>
        <w:rPr>
          <w:rFonts w:ascii="VIC" w:eastAsia="Times New Roman" w:hAnsi="VIC" w:cs="Times New Roman"/>
          <w:color w:val="011A3C"/>
          <w:sz w:val="24"/>
          <w:szCs w:val="24"/>
          <w:lang w:eastAsia="en-AU"/>
        </w:rPr>
        <w:t xml:space="preserve"> to</w:t>
      </w:r>
      <w:r w:rsidR="009A26CF" w:rsidRPr="009A26CF">
        <w:rPr>
          <w:rFonts w:ascii="VIC" w:eastAsia="Times New Roman" w:hAnsi="VIC" w:cs="Times New Roman"/>
          <w:color w:val="011A3C"/>
          <w:sz w:val="24"/>
          <w:szCs w:val="24"/>
          <w:lang w:eastAsia="en-AU"/>
        </w:rPr>
        <w:t xml:space="preserve"> 2019) of the number of students in Years 8 and 10 in the school achieving below National Minimum Standard in NAPLAN Reading or Numeracy. In addition, students exempt from sitting NAPLAN</w:t>
      </w:r>
    </w:p>
    <w:p w14:paraId="1497429C" w14:textId="6BF0C5B4" w:rsidR="009A26CF" w:rsidRPr="009A26CF" w:rsidRDefault="00101838" w:rsidP="00ED0863">
      <w:pPr>
        <w:numPr>
          <w:ilvl w:val="0"/>
          <w:numId w:val="170"/>
        </w:numPr>
        <w:spacing w:before="100" w:beforeAutospacing="1" w:after="100" w:afterAutospacing="1" w:line="360" w:lineRule="atLeast"/>
        <w:rPr>
          <w:rFonts w:ascii="VIC" w:eastAsia="Times New Roman" w:hAnsi="VIC" w:cs="Times New Roman"/>
          <w:color w:val="011A3C"/>
          <w:sz w:val="24"/>
          <w:szCs w:val="24"/>
          <w:lang w:eastAsia="en-AU"/>
        </w:rPr>
      </w:pPr>
      <w:r>
        <w:rPr>
          <w:rFonts w:ascii="VIC" w:eastAsia="Times New Roman" w:hAnsi="VIC" w:cs="Times New Roman"/>
          <w:color w:val="011A3C"/>
          <w:sz w:val="24"/>
          <w:szCs w:val="24"/>
          <w:lang w:eastAsia="en-AU"/>
        </w:rPr>
        <w:t>t</w:t>
      </w:r>
      <w:r w:rsidR="009A26CF" w:rsidRPr="009A26CF">
        <w:rPr>
          <w:rFonts w:ascii="VIC" w:eastAsia="Times New Roman" w:hAnsi="VIC" w:cs="Times New Roman"/>
          <w:color w:val="011A3C"/>
          <w:sz w:val="24"/>
          <w:szCs w:val="24"/>
          <w:lang w:eastAsia="en-AU"/>
        </w:rPr>
        <w:t>he number of students supported in Year 8 in 2021, who will continue to receive MYLNS support in Year 9 in 2022.</w:t>
      </w:r>
    </w:p>
    <w:p w14:paraId="1590B218" w14:textId="77777777" w:rsidR="00E67D70" w:rsidRPr="004D307F" w:rsidRDefault="00DD62EE">
      <w:pPr>
        <w:spacing w:before="100" w:beforeAutospacing="1" w:after="100" w:afterAutospacing="1" w:line="360" w:lineRule="atLeast"/>
        <w:rPr>
          <w:rFonts w:ascii="VIC" w:eastAsia="Times New Roman" w:hAnsi="VIC" w:cs="Times New Roman"/>
          <w:color w:val="323E4F" w:themeColor="text2" w:themeShade="BF"/>
          <w:sz w:val="24"/>
          <w:szCs w:val="24"/>
          <w:lang w:val="en" w:eastAsia="en-AU"/>
        </w:rPr>
      </w:pPr>
      <w:r w:rsidRPr="004D307F">
        <w:rPr>
          <w:rFonts w:ascii="VIC" w:eastAsia="Times New Roman" w:hAnsi="VIC" w:cs="Times New Roman"/>
          <w:color w:val="011A3C"/>
          <w:sz w:val="24"/>
          <w:szCs w:val="24"/>
          <w:lang w:val="en" w:eastAsia="en-AU"/>
        </w:rPr>
        <w:t>Secondary schools with no Year 8 or 10 students, including P-9 Colleges and Senior Secondary Schools, will receive a base funding allocation for direct teaching and capability b</w:t>
      </w:r>
      <w:r w:rsidRPr="004D307F">
        <w:rPr>
          <w:rFonts w:ascii="VIC" w:eastAsia="Times New Roman" w:hAnsi="VIC" w:cs="Times New Roman"/>
          <w:color w:val="323E4F" w:themeColor="text2" w:themeShade="BF"/>
          <w:sz w:val="24"/>
          <w:szCs w:val="24"/>
          <w:lang w:val="en" w:eastAsia="en-AU"/>
        </w:rPr>
        <w:t>uilding.</w:t>
      </w:r>
      <w:r w:rsidR="006618E7" w:rsidRPr="004D307F">
        <w:rPr>
          <w:rFonts w:ascii="VIC" w:eastAsia="Times New Roman" w:hAnsi="VIC" w:cs="Times New Roman"/>
          <w:color w:val="323E4F" w:themeColor="text2" w:themeShade="BF"/>
          <w:sz w:val="24"/>
          <w:szCs w:val="24"/>
          <w:lang w:val="en" w:eastAsia="en-AU"/>
        </w:rPr>
        <w:t xml:space="preserve"> </w:t>
      </w:r>
    </w:p>
    <w:p w14:paraId="5ECC8629" w14:textId="5D992293" w:rsidR="00DD62EE" w:rsidRPr="004D307F" w:rsidRDefault="00DD62EE">
      <w:pPr>
        <w:spacing w:before="100" w:beforeAutospacing="1" w:after="100" w:afterAutospacing="1" w:line="360" w:lineRule="atLeast"/>
        <w:rPr>
          <w:rFonts w:ascii="VIC" w:eastAsia="Times New Roman" w:hAnsi="VIC" w:cstheme="minorHAnsi"/>
          <w:color w:val="323E4F" w:themeColor="text2" w:themeShade="BF"/>
          <w:sz w:val="24"/>
          <w:szCs w:val="24"/>
          <w:lang w:eastAsia="en-AU"/>
        </w:rPr>
      </w:pPr>
      <w:r w:rsidRPr="004D307F">
        <w:rPr>
          <w:rFonts w:ascii="VIC" w:eastAsia="Times New Roman" w:hAnsi="VIC" w:cstheme="minorHAnsi"/>
          <w:color w:val="323E4F" w:themeColor="text2" w:themeShade="BF"/>
          <w:sz w:val="24"/>
          <w:szCs w:val="24"/>
          <w:lang w:eastAsia="en-AU"/>
        </w:rPr>
        <w:t xml:space="preserve">Schools with Flexible Learning Option (FLO) campuses or programs will be provided </w:t>
      </w:r>
      <w:r w:rsidR="00E67D70" w:rsidRPr="004D307F">
        <w:rPr>
          <w:rFonts w:ascii="VIC" w:eastAsia="Times New Roman" w:hAnsi="VIC" w:cstheme="minorHAnsi"/>
          <w:color w:val="323E4F" w:themeColor="text2" w:themeShade="BF"/>
          <w:sz w:val="24"/>
          <w:szCs w:val="24"/>
          <w:lang w:eastAsia="en-AU"/>
        </w:rPr>
        <w:t xml:space="preserve">with </w:t>
      </w:r>
      <w:r w:rsidRPr="004D307F">
        <w:rPr>
          <w:rFonts w:ascii="VIC" w:eastAsia="Times New Roman" w:hAnsi="VIC" w:cstheme="minorHAnsi"/>
          <w:color w:val="323E4F" w:themeColor="text2" w:themeShade="BF"/>
          <w:sz w:val="24"/>
          <w:szCs w:val="24"/>
          <w:lang w:eastAsia="en-AU"/>
        </w:rPr>
        <w:t>additional funding to increase the support available to students with high levels of need.</w:t>
      </w:r>
    </w:p>
    <w:p w14:paraId="24447F66" w14:textId="64609EDB" w:rsidR="00D62581" w:rsidRPr="004D307F" w:rsidRDefault="00D62581" w:rsidP="00D62581">
      <w:pPr>
        <w:rPr>
          <w:rFonts w:ascii="VIC" w:hAnsi="VIC" w:cs="Arial"/>
        </w:rPr>
      </w:pPr>
      <w:r w:rsidRPr="004D307F">
        <w:rPr>
          <w:rFonts w:ascii="VIC" w:eastAsia="Times New Roman" w:hAnsi="VIC" w:cs="Times New Roman"/>
          <w:color w:val="011A3C"/>
          <w:sz w:val="24"/>
          <w:szCs w:val="24"/>
          <w:lang w:val="en" w:eastAsia="en-AU"/>
        </w:rPr>
        <w:t xml:space="preserve">Refer to the </w:t>
      </w:r>
      <w:r w:rsidR="00CC53FD">
        <w:rPr>
          <w:rFonts w:ascii="VIC" w:eastAsia="Times New Roman" w:hAnsi="VIC" w:cs="Times New Roman"/>
          <w:color w:val="011A3C"/>
          <w:sz w:val="24"/>
          <w:szCs w:val="24"/>
          <w:lang w:val="en" w:eastAsia="en-AU"/>
        </w:rPr>
        <w:t>d</w:t>
      </w:r>
      <w:r w:rsidRPr="004D307F">
        <w:rPr>
          <w:rFonts w:ascii="VIC" w:eastAsia="Times New Roman" w:hAnsi="VIC" w:cs="Times New Roman"/>
          <w:color w:val="011A3C"/>
          <w:sz w:val="24"/>
          <w:szCs w:val="24"/>
          <w:lang w:val="en" w:eastAsia="en-AU"/>
        </w:rPr>
        <w:t>epartment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policy on </w:t>
      </w:r>
      <w:hyperlink r:id="rId173" w:history="1">
        <w:r w:rsidRPr="004D307F">
          <w:rPr>
            <w:rStyle w:val="Hyperlink"/>
            <w:rFonts w:ascii="VIC" w:eastAsia="Times New Roman" w:hAnsi="VIC" w:cs="Times New Roman"/>
            <w:lang w:val="en" w:eastAsia="en-AU"/>
          </w:rPr>
          <w:t>Middle Years Literacy and Numeracy Support initiative</w:t>
        </w:r>
      </w:hyperlink>
      <w:r w:rsidRPr="004D307F">
        <w:rPr>
          <w:rFonts w:ascii="VIC" w:eastAsia="Times New Roman" w:hAnsi="VIC" w:cs="Times New Roman"/>
          <w:color w:val="011A3C"/>
          <w:sz w:val="24"/>
          <w:szCs w:val="24"/>
          <w:lang w:val="en" w:eastAsia="en-AU"/>
        </w:rPr>
        <w:t xml:space="preserve"> for further information on </w:t>
      </w:r>
      <w:r w:rsidRPr="004D307F">
        <w:rPr>
          <w:rFonts w:ascii="VIC" w:eastAsia="Times New Roman" w:hAnsi="VIC" w:cs="Times New Roman"/>
          <w:i/>
          <w:iCs/>
          <w:color w:val="011A3C"/>
          <w:sz w:val="24"/>
          <w:szCs w:val="24"/>
          <w:lang w:val="en" w:eastAsia="en-AU"/>
        </w:rPr>
        <w:t>Funding allocation</w:t>
      </w:r>
      <w:r w:rsidRPr="004D307F">
        <w:rPr>
          <w:rFonts w:ascii="VIC" w:eastAsia="Times New Roman" w:hAnsi="VIC" w:cs="Times New Roman"/>
          <w:color w:val="011A3C"/>
          <w:sz w:val="24"/>
          <w:szCs w:val="24"/>
          <w:lang w:val="en" w:eastAsia="en-AU"/>
        </w:rPr>
        <w:t>.</w:t>
      </w:r>
    </w:p>
    <w:p w14:paraId="485A870B" w14:textId="110B3BDB"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Funding amounts are expressed as </w:t>
      </w:r>
      <w:r w:rsidR="00E67D70" w:rsidRPr="004D307F">
        <w:rPr>
          <w:rFonts w:ascii="VIC" w:eastAsia="Times New Roman" w:hAnsi="VIC" w:cs="Times New Roman"/>
          <w:color w:val="011A3C"/>
          <w:sz w:val="24"/>
          <w:szCs w:val="24"/>
          <w:lang w:val="en" w:eastAsia="en-AU"/>
        </w:rPr>
        <w:t xml:space="preserve">an </w:t>
      </w:r>
      <w:r w:rsidRPr="004D307F">
        <w:rPr>
          <w:rFonts w:ascii="VIC" w:eastAsia="Times New Roman" w:hAnsi="VIC" w:cs="Times New Roman"/>
          <w:color w:val="011A3C"/>
          <w:sz w:val="24"/>
          <w:szCs w:val="24"/>
          <w:lang w:val="en" w:eastAsia="en-AU"/>
        </w:rPr>
        <w:t>FTE time release and funded at Classroom Teacher 2.5 level.</w:t>
      </w:r>
    </w:p>
    <w:p w14:paraId="53FB9660" w14:textId="4978C159"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Funding for direct</w:t>
      </w:r>
      <w:r w:rsidR="00DD62EE" w:rsidRPr="004D307F">
        <w:rPr>
          <w:rFonts w:ascii="VIC" w:eastAsia="Times New Roman" w:hAnsi="VIC" w:cs="Times New Roman"/>
          <w:color w:val="011A3C"/>
          <w:sz w:val="24"/>
          <w:szCs w:val="24"/>
          <w:lang w:val="en" w:eastAsia="en-AU"/>
        </w:rPr>
        <w:t xml:space="preserve"> teaching</w:t>
      </w:r>
      <w:r w:rsidRPr="004D307F">
        <w:rPr>
          <w:rFonts w:ascii="VIC" w:eastAsia="Times New Roman" w:hAnsi="VIC" w:cs="Times New Roman"/>
          <w:color w:val="011A3C"/>
          <w:sz w:val="24"/>
          <w:szCs w:val="24"/>
          <w:lang w:val="en" w:eastAsia="en-AU"/>
        </w:rPr>
        <w:t xml:space="preserve"> support and teacher capability building are calculated separately.</w:t>
      </w:r>
    </w:p>
    <w:p w14:paraId="75C4B17F" w14:textId="07F2F686"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Funding is not re-allocated between schools if students transfer in or out during the school year.</w:t>
      </w:r>
    </w:p>
    <w:p w14:paraId="7B0F7E12" w14:textId="77777777" w:rsidR="00D62581" w:rsidRPr="004D307F" w:rsidRDefault="00D62581" w:rsidP="00D62581">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Student identification in 2022</w:t>
      </w:r>
    </w:p>
    <w:p w14:paraId="1C64742C" w14:textId="77777777" w:rsidR="00D62581" w:rsidRPr="004D307F" w:rsidRDefault="00D62581" w:rsidP="00D62581">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In 2022, schools will support students in:</w:t>
      </w:r>
    </w:p>
    <w:p w14:paraId="54C98ABC" w14:textId="121DD5EB" w:rsidR="00D62581" w:rsidRPr="004D307F" w:rsidRDefault="00D62581" w:rsidP="00ED0863">
      <w:pPr>
        <w:pStyle w:val="ListParagraph"/>
        <w:numPr>
          <w:ilvl w:val="0"/>
          <w:numId w:val="163"/>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 xml:space="preserve">Years 8 and 10 who were identified as </w:t>
      </w:r>
      <w:r w:rsidR="00E67D70" w:rsidRPr="004D307F">
        <w:rPr>
          <w:rFonts w:ascii="VIC" w:eastAsia="Times New Roman" w:hAnsi="VIC" w:cs="Times New Roman"/>
          <w:color w:val="011A3C"/>
          <w:sz w:val="24"/>
          <w:szCs w:val="24"/>
          <w:lang w:val="en" w:eastAsia="en-AU"/>
        </w:rPr>
        <w:t>b</w:t>
      </w:r>
      <w:r w:rsidRPr="004D307F">
        <w:rPr>
          <w:rFonts w:ascii="VIC" w:eastAsia="Times New Roman" w:hAnsi="VIC" w:cs="Times New Roman"/>
          <w:color w:val="011A3C"/>
          <w:sz w:val="24"/>
          <w:szCs w:val="24"/>
          <w:lang w:val="en" w:eastAsia="en-AU"/>
        </w:rPr>
        <w:t>elow National Minimum Standard in Reading and/or Numeracy as per 2021 NAPLAN results, and</w:t>
      </w:r>
    </w:p>
    <w:p w14:paraId="52DC2477" w14:textId="77777777" w:rsidR="00D62581" w:rsidRPr="004D307F" w:rsidRDefault="00D62581" w:rsidP="00ED0863">
      <w:pPr>
        <w:pStyle w:val="ListParagraph"/>
        <w:numPr>
          <w:ilvl w:val="0"/>
          <w:numId w:val="163"/>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Year 9 who were supported through MYLNS in 2021 as Year 8 students, unless there is evidence that they no longer need support. </w:t>
      </w:r>
    </w:p>
    <w:p w14:paraId="626FBEB9" w14:textId="77777777" w:rsidR="00D62581" w:rsidRPr="004D307F" w:rsidRDefault="00D62581" w:rsidP="00D62581">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may also choose to support additional students up to the maximum number funded, based on student data.</w:t>
      </w:r>
    </w:p>
    <w:p w14:paraId="0EE8263C" w14:textId="73F4A2B5" w:rsidR="00D62581" w:rsidRPr="004D307F" w:rsidRDefault="00D62581" w:rsidP="00D62581">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Refer to the Department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policy on </w:t>
      </w:r>
      <w:hyperlink r:id="rId174" w:history="1">
        <w:r w:rsidRPr="004D307F">
          <w:rPr>
            <w:rStyle w:val="Hyperlink"/>
            <w:rFonts w:ascii="VIC" w:eastAsia="Times New Roman" w:hAnsi="VIC" w:cs="Times New Roman"/>
            <w:lang w:val="en" w:eastAsia="en-AU"/>
          </w:rPr>
          <w:t>Middle Years Literacy and Numeracy Support initiative</w:t>
        </w:r>
      </w:hyperlink>
      <w:r w:rsidRPr="004D307F">
        <w:rPr>
          <w:rFonts w:ascii="VIC" w:eastAsia="Times New Roman" w:hAnsi="VIC" w:cs="Times New Roman"/>
          <w:color w:val="011A3C"/>
          <w:sz w:val="24"/>
          <w:szCs w:val="24"/>
          <w:lang w:val="en" w:eastAsia="en-AU"/>
        </w:rPr>
        <w:t xml:space="preserve"> for further information on </w:t>
      </w:r>
      <w:r w:rsidRPr="004D307F">
        <w:rPr>
          <w:rFonts w:ascii="VIC" w:eastAsia="Times New Roman" w:hAnsi="VIC" w:cs="Times New Roman"/>
          <w:i/>
          <w:iCs/>
          <w:color w:val="011A3C"/>
          <w:sz w:val="24"/>
          <w:szCs w:val="24"/>
          <w:lang w:val="en" w:eastAsia="en-AU"/>
        </w:rPr>
        <w:t>Prioritised students</w:t>
      </w:r>
      <w:r w:rsidRPr="004D307F">
        <w:rPr>
          <w:rFonts w:ascii="VIC" w:eastAsia="Times New Roman" w:hAnsi="VIC" w:cs="Times New Roman"/>
          <w:color w:val="011A3C"/>
          <w:sz w:val="24"/>
          <w:szCs w:val="24"/>
          <w:lang w:val="en" w:eastAsia="en-AU"/>
        </w:rPr>
        <w:t>.</w:t>
      </w:r>
    </w:p>
    <w:p w14:paraId="15DA4010" w14:textId="77777777"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Time-release funding for Improvement Teachers</w:t>
      </w:r>
    </w:p>
    <w:p w14:paraId="70D86114" w14:textId="2E79E865"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Time-release funding for Improvement Teachers will be provided as a cash line under Targeted Initiatives. Funding for teachers starting in 202</w:t>
      </w:r>
      <w:r w:rsidR="00D62581" w:rsidRPr="004D307F">
        <w:rPr>
          <w:rFonts w:ascii="VIC" w:eastAsia="Times New Roman" w:hAnsi="VIC" w:cs="Times New Roman"/>
          <w:color w:val="011A3C"/>
          <w:sz w:val="24"/>
          <w:szCs w:val="24"/>
          <w:lang w:val="en" w:eastAsia="en-AU"/>
        </w:rPr>
        <w:t>2</w:t>
      </w:r>
      <w:r w:rsidRPr="004D307F">
        <w:rPr>
          <w:rFonts w:ascii="VIC" w:eastAsia="Times New Roman" w:hAnsi="VIC" w:cs="Times New Roman"/>
          <w:color w:val="011A3C"/>
          <w:sz w:val="24"/>
          <w:szCs w:val="24"/>
          <w:lang w:val="en" w:eastAsia="en-AU"/>
        </w:rPr>
        <w:t xml:space="preserve"> commences on 1 January 202</w:t>
      </w:r>
      <w:r w:rsidR="00D62581" w:rsidRPr="004D307F">
        <w:rPr>
          <w:rFonts w:ascii="VIC" w:eastAsia="Times New Roman" w:hAnsi="VIC" w:cs="Times New Roman"/>
          <w:color w:val="011A3C"/>
          <w:sz w:val="24"/>
          <w:szCs w:val="24"/>
          <w:lang w:val="en" w:eastAsia="en-AU"/>
        </w:rPr>
        <w:t>2.</w:t>
      </w:r>
    </w:p>
    <w:p w14:paraId="21A8C544" w14:textId="15D548BB" w:rsidR="00EA34C0" w:rsidRPr="004D307F" w:rsidRDefault="00D62581" w:rsidP="00DD62EE">
      <w:pPr>
        <w:spacing w:before="100" w:beforeAutospacing="1" w:after="100" w:afterAutospacing="1" w:line="360" w:lineRule="atLeast"/>
        <w:rPr>
          <w:rFonts w:ascii="VIC" w:hAnsi="VIC"/>
          <w:color w:val="323E4F" w:themeColor="text2" w:themeShade="BF"/>
        </w:rPr>
      </w:pPr>
      <w:r w:rsidRPr="004D307F">
        <w:rPr>
          <w:rFonts w:ascii="VIC" w:eastAsia="Times New Roman" w:hAnsi="VIC" w:cs="Times New Roman"/>
          <w:color w:val="011A3C"/>
          <w:sz w:val="24"/>
          <w:szCs w:val="24"/>
          <w:lang w:val="en" w:eastAsia="en-AU"/>
        </w:rPr>
        <w:t>For f</w:t>
      </w:r>
      <w:r w:rsidR="00EA34C0" w:rsidRPr="004D307F">
        <w:rPr>
          <w:rFonts w:ascii="VIC" w:eastAsia="Times New Roman" w:hAnsi="VIC" w:cs="Times New Roman"/>
          <w:color w:val="011A3C"/>
          <w:sz w:val="24"/>
          <w:szCs w:val="24"/>
          <w:lang w:val="en" w:eastAsia="en-AU"/>
        </w:rPr>
        <w:t xml:space="preserve">urther </w:t>
      </w:r>
      <w:r w:rsidR="00EA34C0" w:rsidRPr="004D307F">
        <w:rPr>
          <w:rFonts w:ascii="VIC" w:eastAsia="Times New Roman" w:hAnsi="VIC" w:cs="Times New Roman"/>
          <w:color w:val="323E4F" w:themeColor="text2" w:themeShade="BF"/>
          <w:sz w:val="24"/>
          <w:szCs w:val="24"/>
          <w:lang w:val="en" w:eastAsia="en-AU"/>
        </w:rPr>
        <w:t xml:space="preserve">information contact </w:t>
      </w:r>
      <w:r w:rsidR="00DD62EE" w:rsidRPr="004D307F">
        <w:rPr>
          <w:rFonts w:ascii="VIC" w:hAnsi="VIC"/>
          <w:color w:val="323E4F" w:themeColor="text2" w:themeShade="BF"/>
        </w:rPr>
        <w:t>MYLNS@education.vic.gov.au</w:t>
      </w:r>
    </w:p>
    <w:p w14:paraId="62A47F24" w14:textId="77777777" w:rsidR="00EA34C0" w:rsidRPr="004D307F" w:rsidRDefault="00EA34C0" w:rsidP="00EA34C0">
      <w:pPr>
        <w:rPr>
          <w:rFonts w:ascii="VIC" w:hAnsi="VIC"/>
        </w:rPr>
      </w:pPr>
      <w:r w:rsidRPr="004D307F">
        <w:rPr>
          <w:rFonts w:ascii="VIC" w:hAnsi="VIC"/>
        </w:rPr>
        <w:br w:type="page"/>
      </w:r>
    </w:p>
    <w:p w14:paraId="5BAE862E" w14:textId="117A5758" w:rsidR="00EA34C0" w:rsidRPr="004D307F" w:rsidRDefault="00EA34C0" w:rsidP="00B566E7">
      <w:pPr>
        <w:pStyle w:val="Heading2"/>
      </w:pPr>
      <w:bookmarkStart w:id="114" w:name="_Toc106793801"/>
      <w:r w:rsidRPr="004D307F">
        <w:lastRenderedPageBreak/>
        <w:t>Student Excellence Program Funding (Ref</w:t>
      </w:r>
      <w:r w:rsidR="003E5908" w:rsidRPr="004D307F">
        <w:t xml:space="preserve">erence </w:t>
      </w:r>
      <w:r w:rsidRPr="004D307F">
        <w:t>120)</w:t>
      </w:r>
      <w:bookmarkEnd w:id="114"/>
    </w:p>
    <w:p w14:paraId="515E8773"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Student Excellence Program (SEP) funding will support schools to implement the Student Excellence Program reform package.</w:t>
      </w:r>
    </w:p>
    <w:p w14:paraId="327F2078" w14:textId="3253DFD6"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w:t>
      </w:r>
      <w:r w:rsidR="006618E7" w:rsidRPr="004D307F">
        <w:rPr>
          <w:rFonts w:ascii="VIC" w:eastAsia="Times New Roman" w:hAnsi="VIC" w:cs="Times New Roman"/>
          <w:color w:val="011A3C"/>
          <w:sz w:val="24"/>
          <w:szCs w:val="24"/>
          <w:lang w:val="en" w:eastAsia="en-AU"/>
        </w:rPr>
        <w:t xml:space="preserve">SEP </w:t>
      </w:r>
      <w:r w:rsidRPr="004D307F">
        <w:rPr>
          <w:rFonts w:ascii="VIC" w:eastAsia="Times New Roman" w:hAnsi="VIC" w:cs="Times New Roman"/>
          <w:color w:val="011A3C"/>
          <w:sz w:val="24"/>
          <w:szCs w:val="24"/>
          <w:lang w:val="en" w:eastAsia="en-AU"/>
        </w:rPr>
        <w:t>provides supports and programs for Victoria</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high-ability students to reach their full potential through:</w:t>
      </w:r>
    </w:p>
    <w:p w14:paraId="520D5F54" w14:textId="77777777" w:rsidR="00EA34C0" w:rsidRPr="004D307F" w:rsidRDefault="00EA34C0" w:rsidP="00ED0863">
      <w:pPr>
        <w:numPr>
          <w:ilvl w:val="0"/>
          <w:numId w:val="7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structured learning extension programs for high-ability students</w:t>
      </w:r>
    </w:p>
    <w:p w14:paraId="660EFB25" w14:textId="77777777" w:rsidR="00EA34C0" w:rsidRPr="004D307F" w:rsidRDefault="00EA34C0" w:rsidP="00ED0863">
      <w:pPr>
        <w:numPr>
          <w:ilvl w:val="0"/>
          <w:numId w:val="7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upskilling classroom teachers to better support their high-ability students</w:t>
      </w:r>
    </w:p>
    <w:p w14:paraId="67C5AE47" w14:textId="77777777" w:rsidR="00EA34C0" w:rsidRPr="004D307F" w:rsidRDefault="00EA34C0" w:rsidP="00ED0863">
      <w:pPr>
        <w:numPr>
          <w:ilvl w:val="0"/>
          <w:numId w:val="7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more resources for government schools to build their programs for high-ability students</w:t>
      </w:r>
    </w:p>
    <w:p w14:paraId="25BBD2F4" w14:textId="765F9812"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can decide how to use the funding allocation to best meet the needs of their high-ability students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where relevant, schools can pool funds, for example in collaborative delivery of masterclasses. Many schools are already running programs for high-ability students, and this funding can </w:t>
      </w:r>
      <w:r w:rsidR="00B241D3" w:rsidRPr="004D307F">
        <w:rPr>
          <w:rFonts w:ascii="VIC" w:eastAsia="Times New Roman" w:hAnsi="VIC" w:cs="Times New Roman"/>
          <w:color w:val="011A3C"/>
          <w:sz w:val="24"/>
          <w:szCs w:val="24"/>
          <w:lang w:val="en" w:eastAsia="en-AU"/>
        </w:rPr>
        <w:t xml:space="preserve">be </w:t>
      </w:r>
      <w:r w:rsidRPr="004D307F">
        <w:rPr>
          <w:rFonts w:ascii="VIC" w:eastAsia="Times New Roman" w:hAnsi="VIC" w:cs="Times New Roman"/>
          <w:color w:val="011A3C"/>
          <w:sz w:val="24"/>
          <w:szCs w:val="24"/>
          <w:lang w:val="en" w:eastAsia="en-AU"/>
        </w:rPr>
        <w:t>used to support these programs.</w:t>
      </w:r>
    </w:p>
    <w:p w14:paraId="44610ABB" w14:textId="71E7064C" w:rsidR="00073C34" w:rsidRPr="004D307F" w:rsidRDefault="00073C34" w:rsidP="006E043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Accountability</w:t>
      </w:r>
    </w:p>
    <w:p w14:paraId="3E80FE2E" w14:textId="4EF32795" w:rsidR="00052385" w:rsidRDefault="00EA34C0" w:rsidP="00052385">
      <w:pPr>
        <w:spacing w:before="100" w:beforeAutospacing="1" w:after="100" w:afterAutospacing="1" w:line="360" w:lineRule="atLeast"/>
        <w:rPr>
          <w:rFonts w:ascii="VIC-Regular" w:eastAsia="Times New Roman" w:hAnsi="VIC-Regular" w:cs="Arial"/>
          <w:color w:val="011A3C"/>
          <w:sz w:val="24"/>
          <w:szCs w:val="24"/>
          <w:lang w:val="en" w:eastAsia="en-AU"/>
        </w:rPr>
      </w:pPr>
      <w:r w:rsidRPr="004D307F">
        <w:rPr>
          <w:rFonts w:ascii="VIC" w:eastAsia="Times New Roman" w:hAnsi="VIC" w:cs="Times New Roman"/>
          <w:color w:val="011A3C"/>
          <w:sz w:val="24"/>
          <w:szCs w:val="24"/>
          <w:lang w:val="en" w:eastAsia="en-AU"/>
        </w:rPr>
        <w:t xml:space="preserve">Schools are responsible for using the funds within the guidelines provided by the </w:t>
      </w:r>
      <w:r w:rsidR="00232BBD">
        <w:rPr>
          <w:rFonts w:ascii="VIC" w:eastAsia="Times New Roman" w:hAnsi="VIC" w:cs="Times New Roman"/>
          <w:color w:val="011A3C"/>
          <w:sz w:val="24"/>
          <w:szCs w:val="24"/>
          <w:lang w:val="en" w:eastAsia="en-AU"/>
        </w:rPr>
        <w:t>d</w:t>
      </w:r>
      <w:r w:rsidRPr="004D307F">
        <w:rPr>
          <w:rFonts w:ascii="VIC" w:eastAsia="Times New Roman" w:hAnsi="VIC" w:cs="Times New Roman"/>
          <w:color w:val="011A3C"/>
          <w:sz w:val="24"/>
          <w:szCs w:val="24"/>
          <w:lang w:val="en" w:eastAsia="en-AU"/>
        </w:rPr>
        <w:t>epartment</w:t>
      </w:r>
      <w:r w:rsidR="00052385">
        <w:rPr>
          <w:rFonts w:ascii="VIC" w:eastAsia="Times New Roman" w:hAnsi="VIC" w:cs="Times New Roman"/>
          <w:color w:val="011A3C"/>
          <w:sz w:val="24"/>
          <w:szCs w:val="24"/>
          <w:lang w:val="en" w:eastAsia="en-AU"/>
        </w:rPr>
        <w:t xml:space="preserve"> </w:t>
      </w:r>
      <w:r w:rsidR="00052385">
        <w:rPr>
          <w:rFonts w:ascii="VIC-Regular" w:eastAsia="Times New Roman" w:hAnsi="VIC-Regular" w:cs="Arial"/>
          <w:color w:val="011A3C"/>
          <w:sz w:val="24"/>
          <w:szCs w:val="24"/>
          <w:lang w:val="en" w:eastAsia="en-AU"/>
        </w:rPr>
        <w:t xml:space="preserve">– </w:t>
      </w:r>
      <w:r w:rsidR="00232BBD">
        <w:rPr>
          <w:rFonts w:ascii="VIC-Regular" w:eastAsia="Times New Roman" w:hAnsi="VIC-Regular" w:cs="Arial"/>
          <w:color w:val="011A3C"/>
          <w:sz w:val="24"/>
          <w:szCs w:val="24"/>
          <w:lang w:val="en" w:eastAsia="en-AU"/>
        </w:rPr>
        <w:t>refer to the</w:t>
      </w:r>
      <w:r w:rsidR="00052385">
        <w:rPr>
          <w:rFonts w:ascii="VIC-Regular" w:eastAsia="Times New Roman" w:hAnsi="VIC-Regular" w:cs="Arial"/>
          <w:color w:val="011A3C"/>
          <w:sz w:val="24"/>
          <w:szCs w:val="24"/>
          <w:lang w:val="en" w:eastAsia="en-AU"/>
        </w:rPr>
        <w:t xml:space="preserve"> </w:t>
      </w:r>
      <w:hyperlink r:id="rId175" w:history="1">
        <w:r w:rsidR="00052385" w:rsidRPr="00190EFD">
          <w:rPr>
            <w:rStyle w:val="Hyperlink"/>
            <w:rFonts w:ascii="VIC-Regular" w:eastAsia="Times New Roman" w:hAnsi="VIC-Regular" w:cs="Arial"/>
            <w:sz w:val="24"/>
            <w:szCs w:val="24"/>
            <w:lang w:val="en" w:eastAsia="en-AU"/>
          </w:rPr>
          <w:t>Resources tab</w:t>
        </w:r>
      </w:hyperlink>
      <w:r w:rsidR="00052385">
        <w:rPr>
          <w:rFonts w:ascii="VIC-Regular" w:eastAsia="Times New Roman" w:hAnsi="VIC-Regular" w:cs="Arial"/>
          <w:color w:val="011A3C"/>
          <w:sz w:val="24"/>
          <w:szCs w:val="24"/>
          <w:lang w:val="en" w:eastAsia="en-AU"/>
        </w:rPr>
        <w:t>.</w:t>
      </w:r>
    </w:p>
    <w:p w14:paraId="75A40A3E" w14:textId="77777777" w:rsidR="00052385" w:rsidRDefault="00052385" w:rsidP="00052385">
      <w:pPr>
        <w:spacing w:before="100" w:beforeAutospacing="1" w:after="100" w:afterAutospacing="1" w:line="360" w:lineRule="atLeast"/>
        <w:rPr>
          <w:rFonts w:ascii="VIC-Regular" w:eastAsia="Times New Roman" w:hAnsi="VIC-Regular" w:cs="Arial"/>
          <w:color w:val="011A3C"/>
          <w:sz w:val="24"/>
          <w:szCs w:val="24"/>
          <w:lang w:val="en" w:eastAsia="en-AU"/>
        </w:rPr>
      </w:pPr>
      <w:r w:rsidRPr="00D23664">
        <w:rPr>
          <w:rFonts w:ascii="VIC-Regular" w:eastAsia="Times New Roman" w:hAnsi="VIC-Regular" w:cs="Arial"/>
          <w:color w:val="011A3C"/>
          <w:sz w:val="24"/>
          <w:szCs w:val="24"/>
          <w:lang w:val="en" w:eastAsia="en-AU"/>
        </w:rPr>
        <w:t xml:space="preserve">Schools must code any expenditure of </w:t>
      </w:r>
      <w:r>
        <w:rPr>
          <w:rFonts w:ascii="VIC-Regular" w:eastAsia="Times New Roman" w:hAnsi="VIC-Regular" w:cs="Arial"/>
          <w:color w:val="011A3C"/>
          <w:sz w:val="24"/>
          <w:szCs w:val="24"/>
          <w:lang w:val="en" w:eastAsia="en-AU"/>
        </w:rPr>
        <w:t>SEP</w:t>
      </w:r>
      <w:r w:rsidRPr="00D23664">
        <w:rPr>
          <w:rFonts w:ascii="VIC-Regular" w:eastAsia="Times New Roman" w:hAnsi="VIC-Regular" w:cs="Arial"/>
          <w:color w:val="011A3C"/>
          <w:sz w:val="24"/>
          <w:szCs w:val="24"/>
          <w:lang w:val="en" w:eastAsia="en-AU"/>
        </w:rPr>
        <w:t xml:space="preserve"> funding to the sub-program code 8502 on CASES21.</w:t>
      </w:r>
    </w:p>
    <w:p w14:paraId="3198A977" w14:textId="1DC5DFCC" w:rsidR="00EA34C0" w:rsidRPr="00052385" w:rsidRDefault="00052385"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Pr>
          <w:rFonts w:ascii="VIC-Regular" w:eastAsia="Times New Roman" w:hAnsi="VIC-Regular" w:cs="Arial"/>
          <w:color w:val="011A3C"/>
          <w:sz w:val="24"/>
          <w:szCs w:val="24"/>
          <w:lang w:val="en" w:eastAsia="en-AU"/>
        </w:rPr>
        <w:t>W</w:t>
      </w:r>
      <w:r w:rsidRPr="00D23664">
        <w:rPr>
          <w:rFonts w:ascii="VIC-Regular" w:eastAsia="Times New Roman" w:hAnsi="VIC-Regular" w:cs="Arial"/>
          <w:color w:val="011A3C"/>
          <w:sz w:val="24"/>
          <w:szCs w:val="24"/>
          <w:lang w:val="en" w:eastAsia="en-AU"/>
        </w:rPr>
        <w:t xml:space="preserve">here a school </w:t>
      </w:r>
      <w:r>
        <w:rPr>
          <w:rFonts w:ascii="VIC-Regular" w:eastAsia="Times New Roman" w:hAnsi="VIC-Regular" w:cs="Arial"/>
          <w:color w:val="011A3C"/>
          <w:sz w:val="24"/>
          <w:szCs w:val="24"/>
          <w:lang w:val="en" w:eastAsia="en-AU"/>
        </w:rPr>
        <w:t>uses</w:t>
      </w:r>
      <w:r w:rsidRPr="00D23664">
        <w:rPr>
          <w:rFonts w:ascii="VIC-Regular" w:eastAsia="Times New Roman" w:hAnsi="VIC-Regular" w:cs="Arial"/>
          <w:color w:val="011A3C"/>
          <w:sz w:val="24"/>
          <w:szCs w:val="24"/>
          <w:lang w:val="en" w:eastAsia="en-AU"/>
        </w:rPr>
        <w:t xml:space="preserve"> </w:t>
      </w:r>
      <w:r>
        <w:rPr>
          <w:rFonts w:ascii="VIC-Regular" w:eastAsia="Times New Roman" w:hAnsi="VIC-Regular" w:cs="Arial"/>
          <w:color w:val="011A3C"/>
          <w:sz w:val="24"/>
          <w:szCs w:val="24"/>
          <w:lang w:val="en" w:eastAsia="en-AU"/>
        </w:rPr>
        <w:t>SEP</w:t>
      </w:r>
      <w:r w:rsidRPr="00D23664">
        <w:rPr>
          <w:rFonts w:ascii="VIC-Regular" w:eastAsia="Times New Roman" w:hAnsi="VIC-Regular" w:cs="Arial"/>
          <w:color w:val="011A3C"/>
          <w:sz w:val="24"/>
          <w:szCs w:val="24"/>
          <w:lang w:val="en" w:eastAsia="en-AU"/>
        </w:rPr>
        <w:t xml:space="preserve"> funding to either employ a high-ability practice leader, pay a special payment or support the release of a teacher, this expense will be managed through eduPay and will not appear in the CASES21 ledger.</w:t>
      </w:r>
    </w:p>
    <w:p w14:paraId="48AA175E" w14:textId="77777777"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Eligibility</w:t>
      </w:r>
    </w:p>
    <w:p w14:paraId="4026F3A1" w14:textId="16E30B79" w:rsidR="00EA34C0" w:rsidRPr="004D307F" w:rsidRDefault="00EA34C0" w:rsidP="00052385">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do not have to apply for funding. </w:t>
      </w:r>
      <w:r w:rsidR="00052385" w:rsidRPr="007F2C62">
        <w:rPr>
          <w:rFonts w:ascii="VIC-Regular" w:eastAsia="Times New Roman" w:hAnsi="VIC-Regular" w:cs="Arial"/>
          <w:color w:val="011A3C"/>
          <w:sz w:val="24"/>
          <w:szCs w:val="24"/>
          <w:lang w:val="en" w:eastAsia="en-AU"/>
        </w:rPr>
        <w:t xml:space="preserve">All eligible schools receive a </w:t>
      </w:r>
      <w:r w:rsidR="00052385">
        <w:rPr>
          <w:rFonts w:ascii="VIC-Regular" w:eastAsia="Times New Roman" w:hAnsi="VIC-Regular" w:cs="Arial"/>
          <w:color w:val="011A3C"/>
          <w:sz w:val="24"/>
          <w:szCs w:val="24"/>
          <w:lang w:val="en" w:eastAsia="en-AU"/>
        </w:rPr>
        <w:t>SEP</w:t>
      </w:r>
      <w:r w:rsidR="00052385" w:rsidRPr="007F2C62">
        <w:rPr>
          <w:rFonts w:ascii="VIC-Regular" w:eastAsia="Times New Roman" w:hAnsi="VIC-Regular" w:cs="Arial"/>
          <w:color w:val="011A3C"/>
          <w:sz w:val="24"/>
          <w:szCs w:val="24"/>
          <w:lang w:val="en" w:eastAsia="en-AU"/>
        </w:rPr>
        <w:t xml:space="preserve"> funding allocation through the Student Resource Package to support them in implementing the initiative in their school.</w:t>
      </w:r>
      <w:r w:rsidR="00052385">
        <w:rPr>
          <w:rFonts w:ascii="VIC-Regular" w:eastAsia="Times New Roman" w:hAnsi="VIC-Regular" w:cs="Arial"/>
          <w:color w:val="011A3C"/>
          <w:sz w:val="24"/>
          <w:szCs w:val="24"/>
          <w:lang w:val="en" w:eastAsia="en-AU"/>
        </w:rPr>
        <w:t xml:space="preserve"> </w:t>
      </w:r>
    </w:p>
    <w:p w14:paraId="1D0908BE" w14:textId="77777777" w:rsidR="00052385" w:rsidRPr="00D23664" w:rsidRDefault="00052385" w:rsidP="00052385">
      <w:pPr>
        <w:rPr>
          <w:rFonts w:ascii="VIC-Regular" w:eastAsia="Times New Roman" w:hAnsi="VIC-Regular" w:cs="Arial"/>
          <w:color w:val="011A3C"/>
          <w:sz w:val="24"/>
          <w:szCs w:val="24"/>
          <w:lang w:val="en" w:eastAsia="en-AU"/>
        </w:rPr>
      </w:pPr>
      <w:bookmarkStart w:id="115" w:name="_Hlk47892426"/>
      <w:r w:rsidRPr="00D23664">
        <w:rPr>
          <w:rFonts w:ascii="VIC-Regular" w:eastAsia="Times New Roman" w:hAnsi="VIC-Regular" w:cs="Arial"/>
          <w:color w:val="011A3C"/>
          <w:sz w:val="24"/>
          <w:szCs w:val="24"/>
          <w:lang w:val="en" w:eastAsia="en-AU"/>
        </w:rPr>
        <w:t xml:space="preserve">Selective entry high schools, English language schools, camp/outdoor schools and the Victorian School of Languages are not eligible for SEP funding. Specialist schools will not </w:t>
      </w:r>
      <w:r w:rsidRPr="00D23664">
        <w:rPr>
          <w:rFonts w:ascii="VIC-Regular" w:eastAsia="Times New Roman" w:hAnsi="VIC-Regular" w:cs="Arial"/>
          <w:color w:val="011A3C"/>
          <w:sz w:val="24"/>
          <w:szCs w:val="24"/>
          <w:lang w:val="en" w:eastAsia="en-AU"/>
        </w:rPr>
        <w:lastRenderedPageBreak/>
        <w:t>automatically receive funding but can submit a request to the Student Excellence Unit for consideration.</w:t>
      </w:r>
    </w:p>
    <w:p w14:paraId="1D7445BB" w14:textId="5600D01B" w:rsidR="0073330A" w:rsidRPr="004D307F" w:rsidRDefault="0073330A" w:rsidP="00052385">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Funding is calculated at the Indicative, Confirmed and Revised cycles</w:t>
      </w:r>
      <w:r w:rsidR="00190EFD">
        <w:rPr>
          <w:rFonts w:ascii="VIC" w:eastAsia="Times New Roman" w:hAnsi="VIC" w:cs="Times New Roman"/>
          <w:color w:val="011A3C"/>
          <w:sz w:val="24"/>
          <w:szCs w:val="24"/>
          <w:lang w:val="en" w:eastAsia="en-AU"/>
        </w:rPr>
        <w:t>.</w:t>
      </w:r>
      <w:r w:rsidRPr="004D307F">
        <w:rPr>
          <w:rFonts w:ascii="VIC" w:eastAsia="Times New Roman" w:hAnsi="VIC" w:cs="Times New Roman"/>
          <w:color w:val="011A3C"/>
          <w:sz w:val="24"/>
          <w:szCs w:val="24"/>
          <w:lang w:val="en" w:eastAsia="en-AU"/>
        </w:rPr>
        <w:t xml:space="preserve"> </w:t>
      </w:r>
      <w:r w:rsidR="00190EFD">
        <w:rPr>
          <w:rFonts w:ascii="VIC" w:eastAsia="Times New Roman" w:hAnsi="VIC" w:cs="Times New Roman"/>
          <w:color w:val="011A3C"/>
          <w:sz w:val="24"/>
          <w:szCs w:val="24"/>
          <w:lang w:val="en" w:eastAsia="en-AU"/>
        </w:rPr>
        <w:t>F</w:t>
      </w:r>
      <w:r w:rsidRPr="004D307F">
        <w:rPr>
          <w:rFonts w:ascii="VIC" w:eastAsia="Times New Roman" w:hAnsi="VIC" w:cs="Times New Roman"/>
          <w:color w:val="011A3C"/>
          <w:sz w:val="24"/>
          <w:szCs w:val="24"/>
          <w:lang w:val="en" w:eastAsia="en-AU"/>
        </w:rPr>
        <w:t>unding is allocated through credit and cash funding.</w:t>
      </w:r>
    </w:p>
    <w:bookmarkEnd w:id="115"/>
    <w:p w14:paraId="61A8A4CC" w14:textId="77777777" w:rsidR="00EA34C0" w:rsidRPr="004D307F" w:rsidRDefault="00EA34C0" w:rsidP="00EA34C0">
      <w:pPr>
        <w:spacing w:before="100" w:beforeAutospacing="1" w:after="100" w:afterAutospacing="1" w:line="288" w:lineRule="atLeast"/>
        <w:outlineLvl w:val="2"/>
        <w:rPr>
          <w:rFonts w:ascii="VIC" w:eastAsia="Times New Roman" w:hAnsi="VIC" w:cs="Times New Roman"/>
          <w:color w:val="011A3C"/>
          <w:sz w:val="27"/>
          <w:szCs w:val="27"/>
          <w:lang w:val="en" w:eastAsia="en-AU"/>
        </w:rPr>
      </w:pPr>
      <w:r w:rsidRPr="004D307F">
        <w:rPr>
          <w:rFonts w:ascii="VIC" w:eastAsia="Times New Roman" w:hAnsi="VIC" w:cs="Times New Roman"/>
          <w:color w:val="011A3C"/>
          <w:sz w:val="27"/>
          <w:szCs w:val="27"/>
          <w:lang w:val="en" w:eastAsia="en-AU"/>
        </w:rPr>
        <w:t>Funding</w:t>
      </w:r>
    </w:p>
    <w:p w14:paraId="1DC71980"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SEP funding is allocated based on the number of student enrolments in Victorian government primary and secondary schools.</w:t>
      </w:r>
    </w:p>
    <w:p w14:paraId="7A2A12D9" w14:textId="789BB8B1"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will receive a per school allocation related to their cohort size categorisation. </w:t>
      </w:r>
      <w:r w:rsidRPr="004D307F">
        <w:rPr>
          <w:rFonts w:ascii="Calibri" w:eastAsia="Times New Roman" w:hAnsi="Calibri" w:cs="Calibri" w:hint="eastAsia"/>
          <w:color w:val="011A3C"/>
          <w:sz w:val="24"/>
          <w:szCs w:val="24"/>
          <w:lang w:val="en" w:eastAsia="en-AU"/>
        </w:rPr>
        <w:t> </w:t>
      </w:r>
    </w:p>
    <w:p w14:paraId="460B5D2A" w14:textId="77777777" w:rsidR="00073C34" w:rsidRPr="004D307F" w:rsidRDefault="00073C34" w:rsidP="00073C34">
      <w:pPr>
        <w:pStyle w:val="Heading3"/>
        <w:spacing w:line="360" w:lineRule="auto"/>
        <w:rPr>
          <w:rFonts w:ascii="VIC" w:eastAsia="Times New Roman" w:hAnsi="VIC"/>
          <w:lang w:eastAsia="en-AU"/>
        </w:rPr>
      </w:pPr>
      <w:r w:rsidRPr="004D307F">
        <w:rPr>
          <w:rFonts w:ascii="VIC" w:eastAsia="Times New Roman" w:hAnsi="VIC" w:cs="Times New Roman"/>
          <w:color w:val="011A3C"/>
          <w:sz w:val="27"/>
          <w:szCs w:val="27"/>
          <w:lang w:val="en" w:eastAsia="en-AU"/>
        </w:rPr>
        <w:t>Use of SEP funding</w:t>
      </w:r>
    </w:p>
    <w:p w14:paraId="3D01EB06" w14:textId="1AC1BF0A" w:rsidR="00073C34" w:rsidRPr="004D307F" w:rsidRDefault="00073C34" w:rsidP="00073C34">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will make local decisions as to how the SEP funding allocation will be used to best meet the needs of their high-ability students. For example</w:t>
      </w:r>
      <w:r w:rsidR="00052385">
        <w:rPr>
          <w:rFonts w:ascii="VIC" w:eastAsia="Times New Roman" w:hAnsi="VIC" w:cs="Times New Roman"/>
          <w:color w:val="011A3C"/>
          <w:sz w:val="24"/>
          <w:szCs w:val="24"/>
          <w:lang w:val="en" w:eastAsia="en-AU"/>
        </w:rPr>
        <w:t>,</w:t>
      </w:r>
      <w:r w:rsidRPr="004D307F">
        <w:rPr>
          <w:rFonts w:ascii="VIC" w:eastAsia="Times New Roman" w:hAnsi="VIC" w:cs="Times New Roman"/>
          <w:color w:val="011A3C"/>
          <w:sz w:val="24"/>
          <w:szCs w:val="24"/>
          <w:lang w:val="en" w:eastAsia="en-AU"/>
        </w:rPr>
        <w:t xml:space="preserve"> the funding may be used for:</w:t>
      </w:r>
    </w:p>
    <w:p w14:paraId="0DA22C0F" w14:textId="445D4619" w:rsidR="00073C34" w:rsidRPr="004D307F" w:rsidRDefault="00073C34" w:rsidP="00ED0863">
      <w:pPr>
        <w:pStyle w:val="ListParagraph"/>
        <w:numPr>
          <w:ilvl w:val="0"/>
          <w:numId w:val="130"/>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appointment of a </w:t>
      </w:r>
      <w:hyperlink r:id="rId176" w:history="1">
        <w:r w:rsidRPr="00052385">
          <w:rPr>
            <w:rStyle w:val="Hyperlink"/>
            <w:rFonts w:ascii="VIC" w:eastAsia="Times New Roman" w:hAnsi="VIC" w:cs="Times New Roman"/>
            <w:sz w:val="24"/>
            <w:szCs w:val="24"/>
            <w:lang w:val="en" w:eastAsia="en-AU"/>
          </w:rPr>
          <w:t>High-Ability Practice Leader</w:t>
        </w:r>
      </w:hyperlink>
    </w:p>
    <w:p w14:paraId="2180FDFD" w14:textId="77777777" w:rsidR="00073C34" w:rsidRPr="004D307F" w:rsidRDefault="00073C34" w:rsidP="00ED0863">
      <w:pPr>
        <w:pStyle w:val="ListParagraph"/>
        <w:numPr>
          <w:ilvl w:val="0"/>
          <w:numId w:val="130"/>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Casual Relief Teachers</w:t>
      </w:r>
    </w:p>
    <w:p w14:paraId="6C9C91C6" w14:textId="77777777" w:rsidR="00073C34" w:rsidRPr="004D307F" w:rsidRDefault="00073C34" w:rsidP="00ED0863">
      <w:pPr>
        <w:pStyle w:val="ListParagraph"/>
        <w:numPr>
          <w:ilvl w:val="0"/>
          <w:numId w:val="130"/>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delivery of masterclasses for students in the Victorian High-Ability Program</w:t>
      </w:r>
    </w:p>
    <w:p w14:paraId="4D9141FB" w14:textId="77777777" w:rsidR="00073C34" w:rsidRPr="004D307F" w:rsidRDefault="00073C34" w:rsidP="00ED0863">
      <w:pPr>
        <w:pStyle w:val="ListParagraph"/>
        <w:numPr>
          <w:ilvl w:val="0"/>
          <w:numId w:val="130"/>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other programs for high-ability students </w:t>
      </w:r>
    </w:p>
    <w:p w14:paraId="589D0722" w14:textId="77777777" w:rsidR="00073C34" w:rsidRPr="004D307F" w:rsidRDefault="00073C34" w:rsidP="00ED0863">
      <w:pPr>
        <w:pStyle w:val="ListParagraph"/>
        <w:numPr>
          <w:ilvl w:val="0"/>
          <w:numId w:val="130"/>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co-ordination time for high-ability programs</w:t>
      </w:r>
    </w:p>
    <w:p w14:paraId="1B279219" w14:textId="77777777" w:rsidR="00073C34" w:rsidRPr="004D307F" w:rsidRDefault="00073C34" w:rsidP="00ED0863">
      <w:pPr>
        <w:pStyle w:val="ListParagraph"/>
        <w:numPr>
          <w:ilvl w:val="0"/>
          <w:numId w:val="130"/>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parent information evenings </w:t>
      </w:r>
    </w:p>
    <w:p w14:paraId="581C8E64" w14:textId="77777777" w:rsidR="00073C34" w:rsidRPr="004D307F" w:rsidRDefault="00073C34" w:rsidP="00ED0863">
      <w:pPr>
        <w:pStyle w:val="ListParagraph"/>
        <w:numPr>
          <w:ilvl w:val="0"/>
          <w:numId w:val="130"/>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guest speakers for high-ability students</w:t>
      </w:r>
    </w:p>
    <w:p w14:paraId="090954EA" w14:textId="10B927A7" w:rsidR="00073C34" w:rsidRPr="004D307F" w:rsidRDefault="00073C34" w:rsidP="00ED0863">
      <w:pPr>
        <w:pStyle w:val="ListParagraph"/>
        <w:numPr>
          <w:ilvl w:val="0"/>
          <w:numId w:val="130"/>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classroom resources for extension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20"/>
        <w:gridCol w:w="3496"/>
      </w:tblGrid>
      <w:tr w:rsidR="00EA34C0" w:rsidRPr="004D307F" w14:paraId="20F5E8A4" w14:textId="77777777" w:rsidTr="00541C39">
        <w:trPr>
          <w:tblHeader/>
        </w:trPr>
        <w:tc>
          <w:tcPr>
            <w:tcW w:w="0" w:type="auto"/>
            <w:gridSpan w:val="2"/>
            <w:vAlign w:val="center"/>
            <w:hideMark/>
          </w:tcPr>
          <w:p w14:paraId="3B21F662" w14:textId="56BEED88" w:rsidR="00EA34C0" w:rsidRPr="004D307F" w:rsidRDefault="00EA34C0" w:rsidP="00EA34C0">
            <w:pPr>
              <w:spacing w:before="100" w:beforeAutospacing="1" w:after="100" w:afterAutospacing="1" w:line="288" w:lineRule="atLeast"/>
              <w:textAlignment w:val="top"/>
              <w:outlineLvl w:val="3"/>
              <w:rPr>
                <w:rFonts w:ascii="VIC" w:eastAsia="Times New Roman" w:hAnsi="VIC" w:cs="Times New Roman"/>
                <w:b/>
                <w:bCs/>
                <w:color w:val="323E4F" w:themeColor="text2" w:themeShade="BF"/>
                <w:sz w:val="24"/>
                <w:szCs w:val="24"/>
                <w:lang w:eastAsia="en-AU"/>
              </w:rPr>
            </w:pPr>
            <w:r w:rsidRPr="004D307F">
              <w:rPr>
                <w:rFonts w:ascii="VIC" w:eastAsia="Times New Roman" w:hAnsi="VIC" w:cs="Times New Roman"/>
                <w:b/>
                <w:bCs/>
                <w:color w:val="323E4F" w:themeColor="text2" w:themeShade="BF"/>
                <w:sz w:val="24"/>
                <w:szCs w:val="24"/>
                <w:lang w:eastAsia="en-AU"/>
              </w:rPr>
              <w:t xml:space="preserve">Per School Allocation </w:t>
            </w:r>
            <w:r w:rsidRPr="004D307F">
              <w:rPr>
                <w:rFonts w:ascii="VIC" w:eastAsia="Times New Roman" w:hAnsi="VIC" w:cs="Times New Roman" w:hint="eastAsia"/>
                <w:b/>
                <w:bCs/>
                <w:color w:val="323E4F" w:themeColor="text2" w:themeShade="BF"/>
                <w:sz w:val="24"/>
                <w:szCs w:val="24"/>
                <w:lang w:eastAsia="en-AU"/>
              </w:rPr>
              <w:t>—</w:t>
            </w:r>
            <w:r w:rsidRPr="004D307F">
              <w:rPr>
                <w:rFonts w:ascii="VIC" w:eastAsia="Times New Roman" w:hAnsi="VIC" w:cs="Times New Roman"/>
                <w:b/>
                <w:bCs/>
                <w:color w:val="323E4F" w:themeColor="text2" w:themeShade="BF"/>
                <w:sz w:val="24"/>
                <w:szCs w:val="24"/>
                <w:lang w:eastAsia="en-AU"/>
              </w:rPr>
              <w:t>202</w:t>
            </w:r>
            <w:r w:rsidR="00000FDE" w:rsidRPr="004D307F">
              <w:rPr>
                <w:rFonts w:ascii="VIC" w:eastAsia="Times New Roman" w:hAnsi="VIC" w:cs="Times New Roman"/>
                <w:b/>
                <w:bCs/>
                <w:color w:val="323E4F" w:themeColor="text2" w:themeShade="BF"/>
                <w:sz w:val="24"/>
                <w:szCs w:val="24"/>
                <w:lang w:eastAsia="en-AU"/>
              </w:rPr>
              <w:t>2</w:t>
            </w:r>
          </w:p>
        </w:tc>
      </w:tr>
      <w:tr w:rsidR="00EA34C0" w:rsidRPr="004D307F" w14:paraId="5AB30C0D" w14:textId="77777777" w:rsidTr="00541C39">
        <w:trPr>
          <w:tblHeader/>
        </w:trPr>
        <w:tc>
          <w:tcPr>
            <w:tcW w:w="0" w:type="auto"/>
            <w:hideMark/>
          </w:tcPr>
          <w:p w14:paraId="14EAA9A8" w14:textId="77777777" w:rsidR="00EA34C0" w:rsidRPr="004D307F" w:rsidRDefault="00EA34C0" w:rsidP="00EA34C0">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School Cohort (as per student enrolments)</w:t>
            </w:r>
          </w:p>
        </w:tc>
        <w:tc>
          <w:tcPr>
            <w:tcW w:w="0" w:type="auto"/>
            <w:hideMark/>
          </w:tcPr>
          <w:p w14:paraId="097B4FDA" w14:textId="55F6FC06" w:rsidR="00EA34C0" w:rsidRPr="004D307F" w:rsidRDefault="00EA34C0" w:rsidP="00EA34C0">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Per School Cash Allocation </w:t>
            </w:r>
          </w:p>
        </w:tc>
      </w:tr>
      <w:tr w:rsidR="004131AD" w:rsidRPr="004D307F" w14:paraId="2AE374C1" w14:textId="77777777" w:rsidTr="00541C39">
        <w:tc>
          <w:tcPr>
            <w:tcW w:w="0" w:type="auto"/>
            <w:hideMark/>
          </w:tcPr>
          <w:p w14:paraId="21E22EDC"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1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39</w:t>
            </w:r>
          </w:p>
        </w:tc>
        <w:tc>
          <w:tcPr>
            <w:tcW w:w="0" w:type="auto"/>
            <w:hideMark/>
          </w:tcPr>
          <w:p w14:paraId="7D2C631E" w14:textId="7F2F66FD"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$1,</w:t>
            </w:r>
            <w:r w:rsidR="00A158D2" w:rsidRPr="004D307F">
              <w:rPr>
                <w:rFonts w:ascii="VIC" w:hAnsi="VIC"/>
              </w:rPr>
              <w:t>650.00</w:t>
            </w:r>
          </w:p>
        </w:tc>
      </w:tr>
      <w:tr w:rsidR="004131AD" w:rsidRPr="004D307F" w14:paraId="2339A05A" w14:textId="77777777" w:rsidTr="00541C39">
        <w:tc>
          <w:tcPr>
            <w:tcW w:w="0" w:type="auto"/>
            <w:hideMark/>
          </w:tcPr>
          <w:p w14:paraId="7302D784"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40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79</w:t>
            </w:r>
          </w:p>
        </w:tc>
        <w:tc>
          <w:tcPr>
            <w:tcW w:w="0" w:type="auto"/>
            <w:hideMark/>
          </w:tcPr>
          <w:p w14:paraId="4F12E720" w14:textId="588EFEEE"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$1,</w:t>
            </w:r>
            <w:r w:rsidR="00A158D2" w:rsidRPr="004D307F">
              <w:rPr>
                <w:rFonts w:ascii="VIC" w:hAnsi="VIC"/>
              </w:rPr>
              <w:t>695.00</w:t>
            </w:r>
          </w:p>
        </w:tc>
      </w:tr>
      <w:tr w:rsidR="004131AD" w:rsidRPr="004D307F" w14:paraId="607170FC" w14:textId="77777777" w:rsidTr="00541C39">
        <w:tc>
          <w:tcPr>
            <w:tcW w:w="0" w:type="auto"/>
            <w:hideMark/>
          </w:tcPr>
          <w:p w14:paraId="74C95B7B"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80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99</w:t>
            </w:r>
          </w:p>
        </w:tc>
        <w:tc>
          <w:tcPr>
            <w:tcW w:w="0" w:type="auto"/>
            <w:hideMark/>
          </w:tcPr>
          <w:p w14:paraId="6BC78620" w14:textId="00D6D698"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$2,</w:t>
            </w:r>
            <w:r w:rsidR="00A158D2" w:rsidRPr="004D307F">
              <w:rPr>
                <w:rFonts w:ascii="VIC" w:hAnsi="VIC"/>
              </w:rPr>
              <w:t>135.00</w:t>
            </w:r>
          </w:p>
        </w:tc>
      </w:tr>
      <w:tr w:rsidR="004131AD" w:rsidRPr="004D307F" w14:paraId="2267AEB5" w14:textId="77777777" w:rsidTr="00541C39">
        <w:tc>
          <w:tcPr>
            <w:tcW w:w="0" w:type="auto"/>
            <w:hideMark/>
          </w:tcPr>
          <w:p w14:paraId="7B085B05"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100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149</w:t>
            </w:r>
          </w:p>
        </w:tc>
        <w:tc>
          <w:tcPr>
            <w:tcW w:w="0" w:type="auto"/>
            <w:hideMark/>
          </w:tcPr>
          <w:p w14:paraId="0A98C91A" w14:textId="4CF3286F"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w:t>
            </w:r>
            <w:r w:rsidR="00A158D2" w:rsidRPr="004D307F">
              <w:rPr>
                <w:rFonts w:ascii="VIC" w:hAnsi="VIC"/>
              </w:rPr>
              <w:t>3,005.00</w:t>
            </w:r>
          </w:p>
        </w:tc>
      </w:tr>
      <w:tr w:rsidR="004131AD" w:rsidRPr="004D307F" w14:paraId="11DDDEB5" w14:textId="77777777" w:rsidTr="00541C39">
        <w:tc>
          <w:tcPr>
            <w:tcW w:w="0" w:type="auto"/>
            <w:hideMark/>
          </w:tcPr>
          <w:p w14:paraId="7EA61B6F"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150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199</w:t>
            </w:r>
          </w:p>
        </w:tc>
        <w:tc>
          <w:tcPr>
            <w:tcW w:w="0" w:type="auto"/>
            <w:hideMark/>
          </w:tcPr>
          <w:p w14:paraId="45776EAE" w14:textId="2763126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$4,</w:t>
            </w:r>
            <w:r w:rsidR="00A158D2" w:rsidRPr="004D307F">
              <w:rPr>
                <w:rFonts w:ascii="VIC" w:hAnsi="VIC"/>
              </w:rPr>
              <w:t>140.00</w:t>
            </w:r>
          </w:p>
        </w:tc>
      </w:tr>
      <w:tr w:rsidR="004131AD" w:rsidRPr="004D307F" w14:paraId="0951A719" w14:textId="77777777" w:rsidTr="00541C39">
        <w:tc>
          <w:tcPr>
            <w:tcW w:w="0" w:type="auto"/>
            <w:hideMark/>
          </w:tcPr>
          <w:p w14:paraId="07B582E6"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200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249</w:t>
            </w:r>
          </w:p>
        </w:tc>
        <w:tc>
          <w:tcPr>
            <w:tcW w:w="0" w:type="auto"/>
            <w:hideMark/>
          </w:tcPr>
          <w:p w14:paraId="596B6D6C" w14:textId="1EC5C3D3"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$5,</w:t>
            </w:r>
            <w:r w:rsidR="00A158D2" w:rsidRPr="004D307F">
              <w:rPr>
                <w:rFonts w:ascii="VIC" w:hAnsi="VIC"/>
              </w:rPr>
              <w:t>350.00</w:t>
            </w:r>
          </w:p>
        </w:tc>
      </w:tr>
      <w:tr w:rsidR="004131AD" w:rsidRPr="004D307F" w14:paraId="22063B8F" w14:textId="77777777" w:rsidTr="00541C39">
        <w:tc>
          <w:tcPr>
            <w:tcW w:w="0" w:type="auto"/>
            <w:hideMark/>
          </w:tcPr>
          <w:p w14:paraId="1C841BE9"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250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299</w:t>
            </w:r>
          </w:p>
        </w:tc>
        <w:tc>
          <w:tcPr>
            <w:tcW w:w="0" w:type="auto"/>
            <w:hideMark/>
          </w:tcPr>
          <w:p w14:paraId="132F8B78" w14:textId="23F6374B"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$6,</w:t>
            </w:r>
            <w:r w:rsidR="00A158D2" w:rsidRPr="004D307F">
              <w:rPr>
                <w:rFonts w:ascii="VIC" w:hAnsi="VIC"/>
              </w:rPr>
              <w:t>615.00</w:t>
            </w:r>
          </w:p>
        </w:tc>
      </w:tr>
      <w:tr w:rsidR="004131AD" w:rsidRPr="004D307F" w14:paraId="76C89672" w14:textId="77777777" w:rsidTr="00541C39">
        <w:tc>
          <w:tcPr>
            <w:tcW w:w="0" w:type="auto"/>
            <w:hideMark/>
          </w:tcPr>
          <w:p w14:paraId="6427A2EE"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300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399</w:t>
            </w:r>
          </w:p>
        </w:tc>
        <w:tc>
          <w:tcPr>
            <w:tcW w:w="0" w:type="auto"/>
            <w:hideMark/>
          </w:tcPr>
          <w:p w14:paraId="5FA27753" w14:textId="37B3F038"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$8,</w:t>
            </w:r>
            <w:r w:rsidR="00A158D2" w:rsidRPr="004D307F">
              <w:rPr>
                <w:rFonts w:ascii="VIC" w:hAnsi="VIC"/>
              </w:rPr>
              <w:t>390.00</w:t>
            </w:r>
          </w:p>
        </w:tc>
      </w:tr>
      <w:tr w:rsidR="004131AD" w:rsidRPr="004D307F" w14:paraId="55D023AD" w14:textId="77777777" w:rsidTr="00541C39">
        <w:tc>
          <w:tcPr>
            <w:tcW w:w="0" w:type="auto"/>
            <w:hideMark/>
          </w:tcPr>
          <w:p w14:paraId="084097D1"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400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499</w:t>
            </w:r>
          </w:p>
        </w:tc>
        <w:tc>
          <w:tcPr>
            <w:tcW w:w="0" w:type="auto"/>
            <w:hideMark/>
          </w:tcPr>
          <w:p w14:paraId="310CDEE7" w14:textId="0D13621F"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$10,</w:t>
            </w:r>
            <w:r w:rsidR="00A158D2" w:rsidRPr="004D307F">
              <w:rPr>
                <w:rFonts w:ascii="VIC" w:hAnsi="VIC"/>
              </w:rPr>
              <w:t>735.00</w:t>
            </w:r>
          </w:p>
        </w:tc>
      </w:tr>
      <w:tr w:rsidR="004131AD" w:rsidRPr="004D307F" w14:paraId="3DF02068" w14:textId="77777777" w:rsidTr="00541C39">
        <w:tc>
          <w:tcPr>
            <w:tcW w:w="0" w:type="auto"/>
            <w:hideMark/>
          </w:tcPr>
          <w:p w14:paraId="2CF582EF"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lastRenderedPageBreak/>
              <w:t xml:space="preserve">500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699</w:t>
            </w:r>
          </w:p>
        </w:tc>
        <w:tc>
          <w:tcPr>
            <w:tcW w:w="0" w:type="auto"/>
            <w:hideMark/>
          </w:tcPr>
          <w:p w14:paraId="61ACD18E" w14:textId="3BA80791"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w:t>
            </w:r>
            <w:r w:rsidR="00A158D2" w:rsidRPr="004D307F">
              <w:rPr>
                <w:rFonts w:ascii="VIC" w:hAnsi="VIC"/>
              </w:rPr>
              <w:t>14,270.00</w:t>
            </w:r>
          </w:p>
        </w:tc>
      </w:tr>
      <w:tr w:rsidR="004131AD" w:rsidRPr="004D307F" w14:paraId="2E84DC65" w14:textId="77777777" w:rsidTr="00541C39">
        <w:tc>
          <w:tcPr>
            <w:tcW w:w="0" w:type="auto"/>
            <w:hideMark/>
          </w:tcPr>
          <w:p w14:paraId="40181E3B"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700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899</w:t>
            </w:r>
          </w:p>
        </w:tc>
        <w:tc>
          <w:tcPr>
            <w:tcW w:w="0" w:type="auto"/>
            <w:hideMark/>
          </w:tcPr>
          <w:p w14:paraId="784C9F36" w14:textId="38372A61" w:rsidR="004131AD" w:rsidRPr="004D307F" w:rsidRDefault="00A158D2"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$18,870.00</w:t>
            </w:r>
          </w:p>
        </w:tc>
      </w:tr>
      <w:tr w:rsidR="004131AD" w:rsidRPr="004D307F" w14:paraId="021225F7" w14:textId="77777777" w:rsidTr="00541C39">
        <w:tc>
          <w:tcPr>
            <w:tcW w:w="0" w:type="auto"/>
            <w:hideMark/>
          </w:tcPr>
          <w:p w14:paraId="3A07D93F"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900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1199</w:t>
            </w:r>
          </w:p>
        </w:tc>
        <w:tc>
          <w:tcPr>
            <w:tcW w:w="0" w:type="auto"/>
            <w:hideMark/>
          </w:tcPr>
          <w:p w14:paraId="5A261576" w14:textId="3761A9E0"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$24,</w:t>
            </w:r>
            <w:r w:rsidR="00A158D2" w:rsidRPr="004D307F">
              <w:rPr>
                <w:rFonts w:ascii="VIC" w:hAnsi="VIC"/>
              </w:rPr>
              <w:t>925.00</w:t>
            </w:r>
          </w:p>
        </w:tc>
      </w:tr>
      <w:tr w:rsidR="004131AD" w:rsidRPr="004D307F" w14:paraId="4864E0FE" w14:textId="77777777" w:rsidTr="00541C39">
        <w:tc>
          <w:tcPr>
            <w:tcW w:w="0" w:type="auto"/>
            <w:hideMark/>
          </w:tcPr>
          <w:p w14:paraId="0D471CE5"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1200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1499</w:t>
            </w:r>
          </w:p>
        </w:tc>
        <w:tc>
          <w:tcPr>
            <w:tcW w:w="0" w:type="auto"/>
            <w:hideMark/>
          </w:tcPr>
          <w:p w14:paraId="7C2C3E74" w14:textId="38BEB9A9"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w:t>
            </w:r>
            <w:r w:rsidR="00A158D2" w:rsidRPr="004D307F">
              <w:rPr>
                <w:rFonts w:ascii="VIC" w:hAnsi="VIC"/>
              </w:rPr>
              <w:t>32,020.00</w:t>
            </w:r>
          </w:p>
        </w:tc>
      </w:tr>
      <w:tr w:rsidR="004131AD" w:rsidRPr="004D307F" w14:paraId="677E499A" w14:textId="77777777" w:rsidTr="00541C39">
        <w:tc>
          <w:tcPr>
            <w:tcW w:w="0" w:type="auto"/>
            <w:hideMark/>
          </w:tcPr>
          <w:p w14:paraId="61183A60"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1500 +</w:t>
            </w:r>
          </w:p>
        </w:tc>
        <w:tc>
          <w:tcPr>
            <w:tcW w:w="0" w:type="auto"/>
            <w:hideMark/>
          </w:tcPr>
          <w:p w14:paraId="7984675D" w14:textId="07E56695"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w:t>
            </w:r>
            <w:r w:rsidR="00A158D2" w:rsidRPr="004D307F">
              <w:rPr>
                <w:rFonts w:ascii="VIC" w:hAnsi="VIC"/>
              </w:rPr>
              <w:t>37,445.00</w:t>
            </w:r>
          </w:p>
        </w:tc>
      </w:tr>
    </w:tbl>
    <w:p w14:paraId="2BC3E69D" w14:textId="77777777" w:rsidR="00073C34" w:rsidRPr="004D307F" w:rsidRDefault="00073C34" w:rsidP="00073C34">
      <w:pPr>
        <w:rPr>
          <w:rFonts w:ascii="VIC" w:hAnsi="VIC" w:cs="Arial"/>
          <w:color w:val="011A3C"/>
          <w:sz w:val="20"/>
          <w:szCs w:val="20"/>
        </w:rPr>
      </w:pPr>
    </w:p>
    <w:p w14:paraId="0E5C9AE0" w14:textId="7458B7E6" w:rsidR="00073C34" w:rsidRPr="004D307F" w:rsidRDefault="00073C34" w:rsidP="00073C34">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Targeted </w:t>
      </w:r>
      <w:r w:rsidR="00052385">
        <w:rPr>
          <w:rFonts w:ascii="VIC" w:eastAsia="Times New Roman" w:hAnsi="VIC" w:cs="Times New Roman"/>
          <w:color w:val="011A3C"/>
          <w:sz w:val="24"/>
          <w:szCs w:val="24"/>
          <w:lang w:val="en" w:eastAsia="en-AU"/>
        </w:rPr>
        <w:t>SEP</w:t>
      </w:r>
      <w:r w:rsidRPr="004D307F">
        <w:rPr>
          <w:rFonts w:ascii="VIC" w:eastAsia="Times New Roman" w:hAnsi="VIC" w:cs="Times New Roman"/>
          <w:color w:val="011A3C"/>
          <w:sz w:val="24"/>
          <w:szCs w:val="24"/>
          <w:lang w:val="en" w:eastAsia="en-AU"/>
        </w:rPr>
        <w:t xml:space="preserve"> funding operates within a capped budget. This means that cohort allocations may be adjusted up or down depending on both changes in total enrolments from all schools and the spread of these enrolments across cohorts.</w:t>
      </w:r>
    </w:p>
    <w:p w14:paraId="72DA8BA8" w14:textId="0D62B7ED"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Further information</w:t>
      </w:r>
    </w:p>
    <w:p w14:paraId="452CAFC1" w14:textId="3955A450" w:rsidR="00EA34C0" w:rsidRPr="004D307F" w:rsidRDefault="00901FCB" w:rsidP="00ED0863">
      <w:pPr>
        <w:numPr>
          <w:ilvl w:val="0"/>
          <w:numId w:val="78"/>
        </w:numPr>
        <w:spacing w:before="100" w:beforeAutospacing="1" w:after="100" w:afterAutospacing="1" w:line="360" w:lineRule="atLeast"/>
        <w:rPr>
          <w:rFonts w:ascii="VIC" w:eastAsia="Times New Roman" w:hAnsi="VIC" w:cs="Times New Roman"/>
          <w:color w:val="011A3C"/>
          <w:sz w:val="24"/>
          <w:szCs w:val="24"/>
          <w:lang w:val="en" w:eastAsia="en-AU"/>
        </w:rPr>
      </w:pPr>
      <w:hyperlink r:id="rId177" w:anchor="/app/content/3162/support_and_service_(schools)%252Flearning_and_teaching%252Fstudent_excellence_program%252Fstudent_excellence_program_overview" w:history="1">
        <w:r w:rsidR="00EA34C0" w:rsidRPr="004D307F">
          <w:rPr>
            <w:rFonts w:ascii="VIC" w:eastAsia="Times New Roman" w:hAnsi="VIC" w:cs="Times New Roman"/>
            <w:color w:val="011A3C"/>
            <w:sz w:val="24"/>
            <w:szCs w:val="24"/>
            <w:lang w:val="en" w:eastAsia="en-AU"/>
          </w:rPr>
          <w:t>Student Excellence Program</w:t>
        </w:r>
      </w:hyperlink>
    </w:p>
    <w:p w14:paraId="539F0615" w14:textId="2BAC4191" w:rsidR="00EA34C0" w:rsidRPr="00190EFD" w:rsidRDefault="00EA34C0" w:rsidP="00190EFD">
      <w:pPr>
        <w:pStyle w:val="ListParagraph"/>
        <w:numPr>
          <w:ilvl w:val="0"/>
          <w:numId w:val="78"/>
        </w:numPr>
        <w:spacing w:before="100" w:beforeAutospacing="1" w:after="100" w:afterAutospacing="1" w:line="360" w:lineRule="atLeast"/>
        <w:rPr>
          <w:rFonts w:ascii="VIC" w:hAnsi="VIC"/>
          <w:sz w:val="24"/>
          <w:szCs w:val="24"/>
        </w:rPr>
      </w:pPr>
      <w:r w:rsidRPr="00190EFD">
        <w:rPr>
          <w:rFonts w:ascii="VIC" w:eastAsia="Times New Roman" w:hAnsi="VIC" w:cs="Times New Roman"/>
          <w:color w:val="011A3C"/>
          <w:sz w:val="24"/>
          <w:szCs w:val="24"/>
          <w:lang w:val="en" w:eastAsia="en-AU"/>
        </w:rPr>
        <w:t xml:space="preserve">Contact: </w:t>
      </w:r>
      <w:hyperlink r:id="rId178" w:history="1">
        <w:r w:rsidR="001A1640" w:rsidRPr="00190EFD">
          <w:rPr>
            <w:rStyle w:val="Hyperlink"/>
            <w:rFonts w:ascii="VIC" w:hAnsi="VIC" w:cs="Arial"/>
            <w:sz w:val="24"/>
            <w:szCs w:val="24"/>
            <w:lang w:eastAsia="en-AU"/>
          </w:rPr>
          <w:t>student.excellence@education.vic.gov.au</w:t>
        </w:r>
      </w:hyperlink>
      <w:r w:rsidR="001A1640" w:rsidRPr="00190EFD">
        <w:rPr>
          <w:rFonts w:ascii="VIC" w:hAnsi="VIC" w:cs="Arial"/>
          <w:sz w:val="24"/>
          <w:szCs w:val="24"/>
          <w:lang w:eastAsia="en-AU"/>
        </w:rPr>
        <w:t xml:space="preserve"> </w:t>
      </w:r>
    </w:p>
    <w:p w14:paraId="16B93A6F" w14:textId="77777777" w:rsidR="00EA34C0" w:rsidRPr="004D307F" w:rsidRDefault="00EA34C0" w:rsidP="00EA34C0">
      <w:pPr>
        <w:rPr>
          <w:rFonts w:ascii="VIC" w:hAnsi="VIC"/>
          <w:sz w:val="24"/>
          <w:szCs w:val="24"/>
        </w:rPr>
      </w:pPr>
      <w:r w:rsidRPr="004D307F">
        <w:rPr>
          <w:rFonts w:ascii="VIC" w:hAnsi="VIC"/>
          <w:sz w:val="24"/>
          <w:szCs w:val="24"/>
        </w:rPr>
        <w:br w:type="page"/>
      </w:r>
    </w:p>
    <w:p w14:paraId="5B036FE4" w14:textId="1034C69E" w:rsidR="00EA34C0" w:rsidRPr="004D307F" w:rsidRDefault="00EA34C0" w:rsidP="00B566E7">
      <w:pPr>
        <w:pStyle w:val="Heading2"/>
      </w:pPr>
      <w:bookmarkStart w:id="116" w:name="_Toc106793802"/>
      <w:bookmarkStart w:id="117" w:name="_Hlk50374925"/>
      <w:r w:rsidRPr="004D307F">
        <w:lastRenderedPageBreak/>
        <w:t>VCE Revision Lectures (Ref</w:t>
      </w:r>
      <w:r w:rsidR="003E5908" w:rsidRPr="004D307F">
        <w:t>erence</w:t>
      </w:r>
      <w:r w:rsidRPr="004D307F">
        <w:t xml:space="preserve"> 121)</w:t>
      </w:r>
      <w:bookmarkEnd w:id="116"/>
    </w:p>
    <w:p w14:paraId="2DE8672E" w14:textId="77777777" w:rsidR="00EA34C0" w:rsidRPr="004D307F" w:rsidRDefault="00EA34C0" w:rsidP="004D307F">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VCE Revision Lectures initiative recognises that VCE revision lectures are often out of reach for rural and regional students due to the additional travel and accommodation cost.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This initiative is part of the Victorian Government</w:t>
      </w:r>
      <w:r w:rsidRPr="004D307F">
        <w:rPr>
          <w:rFonts w:ascii="VIC" w:eastAsia="Times New Roman" w:hAnsi="VIC" w:cs="VIC" w:hint="eastAsia"/>
          <w:color w:val="011A3C"/>
          <w:sz w:val="24"/>
          <w:szCs w:val="24"/>
          <w:lang w:val="en" w:eastAsia="en-AU"/>
        </w:rPr>
        <w:t>’</w:t>
      </w:r>
      <w:r w:rsidRPr="004D307F">
        <w:rPr>
          <w:rFonts w:ascii="VIC" w:eastAsia="Times New Roman" w:hAnsi="VIC" w:cs="Times New Roman"/>
          <w:color w:val="011A3C"/>
          <w:sz w:val="24"/>
          <w:szCs w:val="24"/>
          <w:lang w:val="en" w:eastAsia="en-AU"/>
        </w:rPr>
        <w:t>s investment of $82.8 million in rural and regional education to bridge the divide between country and metropolitan schools.</w:t>
      </w:r>
    </w:p>
    <w:p w14:paraId="47CB1206" w14:textId="0EC8D16D"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VCE revision lectures targeted funding is to support </w:t>
      </w:r>
      <w:r w:rsidR="009E32AE" w:rsidRPr="004D307F">
        <w:rPr>
          <w:rFonts w:ascii="VIC" w:eastAsia="Times New Roman" w:hAnsi="VIC" w:cs="Times New Roman"/>
          <w:color w:val="011A3C"/>
          <w:sz w:val="24"/>
          <w:szCs w:val="24"/>
          <w:lang w:val="en" w:eastAsia="en-AU"/>
        </w:rPr>
        <w:t xml:space="preserve">government </w:t>
      </w:r>
      <w:r w:rsidRPr="004D307F">
        <w:rPr>
          <w:rFonts w:ascii="VIC" w:eastAsia="Times New Roman" w:hAnsi="VIC" w:cs="Times New Roman"/>
          <w:color w:val="011A3C"/>
          <w:sz w:val="24"/>
          <w:szCs w:val="24"/>
          <w:lang w:val="en" w:eastAsia="en-AU"/>
        </w:rPr>
        <w:t xml:space="preserve">senior secondary rural and regional students access to VCE revision lectures across the state and in </w:t>
      </w:r>
      <w:r w:rsidR="009E32AE" w:rsidRPr="004D307F">
        <w:rPr>
          <w:rFonts w:ascii="VIC" w:eastAsia="Times New Roman" w:hAnsi="VIC" w:cs="Times New Roman"/>
          <w:color w:val="011A3C"/>
          <w:sz w:val="24"/>
          <w:szCs w:val="24"/>
          <w:lang w:val="en" w:eastAsia="en-AU"/>
        </w:rPr>
        <w:t xml:space="preserve">a </w:t>
      </w:r>
      <w:r w:rsidRPr="004D307F">
        <w:rPr>
          <w:rFonts w:ascii="VIC" w:eastAsia="Times New Roman" w:hAnsi="VIC" w:cs="Times New Roman"/>
          <w:color w:val="011A3C"/>
          <w:sz w:val="24"/>
          <w:szCs w:val="24"/>
          <w:lang w:val="en" w:eastAsia="en-AU"/>
        </w:rPr>
        <w:t>range of subjects.</w:t>
      </w:r>
    </w:p>
    <w:p w14:paraId="547F4080" w14:textId="77777777"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Accountability</w:t>
      </w:r>
      <w:r w:rsidRPr="004D307F">
        <w:rPr>
          <w:rFonts w:ascii="Calibri" w:eastAsia="Times New Roman" w:hAnsi="Calibri" w:cs="Calibri" w:hint="eastAsia"/>
          <w:b/>
          <w:bCs/>
          <w:color w:val="011A3C"/>
          <w:sz w:val="27"/>
          <w:szCs w:val="27"/>
          <w:lang w:val="en" w:eastAsia="en-AU"/>
        </w:rPr>
        <w:t> </w:t>
      </w:r>
    </w:p>
    <w:p w14:paraId="205AD57A" w14:textId="77777777" w:rsidR="00EA7A43" w:rsidRPr="004D307F" w:rsidRDefault="00EA7A43" w:rsidP="00EA7A43">
      <w:pPr>
        <w:spacing w:before="100" w:beforeAutospacing="1" w:after="100" w:afterAutospacing="1" w:line="360" w:lineRule="atLeast"/>
        <w:rPr>
          <w:rFonts w:ascii="VIC" w:hAnsi="VIC"/>
          <w:color w:val="011A3C"/>
          <w:sz w:val="24"/>
          <w:szCs w:val="24"/>
          <w:lang w:val="en" w:eastAsia="en-AU"/>
        </w:rPr>
      </w:pPr>
      <w:bookmarkStart w:id="118" w:name="_Hlk78901233"/>
      <w:r w:rsidRPr="004D307F">
        <w:rPr>
          <w:rFonts w:ascii="VIC" w:hAnsi="VIC"/>
          <w:color w:val="011A3C"/>
          <w:sz w:val="24"/>
          <w:szCs w:val="24"/>
          <w:lang w:val="en" w:eastAsia="en-AU"/>
        </w:rPr>
        <w:t xml:space="preserve">Schools are responsible for using the funds within the </w:t>
      </w:r>
      <w:hyperlink r:id="rId179" w:history="1">
        <w:r w:rsidRPr="004D307F">
          <w:rPr>
            <w:rStyle w:val="Hyperlink"/>
            <w:rFonts w:ascii="VIC" w:hAnsi="VIC"/>
            <w:sz w:val="24"/>
            <w:szCs w:val="24"/>
            <w:lang w:val="en"/>
          </w:rPr>
          <w:t>school implementation guidelines</w:t>
        </w:r>
      </w:hyperlink>
      <w:r w:rsidRPr="004D307F">
        <w:rPr>
          <w:rFonts w:ascii="VIC" w:hAnsi="VIC"/>
          <w:color w:val="011A3C"/>
          <w:sz w:val="24"/>
          <w:szCs w:val="24"/>
          <w:lang w:val="en" w:eastAsia="en-AU"/>
        </w:rPr>
        <w:t xml:space="preserve"> provided by the Department. Schools are required to complete an annual survey at the end of each calendar year. Schools will be notified via email about how to complete the survey. </w:t>
      </w:r>
      <w:bookmarkEnd w:id="118"/>
    </w:p>
    <w:p w14:paraId="4537D3AF" w14:textId="77777777"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Eligibility</w:t>
      </w:r>
      <w:r w:rsidRPr="004D307F">
        <w:rPr>
          <w:rFonts w:ascii="Calibri" w:eastAsia="Times New Roman" w:hAnsi="Calibri" w:cs="Calibri" w:hint="eastAsia"/>
          <w:b/>
          <w:bCs/>
          <w:color w:val="011A3C"/>
          <w:sz w:val="27"/>
          <w:szCs w:val="27"/>
          <w:lang w:val="en" w:eastAsia="en-AU"/>
        </w:rPr>
        <w:t> </w:t>
      </w:r>
    </w:p>
    <w:p w14:paraId="09C0CBF3" w14:textId="0CC4F390"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This funding is only applicable to rural and regional government schools with senior secondary graded enrolments (Year 11 and Year 12) . Schools do not have to apply for funding. Eligibility will be determined using data from the February School Census. </w:t>
      </w:r>
    </w:p>
    <w:p w14:paraId="5BF8ED7F" w14:textId="3715FAD5" w:rsidR="0003626E" w:rsidRPr="004D307F" w:rsidRDefault="0003626E" w:rsidP="0003626E">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initiative defines rural and regional government schools as those in Local Government Areas (LGAs) outside of the metropolitan LGAs. Rural and regional LGAs are aligned with the following Department</w:t>
      </w:r>
      <w:r w:rsidR="006618E7"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 xml:space="preserve">Areas: Mallee, Loddon Campaspe, Central Highlands, Wimmera South-West, Barwon, Ovens Murray, Goulburn, Inner Gippsland and Outer Gippsland. The schools in these DET Areas are eligible for the VCE revision lecture funding. </w:t>
      </w:r>
    </w:p>
    <w:p w14:paraId="445CE7EB" w14:textId="7AC08472" w:rsidR="00EA34C0" w:rsidRPr="004D307F" w:rsidRDefault="0003626E"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Rural and regional s</w:t>
      </w:r>
      <w:r w:rsidR="00EA34C0" w:rsidRPr="004D307F">
        <w:rPr>
          <w:rFonts w:ascii="VIC" w:eastAsia="Times New Roman" w:hAnsi="VIC" w:cs="Times New Roman"/>
          <w:color w:val="011A3C"/>
          <w:sz w:val="24"/>
          <w:szCs w:val="24"/>
          <w:lang w:val="en" w:eastAsia="en-AU"/>
        </w:rPr>
        <w:t>chools with the following campus types are eligible for VCE Revision Lecture funding at campus level.</w:t>
      </w:r>
    </w:p>
    <w:p w14:paraId="3B39F684" w14:textId="77777777" w:rsidR="00EA34C0" w:rsidRPr="004D307F" w:rsidRDefault="00EA34C0" w:rsidP="00ED0863">
      <w:pPr>
        <w:numPr>
          <w:ilvl w:val="0"/>
          <w:numId w:val="7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Secondary</w:t>
      </w:r>
    </w:p>
    <w:p w14:paraId="39B2FF1E" w14:textId="77777777" w:rsidR="00EA34C0" w:rsidRPr="004D307F" w:rsidRDefault="00EA34C0" w:rsidP="00ED0863">
      <w:pPr>
        <w:numPr>
          <w:ilvl w:val="0"/>
          <w:numId w:val="7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Primary/Secondary Combined</w:t>
      </w:r>
    </w:p>
    <w:p w14:paraId="7693FA4C" w14:textId="1CD33F8D" w:rsidR="006A743D" w:rsidRPr="004D307F" w:rsidRDefault="0073330A" w:rsidP="0073330A">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Funding is calculated at the Indicative, Confirmed and Revised </w:t>
      </w:r>
      <w:r w:rsidR="0003626E" w:rsidRPr="004D307F">
        <w:rPr>
          <w:rFonts w:ascii="VIC" w:eastAsia="Times New Roman" w:hAnsi="VIC" w:cs="Times New Roman"/>
          <w:color w:val="011A3C"/>
          <w:sz w:val="24"/>
          <w:szCs w:val="24"/>
          <w:lang w:val="en" w:eastAsia="en-AU"/>
        </w:rPr>
        <w:t>cycles;</w:t>
      </w:r>
      <w:r w:rsidRPr="004D307F">
        <w:rPr>
          <w:rFonts w:ascii="VIC" w:eastAsia="Times New Roman" w:hAnsi="VIC" w:cs="Times New Roman"/>
          <w:color w:val="011A3C"/>
          <w:sz w:val="24"/>
          <w:szCs w:val="24"/>
          <w:lang w:val="en" w:eastAsia="en-AU"/>
        </w:rPr>
        <w:t xml:space="preserve"> funding is allocated through cash funding.</w:t>
      </w:r>
    </w:p>
    <w:p w14:paraId="092500BE" w14:textId="77777777"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lastRenderedPageBreak/>
        <w:t>How funding is calculated</w:t>
      </w:r>
      <w:r w:rsidRPr="004D307F">
        <w:rPr>
          <w:rFonts w:ascii="Calibri" w:eastAsia="Times New Roman" w:hAnsi="Calibri" w:cs="Calibri" w:hint="eastAsia"/>
          <w:b/>
          <w:bCs/>
          <w:color w:val="011A3C"/>
          <w:sz w:val="27"/>
          <w:szCs w:val="27"/>
          <w:lang w:val="en" w:eastAsia="en-AU"/>
        </w:rPr>
        <w:t> </w:t>
      </w:r>
    </w:p>
    <w:p w14:paraId="6B9A3E1B"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funding formula takes into account the number of Year 11 and 12 enrolments and the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location, with those schools furthest from Melbourne and other major centres receiving a higher subsidy to account for the higher costs.</w:t>
      </w:r>
    </w:p>
    <w:p w14:paraId="174D7DC8" w14:textId="6C880EB0"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funding is calculated using the percentage of Year 11 and 12 student enrolments, </w:t>
      </w:r>
      <w:r w:rsidR="0003626E" w:rsidRPr="004D307F">
        <w:rPr>
          <w:rFonts w:ascii="VIC" w:eastAsia="Times New Roman" w:hAnsi="VIC" w:cs="Times New Roman"/>
          <w:color w:val="011A3C"/>
          <w:sz w:val="24"/>
          <w:szCs w:val="24"/>
          <w:lang w:val="en" w:eastAsia="en-AU"/>
        </w:rPr>
        <w:t xml:space="preserve">base </w:t>
      </w:r>
      <w:r w:rsidRPr="004D307F">
        <w:rPr>
          <w:rFonts w:ascii="VIC" w:eastAsia="Times New Roman" w:hAnsi="VIC" w:cs="Times New Roman"/>
          <w:color w:val="011A3C"/>
          <w:sz w:val="24"/>
          <w:szCs w:val="24"/>
          <w:lang w:val="en" w:eastAsia="en-AU"/>
        </w:rPr>
        <w:t xml:space="preserve">student rate and location indexed funding. The percentages of Year 11 (15%) and Year 12 (30%) student enrolments are estimates of rural and regional students who will access VCE revision lectures. The </w:t>
      </w:r>
      <w:r w:rsidR="0003626E" w:rsidRPr="004D307F">
        <w:rPr>
          <w:rFonts w:ascii="VIC" w:eastAsia="Times New Roman" w:hAnsi="VIC" w:cs="Times New Roman"/>
          <w:color w:val="011A3C"/>
          <w:sz w:val="24"/>
          <w:szCs w:val="24"/>
          <w:lang w:val="en" w:eastAsia="en-AU"/>
        </w:rPr>
        <w:t xml:space="preserve">base </w:t>
      </w:r>
      <w:r w:rsidRPr="004D307F">
        <w:rPr>
          <w:rFonts w:ascii="VIC" w:eastAsia="Times New Roman" w:hAnsi="VIC" w:cs="Times New Roman"/>
          <w:color w:val="011A3C"/>
          <w:sz w:val="24"/>
          <w:szCs w:val="24"/>
          <w:lang w:val="en" w:eastAsia="en-AU"/>
        </w:rPr>
        <w:t>student rate may differ from year to year.</w:t>
      </w:r>
    </w:p>
    <w:p w14:paraId="12DF31C2" w14:textId="19BBF8D7"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 xml:space="preserve">Rates </w:t>
      </w:r>
      <w:r w:rsidRPr="004D307F">
        <w:rPr>
          <w:rFonts w:ascii="VIC" w:eastAsia="Times New Roman" w:hAnsi="VIC" w:cs="Times New Roman" w:hint="eastAsia"/>
          <w:b/>
          <w:bCs/>
          <w:color w:val="011A3C"/>
          <w:sz w:val="27"/>
          <w:szCs w:val="27"/>
          <w:lang w:val="en" w:eastAsia="en-AU"/>
        </w:rPr>
        <w:t>—</w:t>
      </w:r>
      <w:r w:rsidRPr="004D307F">
        <w:rPr>
          <w:rFonts w:ascii="VIC" w:eastAsia="Times New Roman" w:hAnsi="VIC" w:cs="Times New Roman"/>
          <w:b/>
          <w:bCs/>
          <w:color w:val="011A3C"/>
          <w:sz w:val="27"/>
          <w:szCs w:val="27"/>
          <w:lang w:val="en" w:eastAsia="en-AU"/>
        </w:rPr>
        <w:t xml:space="preserve"> </w:t>
      </w:r>
      <w:r w:rsidR="00A641BD" w:rsidRPr="004D307F">
        <w:rPr>
          <w:rFonts w:ascii="VIC" w:eastAsia="Times New Roman" w:hAnsi="VIC" w:cs="Times New Roman"/>
          <w:b/>
          <w:bCs/>
          <w:color w:val="011A3C"/>
          <w:sz w:val="27"/>
          <w:szCs w:val="27"/>
          <w:lang w:val="en" w:eastAsia="en-AU"/>
        </w:rPr>
        <w:t>2022</w:t>
      </w:r>
    </w:p>
    <w:p w14:paraId="178499A0" w14:textId="7D071323"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[(15% x Year 11 enrolments) x $150] + [(30% x Year 12 enrolments) x</w:t>
      </w:r>
      <w:r w:rsidR="0003626E" w:rsidRPr="004D307F">
        <w:rPr>
          <w:rFonts w:ascii="VIC" w:eastAsia="Times New Roman" w:hAnsi="VIC" w:cs="Times New Roman"/>
          <w:color w:val="011A3C"/>
          <w:sz w:val="24"/>
          <w:szCs w:val="24"/>
          <w:lang w:val="en" w:eastAsia="en-AU"/>
        </w:rPr>
        <w:t>$780</w:t>
      </w:r>
      <w:r w:rsidRPr="004D307F">
        <w:rPr>
          <w:rFonts w:ascii="VIC" w:eastAsia="Times New Roman" w:hAnsi="VIC" w:cs="Times New Roman"/>
          <w:color w:val="011A3C"/>
          <w:sz w:val="24"/>
          <w:szCs w:val="24"/>
          <w:lang w:val="en" w:eastAsia="en-AU"/>
        </w:rPr>
        <w:t xml:space="preserve">] + [Location index base </w:t>
      </w:r>
      <w:r w:rsidR="00ED2F0A" w:rsidRPr="004D307F">
        <w:rPr>
          <w:rFonts w:ascii="VIC" w:eastAsia="Times New Roman" w:hAnsi="VIC" w:cs="Times New Roman"/>
          <w:color w:val="011A3C"/>
          <w:sz w:val="24"/>
          <w:szCs w:val="24"/>
          <w:lang w:val="en" w:eastAsia="en-AU"/>
        </w:rPr>
        <w:t xml:space="preserve">$677.76 </w:t>
      </w:r>
      <w:r w:rsidRPr="004D307F">
        <w:rPr>
          <w:rFonts w:ascii="VIC" w:eastAsia="Times New Roman" w:hAnsi="VIC" w:cs="Times New Roman"/>
          <w:color w:val="011A3C"/>
          <w:sz w:val="24"/>
          <w:szCs w:val="24"/>
          <w:lang w:val="en" w:eastAsia="en-AU"/>
        </w:rPr>
        <w:t>+ (Location index x Senior secondary enrol</w:t>
      </w:r>
      <w:r w:rsidR="009E32AE" w:rsidRPr="004D307F">
        <w:rPr>
          <w:rFonts w:ascii="VIC" w:eastAsia="Times New Roman" w:hAnsi="VIC" w:cs="Times New Roman"/>
          <w:color w:val="011A3C"/>
          <w:sz w:val="24"/>
          <w:szCs w:val="24"/>
          <w:lang w:val="en" w:eastAsia="en-AU"/>
        </w:rPr>
        <w:t>ments</w:t>
      </w:r>
      <w:r w:rsidRPr="004D307F">
        <w:rPr>
          <w:rFonts w:ascii="VIC" w:eastAsia="Times New Roman" w:hAnsi="VIC" w:cs="Times New Roman"/>
          <w:color w:val="011A3C"/>
          <w:sz w:val="24"/>
          <w:szCs w:val="24"/>
          <w:lang w:val="en" w:eastAsia="en-AU"/>
        </w:rPr>
        <w:t xml:space="preserve"> x Location index per student rate</w:t>
      </w:r>
      <w:r w:rsidR="00ED2F0A" w:rsidRPr="004D307F">
        <w:rPr>
          <w:rFonts w:ascii="VIC" w:eastAsia="Times New Roman" w:hAnsi="VIC" w:cs="Times New Roman"/>
          <w:color w:val="011A3C"/>
          <w:sz w:val="24"/>
          <w:szCs w:val="24"/>
          <w:lang w:val="en" w:eastAsia="en-AU"/>
        </w:rPr>
        <w:t>$107.26</w:t>
      </w:r>
      <w:r w:rsidRPr="004D307F">
        <w:rPr>
          <w:rFonts w:ascii="VIC" w:eastAsia="Times New Roman" w:hAnsi="VIC" w:cs="Times New Roman"/>
          <w:color w:val="011A3C"/>
          <w:sz w:val="24"/>
          <w:szCs w:val="24"/>
          <w:lang w:val="en" w:eastAsia="en-AU"/>
        </w:rPr>
        <w:t>)]</w:t>
      </w:r>
    </w:p>
    <w:p w14:paraId="550640CD" w14:textId="0D527E30"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Please note that while this formula is used to allocate funding to schools, schools have discretion regarding how they use the funding to support students studying VCE </w:t>
      </w:r>
      <w:r w:rsidR="009E32AE" w:rsidRPr="004D307F">
        <w:rPr>
          <w:rFonts w:ascii="VIC" w:eastAsia="Times New Roman" w:hAnsi="VIC" w:cs="Times New Roman"/>
          <w:color w:val="011A3C"/>
          <w:sz w:val="24"/>
          <w:szCs w:val="24"/>
          <w:lang w:val="en" w:eastAsia="en-AU"/>
        </w:rPr>
        <w:t xml:space="preserve">Unit </w:t>
      </w:r>
      <w:r w:rsidRPr="004D307F">
        <w:rPr>
          <w:rFonts w:ascii="VIC" w:eastAsia="Times New Roman" w:hAnsi="VIC" w:cs="Times New Roman"/>
          <w:color w:val="011A3C"/>
          <w:sz w:val="24"/>
          <w:szCs w:val="24"/>
          <w:lang w:val="en" w:eastAsia="en-AU"/>
        </w:rPr>
        <w:t>3/4 to access VCE revision lectures.</w:t>
      </w:r>
      <w:r w:rsidR="009E32AE" w:rsidRPr="004D307F">
        <w:rPr>
          <w:rFonts w:ascii="VIC" w:eastAsia="Times New Roman" w:hAnsi="VIC" w:cs="Times New Roman"/>
          <w:color w:val="011A3C"/>
          <w:sz w:val="24"/>
          <w:szCs w:val="24"/>
          <w:lang w:val="en" w:eastAsia="en-AU"/>
        </w:rPr>
        <w:t>,</w:t>
      </w:r>
    </w:p>
    <w:p w14:paraId="3629D6C1" w14:textId="77777777"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Further information</w:t>
      </w:r>
    </w:p>
    <w:p w14:paraId="7E208B38" w14:textId="7F1B4519"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For more information about the initiative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contact</w:t>
      </w:r>
      <w:r w:rsidRPr="004D307F">
        <w:rPr>
          <w:rFonts w:ascii="Calibri" w:eastAsia="Times New Roman" w:hAnsi="Calibri" w:cs="Calibri" w:hint="eastAsia"/>
          <w:color w:val="011A3C"/>
          <w:sz w:val="24"/>
          <w:szCs w:val="24"/>
          <w:lang w:val="en" w:eastAsia="en-AU"/>
        </w:rPr>
        <w:t> </w:t>
      </w:r>
      <w:hyperlink r:id="rId180" w:history="1">
        <w:r w:rsidR="0003626E" w:rsidRPr="004D307F">
          <w:rPr>
            <w:rStyle w:val="Hyperlink"/>
            <w:rFonts w:ascii="VIC" w:eastAsia="Times New Roman" w:hAnsi="VIC" w:cs="Times New Roman"/>
            <w:sz w:val="24"/>
            <w:szCs w:val="24"/>
            <w:lang w:val="en" w:eastAsia="en-AU"/>
          </w:rPr>
          <w:t>rural.regional.reform@education.vic.gov.au</w:t>
        </w:r>
      </w:hyperlink>
    </w:p>
    <w:p w14:paraId="4189CCC5" w14:textId="77777777" w:rsidR="00EA34C0" w:rsidRPr="004D307F" w:rsidRDefault="00EA34C0" w:rsidP="00EA34C0"/>
    <w:p w14:paraId="5E816AEB" w14:textId="77777777" w:rsidR="00EA34C0" w:rsidRPr="004D307F" w:rsidRDefault="00EA34C0" w:rsidP="00EA34C0">
      <w:r w:rsidRPr="004D307F">
        <w:br w:type="page"/>
      </w:r>
    </w:p>
    <w:p w14:paraId="62FD62DF" w14:textId="120144A3" w:rsidR="004A6878" w:rsidRPr="004D307F" w:rsidRDefault="00EA34C0" w:rsidP="00B566E7">
      <w:pPr>
        <w:pStyle w:val="Heading2"/>
      </w:pPr>
      <w:bookmarkStart w:id="119" w:name="_Toc106793803"/>
      <w:bookmarkStart w:id="120" w:name="_Hlk48819430"/>
      <w:bookmarkEnd w:id="117"/>
      <w:r w:rsidRPr="004D307F">
        <w:lastRenderedPageBreak/>
        <w:t>Professional Learning Communities (PLC) Link Schools</w:t>
      </w:r>
      <w:r w:rsidR="003C4725" w:rsidRPr="004D307F">
        <w:t xml:space="preserve"> (Reference 122)</w:t>
      </w:r>
      <w:bookmarkEnd w:id="119"/>
      <w:r w:rsidRPr="004D307F">
        <w:t xml:space="preserve"> </w:t>
      </w:r>
    </w:p>
    <w:p w14:paraId="11476EE7" w14:textId="46417449" w:rsidR="00954B65" w:rsidRPr="004D307F"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w:t>
      </w:r>
      <w:r w:rsidR="006E113F" w:rsidRPr="004D307F">
        <w:rPr>
          <w:rFonts w:ascii="VIC-Regular" w:eastAsia="Times New Roman" w:hAnsi="VIC-Regular" w:cs="Times New Roman"/>
          <w:color w:val="011A3C"/>
          <w:sz w:val="24"/>
          <w:szCs w:val="24"/>
          <w:lang w:val="en" w:eastAsia="en-AU"/>
        </w:rPr>
        <w:t xml:space="preserve">rofessional </w:t>
      </w:r>
      <w:r w:rsidRPr="004D307F">
        <w:rPr>
          <w:rFonts w:ascii="VIC-Regular" w:eastAsia="Times New Roman" w:hAnsi="VIC-Regular" w:cs="Times New Roman"/>
          <w:color w:val="011A3C"/>
          <w:sz w:val="24"/>
          <w:szCs w:val="24"/>
          <w:lang w:val="en" w:eastAsia="en-AU"/>
        </w:rPr>
        <w:t>L</w:t>
      </w:r>
      <w:r w:rsidR="006E113F" w:rsidRPr="004D307F">
        <w:rPr>
          <w:rFonts w:ascii="VIC-Regular" w:eastAsia="Times New Roman" w:hAnsi="VIC-Regular" w:cs="Times New Roman"/>
          <w:color w:val="011A3C"/>
          <w:sz w:val="24"/>
          <w:szCs w:val="24"/>
          <w:lang w:val="en" w:eastAsia="en-AU"/>
        </w:rPr>
        <w:t xml:space="preserve">earning </w:t>
      </w:r>
      <w:r w:rsidRPr="004D307F">
        <w:rPr>
          <w:rFonts w:ascii="VIC-Regular" w:eastAsia="Times New Roman" w:hAnsi="VIC-Regular" w:cs="Times New Roman"/>
          <w:color w:val="011A3C"/>
          <w:sz w:val="24"/>
          <w:szCs w:val="24"/>
          <w:lang w:val="en" w:eastAsia="en-AU"/>
        </w:rPr>
        <w:t>C</w:t>
      </w:r>
      <w:r w:rsidR="006E113F" w:rsidRPr="004D307F">
        <w:rPr>
          <w:rFonts w:ascii="VIC-Regular" w:eastAsia="Times New Roman" w:hAnsi="VIC-Regular" w:cs="Times New Roman"/>
          <w:color w:val="011A3C"/>
          <w:sz w:val="24"/>
          <w:szCs w:val="24"/>
          <w:lang w:val="en" w:eastAsia="en-AU"/>
        </w:rPr>
        <w:t>ommunities (PLC)</w:t>
      </w:r>
      <w:r w:rsidRPr="004D307F">
        <w:rPr>
          <w:rFonts w:ascii="VIC-Regular" w:eastAsia="Times New Roman" w:hAnsi="VIC-Regular" w:cs="Times New Roman"/>
          <w:color w:val="011A3C"/>
          <w:sz w:val="24"/>
          <w:szCs w:val="24"/>
          <w:lang w:val="en" w:eastAsia="en-AU"/>
        </w:rPr>
        <w:t xml:space="preserve"> Link Schools are funded to engage in cross school collaboration activities to support the system-wide spreading of effective and impactful PLC practices.</w:t>
      </w:r>
    </w:p>
    <w:p w14:paraId="7C765AC2" w14:textId="6F39B3CD" w:rsidR="00954B65" w:rsidRPr="004D307F" w:rsidRDefault="00954B65" w:rsidP="0057195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6384CDEE" w14:textId="1CD16FD8" w:rsidR="00954B65" w:rsidRPr="004D307F" w:rsidRDefault="007653AF"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49</w:t>
      </w:r>
      <w:r w:rsidR="00954B65" w:rsidRPr="004D307F">
        <w:rPr>
          <w:rFonts w:ascii="VIC-Regular" w:eastAsia="Times New Roman" w:hAnsi="VIC-Regular" w:cs="Times New Roman"/>
          <w:color w:val="011A3C"/>
          <w:sz w:val="24"/>
          <w:szCs w:val="24"/>
          <w:lang w:val="en" w:eastAsia="en-AU"/>
        </w:rPr>
        <w:t xml:space="preserve"> schools (distributed evenly across the state) have been selected as PLC Link Schools for 202</w:t>
      </w:r>
      <w:r w:rsidR="00961B80" w:rsidRPr="004D307F">
        <w:rPr>
          <w:rFonts w:ascii="VIC-Regular" w:eastAsia="Times New Roman" w:hAnsi="VIC-Regular" w:cs="Times New Roman"/>
          <w:color w:val="011A3C"/>
          <w:sz w:val="24"/>
          <w:szCs w:val="24"/>
          <w:lang w:val="en" w:eastAsia="en-AU"/>
        </w:rPr>
        <w:t>2</w:t>
      </w:r>
      <w:r w:rsidR="00954B65" w:rsidRPr="004D307F">
        <w:rPr>
          <w:rFonts w:ascii="VIC-Regular" w:eastAsia="Times New Roman" w:hAnsi="VIC-Regular" w:cs="Times New Roman"/>
          <w:color w:val="011A3C"/>
          <w:sz w:val="24"/>
          <w:szCs w:val="24"/>
          <w:lang w:val="en" w:eastAsia="en-AU"/>
        </w:rPr>
        <w:t>. This includes a combination of Primary, Secondary</w:t>
      </w:r>
      <w:r w:rsidR="00961B80" w:rsidRPr="004D307F">
        <w:rPr>
          <w:rFonts w:ascii="VIC-Regular" w:eastAsia="Times New Roman" w:hAnsi="VIC-Regular" w:cs="Times New Roman"/>
          <w:color w:val="011A3C"/>
          <w:sz w:val="24"/>
          <w:szCs w:val="24"/>
          <w:lang w:val="en" w:eastAsia="en-AU"/>
        </w:rPr>
        <w:t>, P-12</w:t>
      </w:r>
      <w:r w:rsidR="00954B65" w:rsidRPr="004D307F">
        <w:rPr>
          <w:rFonts w:ascii="VIC-Regular" w:eastAsia="Times New Roman" w:hAnsi="VIC-Regular" w:cs="Times New Roman"/>
          <w:color w:val="011A3C"/>
          <w:sz w:val="24"/>
          <w:szCs w:val="24"/>
          <w:lang w:val="en" w:eastAsia="en-AU"/>
        </w:rPr>
        <w:t xml:space="preserve"> and Specialist</w:t>
      </w:r>
      <w:r w:rsidR="00961B80" w:rsidRPr="004D307F">
        <w:rPr>
          <w:rFonts w:ascii="VIC-Regular" w:eastAsia="Times New Roman" w:hAnsi="VIC-Regular" w:cs="Times New Roman"/>
          <w:color w:val="011A3C"/>
          <w:sz w:val="24"/>
          <w:szCs w:val="24"/>
          <w:lang w:val="en" w:eastAsia="en-AU"/>
        </w:rPr>
        <w:t xml:space="preserve"> schools</w:t>
      </w:r>
      <w:r w:rsidR="00954B65" w:rsidRPr="004D307F">
        <w:rPr>
          <w:rFonts w:ascii="VIC-Regular" w:eastAsia="Times New Roman" w:hAnsi="VIC-Regular" w:cs="Times New Roman"/>
          <w:color w:val="011A3C"/>
          <w:sz w:val="24"/>
          <w:szCs w:val="24"/>
          <w:lang w:val="en" w:eastAsia="en-AU"/>
        </w:rPr>
        <w:t xml:space="preserve">. </w:t>
      </w:r>
    </w:p>
    <w:p w14:paraId="2709CD43" w14:textId="77777777" w:rsidR="00961B80" w:rsidRPr="004D307F" w:rsidRDefault="00961B80" w:rsidP="00961B8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PLC Link Schools are:</w:t>
      </w:r>
    </w:p>
    <w:p w14:paraId="3E143DB6" w14:textId="77777777" w:rsidR="00961B80" w:rsidRPr="004D307F" w:rsidRDefault="00961B80" w:rsidP="00ED0863">
      <w:pPr>
        <w:pStyle w:val="ListParagraph"/>
        <w:numPr>
          <w:ilvl w:val="0"/>
          <w:numId w:val="1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selected based on a rigorous selection criterion led by the Executive Directors, School Improvement in consultation with the Senior School improvement Practice Leads (SSIPLs), Senior Education Leaders (SEILs) and PLC Managers</w:t>
      </w:r>
    </w:p>
    <w:p w14:paraId="299035B4" w14:textId="13B3A66D" w:rsidR="00961B80" w:rsidRPr="004D307F" w:rsidRDefault="00961B80" w:rsidP="00ED0863">
      <w:pPr>
        <w:pStyle w:val="ListParagraph"/>
        <w:numPr>
          <w:ilvl w:val="0"/>
          <w:numId w:val="1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endorsed by the Deputy Secretary, Schools and Regional Services </w:t>
      </w:r>
      <w:r w:rsidR="00ED4653" w:rsidRPr="004D307F">
        <w:rPr>
          <w:rFonts w:ascii="VIC-Regular" w:eastAsia="Times New Roman" w:hAnsi="VIC-Regular" w:cs="Times New Roman"/>
          <w:color w:val="011A3C"/>
          <w:sz w:val="24"/>
          <w:szCs w:val="24"/>
          <w:lang w:val="en" w:eastAsia="en-AU"/>
        </w:rPr>
        <w:t>(SRS)</w:t>
      </w:r>
    </w:p>
    <w:p w14:paraId="1C68F1EA" w14:textId="77777777" w:rsidR="00961B80" w:rsidRPr="004D307F" w:rsidRDefault="00961B80" w:rsidP="00961B80">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4D307F">
        <w:rPr>
          <w:rFonts w:ascii="VIC-Regular" w:eastAsia="Times New Roman" w:hAnsi="VIC-Regular" w:cs="Times New Roman"/>
          <w:b/>
          <w:bCs/>
          <w:color w:val="011A3C"/>
          <w:sz w:val="24"/>
          <w:szCs w:val="24"/>
          <w:lang w:val="en" w:eastAsia="en-AU"/>
        </w:rPr>
        <w:t>Implementation support and monitoring</w:t>
      </w:r>
    </w:p>
    <w:p w14:paraId="01156857" w14:textId="77777777" w:rsidR="00961B80" w:rsidRPr="004D307F" w:rsidRDefault="00961B80" w:rsidP="00ED0863">
      <w:pPr>
        <w:pStyle w:val="ListParagraph"/>
        <w:numPr>
          <w:ilvl w:val="0"/>
          <w:numId w:val="1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Professional Learning Communities Unit, SRS facilitates state-wide capability building and resources for PLC Link Schools, and monitors impact at a system level.</w:t>
      </w:r>
    </w:p>
    <w:p w14:paraId="2D508C47" w14:textId="77777777" w:rsidR="00961B80" w:rsidRPr="004D307F" w:rsidRDefault="00961B80" w:rsidP="00ED0863">
      <w:pPr>
        <w:pStyle w:val="ListParagraph"/>
        <w:numPr>
          <w:ilvl w:val="0"/>
          <w:numId w:val="1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PLC Link Schools are supported and monitored by the Area’s PLC Manager, with whom they evaluate and diagnose area needs, set goals for impact, develop and plan intended supports to other PLC schools, and implement and monitor the impact of the plan.</w:t>
      </w:r>
    </w:p>
    <w:p w14:paraId="5CAA0F29" w14:textId="6E046D40" w:rsidR="00954B65" w:rsidRPr="004D307F" w:rsidRDefault="00954B65" w:rsidP="0057195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03147B41" w14:textId="2C34C36B" w:rsidR="00954B65" w:rsidRPr="004D307F"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Credit – </w:t>
      </w:r>
      <w:r w:rsidR="00E42675" w:rsidRPr="004D307F">
        <w:rPr>
          <w:rFonts w:ascii="VIC-Regular" w:eastAsia="Times New Roman" w:hAnsi="VIC-Regular" w:cs="Times New Roman"/>
          <w:color w:val="011A3C"/>
          <w:sz w:val="24"/>
          <w:szCs w:val="24"/>
          <w:lang w:val="en" w:eastAsia="en-AU"/>
        </w:rPr>
        <w:t xml:space="preserve">Approx. </w:t>
      </w:r>
      <w:r w:rsidRPr="004D307F">
        <w:rPr>
          <w:rFonts w:ascii="VIC-Regular" w:eastAsia="Times New Roman" w:hAnsi="VIC-Regular" w:cs="Times New Roman"/>
          <w:color w:val="011A3C"/>
          <w:sz w:val="24"/>
          <w:szCs w:val="24"/>
          <w:lang w:val="en" w:eastAsia="en-AU"/>
        </w:rPr>
        <w:t>0.6 annual salary plus on-costs for 202</w:t>
      </w:r>
      <w:r w:rsidR="00961B80" w:rsidRPr="004D307F">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xml:space="preserve"> school year</w:t>
      </w:r>
      <w:r w:rsidR="00961B80" w:rsidRPr="004D307F">
        <w:rPr>
          <w:rFonts w:ascii="VIC-Regular" w:eastAsia="Times New Roman" w:hAnsi="VIC-Regular" w:cs="Times New Roman"/>
          <w:color w:val="011A3C"/>
          <w:sz w:val="24"/>
          <w:szCs w:val="24"/>
          <w:lang w:val="en" w:eastAsia="en-AU"/>
        </w:rPr>
        <w:t>($</w:t>
      </w:r>
      <w:r w:rsidR="009508E3" w:rsidRPr="004D307F">
        <w:rPr>
          <w:rFonts w:ascii="VIC-Regular" w:eastAsia="Times New Roman" w:hAnsi="VIC-Regular" w:cs="Times New Roman"/>
          <w:color w:val="011A3C"/>
          <w:sz w:val="24"/>
          <w:szCs w:val="24"/>
          <w:lang w:val="en" w:eastAsia="en-AU"/>
        </w:rPr>
        <w:t>75,234.89</w:t>
      </w:r>
      <w:r w:rsidR="00961B80" w:rsidRPr="004D307F">
        <w:rPr>
          <w:rFonts w:ascii="VIC-Regular" w:eastAsia="Times New Roman" w:hAnsi="VIC-Regular" w:cs="Times New Roman"/>
          <w:color w:val="011A3C"/>
          <w:sz w:val="24"/>
          <w:szCs w:val="24"/>
          <w:lang w:val="en" w:eastAsia="en-AU"/>
        </w:rPr>
        <w:t xml:space="preserve"> total)</w:t>
      </w:r>
    </w:p>
    <w:p w14:paraId="43C91A8B" w14:textId="6F63DBF7" w:rsidR="00954B65" w:rsidRPr="004D307F"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Cash – standardi</w:t>
      </w:r>
      <w:r w:rsidR="00961B80" w:rsidRPr="004D307F">
        <w:rPr>
          <w:rFonts w:ascii="VIC-Regular" w:eastAsia="Times New Roman" w:hAnsi="VIC-Regular" w:cs="Times New Roman"/>
          <w:color w:val="011A3C"/>
          <w:sz w:val="24"/>
          <w:szCs w:val="24"/>
          <w:lang w:val="en" w:eastAsia="en-AU"/>
        </w:rPr>
        <w:t>s</w:t>
      </w:r>
      <w:r w:rsidRPr="004D307F">
        <w:rPr>
          <w:rFonts w:ascii="VIC-Regular" w:eastAsia="Times New Roman" w:hAnsi="VIC-Regular" w:cs="Times New Roman"/>
          <w:color w:val="011A3C"/>
          <w:sz w:val="24"/>
          <w:szCs w:val="24"/>
          <w:lang w:val="en" w:eastAsia="en-AU"/>
        </w:rPr>
        <w:t>ed for all participating schools at $</w:t>
      </w:r>
      <w:r w:rsidR="009508E3" w:rsidRPr="004D307F">
        <w:rPr>
          <w:rFonts w:ascii="VIC-Regular" w:eastAsia="Times New Roman" w:hAnsi="VIC-Regular" w:cs="Times New Roman"/>
          <w:color w:val="011A3C"/>
          <w:sz w:val="24"/>
          <w:szCs w:val="24"/>
          <w:lang w:val="en" w:eastAsia="en-AU"/>
        </w:rPr>
        <w:t>24,765.11</w:t>
      </w:r>
      <w:r w:rsidRPr="004D307F">
        <w:rPr>
          <w:rFonts w:ascii="VIC-Regular" w:eastAsia="Times New Roman" w:hAnsi="VIC-Regular" w:cs="Times New Roman"/>
          <w:color w:val="011A3C"/>
          <w:sz w:val="24"/>
          <w:szCs w:val="24"/>
          <w:lang w:val="en" w:eastAsia="en-AU"/>
        </w:rPr>
        <w:t xml:space="preserve"> for the 202</w:t>
      </w:r>
      <w:r w:rsidR="00961B80" w:rsidRPr="004D307F">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xml:space="preserve"> school year</w:t>
      </w:r>
    </w:p>
    <w:p w14:paraId="150C2D9A" w14:textId="3AE01F4B" w:rsidR="00954B65" w:rsidRPr="004D307F" w:rsidRDefault="00954B65" w:rsidP="0057195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w:t>
      </w:r>
    </w:p>
    <w:p w14:paraId="0F3E3508" w14:textId="419BA4E0" w:rsidR="00954B65" w:rsidRPr="004D307F"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Classroom Teacher Classification 2-6 annual salary $108,003.00 — pro-rata for 0.</w:t>
      </w:r>
      <w:r w:rsidR="00961B80" w:rsidRPr="004D307F">
        <w:rPr>
          <w:rFonts w:ascii="VIC-Regular" w:eastAsia="Times New Roman" w:hAnsi="VIC-Regular" w:cs="Times New Roman"/>
          <w:color w:val="011A3C"/>
          <w:sz w:val="24"/>
          <w:szCs w:val="24"/>
          <w:lang w:val="en" w:eastAsia="en-AU"/>
        </w:rPr>
        <w:t>6</w:t>
      </w:r>
      <w:r w:rsidRPr="004D307F">
        <w:rPr>
          <w:rFonts w:ascii="VIC-Regular" w:eastAsia="Times New Roman" w:hAnsi="VIC-Regular" w:cs="Times New Roman"/>
          <w:color w:val="011A3C"/>
          <w:sz w:val="24"/>
          <w:szCs w:val="24"/>
          <w:lang w:val="en" w:eastAsia="en-AU"/>
        </w:rPr>
        <w:t xml:space="preserve"> FTE.</w:t>
      </w:r>
    </w:p>
    <w:p w14:paraId="0B11012A" w14:textId="46588B93" w:rsidR="00ED4653" w:rsidRPr="004D307F" w:rsidRDefault="00ED4653"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More </w:t>
      </w:r>
      <w:r w:rsidR="004A380C">
        <w:rPr>
          <w:rFonts w:ascii="VIC-Regular" w:eastAsia="Times New Roman" w:hAnsi="VIC-Regular" w:cs="Times New Roman"/>
          <w:color w:val="011A3C"/>
          <w:sz w:val="24"/>
          <w:szCs w:val="24"/>
          <w:lang w:val="en" w:eastAsia="en-AU"/>
        </w:rPr>
        <w:t>i</w:t>
      </w:r>
      <w:r w:rsidRPr="004D307F">
        <w:rPr>
          <w:rFonts w:ascii="VIC-Regular" w:eastAsia="Times New Roman" w:hAnsi="VIC-Regular" w:cs="Times New Roman"/>
          <w:color w:val="011A3C"/>
          <w:sz w:val="24"/>
          <w:szCs w:val="24"/>
          <w:lang w:val="en" w:eastAsia="en-AU"/>
        </w:rPr>
        <w:t>nformation</w:t>
      </w:r>
    </w:p>
    <w:p w14:paraId="08218DCE" w14:textId="4CD408C2" w:rsidR="00CB38EB" w:rsidRPr="004D307F" w:rsidRDefault="00901FCB" w:rsidP="00120F19">
      <w:pPr>
        <w:spacing w:before="100" w:beforeAutospacing="1" w:after="100" w:afterAutospacing="1" w:line="360" w:lineRule="atLeast"/>
        <w:rPr>
          <w:rFonts w:asciiTheme="majorHAnsi" w:eastAsia="Calibri" w:hAnsiTheme="majorHAnsi" w:cstheme="majorBidi"/>
          <w:b/>
          <w:color w:val="2F5496" w:themeColor="accent1" w:themeShade="BF"/>
          <w:sz w:val="36"/>
          <w:szCs w:val="26"/>
          <w:lang w:val="en" w:eastAsia="en-AU"/>
        </w:rPr>
      </w:pPr>
      <w:hyperlink r:id="rId181" w:history="1">
        <w:r w:rsidR="00ED4653" w:rsidRPr="004D307F">
          <w:rPr>
            <w:rStyle w:val="Hyperlink"/>
            <w:rFonts w:ascii="VIC-Regular" w:eastAsia="Times New Roman" w:hAnsi="VIC-Regular" w:cs="Times New Roman"/>
            <w:sz w:val="24"/>
            <w:szCs w:val="24"/>
            <w:lang w:val="en" w:eastAsia="en-AU"/>
          </w:rPr>
          <w:t>PLC Link Schools Handbook 202</w:t>
        </w:r>
        <w:r w:rsidR="004A380C">
          <w:rPr>
            <w:rStyle w:val="Hyperlink"/>
            <w:rFonts w:ascii="VIC-Regular" w:eastAsia="Times New Roman" w:hAnsi="VIC-Regular" w:cs="Times New Roman"/>
            <w:sz w:val="24"/>
            <w:szCs w:val="24"/>
            <w:lang w:val="en" w:eastAsia="en-AU"/>
          </w:rPr>
          <w:t>2 (</w:t>
        </w:r>
        <w:r w:rsidR="00A257E0">
          <w:rPr>
            <w:rStyle w:val="Hyperlink"/>
            <w:rFonts w:ascii="VIC-Regular" w:eastAsia="Times New Roman" w:hAnsi="VIC-Regular" w:cs="Times New Roman"/>
            <w:sz w:val="24"/>
            <w:szCs w:val="24"/>
            <w:lang w:val="en" w:eastAsia="en-AU"/>
          </w:rPr>
          <w:t>PDF</w:t>
        </w:r>
        <w:r w:rsidR="004A380C">
          <w:rPr>
            <w:rStyle w:val="Hyperlink"/>
            <w:rFonts w:ascii="VIC-Regular" w:eastAsia="Times New Roman" w:hAnsi="VIC-Regular" w:cs="Times New Roman"/>
            <w:sz w:val="24"/>
            <w:szCs w:val="24"/>
            <w:lang w:val="en" w:eastAsia="en-AU"/>
          </w:rPr>
          <w:t>)</w:t>
        </w:r>
      </w:hyperlink>
      <w:bookmarkStart w:id="121" w:name="_Toc75180317"/>
      <w:bookmarkEnd w:id="120"/>
      <w:r w:rsidR="00CB38EB" w:rsidRPr="004D307F">
        <w:br w:type="page"/>
      </w:r>
    </w:p>
    <w:p w14:paraId="4A36EF07" w14:textId="2A80E23E" w:rsidR="00BA2190" w:rsidRPr="004D307F" w:rsidRDefault="00BB6150" w:rsidP="004D307F">
      <w:pPr>
        <w:pStyle w:val="Heading2"/>
      </w:pPr>
      <w:bookmarkStart w:id="122" w:name="_Toc106793804"/>
      <w:r w:rsidRPr="004D307F">
        <w:lastRenderedPageBreak/>
        <w:t>Primary Mathematics and Science Specialist</w:t>
      </w:r>
      <w:r w:rsidR="00996321">
        <w:t>s</w:t>
      </w:r>
      <w:r w:rsidRPr="004D307F">
        <w:t xml:space="preserve"> Initiative (Reference 125)</w:t>
      </w:r>
      <w:bookmarkEnd w:id="121"/>
      <w:bookmarkEnd w:id="122"/>
    </w:p>
    <w:p w14:paraId="176367A9" w14:textId="3C548A67" w:rsidR="00BB6150" w:rsidRPr="004D307F" w:rsidRDefault="00BB6150"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Primary Mathematics and Science Specialists (PMSS) initiative is a </w:t>
      </w:r>
      <w:r w:rsidR="00996321">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xml:space="preserve"> year program designed to drive whole school change through, generally </w:t>
      </w:r>
      <w:r w:rsidR="00996321">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teachers from a primary school training to become specialists in either science or mathematics.</w:t>
      </w:r>
    </w:p>
    <w:p w14:paraId="5B8C7384" w14:textId="65FCAE91" w:rsidR="00BB6150" w:rsidRPr="004D307F" w:rsidRDefault="00BB6150" w:rsidP="004D307F">
      <w:pPr>
        <w:spacing w:line="360" w:lineRule="atLeast"/>
        <w:rPr>
          <w:rFonts w:ascii="VIC" w:hAnsi="VIC"/>
        </w:rPr>
      </w:pPr>
      <w:r w:rsidRPr="004D307F">
        <w:rPr>
          <w:rFonts w:ascii="VIC" w:hAnsi="VIC"/>
        </w:rPr>
        <w:t xml:space="preserve">The program provides high quality face to face and online professional learning across the </w:t>
      </w:r>
      <w:r w:rsidR="00996321">
        <w:rPr>
          <w:rFonts w:ascii="VIC" w:hAnsi="VIC"/>
        </w:rPr>
        <w:t>2</w:t>
      </w:r>
      <w:r w:rsidRPr="004D307F">
        <w:rPr>
          <w:rFonts w:ascii="VIC" w:hAnsi="VIC"/>
        </w:rPr>
        <w:t xml:space="preserve"> years, including: </w:t>
      </w:r>
    </w:p>
    <w:p w14:paraId="363886D7" w14:textId="0FE99D6C" w:rsidR="00BB6150" w:rsidRPr="004D307F" w:rsidRDefault="00996321" w:rsidP="00ED0863">
      <w:pPr>
        <w:numPr>
          <w:ilvl w:val="0"/>
          <w:numId w:val="81"/>
        </w:numPr>
        <w:spacing w:after="0" w:line="360" w:lineRule="atLeast"/>
        <w:rPr>
          <w:rFonts w:ascii="VIC" w:eastAsia="Times New Roman" w:hAnsi="VIC"/>
        </w:rPr>
      </w:pPr>
      <w:r>
        <w:rPr>
          <w:rFonts w:ascii="VIC" w:eastAsia="Times New Roman" w:hAnsi="VIC"/>
        </w:rPr>
        <w:t>d</w:t>
      </w:r>
      <w:r w:rsidR="00BB6150" w:rsidRPr="004D307F">
        <w:rPr>
          <w:rFonts w:ascii="VIC" w:eastAsia="Times New Roman" w:hAnsi="VIC"/>
        </w:rPr>
        <w:t>evelopment of the individual specialists’ learning and knowledge about the important and key concepts and pedagogies in mathematics / science learning</w:t>
      </w:r>
    </w:p>
    <w:p w14:paraId="3199B18F" w14:textId="5A5C01B5" w:rsidR="00BB6150" w:rsidRPr="004D307F" w:rsidRDefault="00996321" w:rsidP="00ED0863">
      <w:pPr>
        <w:numPr>
          <w:ilvl w:val="0"/>
          <w:numId w:val="81"/>
        </w:numPr>
        <w:spacing w:after="0" w:line="360" w:lineRule="atLeast"/>
        <w:rPr>
          <w:rFonts w:ascii="VIC" w:eastAsia="Times New Roman" w:hAnsi="VIC"/>
        </w:rPr>
      </w:pPr>
      <w:r>
        <w:rPr>
          <w:rFonts w:ascii="VIC" w:eastAsia="Times New Roman" w:hAnsi="VIC"/>
        </w:rPr>
        <w:t>d</w:t>
      </w:r>
      <w:r w:rsidR="00BB6150" w:rsidRPr="004D307F">
        <w:rPr>
          <w:rFonts w:ascii="VIC" w:eastAsia="Times New Roman" w:hAnsi="VIC"/>
        </w:rPr>
        <w:t>evelopment of others – working with teachers at the school level to further develop their practice</w:t>
      </w:r>
    </w:p>
    <w:p w14:paraId="050080E1" w14:textId="5CDC196E" w:rsidR="00BB6150" w:rsidRPr="004D307F" w:rsidRDefault="00996321" w:rsidP="00ED0863">
      <w:pPr>
        <w:numPr>
          <w:ilvl w:val="0"/>
          <w:numId w:val="81"/>
        </w:numPr>
        <w:spacing w:after="0" w:line="360" w:lineRule="atLeast"/>
        <w:rPr>
          <w:rFonts w:ascii="VIC" w:hAnsi="VIC"/>
        </w:rPr>
      </w:pPr>
      <w:r>
        <w:rPr>
          <w:rFonts w:ascii="VIC" w:eastAsia="Times New Roman" w:hAnsi="VIC"/>
        </w:rPr>
        <w:t>d</w:t>
      </w:r>
      <w:r w:rsidR="00BB6150" w:rsidRPr="004D307F">
        <w:rPr>
          <w:rFonts w:ascii="VIC" w:eastAsia="Times New Roman" w:hAnsi="VIC"/>
        </w:rPr>
        <w:t>evelopment of whole school level improvements</w:t>
      </w:r>
      <w:r>
        <w:rPr>
          <w:rFonts w:ascii="VIC" w:eastAsia="Times New Roman" w:hAnsi="VIC"/>
        </w:rPr>
        <w:t>.</w:t>
      </w:r>
    </w:p>
    <w:p w14:paraId="7F5CE478" w14:textId="77777777" w:rsidR="00BB6150" w:rsidRPr="004D307F" w:rsidRDefault="00BB6150" w:rsidP="004D307F">
      <w:pPr>
        <w:spacing w:before="100" w:beforeAutospacing="1" w:after="100" w:afterAutospacing="1" w:line="360"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Eligibility</w:t>
      </w:r>
    </w:p>
    <w:p w14:paraId="29B5BA4B" w14:textId="77777777" w:rsidR="00BB6150" w:rsidRPr="004D307F" w:rsidRDefault="00BB6150" w:rsidP="004D307F">
      <w:pPr>
        <w:spacing w:line="360" w:lineRule="atLeast"/>
        <w:rPr>
          <w:rFonts w:ascii="VIC" w:hAnsi="VIC"/>
        </w:rPr>
      </w:pPr>
      <w:r w:rsidRPr="004D307F">
        <w:rPr>
          <w:rFonts w:ascii="VIC" w:hAnsi="VIC"/>
        </w:rPr>
        <w:t>Each cohort of PMSS is subject to State Budget funding.</w:t>
      </w:r>
    </w:p>
    <w:p w14:paraId="3BB89BE6" w14:textId="77777777" w:rsidR="00BB6150" w:rsidRPr="004D307F" w:rsidRDefault="00BB6150" w:rsidP="004D307F">
      <w:pPr>
        <w:spacing w:line="360" w:lineRule="atLeast"/>
        <w:rPr>
          <w:rFonts w:ascii="VIC" w:hAnsi="VIC"/>
        </w:rPr>
      </w:pPr>
      <w:r w:rsidRPr="004D307F">
        <w:rPr>
          <w:rFonts w:ascii="VIC" w:hAnsi="VIC"/>
        </w:rPr>
        <w:t xml:space="preserve">Schools are selected to be invited to participate in the initiative through school level data and consultation with regional executives. </w:t>
      </w:r>
    </w:p>
    <w:p w14:paraId="3441996D" w14:textId="77777777" w:rsidR="00BB6150" w:rsidRPr="004D307F" w:rsidRDefault="00BB6150" w:rsidP="004D307F">
      <w:pPr>
        <w:spacing w:line="360" w:lineRule="atLeast"/>
        <w:rPr>
          <w:rFonts w:ascii="VIC" w:hAnsi="VIC"/>
        </w:rPr>
      </w:pPr>
      <w:r w:rsidRPr="004D307F">
        <w:rPr>
          <w:rFonts w:ascii="VIC" w:hAnsi="VIC"/>
        </w:rPr>
        <w:t>All schools identified to be invited to participate are formally approved by the Minister for Education.</w:t>
      </w:r>
    </w:p>
    <w:p w14:paraId="53A7C064" w14:textId="77777777" w:rsidR="00BB6150" w:rsidRPr="004D307F" w:rsidRDefault="00BB6150" w:rsidP="004D307F">
      <w:pPr>
        <w:autoSpaceDE w:val="0"/>
        <w:autoSpaceDN w:val="0"/>
        <w:adjustRightInd w:val="0"/>
        <w:spacing w:after="0" w:line="360" w:lineRule="atLeast"/>
        <w:rPr>
          <w:rFonts w:ascii="VIC" w:hAnsi="VIC" w:cs="Calibri"/>
          <w:sz w:val="21"/>
          <w:szCs w:val="21"/>
        </w:rPr>
      </w:pPr>
      <w:r w:rsidRPr="004D307F">
        <w:rPr>
          <w:rFonts w:ascii="VIC" w:hAnsi="VIC" w:cs="Calibri"/>
          <w:sz w:val="21"/>
          <w:szCs w:val="21"/>
        </w:rPr>
        <w:t>Schools for Cohort 6 of this initiative have already undertaken a selection process.</w:t>
      </w:r>
    </w:p>
    <w:p w14:paraId="5D4A22B7" w14:textId="4A2B5ADE" w:rsidR="00BB6150" w:rsidRPr="004D307F" w:rsidRDefault="00BB6150" w:rsidP="004D307F">
      <w:pPr>
        <w:autoSpaceDE w:val="0"/>
        <w:autoSpaceDN w:val="0"/>
        <w:adjustRightInd w:val="0"/>
        <w:spacing w:after="0" w:line="360" w:lineRule="atLeast"/>
        <w:rPr>
          <w:rFonts w:ascii="VIC" w:hAnsi="VIC"/>
        </w:rPr>
      </w:pPr>
      <w:r w:rsidRPr="004D307F">
        <w:rPr>
          <w:rFonts w:ascii="VIC" w:hAnsi="VIC" w:cs="Calibri"/>
          <w:sz w:val="21"/>
          <w:szCs w:val="21"/>
        </w:rPr>
        <w:t>Schools must remain active in the professional learning and evaluation programs and allocate funds as set out in the Letter of Agreement</w:t>
      </w:r>
    </w:p>
    <w:p w14:paraId="0022A6D8" w14:textId="77777777" w:rsidR="00BB6150" w:rsidRPr="004D307F" w:rsidRDefault="00BB6150" w:rsidP="004D307F">
      <w:pPr>
        <w:spacing w:before="100" w:beforeAutospacing="1" w:after="100" w:afterAutospacing="1" w:line="360"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Funding</w:t>
      </w:r>
    </w:p>
    <w:p w14:paraId="4C675036" w14:textId="6284076E" w:rsidR="00BB6150" w:rsidRPr="004D307F" w:rsidRDefault="00BB6150" w:rsidP="004D307F">
      <w:pPr>
        <w:spacing w:line="360" w:lineRule="atLeast"/>
        <w:rPr>
          <w:rFonts w:ascii="VIC" w:hAnsi="VIC"/>
        </w:rPr>
      </w:pPr>
      <w:r w:rsidRPr="004D307F">
        <w:rPr>
          <w:rFonts w:ascii="VIC" w:hAnsi="VIC"/>
        </w:rPr>
        <w:t xml:space="preserve">Schools that are invited to participate in PMSS are provided funding via the Student Resource Package (SRP) to release each participating teacher 0.5 FTE for the </w:t>
      </w:r>
      <w:r w:rsidR="00996321">
        <w:rPr>
          <w:rFonts w:ascii="VIC" w:hAnsi="VIC"/>
        </w:rPr>
        <w:t>2</w:t>
      </w:r>
      <w:r w:rsidRPr="004D307F">
        <w:rPr>
          <w:rFonts w:ascii="VIC" w:hAnsi="VIC"/>
        </w:rPr>
        <w:t xml:space="preserve"> years to support their roles as specialists.</w:t>
      </w:r>
    </w:p>
    <w:p w14:paraId="327CF3BF" w14:textId="7E1DE824" w:rsidR="00BB6150" w:rsidRPr="004D307F" w:rsidRDefault="00BB6150" w:rsidP="004D307F">
      <w:pPr>
        <w:spacing w:line="360" w:lineRule="atLeast"/>
        <w:rPr>
          <w:rFonts w:ascii="VIC" w:hAnsi="VIC"/>
        </w:rPr>
      </w:pPr>
      <w:r w:rsidRPr="004D307F">
        <w:rPr>
          <w:rFonts w:ascii="VIC" w:hAnsi="VIC"/>
        </w:rPr>
        <w:t>Where face to face professional learning occurs, participants from schools that are more than 100</w:t>
      </w:r>
      <w:r w:rsidR="00996321">
        <w:rPr>
          <w:rFonts w:ascii="VIC" w:hAnsi="VIC"/>
        </w:rPr>
        <w:t xml:space="preserve"> </w:t>
      </w:r>
      <w:r w:rsidRPr="004D307F">
        <w:rPr>
          <w:rFonts w:ascii="VIC" w:hAnsi="VIC"/>
        </w:rPr>
        <w:t xml:space="preserve">km from Melbourne are eligible for reimbursement of costs for travel, meals and accommodation to the value of $320 per day. Reimbursements are managed through the </w:t>
      </w:r>
    </w:p>
    <w:p w14:paraId="7E9FBD3A" w14:textId="77777777" w:rsidR="00BB6150" w:rsidRPr="004D307F" w:rsidRDefault="00901FCB" w:rsidP="004D307F">
      <w:pPr>
        <w:spacing w:line="360" w:lineRule="atLeast"/>
        <w:rPr>
          <w:rFonts w:ascii="VIC" w:hAnsi="VIC"/>
        </w:rPr>
      </w:pPr>
      <w:hyperlink r:id="rId182" w:history="1">
        <w:r w:rsidR="00BB6150" w:rsidRPr="004D307F">
          <w:rPr>
            <w:rFonts w:ascii="VIC" w:hAnsi="VIC"/>
            <w:color w:val="0563C1" w:themeColor="hyperlink"/>
            <w:u w:val="single"/>
          </w:rPr>
          <w:t>Schools Targeted Funding Portal</w:t>
        </w:r>
      </w:hyperlink>
      <w:r w:rsidR="00BB6150" w:rsidRPr="004D307F">
        <w:rPr>
          <w:rFonts w:ascii="VIC" w:hAnsi="VIC"/>
        </w:rPr>
        <w:t xml:space="preserve"> </w:t>
      </w:r>
    </w:p>
    <w:p w14:paraId="512B47EA" w14:textId="77777777" w:rsidR="00BB6150" w:rsidRPr="004D307F" w:rsidRDefault="00BB6150" w:rsidP="004D307F">
      <w:pPr>
        <w:spacing w:before="100" w:beforeAutospacing="1" w:after="100" w:afterAutospacing="1" w:line="360"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lastRenderedPageBreak/>
        <w:t xml:space="preserve">Calculation </w:t>
      </w:r>
    </w:p>
    <w:p w14:paraId="0472C0F1" w14:textId="77777777" w:rsidR="00BB6150" w:rsidRPr="004D307F" w:rsidRDefault="00BB6150" w:rsidP="004D307F">
      <w:pPr>
        <w:autoSpaceDE w:val="0"/>
        <w:autoSpaceDN w:val="0"/>
        <w:adjustRightInd w:val="0"/>
        <w:spacing w:after="0" w:line="360" w:lineRule="atLeast"/>
        <w:rPr>
          <w:rFonts w:ascii="VIC" w:hAnsi="VIC" w:cs="Calibri"/>
          <w:sz w:val="21"/>
          <w:szCs w:val="21"/>
        </w:rPr>
      </w:pPr>
      <w:r w:rsidRPr="004D307F">
        <w:rPr>
          <w:rFonts w:ascii="VIC" w:hAnsi="VIC" w:cs="Calibri"/>
          <w:sz w:val="21"/>
          <w:szCs w:val="21"/>
        </w:rPr>
        <w:t>Allocation = number of participating teachers x 0.5 x level 2</w:t>
      </w:r>
      <w:r w:rsidRPr="004D307F">
        <w:rPr>
          <w:rFonts w:ascii="Cambria Math" w:hAnsi="Cambria Math" w:cs="Cambria Math"/>
          <w:sz w:val="21"/>
          <w:szCs w:val="21"/>
        </w:rPr>
        <w:t>‐</w:t>
      </w:r>
      <w:r w:rsidRPr="004D307F">
        <w:rPr>
          <w:rFonts w:ascii="VIC" w:hAnsi="VIC" w:cs="Calibri"/>
          <w:sz w:val="21"/>
          <w:szCs w:val="21"/>
        </w:rPr>
        <w:t>6 salary + on</w:t>
      </w:r>
      <w:r w:rsidRPr="004D307F">
        <w:rPr>
          <w:rFonts w:ascii="Cambria Math" w:hAnsi="Cambria Math" w:cs="Cambria Math"/>
          <w:sz w:val="21"/>
          <w:szCs w:val="21"/>
        </w:rPr>
        <w:t>‐</w:t>
      </w:r>
      <w:r w:rsidRPr="004D307F">
        <w:rPr>
          <w:rFonts w:ascii="VIC" w:hAnsi="VIC" w:cs="Calibri"/>
          <w:sz w:val="21"/>
          <w:szCs w:val="21"/>
        </w:rPr>
        <w:t>costs</w:t>
      </w:r>
    </w:p>
    <w:p w14:paraId="4160845D" w14:textId="77777777" w:rsidR="00BB6150" w:rsidRPr="004D307F" w:rsidRDefault="00BB6150" w:rsidP="004D307F">
      <w:pPr>
        <w:spacing w:line="360" w:lineRule="atLeast"/>
        <w:rPr>
          <w:rFonts w:ascii="VIC" w:hAnsi="VIC"/>
        </w:rPr>
      </w:pPr>
      <w:r w:rsidRPr="004D307F">
        <w:rPr>
          <w:rFonts w:ascii="VIC" w:hAnsi="VIC" w:cs="Calibri"/>
          <w:sz w:val="21"/>
          <w:szCs w:val="21"/>
        </w:rPr>
        <w:t>That is $65,695 per year for each participating teacher.</w:t>
      </w:r>
    </w:p>
    <w:p w14:paraId="2EC2C112" w14:textId="77777777" w:rsidR="00BB6150" w:rsidRPr="004D307F" w:rsidRDefault="00BB6150" w:rsidP="00BB6150"/>
    <w:p w14:paraId="0075AEDA" w14:textId="77777777" w:rsidR="00BB6150" w:rsidRPr="004D307F" w:rsidRDefault="00BB6150" w:rsidP="00BB6150"/>
    <w:p w14:paraId="206845B4" w14:textId="77777777" w:rsidR="00CB38EB" w:rsidRPr="004D307F" w:rsidRDefault="00CB38EB">
      <w:pPr>
        <w:rPr>
          <w:rFonts w:asciiTheme="majorHAnsi" w:eastAsia="Calibri" w:hAnsiTheme="majorHAnsi" w:cstheme="majorBidi"/>
          <w:b/>
          <w:color w:val="2F5496" w:themeColor="accent1" w:themeShade="BF"/>
          <w:sz w:val="36"/>
          <w:szCs w:val="26"/>
          <w:lang w:val="en" w:eastAsia="en-AU"/>
        </w:rPr>
      </w:pPr>
      <w:bookmarkStart w:id="123" w:name="_Toc75180325"/>
      <w:r w:rsidRPr="004D307F">
        <w:br w:type="page"/>
      </w:r>
    </w:p>
    <w:p w14:paraId="3DC19678" w14:textId="1BE0F6C9" w:rsidR="00BB6150" w:rsidRPr="004D307F" w:rsidRDefault="00BB6150" w:rsidP="004D307F">
      <w:pPr>
        <w:pStyle w:val="Heading2"/>
      </w:pPr>
      <w:bookmarkStart w:id="124" w:name="_Toc106793805"/>
      <w:r w:rsidRPr="004D307F">
        <w:lastRenderedPageBreak/>
        <w:t>Secondary Mathematics and Science Initiative (Reference 133)</w:t>
      </w:r>
      <w:bookmarkEnd w:id="123"/>
      <w:bookmarkEnd w:id="124"/>
    </w:p>
    <w:p w14:paraId="5C833CC2" w14:textId="77777777" w:rsidR="00BB6150" w:rsidRPr="004D307F" w:rsidRDefault="00BB6150"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Secondary Mathematics and Science Initiative is for out</w:t>
      </w:r>
      <w:r w:rsidRPr="004D307F">
        <w:rPr>
          <w:rFonts w:ascii="Cambria Math" w:eastAsia="Times New Roman" w:hAnsi="Cambria Math" w:cs="Cambria Math"/>
          <w:color w:val="011A3C"/>
          <w:sz w:val="24"/>
          <w:szCs w:val="24"/>
          <w:lang w:val="en" w:eastAsia="en-AU"/>
        </w:rPr>
        <w:t>‐</w:t>
      </w:r>
      <w:r w:rsidRPr="004D307F">
        <w:rPr>
          <w:rFonts w:ascii="VIC-Regular" w:eastAsia="Times New Roman" w:hAnsi="VIC-Regular" w:cs="Times New Roman"/>
          <w:color w:val="011A3C"/>
          <w:sz w:val="24"/>
          <w:szCs w:val="24"/>
          <w:lang w:val="en" w:eastAsia="en-AU"/>
        </w:rPr>
        <w:t>of</w:t>
      </w:r>
      <w:r w:rsidRPr="004D307F">
        <w:rPr>
          <w:rFonts w:ascii="Cambria Math" w:eastAsia="Times New Roman" w:hAnsi="Cambria Math" w:cs="Cambria Math"/>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field teachers. It has been developed to help address current workforce challenges in the teaching of mathematics and science in secondary schools.  </w:t>
      </w:r>
    </w:p>
    <w:p w14:paraId="31BED40A" w14:textId="77777777" w:rsidR="00BB6150" w:rsidRPr="004D307F" w:rsidRDefault="00BB6150" w:rsidP="00BB6150">
      <w:pPr>
        <w:autoSpaceDE w:val="0"/>
        <w:autoSpaceDN w:val="0"/>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Teachers who are currently teaching out</w:t>
      </w:r>
      <w:r w:rsidRPr="004D307F">
        <w:rPr>
          <w:rFonts w:ascii="Cambria Math" w:eastAsia="Times New Roman" w:hAnsi="Cambria Math" w:cs="Cambria Math"/>
          <w:color w:val="011A3C"/>
          <w:sz w:val="24"/>
          <w:szCs w:val="24"/>
          <w:lang w:val="en" w:eastAsia="en-AU"/>
        </w:rPr>
        <w:t>‐</w:t>
      </w:r>
      <w:r w:rsidRPr="004D307F">
        <w:rPr>
          <w:rFonts w:ascii="VIC-Regular" w:eastAsia="Times New Roman" w:hAnsi="VIC-Regular" w:cs="Times New Roman"/>
          <w:color w:val="011A3C"/>
          <w:sz w:val="24"/>
          <w:szCs w:val="24"/>
          <w:lang w:val="en" w:eastAsia="en-AU"/>
        </w:rPr>
        <w:t>of</w:t>
      </w:r>
      <w:r w:rsidRPr="004D307F">
        <w:rPr>
          <w:rFonts w:ascii="Cambria Math" w:eastAsia="Times New Roman" w:hAnsi="Cambria Math" w:cs="Cambria Math"/>
          <w:color w:val="011A3C"/>
          <w:sz w:val="24"/>
          <w:szCs w:val="24"/>
          <w:lang w:val="en" w:eastAsia="en-AU"/>
        </w:rPr>
        <w:t>‐</w:t>
      </w:r>
      <w:r w:rsidRPr="004D307F">
        <w:rPr>
          <w:rFonts w:ascii="VIC-Regular" w:eastAsia="Times New Roman" w:hAnsi="VIC-Regular" w:cs="Times New Roman"/>
          <w:color w:val="011A3C"/>
          <w:sz w:val="24"/>
          <w:szCs w:val="24"/>
          <w:lang w:val="en" w:eastAsia="en-AU"/>
        </w:rPr>
        <w:t>field will be supported to become in field in 2022. Over 2022, teachers will undertake a graduate certificate in mathematics or science education.</w:t>
      </w:r>
    </w:p>
    <w:p w14:paraId="00D95D40" w14:textId="77777777" w:rsidR="00BB6150" w:rsidRPr="004D307F" w:rsidRDefault="00BB6150" w:rsidP="00BB615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Eligibility</w:t>
      </w:r>
    </w:p>
    <w:p w14:paraId="2DDB1D05" w14:textId="77777777" w:rsidR="00BB6150" w:rsidRPr="004D307F" w:rsidRDefault="00BB6150" w:rsidP="00BB615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with the following school type are eligible for the Secondary Mathematics and Science Specialists Initiative at school level.</w:t>
      </w:r>
    </w:p>
    <w:p w14:paraId="49F50835" w14:textId="77777777" w:rsidR="00BB6150" w:rsidRPr="004D307F" w:rsidRDefault="00BB6150" w:rsidP="00BB6150">
      <w:pPr>
        <w:numPr>
          <w:ilvl w:val="0"/>
          <w:numId w:val="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Secondary</w:t>
      </w:r>
    </w:p>
    <w:p w14:paraId="5848B1DB" w14:textId="77777777" w:rsidR="00BB6150" w:rsidRPr="004D307F" w:rsidRDefault="00BB6150" w:rsidP="00BB6150">
      <w:pPr>
        <w:numPr>
          <w:ilvl w:val="0"/>
          <w:numId w:val="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Primary/Secondary Combined</w:t>
      </w:r>
    </w:p>
    <w:p w14:paraId="4E817F75" w14:textId="3C587098" w:rsidR="00BB6150" w:rsidRPr="004D307F" w:rsidRDefault="00BB6150" w:rsidP="004D307F">
      <w:pPr>
        <w:spacing w:before="100" w:beforeAutospacing="1" w:after="100" w:afterAutospacing="1" w:line="360" w:lineRule="atLeast"/>
        <w:rPr>
          <w:rFonts w:ascii="VIC" w:hAnsi="VIC"/>
          <w:sz w:val="21"/>
          <w:szCs w:val="21"/>
        </w:rPr>
      </w:pPr>
      <w:r w:rsidRPr="004D307F">
        <w:rPr>
          <w:rFonts w:ascii="VIC" w:eastAsia="Times New Roman" w:hAnsi="VIC" w:cs="Times New Roman"/>
          <w:color w:val="011A3C"/>
          <w:sz w:val="24"/>
          <w:szCs w:val="24"/>
          <w:lang w:val="en" w:eastAsia="en-AU"/>
        </w:rPr>
        <w:t>Funding is calculated at the Confirmed and Revised budget cycles and provided through credit funding.</w:t>
      </w:r>
    </w:p>
    <w:p w14:paraId="590384BE" w14:textId="77777777" w:rsidR="00BB6150" w:rsidRPr="004D307F" w:rsidRDefault="00BB6150" w:rsidP="00BB615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 xml:space="preserve">Calculation </w:t>
      </w:r>
    </w:p>
    <w:p w14:paraId="157EE7D8" w14:textId="3A08B458" w:rsidR="00BB6150" w:rsidRPr="004D307F" w:rsidRDefault="00BB6150" w:rsidP="00BB6150">
      <w:pPr>
        <w:autoSpaceDE w:val="0"/>
        <w:autoSpaceDN w:val="0"/>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Funding Allocation = Number of participating teachers x 0.2 x level 2</w:t>
      </w:r>
      <w:r w:rsidRPr="004D307F">
        <w:rPr>
          <w:rFonts w:ascii="Cambria Math" w:eastAsia="Times New Roman" w:hAnsi="Cambria Math" w:cs="Cambria Math"/>
          <w:color w:val="011A3C"/>
          <w:sz w:val="24"/>
          <w:szCs w:val="24"/>
          <w:lang w:val="en" w:eastAsia="en-AU"/>
        </w:rPr>
        <w:t>‐</w:t>
      </w:r>
      <w:r w:rsidRPr="004D307F">
        <w:rPr>
          <w:rFonts w:ascii="VIC" w:eastAsia="Times New Roman" w:hAnsi="VIC" w:cs="Times New Roman"/>
          <w:color w:val="011A3C"/>
          <w:sz w:val="24"/>
          <w:szCs w:val="24"/>
          <w:lang w:val="en" w:eastAsia="en-AU"/>
        </w:rPr>
        <w:t>6 salary + on</w:t>
      </w:r>
      <w:r w:rsidRPr="004D307F">
        <w:rPr>
          <w:rFonts w:ascii="Cambria Math" w:eastAsia="Times New Roman" w:hAnsi="Cambria Math" w:cs="Cambria Math"/>
          <w:color w:val="011A3C"/>
          <w:sz w:val="24"/>
          <w:szCs w:val="24"/>
          <w:lang w:val="en" w:eastAsia="en-AU"/>
        </w:rPr>
        <w:t>‐</w:t>
      </w:r>
      <w:r w:rsidRPr="004D307F">
        <w:rPr>
          <w:rFonts w:ascii="VIC" w:eastAsia="Times New Roman" w:hAnsi="VIC" w:cs="Times New Roman"/>
          <w:color w:val="011A3C"/>
          <w:sz w:val="24"/>
          <w:szCs w:val="24"/>
          <w:lang w:val="en" w:eastAsia="en-AU"/>
        </w:rPr>
        <w:t>costs. This totals $26,039.52 per year for each participating teacher*.</w:t>
      </w:r>
    </w:p>
    <w:p w14:paraId="06C0705C" w14:textId="7AB710EC" w:rsidR="002F58F8" w:rsidRPr="004D307F" w:rsidRDefault="00BB6150" w:rsidP="002F58F8">
      <w:r w:rsidRPr="004D307F">
        <w:rPr>
          <w:rFonts w:ascii="VIC" w:eastAsia="Times New Roman" w:hAnsi="VIC" w:cs="Times New Roman"/>
          <w:color w:val="011A3C"/>
          <w:sz w:val="24"/>
          <w:szCs w:val="24"/>
          <w:lang w:val="en" w:eastAsia="en-AU"/>
        </w:rPr>
        <w:t xml:space="preserve">*There are </w:t>
      </w:r>
      <w:r w:rsidR="009607D7">
        <w:rPr>
          <w:rFonts w:ascii="VIC" w:eastAsia="Times New Roman" w:hAnsi="VIC" w:cs="Times New Roman"/>
          <w:color w:val="011A3C"/>
          <w:sz w:val="24"/>
          <w:szCs w:val="24"/>
          <w:lang w:val="en" w:eastAsia="en-AU"/>
        </w:rPr>
        <w:t>3</w:t>
      </w:r>
      <w:r w:rsidRPr="004D307F">
        <w:rPr>
          <w:rFonts w:ascii="VIC" w:eastAsia="Times New Roman" w:hAnsi="VIC" w:cs="Times New Roman"/>
          <w:color w:val="011A3C"/>
          <w:sz w:val="24"/>
          <w:szCs w:val="24"/>
          <w:lang w:val="en" w:eastAsia="en-AU"/>
        </w:rPr>
        <w:t xml:space="preserve"> participants who are receiving x 0.1 x level 2</w:t>
      </w:r>
      <w:r w:rsidRPr="004D307F">
        <w:rPr>
          <w:rFonts w:ascii="Cambria Math" w:eastAsia="Times New Roman" w:hAnsi="Cambria Math" w:cs="Cambria Math"/>
          <w:color w:val="011A3C"/>
          <w:sz w:val="24"/>
          <w:szCs w:val="24"/>
          <w:lang w:val="en" w:eastAsia="en-AU"/>
        </w:rPr>
        <w:t>‐</w:t>
      </w:r>
      <w:r w:rsidRPr="004D307F">
        <w:rPr>
          <w:rFonts w:ascii="VIC" w:eastAsia="Times New Roman" w:hAnsi="VIC" w:cs="Times New Roman"/>
          <w:color w:val="011A3C"/>
          <w:sz w:val="24"/>
          <w:szCs w:val="24"/>
          <w:lang w:val="en" w:eastAsia="en-AU"/>
        </w:rPr>
        <w:t>6 salary + on</w:t>
      </w:r>
      <w:r w:rsidRPr="004D307F">
        <w:rPr>
          <w:rFonts w:ascii="Cambria Math" w:eastAsia="Times New Roman" w:hAnsi="Cambria Math" w:cs="Cambria Math"/>
          <w:color w:val="011A3C"/>
          <w:sz w:val="24"/>
          <w:szCs w:val="24"/>
          <w:lang w:val="en" w:eastAsia="en-AU"/>
        </w:rPr>
        <w:t>‐</w:t>
      </w:r>
      <w:r w:rsidRPr="004D307F">
        <w:rPr>
          <w:rFonts w:ascii="VIC" w:eastAsia="Times New Roman" w:hAnsi="VIC" w:cs="Times New Roman"/>
          <w:color w:val="011A3C"/>
          <w:sz w:val="24"/>
          <w:szCs w:val="24"/>
          <w:lang w:val="en" w:eastAsia="en-AU"/>
        </w:rPr>
        <w:t>costs. This totals $12,539.15.</w:t>
      </w:r>
    </w:p>
    <w:p w14:paraId="085BC73F" w14:textId="77777777" w:rsidR="00CB38EB" w:rsidRPr="004D307F" w:rsidRDefault="00CB38EB">
      <w:pPr>
        <w:rPr>
          <w:rFonts w:asciiTheme="majorHAnsi" w:eastAsia="Calibri" w:hAnsiTheme="majorHAnsi" w:cstheme="majorBidi"/>
          <w:b/>
          <w:color w:val="2F5496" w:themeColor="accent1" w:themeShade="BF"/>
          <w:sz w:val="36"/>
          <w:szCs w:val="26"/>
          <w:lang w:val="en" w:eastAsia="en-AU"/>
        </w:rPr>
      </w:pPr>
      <w:r w:rsidRPr="004D307F">
        <w:br w:type="page"/>
      </w:r>
    </w:p>
    <w:p w14:paraId="5159B8E7" w14:textId="7BEB2E4A" w:rsidR="00341AB0" w:rsidRPr="004D307F" w:rsidRDefault="00341AB0" w:rsidP="00B566E7">
      <w:pPr>
        <w:pStyle w:val="Heading2"/>
      </w:pPr>
      <w:bookmarkStart w:id="125" w:name="_Toc106793806"/>
      <w:r w:rsidRPr="004D307F">
        <w:lastRenderedPageBreak/>
        <w:t>Transition Funding (Rural) (Ref</w:t>
      </w:r>
      <w:r w:rsidR="004A6878" w:rsidRPr="004D307F">
        <w:t>erence</w:t>
      </w:r>
      <w:r w:rsidRPr="004D307F">
        <w:t xml:space="preserve"> 126)</w:t>
      </w:r>
      <w:bookmarkEnd w:id="125"/>
    </w:p>
    <w:p w14:paraId="617A0951" w14:textId="77777777" w:rsidR="007E0BC0" w:rsidRPr="004D307F" w:rsidRDefault="007E0BC0"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Transition Funding (Rural) is intended to provide time-limited support to schools most affected by changes to Rural School Size Adjustment Factor (RSAF), Location Index Funding (LIF) and Country Area Program grant (CAP) eligibility as a result of updated geographic boundaries.</w:t>
      </w:r>
    </w:p>
    <w:p w14:paraId="21C45719" w14:textId="77777777" w:rsidR="007E0BC0" w:rsidRPr="004D307F" w:rsidRDefault="007E0BC0" w:rsidP="007E0B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Funding and Eligibility</w:t>
      </w:r>
    </w:p>
    <w:p w14:paraId="044E186D" w14:textId="77777777" w:rsidR="007E0BC0" w:rsidRPr="004D307F" w:rsidRDefault="007E0BC0" w:rsidP="007E0B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are eligible to receive Transition Funding (Rural) if they meet all the following eligibility criteria:</w:t>
      </w:r>
    </w:p>
    <w:p w14:paraId="430BC5DE" w14:textId="77777777" w:rsidR="007E0BC0" w:rsidRPr="004D307F" w:rsidRDefault="007E0BC0" w:rsidP="00ED0863">
      <w:pPr>
        <w:numPr>
          <w:ilvl w:val="0"/>
          <w:numId w:val="81"/>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face a reduction in funding of greater than $25,000 in 2021 as a result of changes to RSAF, LIF and CAP eligibility from the use of updated geographic boundaries</w:t>
      </w:r>
    </w:p>
    <w:p w14:paraId="35B2BF4C" w14:textId="00E98DFE" w:rsidR="007E0BC0" w:rsidRPr="004D307F" w:rsidRDefault="007E0BC0" w:rsidP="00ED0863">
      <w:pPr>
        <w:numPr>
          <w:ilvl w:val="0"/>
          <w:numId w:val="81"/>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their 2021 </w:t>
      </w:r>
      <w:r w:rsidR="009A130D" w:rsidRPr="004D307F">
        <w:rPr>
          <w:rFonts w:ascii="VIC-Regular" w:eastAsia="Times New Roman" w:hAnsi="VIC-Regular" w:cs="Times New Roman"/>
          <w:color w:val="011A3C"/>
          <w:sz w:val="24"/>
          <w:szCs w:val="24"/>
          <w:lang w:val="en" w:eastAsia="en-AU"/>
        </w:rPr>
        <w:t>Student Resource Package (</w:t>
      </w:r>
      <w:r w:rsidRPr="004D307F">
        <w:rPr>
          <w:rFonts w:ascii="VIC-Regular" w:eastAsia="Times New Roman" w:hAnsi="VIC-Regular" w:cs="Times New Roman"/>
          <w:color w:val="011A3C"/>
          <w:sz w:val="24"/>
          <w:szCs w:val="24"/>
          <w:lang w:val="en" w:eastAsia="en-AU"/>
        </w:rPr>
        <w:t>SRP</w:t>
      </w:r>
      <w:r w:rsidR="009A130D"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 allocation is less than their 2020 SRP allocation</w:t>
      </w:r>
    </w:p>
    <w:p w14:paraId="2561A4CC" w14:textId="77777777" w:rsidR="007E0BC0" w:rsidRPr="004D307F" w:rsidRDefault="007E0BC0" w:rsidP="007E0BC0">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4D307F">
        <w:rPr>
          <w:rFonts w:ascii="VIC-Regular" w:eastAsia="Times New Roman" w:hAnsi="VIC-Regular" w:cs="Times New Roman"/>
          <w:b/>
          <w:bCs/>
          <w:color w:val="011A3C"/>
          <w:sz w:val="24"/>
          <w:szCs w:val="24"/>
          <w:lang w:val="en" w:eastAsia="en-AU"/>
        </w:rPr>
        <w:t>Calculation and formula</w:t>
      </w:r>
    </w:p>
    <w:p w14:paraId="2DFBE5F3" w14:textId="77777777" w:rsidR="007E0BC0" w:rsidRPr="004D307F" w:rsidRDefault="007E0BC0" w:rsidP="007E0B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Allocation = 2020 SRP (campus level) allocation – 2021 SRP (campus level) allocation</w:t>
      </w:r>
    </w:p>
    <w:p w14:paraId="33B16BD4" w14:textId="77777777" w:rsidR="007E0BC0" w:rsidRPr="004D307F" w:rsidRDefault="007E0BC0" w:rsidP="007E0B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Note: The Transition Funding (Rural) allocation for a school campus has a maximum defined by:</w:t>
      </w:r>
    </w:p>
    <w:p w14:paraId="3882619C" w14:textId="77777777" w:rsidR="007E0BC0" w:rsidRPr="004D307F" w:rsidRDefault="007E0BC0" w:rsidP="00ED0863">
      <w:pPr>
        <w:numPr>
          <w:ilvl w:val="0"/>
          <w:numId w:val="81"/>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funding reduction in 2021 as a result of changes to RSAF, LIF and CAP eligibility from the use of updated geographic boundaries</w:t>
      </w:r>
    </w:p>
    <w:p w14:paraId="7CE75CFC" w14:textId="77777777" w:rsidR="007E0BC0" w:rsidRPr="004D307F" w:rsidRDefault="007E0BC0" w:rsidP="007E0BC0">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4D307F">
        <w:rPr>
          <w:rFonts w:ascii="VIC-Regular" w:eastAsia="Times New Roman" w:hAnsi="VIC-Regular" w:cs="Times New Roman"/>
          <w:b/>
          <w:bCs/>
          <w:color w:val="011A3C"/>
          <w:sz w:val="24"/>
          <w:szCs w:val="24"/>
          <w:lang w:val="en" w:eastAsia="en-AU"/>
        </w:rPr>
        <w:t>Eligible School Types:</w:t>
      </w:r>
    </w:p>
    <w:p w14:paraId="52E71C0B" w14:textId="77777777" w:rsidR="007E0BC0" w:rsidRPr="004D307F" w:rsidRDefault="007E0BC0" w:rsidP="007E0B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As per eligibility for:</w:t>
      </w:r>
    </w:p>
    <w:p w14:paraId="072BAC70" w14:textId="77777777" w:rsidR="007E0BC0" w:rsidRPr="004D307F" w:rsidRDefault="007E0BC0" w:rsidP="00ED0863">
      <w:pPr>
        <w:numPr>
          <w:ilvl w:val="0"/>
          <w:numId w:val="81"/>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Rural School Size Adjustment Factor (RSAF), </w:t>
      </w:r>
    </w:p>
    <w:p w14:paraId="31830161" w14:textId="77777777" w:rsidR="007E0BC0" w:rsidRPr="004D307F" w:rsidRDefault="007E0BC0" w:rsidP="00ED0863">
      <w:pPr>
        <w:numPr>
          <w:ilvl w:val="0"/>
          <w:numId w:val="81"/>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Location Index Funding (LIF) and </w:t>
      </w:r>
    </w:p>
    <w:p w14:paraId="09D8C507" w14:textId="77777777" w:rsidR="007E0BC0" w:rsidRPr="004D307F" w:rsidRDefault="007E0BC0" w:rsidP="00ED0863">
      <w:pPr>
        <w:numPr>
          <w:ilvl w:val="0"/>
          <w:numId w:val="81"/>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Country Area Program grant (CAP)</w:t>
      </w:r>
    </w:p>
    <w:p w14:paraId="5C0B4867" w14:textId="77777777" w:rsidR="007E0BC0" w:rsidRPr="004D307F" w:rsidRDefault="007E0BC0" w:rsidP="007E0BC0"/>
    <w:p w14:paraId="37E56D5D" w14:textId="77777777" w:rsidR="007E0BC0" w:rsidRPr="004D307F" w:rsidRDefault="007E0BC0" w:rsidP="007E0BC0">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will be based on the 2021 transitioning position of the eligible school, funding is allocated through a mix of credit and cash funding.</w:t>
      </w:r>
    </w:p>
    <w:p w14:paraId="77A1495F" w14:textId="19915825" w:rsidR="007E0BC0" w:rsidRPr="004D307F" w:rsidRDefault="007E0BC0" w:rsidP="007E0BC0">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for transition is time limited and will reduce annually. The table below outlines the transition funding reduction over the transition </w:t>
      </w:r>
      <w:r w:rsidR="00E47D1A" w:rsidRPr="004D307F">
        <w:rPr>
          <w:rFonts w:ascii="VIC-Regular" w:eastAsia="Times New Roman" w:hAnsi="VIC-Regular" w:cs="Times New Roman"/>
          <w:color w:val="011A3C"/>
          <w:sz w:val="24"/>
          <w:szCs w:val="24"/>
          <w:lang w:val="en" w:eastAsia="en-AU"/>
        </w:rPr>
        <w:t>period, in 2022 Schools transition funding will represent 75 per cent of the previous year transition</w:t>
      </w:r>
      <w:r w:rsidRPr="004D307F">
        <w:rPr>
          <w:rFonts w:ascii="VIC-Regular" w:eastAsia="Times New Roman" w:hAnsi="VIC-Regular" w:cs="Times New Roman"/>
          <w:color w:val="011A3C"/>
          <w:sz w:val="24"/>
          <w:szCs w:val="24"/>
          <w:lang w:val="en" w:eastAsia="en-AU"/>
        </w:rPr>
        <w:t>:</w:t>
      </w:r>
    </w:p>
    <w:tbl>
      <w:tblPr>
        <w:tblStyle w:val="TableGrid"/>
        <w:tblW w:w="0" w:type="auto"/>
        <w:tblInd w:w="0" w:type="dxa"/>
        <w:tblLook w:val="04A0" w:firstRow="1" w:lastRow="0" w:firstColumn="1" w:lastColumn="0" w:noHBand="0" w:noVBand="1"/>
      </w:tblPr>
      <w:tblGrid>
        <w:gridCol w:w="1223"/>
        <w:gridCol w:w="1223"/>
        <w:gridCol w:w="1223"/>
        <w:gridCol w:w="1223"/>
        <w:gridCol w:w="1223"/>
      </w:tblGrid>
      <w:tr w:rsidR="007E0BC0" w:rsidRPr="004D307F" w14:paraId="0E83405A" w14:textId="77777777" w:rsidTr="00C116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188B162" w14:textId="77777777" w:rsidR="007E0BC0" w:rsidRPr="004D307F" w:rsidRDefault="007E0BC0" w:rsidP="0034555D">
            <w:pPr>
              <w:jc w:val="center"/>
              <w:rPr>
                <w:rFonts w:ascii="VIC-Regular" w:eastAsia="Times New Roman" w:hAnsi="VIC-Regular" w:cs="Times New Roman"/>
                <w:color w:val="011A3C"/>
                <w:sz w:val="24"/>
                <w:lang w:val="en" w:eastAsia="en-AU"/>
              </w:rPr>
            </w:pPr>
            <w:r w:rsidRPr="004D307F">
              <w:rPr>
                <w:rFonts w:ascii="VIC-Regular" w:eastAsia="Times New Roman" w:hAnsi="VIC-Regular" w:cs="Times New Roman"/>
                <w:color w:val="011A3C"/>
                <w:sz w:val="24"/>
                <w:lang w:val="en" w:eastAsia="en-AU"/>
              </w:rPr>
              <w:t xml:space="preserve">2021 Transition </w:t>
            </w:r>
            <w:r w:rsidRPr="004D307F">
              <w:rPr>
                <w:rFonts w:ascii="VIC-Regular" w:eastAsia="Times New Roman" w:hAnsi="VIC-Regular" w:cs="Times New Roman"/>
                <w:color w:val="011A3C"/>
                <w:sz w:val="24"/>
                <w:lang w:val="en" w:eastAsia="en-AU"/>
              </w:rPr>
              <w:lastRenderedPageBreak/>
              <w:t>Funding allocated</w:t>
            </w:r>
          </w:p>
        </w:tc>
        <w:tc>
          <w:tcPr>
            <w:tcW w:w="0" w:type="dxa"/>
            <w:shd w:val="clear" w:color="auto" w:fill="00B050"/>
          </w:tcPr>
          <w:p w14:paraId="7409B76B" w14:textId="77777777" w:rsidR="007E0BC0" w:rsidRPr="004D307F" w:rsidRDefault="007E0BC0" w:rsidP="0034555D">
            <w:pPr>
              <w:jc w:val="center"/>
              <w:cnfStyle w:val="100000000000" w:firstRow="1"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sidRPr="004D307F">
              <w:rPr>
                <w:rFonts w:ascii="VIC-Regular" w:eastAsia="Times New Roman" w:hAnsi="VIC-Regular" w:cs="Times New Roman"/>
                <w:color w:val="011A3C"/>
                <w:sz w:val="24"/>
                <w:lang w:val="en" w:eastAsia="en-AU"/>
              </w:rPr>
              <w:lastRenderedPageBreak/>
              <w:t xml:space="preserve">2022 Transition </w:t>
            </w:r>
            <w:r w:rsidRPr="004D307F">
              <w:rPr>
                <w:rFonts w:ascii="VIC-Regular" w:eastAsia="Times New Roman" w:hAnsi="VIC-Regular" w:cs="Times New Roman"/>
                <w:color w:val="011A3C"/>
                <w:sz w:val="24"/>
                <w:lang w:val="en" w:eastAsia="en-AU"/>
              </w:rPr>
              <w:lastRenderedPageBreak/>
              <w:t>Funding allocated</w:t>
            </w:r>
          </w:p>
        </w:tc>
        <w:tc>
          <w:tcPr>
            <w:tcW w:w="0" w:type="dxa"/>
          </w:tcPr>
          <w:p w14:paraId="33CE7444" w14:textId="77777777" w:rsidR="007E0BC0" w:rsidRPr="004D307F" w:rsidRDefault="007E0BC0" w:rsidP="0034555D">
            <w:pPr>
              <w:jc w:val="center"/>
              <w:cnfStyle w:val="100000000000" w:firstRow="1"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sidRPr="004D307F">
              <w:rPr>
                <w:rFonts w:ascii="VIC-Regular" w:eastAsia="Times New Roman" w:hAnsi="VIC-Regular" w:cs="Times New Roman"/>
                <w:color w:val="011A3C"/>
                <w:sz w:val="24"/>
                <w:lang w:val="en" w:eastAsia="en-AU"/>
              </w:rPr>
              <w:lastRenderedPageBreak/>
              <w:t xml:space="preserve">2023 Transition </w:t>
            </w:r>
            <w:r w:rsidRPr="004D307F">
              <w:rPr>
                <w:rFonts w:ascii="VIC-Regular" w:eastAsia="Times New Roman" w:hAnsi="VIC-Regular" w:cs="Times New Roman"/>
                <w:color w:val="011A3C"/>
                <w:sz w:val="24"/>
                <w:lang w:val="en" w:eastAsia="en-AU"/>
              </w:rPr>
              <w:lastRenderedPageBreak/>
              <w:t>Funding allocated</w:t>
            </w:r>
          </w:p>
        </w:tc>
        <w:tc>
          <w:tcPr>
            <w:tcW w:w="0" w:type="dxa"/>
          </w:tcPr>
          <w:p w14:paraId="124F2567" w14:textId="77777777" w:rsidR="007E0BC0" w:rsidRPr="004D307F" w:rsidRDefault="007E0BC0" w:rsidP="0034555D">
            <w:pPr>
              <w:jc w:val="center"/>
              <w:cnfStyle w:val="100000000000" w:firstRow="1"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sidRPr="004D307F">
              <w:rPr>
                <w:rFonts w:ascii="VIC-Regular" w:eastAsia="Times New Roman" w:hAnsi="VIC-Regular" w:cs="Times New Roman"/>
                <w:color w:val="011A3C"/>
                <w:sz w:val="24"/>
                <w:lang w:val="en" w:eastAsia="en-AU"/>
              </w:rPr>
              <w:lastRenderedPageBreak/>
              <w:t xml:space="preserve">2024 Transition </w:t>
            </w:r>
            <w:r w:rsidRPr="004D307F">
              <w:rPr>
                <w:rFonts w:ascii="VIC-Regular" w:eastAsia="Times New Roman" w:hAnsi="VIC-Regular" w:cs="Times New Roman"/>
                <w:color w:val="011A3C"/>
                <w:sz w:val="24"/>
                <w:lang w:val="en" w:eastAsia="en-AU"/>
              </w:rPr>
              <w:lastRenderedPageBreak/>
              <w:t>Funding allocated</w:t>
            </w:r>
          </w:p>
        </w:tc>
        <w:tc>
          <w:tcPr>
            <w:tcW w:w="0" w:type="dxa"/>
          </w:tcPr>
          <w:p w14:paraId="015AABF3" w14:textId="06899DA7" w:rsidR="007E0BC0" w:rsidRPr="004D307F" w:rsidRDefault="007E0BC0" w:rsidP="0034555D">
            <w:pPr>
              <w:jc w:val="center"/>
              <w:cnfStyle w:val="100000000000" w:firstRow="1"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sidRPr="004D307F">
              <w:rPr>
                <w:rFonts w:ascii="VIC-Regular" w:eastAsia="Times New Roman" w:hAnsi="VIC-Regular" w:cs="Times New Roman"/>
                <w:color w:val="011A3C"/>
                <w:sz w:val="24"/>
                <w:lang w:val="en" w:eastAsia="en-AU"/>
              </w:rPr>
              <w:lastRenderedPageBreak/>
              <w:t xml:space="preserve">2025 </w:t>
            </w:r>
            <w:r w:rsidR="00CE4DD7" w:rsidRPr="004D307F">
              <w:rPr>
                <w:rFonts w:ascii="VIC-Regular" w:eastAsia="Times New Roman" w:hAnsi="VIC-Regular" w:cs="Times New Roman"/>
                <w:color w:val="011A3C"/>
                <w:sz w:val="24"/>
                <w:lang w:val="en" w:eastAsia="en-AU"/>
              </w:rPr>
              <w:t>Transition</w:t>
            </w:r>
            <w:r w:rsidRPr="004D307F">
              <w:rPr>
                <w:rFonts w:ascii="VIC-Regular" w:eastAsia="Times New Roman" w:hAnsi="VIC-Regular" w:cs="Times New Roman"/>
                <w:color w:val="011A3C"/>
                <w:sz w:val="24"/>
                <w:lang w:val="en" w:eastAsia="en-AU"/>
              </w:rPr>
              <w:t xml:space="preserve"> </w:t>
            </w:r>
            <w:r w:rsidRPr="004D307F">
              <w:rPr>
                <w:rFonts w:ascii="VIC-Regular" w:eastAsia="Times New Roman" w:hAnsi="VIC-Regular" w:cs="Times New Roman"/>
                <w:color w:val="011A3C"/>
                <w:sz w:val="24"/>
                <w:lang w:val="en" w:eastAsia="en-AU"/>
              </w:rPr>
              <w:lastRenderedPageBreak/>
              <w:t>Funding allocated</w:t>
            </w:r>
          </w:p>
        </w:tc>
      </w:tr>
      <w:tr w:rsidR="007E0BC0" w:rsidRPr="004D307F" w14:paraId="634119BF" w14:textId="77777777" w:rsidTr="00C116FE">
        <w:tc>
          <w:tcPr>
            <w:cnfStyle w:val="001000000000" w:firstRow="0" w:lastRow="0" w:firstColumn="1" w:lastColumn="0" w:oddVBand="0" w:evenVBand="0" w:oddHBand="0" w:evenHBand="0" w:firstRowFirstColumn="0" w:firstRowLastColumn="0" w:lastRowFirstColumn="0" w:lastRowLastColumn="0"/>
            <w:tcW w:w="0" w:type="dxa"/>
          </w:tcPr>
          <w:p w14:paraId="5C488394" w14:textId="77777777" w:rsidR="007E0BC0" w:rsidRPr="004D307F" w:rsidRDefault="007E0BC0" w:rsidP="0034555D">
            <w:pPr>
              <w:jc w:val="center"/>
              <w:rPr>
                <w:rFonts w:ascii="VIC-Regular" w:eastAsia="Times New Roman" w:hAnsi="VIC-Regular" w:cs="Times New Roman"/>
                <w:color w:val="011A3C"/>
                <w:sz w:val="24"/>
                <w:lang w:val="en" w:eastAsia="en-AU"/>
              </w:rPr>
            </w:pPr>
            <w:r w:rsidRPr="004D307F">
              <w:rPr>
                <w:rFonts w:ascii="VIC-Regular" w:eastAsia="Times New Roman" w:hAnsi="VIC-Regular" w:cs="Times New Roman"/>
                <w:color w:val="011A3C"/>
                <w:sz w:val="24"/>
                <w:lang w:val="en" w:eastAsia="en-AU"/>
              </w:rPr>
              <w:lastRenderedPageBreak/>
              <w:t>100%</w:t>
            </w:r>
          </w:p>
        </w:tc>
        <w:tc>
          <w:tcPr>
            <w:tcW w:w="0" w:type="dxa"/>
            <w:shd w:val="clear" w:color="auto" w:fill="00B050"/>
          </w:tcPr>
          <w:p w14:paraId="64ECA3A9" w14:textId="77777777" w:rsidR="007E0BC0" w:rsidRPr="004D307F" w:rsidRDefault="007E0BC0" w:rsidP="0034555D">
            <w:pPr>
              <w:jc w:val="center"/>
              <w:cnfStyle w:val="000000000000" w:firstRow="0"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sidRPr="004D307F">
              <w:rPr>
                <w:rFonts w:ascii="VIC-Regular" w:eastAsia="Times New Roman" w:hAnsi="VIC-Regular" w:cs="Times New Roman"/>
                <w:color w:val="011A3C"/>
                <w:sz w:val="24"/>
                <w:lang w:val="en" w:eastAsia="en-AU"/>
              </w:rPr>
              <w:t>75%</w:t>
            </w:r>
          </w:p>
        </w:tc>
        <w:tc>
          <w:tcPr>
            <w:tcW w:w="0" w:type="dxa"/>
          </w:tcPr>
          <w:p w14:paraId="654F7949" w14:textId="77777777" w:rsidR="007E0BC0" w:rsidRPr="004D307F" w:rsidRDefault="007E0BC0" w:rsidP="0034555D">
            <w:pPr>
              <w:jc w:val="center"/>
              <w:cnfStyle w:val="000000000000" w:firstRow="0"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sidRPr="004D307F">
              <w:rPr>
                <w:rFonts w:ascii="VIC-Regular" w:eastAsia="Times New Roman" w:hAnsi="VIC-Regular" w:cs="Times New Roman"/>
                <w:color w:val="011A3C"/>
                <w:sz w:val="24"/>
                <w:lang w:val="en" w:eastAsia="en-AU"/>
              </w:rPr>
              <w:t>50%</w:t>
            </w:r>
          </w:p>
        </w:tc>
        <w:tc>
          <w:tcPr>
            <w:tcW w:w="0" w:type="dxa"/>
          </w:tcPr>
          <w:p w14:paraId="34ECDF21" w14:textId="77777777" w:rsidR="007E0BC0" w:rsidRPr="004D307F" w:rsidRDefault="007E0BC0" w:rsidP="0034555D">
            <w:pPr>
              <w:jc w:val="center"/>
              <w:cnfStyle w:val="000000000000" w:firstRow="0"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sidRPr="004D307F">
              <w:rPr>
                <w:rFonts w:ascii="VIC-Regular" w:eastAsia="Times New Roman" w:hAnsi="VIC-Regular" w:cs="Times New Roman"/>
                <w:color w:val="011A3C"/>
                <w:sz w:val="24"/>
                <w:lang w:val="en" w:eastAsia="en-AU"/>
              </w:rPr>
              <w:t>25%</w:t>
            </w:r>
          </w:p>
        </w:tc>
        <w:tc>
          <w:tcPr>
            <w:tcW w:w="0" w:type="dxa"/>
          </w:tcPr>
          <w:p w14:paraId="7E38C742" w14:textId="77777777" w:rsidR="007E0BC0" w:rsidRPr="004D307F" w:rsidRDefault="007E0BC0" w:rsidP="0034555D">
            <w:pPr>
              <w:jc w:val="center"/>
              <w:cnfStyle w:val="000000000000" w:firstRow="0"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sidRPr="004D307F">
              <w:rPr>
                <w:rFonts w:ascii="VIC-Regular" w:eastAsia="Times New Roman" w:hAnsi="VIC-Regular" w:cs="Times New Roman"/>
                <w:color w:val="011A3C"/>
                <w:sz w:val="24"/>
                <w:lang w:val="en" w:eastAsia="en-AU"/>
              </w:rPr>
              <w:t>0%</w:t>
            </w:r>
          </w:p>
        </w:tc>
      </w:tr>
    </w:tbl>
    <w:p w14:paraId="5385AE72" w14:textId="77777777" w:rsidR="007E0BC0" w:rsidRPr="004D307F" w:rsidRDefault="007E0BC0" w:rsidP="007E0BC0">
      <w:pPr>
        <w:rPr>
          <w:rFonts w:ascii="VIC-Regular" w:eastAsia="Times New Roman" w:hAnsi="VIC-Regular" w:cs="Times New Roman"/>
          <w:color w:val="011A3C"/>
          <w:sz w:val="24"/>
          <w:szCs w:val="24"/>
          <w:lang w:val="en" w:eastAsia="en-AU"/>
        </w:rPr>
      </w:pPr>
    </w:p>
    <w:p w14:paraId="4A822122" w14:textId="77777777" w:rsidR="007E0BC0" w:rsidRPr="004D307F" w:rsidRDefault="007E0BC0" w:rsidP="007E0BC0">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Example: Transition Funding (Rural) for a school is calculated as follows:</w:t>
      </w:r>
    </w:p>
    <w:p w14:paraId="7D3DE765" w14:textId="77777777" w:rsidR="007E0BC0" w:rsidRPr="004D307F" w:rsidRDefault="007E0BC0" w:rsidP="007E0BC0">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school with numbers in the table below satisfies the eligibility conditions.</w:t>
      </w:r>
    </w:p>
    <w:tbl>
      <w:tblPr>
        <w:tblW w:w="0" w:type="auto"/>
        <w:tblLook w:val="04A0" w:firstRow="1" w:lastRow="0" w:firstColumn="1" w:lastColumn="0" w:noHBand="0" w:noVBand="1"/>
      </w:tblPr>
      <w:tblGrid>
        <w:gridCol w:w="1164"/>
        <w:gridCol w:w="4596"/>
        <w:gridCol w:w="1495"/>
        <w:gridCol w:w="1761"/>
      </w:tblGrid>
      <w:tr w:rsidR="007E0BC0" w:rsidRPr="004D307F" w14:paraId="6CB5EA81" w14:textId="77777777" w:rsidTr="0034555D">
        <w:trPr>
          <w:trHeight w:val="300"/>
        </w:trPr>
        <w:tc>
          <w:tcPr>
            <w:tcW w:w="0" w:type="auto"/>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AE309EC"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2020</w:t>
            </w:r>
          </w:p>
        </w:tc>
        <w:tc>
          <w:tcPr>
            <w:tcW w:w="0" w:type="auto"/>
            <w:tcBorders>
              <w:top w:val="single" w:sz="4" w:space="0" w:color="BFBFBF"/>
              <w:left w:val="nil"/>
              <w:bottom w:val="single" w:sz="4" w:space="0" w:color="BFBFBF"/>
              <w:right w:val="single" w:sz="4" w:space="0" w:color="BFBFBF"/>
            </w:tcBorders>
            <w:shd w:val="clear" w:color="auto" w:fill="auto"/>
            <w:noWrap/>
            <w:vAlign w:val="bottom"/>
            <w:hideMark/>
          </w:tcPr>
          <w:p w14:paraId="030082DF"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Total SRP less rural items</w:t>
            </w:r>
          </w:p>
        </w:tc>
        <w:tc>
          <w:tcPr>
            <w:tcW w:w="0" w:type="auto"/>
            <w:tcBorders>
              <w:top w:val="single" w:sz="4" w:space="0" w:color="BFBFBF"/>
              <w:left w:val="nil"/>
              <w:bottom w:val="single" w:sz="4" w:space="0" w:color="BFBFBF"/>
              <w:right w:val="single" w:sz="4" w:space="0" w:color="BFBFBF"/>
            </w:tcBorders>
            <w:shd w:val="clear" w:color="auto" w:fill="auto"/>
            <w:noWrap/>
            <w:vAlign w:val="center"/>
            <w:hideMark/>
          </w:tcPr>
          <w:p w14:paraId="45A95A36"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  1,300,000 </w:t>
            </w:r>
          </w:p>
        </w:tc>
        <w:tc>
          <w:tcPr>
            <w:tcW w:w="0" w:type="auto"/>
            <w:tcBorders>
              <w:top w:val="single" w:sz="4" w:space="0" w:color="BFBFBF"/>
              <w:left w:val="nil"/>
              <w:bottom w:val="single" w:sz="4" w:space="0" w:color="BFBFBF"/>
              <w:right w:val="single" w:sz="4" w:space="0" w:color="BFBFBF"/>
            </w:tcBorders>
            <w:shd w:val="clear" w:color="auto" w:fill="auto"/>
            <w:noWrap/>
            <w:vAlign w:val="bottom"/>
            <w:hideMark/>
          </w:tcPr>
          <w:p w14:paraId="0CF6A21D"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A</w:t>
            </w:r>
          </w:p>
        </w:tc>
      </w:tr>
      <w:tr w:rsidR="007E0BC0" w:rsidRPr="004D307F" w14:paraId="2E4C2851" w14:textId="77777777" w:rsidTr="0034555D">
        <w:trPr>
          <w:trHeight w:val="300"/>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19F24B01" w14:textId="77777777" w:rsidR="007E0BC0" w:rsidRPr="004D307F" w:rsidRDefault="007E0BC0" w:rsidP="0034555D">
            <w:pPr>
              <w:spacing w:after="0" w:line="240" w:lineRule="auto"/>
              <w:rPr>
                <w:rFonts w:eastAsia="Times New Roman" w:cs="Arial"/>
                <w:sz w:val="24"/>
                <w:szCs w:val="24"/>
                <w:lang w:eastAsia="en-AU"/>
              </w:rPr>
            </w:pPr>
          </w:p>
        </w:tc>
        <w:tc>
          <w:tcPr>
            <w:tcW w:w="0" w:type="auto"/>
            <w:tcBorders>
              <w:top w:val="nil"/>
              <w:left w:val="nil"/>
              <w:bottom w:val="single" w:sz="4" w:space="0" w:color="BFBFBF"/>
              <w:right w:val="single" w:sz="4" w:space="0" w:color="BFBFBF"/>
            </w:tcBorders>
            <w:shd w:val="clear" w:color="auto" w:fill="auto"/>
            <w:noWrap/>
            <w:vAlign w:val="bottom"/>
            <w:hideMark/>
          </w:tcPr>
          <w:p w14:paraId="7F342DD1"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Rural items no longer eligible (RSAF/LIF/CAP)</w:t>
            </w:r>
          </w:p>
        </w:tc>
        <w:tc>
          <w:tcPr>
            <w:tcW w:w="0" w:type="auto"/>
            <w:tcBorders>
              <w:top w:val="nil"/>
              <w:left w:val="nil"/>
              <w:bottom w:val="single" w:sz="4" w:space="0" w:color="BFBFBF"/>
              <w:right w:val="single" w:sz="4" w:space="0" w:color="BFBFBF"/>
            </w:tcBorders>
            <w:shd w:val="clear" w:color="auto" w:fill="auto"/>
            <w:noWrap/>
            <w:vAlign w:val="center"/>
            <w:hideMark/>
          </w:tcPr>
          <w:p w14:paraId="0FCE9D92"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     200,000 </w:t>
            </w:r>
          </w:p>
        </w:tc>
        <w:tc>
          <w:tcPr>
            <w:tcW w:w="0" w:type="auto"/>
            <w:tcBorders>
              <w:top w:val="nil"/>
              <w:left w:val="nil"/>
              <w:bottom w:val="single" w:sz="4" w:space="0" w:color="BFBFBF"/>
              <w:right w:val="single" w:sz="4" w:space="0" w:color="BFBFBF"/>
            </w:tcBorders>
            <w:shd w:val="clear" w:color="auto" w:fill="auto"/>
            <w:noWrap/>
            <w:vAlign w:val="bottom"/>
            <w:hideMark/>
          </w:tcPr>
          <w:p w14:paraId="047F9A39"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B</w:t>
            </w:r>
          </w:p>
        </w:tc>
      </w:tr>
      <w:tr w:rsidR="007E0BC0" w:rsidRPr="004D307F" w14:paraId="2A47A357" w14:textId="77777777" w:rsidTr="0034555D">
        <w:trPr>
          <w:trHeight w:val="300"/>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3AB37A53" w14:textId="77777777" w:rsidR="007E0BC0" w:rsidRPr="004D307F" w:rsidRDefault="007E0BC0" w:rsidP="0034555D">
            <w:pPr>
              <w:spacing w:after="0" w:line="240" w:lineRule="auto"/>
              <w:rPr>
                <w:rFonts w:eastAsia="Times New Roman" w:cs="Arial"/>
                <w:sz w:val="24"/>
                <w:szCs w:val="24"/>
                <w:lang w:eastAsia="en-AU"/>
              </w:rPr>
            </w:pPr>
          </w:p>
        </w:tc>
        <w:tc>
          <w:tcPr>
            <w:tcW w:w="0" w:type="auto"/>
            <w:tcBorders>
              <w:top w:val="nil"/>
              <w:left w:val="nil"/>
              <w:bottom w:val="single" w:sz="4" w:space="0" w:color="BFBFBF"/>
              <w:right w:val="single" w:sz="4" w:space="0" w:color="BFBFBF"/>
            </w:tcBorders>
            <w:shd w:val="clear" w:color="auto" w:fill="auto"/>
            <w:noWrap/>
            <w:vAlign w:val="bottom"/>
            <w:hideMark/>
          </w:tcPr>
          <w:p w14:paraId="1268A642"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Total SRP 2020</w:t>
            </w:r>
          </w:p>
        </w:tc>
        <w:tc>
          <w:tcPr>
            <w:tcW w:w="0" w:type="auto"/>
            <w:tcBorders>
              <w:top w:val="nil"/>
              <w:left w:val="nil"/>
              <w:bottom w:val="single" w:sz="4" w:space="0" w:color="BFBFBF"/>
              <w:right w:val="single" w:sz="4" w:space="0" w:color="BFBFBF"/>
            </w:tcBorders>
            <w:shd w:val="clear" w:color="auto" w:fill="auto"/>
            <w:noWrap/>
            <w:vAlign w:val="center"/>
            <w:hideMark/>
          </w:tcPr>
          <w:p w14:paraId="53BEFF3A"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  1,500,000 </w:t>
            </w:r>
          </w:p>
        </w:tc>
        <w:tc>
          <w:tcPr>
            <w:tcW w:w="0" w:type="auto"/>
            <w:tcBorders>
              <w:top w:val="nil"/>
              <w:left w:val="nil"/>
              <w:bottom w:val="single" w:sz="4" w:space="0" w:color="BFBFBF"/>
              <w:right w:val="single" w:sz="4" w:space="0" w:color="BFBFBF"/>
            </w:tcBorders>
            <w:shd w:val="clear" w:color="auto" w:fill="auto"/>
            <w:noWrap/>
            <w:vAlign w:val="bottom"/>
            <w:hideMark/>
          </w:tcPr>
          <w:p w14:paraId="61523853"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C</w:t>
            </w:r>
          </w:p>
        </w:tc>
      </w:tr>
      <w:tr w:rsidR="007E0BC0" w:rsidRPr="004D307F" w14:paraId="4C7DE936" w14:textId="77777777" w:rsidTr="0034555D">
        <w:trPr>
          <w:trHeight w:val="300"/>
        </w:trPr>
        <w:tc>
          <w:tcPr>
            <w:tcW w:w="0" w:type="auto"/>
            <w:vMerge w:val="restart"/>
            <w:tcBorders>
              <w:top w:val="nil"/>
              <w:left w:val="single" w:sz="4" w:space="0" w:color="BFBFBF"/>
              <w:bottom w:val="single" w:sz="4" w:space="0" w:color="BFBFBF"/>
              <w:right w:val="single" w:sz="4" w:space="0" w:color="BFBFBF"/>
            </w:tcBorders>
            <w:shd w:val="clear" w:color="auto" w:fill="auto"/>
            <w:vAlign w:val="center"/>
            <w:hideMark/>
          </w:tcPr>
          <w:p w14:paraId="19521C9F"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 xml:space="preserve">2021 </w:t>
            </w:r>
            <w:r w:rsidRPr="004D307F">
              <w:rPr>
                <w:rFonts w:eastAsia="Times New Roman" w:cs="Arial"/>
                <w:sz w:val="24"/>
                <w:szCs w:val="24"/>
                <w:lang w:eastAsia="en-AU"/>
              </w:rPr>
              <w:br/>
              <w:t>Indicative</w:t>
            </w:r>
          </w:p>
        </w:tc>
        <w:tc>
          <w:tcPr>
            <w:tcW w:w="0" w:type="auto"/>
            <w:tcBorders>
              <w:top w:val="nil"/>
              <w:left w:val="nil"/>
              <w:bottom w:val="single" w:sz="4" w:space="0" w:color="BFBFBF"/>
              <w:right w:val="single" w:sz="4" w:space="0" w:color="BFBFBF"/>
            </w:tcBorders>
            <w:shd w:val="clear" w:color="auto" w:fill="auto"/>
            <w:noWrap/>
            <w:vAlign w:val="bottom"/>
            <w:hideMark/>
          </w:tcPr>
          <w:p w14:paraId="7E20B555"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Total SRP before Transition 2021</w:t>
            </w:r>
          </w:p>
        </w:tc>
        <w:tc>
          <w:tcPr>
            <w:tcW w:w="0" w:type="auto"/>
            <w:tcBorders>
              <w:top w:val="nil"/>
              <w:left w:val="nil"/>
              <w:bottom w:val="single" w:sz="4" w:space="0" w:color="BFBFBF"/>
              <w:right w:val="single" w:sz="4" w:space="0" w:color="BFBFBF"/>
            </w:tcBorders>
            <w:shd w:val="clear" w:color="auto" w:fill="auto"/>
            <w:noWrap/>
            <w:vAlign w:val="center"/>
            <w:hideMark/>
          </w:tcPr>
          <w:p w14:paraId="47D97936"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  1,200,000 </w:t>
            </w:r>
          </w:p>
        </w:tc>
        <w:tc>
          <w:tcPr>
            <w:tcW w:w="0" w:type="auto"/>
            <w:tcBorders>
              <w:top w:val="nil"/>
              <w:left w:val="nil"/>
              <w:bottom w:val="single" w:sz="4" w:space="0" w:color="BFBFBF"/>
              <w:right w:val="single" w:sz="4" w:space="0" w:color="BFBFBF"/>
            </w:tcBorders>
            <w:shd w:val="clear" w:color="auto" w:fill="auto"/>
            <w:noWrap/>
            <w:vAlign w:val="bottom"/>
            <w:hideMark/>
          </w:tcPr>
          <w:p w14:paraId="7D0BE5DA"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D</w:t>
            </w:r>
          </w:p>
        </w:tc>
      </w:tr>
      <w:tr w:rsidR="007E0BC0" w:rsidRPr="004D307F" w14:paraId="38A0472D" w14:textId="77777777" w:rsidTr="0034555D">
        <w:trPr>
          <w:trHeight w:val="300"/>
        </w:trPr>
        <w:tc>
          <w:tcPr>
            <w:tcW w:w="0" w:type="auto"/>
            <w:vMerge/>
            <w:tcBorders>
              <w:top w:val="nil"/>
              <w:left w:val="single" w:sz="4" w:space="0" w:color="BFBFBF"/>
              <w:bottom w:val="single" w:sz="4" w:space="0" w:color="BFBFBF"/>
              <w:right w:val="single" w:sz="4" w:space="0" w:color="BFBFBF"/>
            </w:tcBorders>
            <w:vAlign w:val="center"/>
            <w:hideMark/>
          </w:tcPr>
          <w:p w14:paraId="156890C4" w14:textId="77777777" w:rsidR="007E0BC0" w:rsidRPr="004D307F" w:rsidRDefault="007E0BC0" w:rsidP="0034555D">
            <w:pPr>
              <w:spacing w:after="0" w:line="240" w:lineRule="auto"/>
              <w:rPr>
                <w:rFonts w:eastAsia="Times New Roman" w:cs="Arial"/>
                <w:sz w:val="24"/>
                <w:szCs w:val="24"/>
                <w:lang w:eastAsia="en-AU"/>
              </w:rPr>
            </w:pPr>
          </w:p>
        </w:tc>
        <w:tc>
          <w:tcPr>
            <w:tcW w:w="0" w:type="auto"/>
            <w:tcBorders>
              <w:top w:val="nil"/>
              <w:left w:val="nil"/>
              <w:bottom w:val="single" w:sz="4" w:space="0" w:color="BFBFBF"/>
              <w:right w:val="single" w:sz="4" w:space="0" w:color="BFBFBF"/>
            </w:tcBorders>
            <w:shd w:val="clear" w:color="auto" w:fill="auto"/>
            <w:noWrap/>
            <w:vAlign w:val="bottom"/>
            <w:hideMark/>
          </w:tcPr>
          <w:p w14:paraId="67866201"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2020 SRP - 2021 SRP (w/o transition)</w:t>
            </w:r>
          </w:p>
        </w:tc>
        <w:tc>
          <w:tcPr>
            <w:tcW w:w="0" w:type="auto"/>
            <w:tcBorders>
              <w:top w:val="nil"/>
              <w:left w:val="nil"/>
              <w:bottom w:val="single" w:sz="4" w:space="0" w:color="BFBFBF"/>
              <w:right w:val="single" w:sz="4" w:space="0" w:color="BFBFBF"/>
            </w:tcBorders>
            <w:shd w:val="clear" w:color="auto" w:fill="auto"/>
            <w:noWrap/>
            <w:vAlign w:val="center"/>
            <w:hideMark/>
          </w:tcPr>
          <w:p w14:paraId="296AA00C"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     300,000 </w:t>
            </w:r>
          </w:p>
        </w:tc>
        <w:tc>
          <w:tcPr>
            <w:tcW w:w="0" w:type="auto"/>
            <w:tcBorders>
              <w:top w:val="nil"/>
              <w:left w:val="nil"/>
              <w:bottom w:val="single" w:sz="4" w:space="0" w:color="BFBFBF"/>
              <w:right w:val="single" w:sz="4" w:space="0" w:color="BFBFBF"/>
            </w:tcBorders>
            <w:shd w:val="clear" w:color="auto" w:fill="auto"/>
            <w:noWrap/>
            <w:vAlign w:val="bottom"/>
            <w:hideMark/>
          </w:tcPr>
          <w:p w14:paraId="7A8AC479"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E</w:t>
            </w:r>
          </w:p>
        </w:tc>
      </w:tr>
      <w:tr w:rsidR="007E0BC0" w:rsidRPr="004D307F" w14:paraId="55393AF9" w14:textId="77777777" w:rsidTr="0034555D">
        <w:trPr>
          <w:trHeight w:val="300"/>
        </w:trPr>
        <w:tc>
          <w:tcPr>
            <w:tcW w:w="0" w:type="auto"/>
            <w:vMerge/>
            <w:tcBorders>
              <w:top w:val="nil"/>
              <w:left w:val="single" w:sz="4" w:space="0" w:color="BFBFBF"/>
              <w:bottom w:val="single" w:sz="4" w:space="0" w:color="BFBFBF"/>
              <w:right w:val="single" w:sz="4" w:space="0" w:color="BFBFBF"/>
            </w:tcBorders>
            <w:vAlign w:val="center"/>
            <w:hideMark/>
          </w:tcPr>
          <w:p w14:paraId="77D74E81" w14:textId="77777777" w:rsidR="007E0BC0" w:rsidRPr="004D307F" w:rsidRDefault="007E0BC0" w:rsidP="0034555D">
            <w:pPr>
              <w:spacing w:after="0" w:line="240" w:lineRule="auto"/>
              <w:rPr>
                <w:rFonts w:eastAsia="Times New Roman" w:cs="Arial"/>
                <w:sz w:val="24"/>
                <w:szCs w:val="24"/>
                <w:lang w:eastAsia="en-AU"/>
              </w:rPr>
            </w:pPr>
          </w:p>
        </w:tc>
        <w:tc>
          <w:tcPr>
            <w:tcW w:w="0" w:type="auto"/>
            <w:tcBorders>
              <w:top w:val="nil"/>
              <w:left w:val="nil"/>
              <w:bottom w:val="single" w:sz="4" w:space="0" w:color="BFBFBF"/>
              <w:right w:val="single" w:sz="4" w:space="0" w:color="BFBFBF"/>
            </w:tcBorders>
            <w:shd w:val="clear" w:color="auto" w:fill="auto"/>
            <w:noWrap/>
            <w:vAlign w:val="bottom"/>
            <w:hideMark/>
          </w:tcPr>
          <w:p w14:paraId="19EB9DCE"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Transition Amount</w:t>
            </w:r>
          </w:p>
        </w:tc>
        <w:tc>
          <w:tcPr>
            <w:tcW w:w="0" w:type="auto"/>
            <w:tcBorders>
              <w:top w:val="nil"/>
              <w:left w:val="nil"/>
              <w:bottom w:val="single" w:sz="4" w:space="0" w:color="BFBFBF"/>
              <w:right w:val="single" w:sz="4" w:space="0" w:color="BFBFBF"/>
            </w:tcBorders>
            <w:shd w:val="clear" w:color="auto" w:fill="auto"/>
            <w:noWrap/>
            <w:vAlign w:val="center"/>
            <w:hideMark/>
          </w:tcPr>
          <w:p w14:paraId="7F11B3E2"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     200,000 </w:t>
            </w:r>
          </w:p>
        </w:tc>
        <w:tc>
          <w:tcPr>
            <w:tcW w:w="0" w:type="auto"/>
            <w:tcBorders>
              <w:top w:val="nil"/>
              <w:left w:val="nil"/>
              <w:bottom w:val="single" w:sz="4" w:space="0" w:color="BFBFBF"/>
              <w:right w:val="single" w:sz="4" w:space="0" w:color="BFBFBF"/>
            </w:tcBorders>
            <w:shd w:val="clear" w:color="auto" w:fill="auto"/>
            <w:noWrap/>
            <w:vAlign w:val="bottom"/>
            <w:hideMark/>
          </w:tcPr>
          <w:p w14:paraId="652EF350"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F</w:t>
            </w:r>
          </w:p>
        </w:tc>
      </w:tr>
      <w:tr w:rsidR="007E0BC0" w:rsidRPr="004D307F" w14:paraId="6A31AF8F" w14:textId="77777777" w:rsidTr="0034555D">
        <w:trPr>
          <w:trHeight w:val="300"/>
        </w:trPr>
        <w:tc>
          <w:tcPr>
            <w:tcW w:w="0" w:type="auto"/>
            <w:vMerge/>
            <w:tcBorders>
              <w:top w:val="nil"/>
              <w:left w:val="single" w:sz="4" w:space="0" w:color="BFBFBF"/>
              <w:bottom w:val="single" w:sz="4" w:space="0" w:color="BFBFBF"/>
              <w:right w:val="single" w:sz="4" w:space="0" w:color="BFBFBF"/>
            </w:tcBorders>
            <w:vAlign w:val="center"/>
            <w:hideMark/>
          </w:tcPr>
          <w:p w14:paraId="0F98466A" w14:textId="77777777" w:rsidR="007E0BC0" w:rsidRPr="004D307F" w:rsidRDefault="007E0BC0" w:rsidP="0034555D">
            <w:pPr>
              <w:spacing w:after="0" w:line="240" w:lineRule="auto"/>
              <w:rPr>
                <w:rFonts w:eastAsia="Times New Roman" w:cs="Arial"/>
                <w:sz w:val="24"/>
                <w:szCs w:val="24"/>
                <w:lang w:eastAsia="en-AU"/>
              </w:rPr>
            </w:pPr>
          </w:p>
        </w:tc>
        <w:tc>
          <w:tcPr>
            <w:tcW w:w="0" w:type="auto"/>
            <w:tcBorders>
              <w:top w:val="nil"/>
              <w:left w:val="nil"/>
              <w:bottom w:val="single" w:sz="4" w:space="0" w:color="BFBFBF"/>
              <w:right w:val="single" w:sz="4" w:space="0" w:color="BFBFBF"/>
            </w:tcBorders>
            <w:shd w:val="clear" w:color="auto" w:fill="auto"/>
            <w:noWrap/>
            <w:vAlign w:val="bottom"/>
            <w:hideMark/>
          </w:tcPr>
          <w:p w14:paraId="5FD20FD2"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Total 2021 SRP with NEW TRANSITION</w:t>
            </w:r>
          </w:p>
        </w:tc>
        <w:tc>
          <w:tcPr>
            <w:tcW w:w="0" w:type="auto"/>
            <w:tcBorders>
              <w:top w:val="nil"/>
              <w:left w:val="nil"/>
              <w:bottom w:val="single" w:sz="4" w:space="0" w:color="BFBFBF"/>
              <w:right w:val="single" w:sz="4" w:space="0" w:color="BFBFBF"/>
            </w:tcBorders>
            <w:shd w:val="clear" w:color="auto" w:fill="auto"/>
            <w:noWrap/>
            <w:vAlign w:val="center"/>
            <w:hideMark/>
          </w:tcPr>
          <w:p w14:paraId="18B5D7CA"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  1,400,000 </w:t>
            </w:r>
          </w:p>
        </w:tc>
        <w:tc>
          <w:tcPr>
            <w:tcW w:w="0" w:type="auto"/>
            <w:tcBorders>
              <w:top w:val="nil"/>
              <w:left w:val="nil"/>
              <w:bottom w:val="single" w:sz="4" w:space="0" w:color="BFBFBF"/>
              <w:right w:val="single" w:sz="4" w:space="0" w:color="BFBFBF"/>
            </w:tcBorders>
            <w:shd w:val="clear" w:color="auto" w:fill="auto"/>
            <w:noWrap/>
            <w:vAlign w:val="bottom"/>
            <w:hideMark/>
          </w:tcPr>
          <w:p w14:paraId="13241476" w14:textId="77777777" w:rsidR="007E0BC0" w:rsidRPr="004D307F" w:rsidRDefault="007E0BC0" w:rsidP="0034555D">
            <w:pPr>
              <w:spacing w:after="0" w:line="240" w:lineRule="auto"/>
              <w:jc w:val="center"/>
              <w:rPr>
                <w:rFonts w:eastAsia="Times New Roman" w:cs="Arial"/>
                <w:sz w:val="24"/>
                <w:szCs w:val="24"/>
                <w:lang w:eastAsia="en-AU"/>
              </w:rPr>
            </w:pPr>
          </w:p>
        </w:tc>
      </w:tr>
      <w:tr w:rsidR="007E0BC0" w:rsidRPr="004D307F" w14:paraId="546DB9F8" w14:textId="77777777" w:rsidTr="00C116FE">
        <w:trPr>
          <w:trHeight w:val="300"/>
        </w:trPr>
        <w:tc>
          <w:tcPr>
            <w:tcW w:w="0" w:type="auto"/>
            <w:tcBorders>
              <w:top w:val="nil"/>
              <w:left w:val="single" w:sz="4" w:space="0" w:color="BFBFBF"/>
              <w:bottom w:val="single" w:sz="4" w:space="0" w:color="BFBFBF"/>
              <w:right w:val="single" w:sz="4" w:space="0" w:color="BFBFBF"/>
            </w:tcBorders>
            <w:shd w:val="clear" w:color="auto" w:fill="auto"/>
            <w:noWrap/>
            <w:vAlign w:val="bottom"/>
            <w:hideMark/>
          </w:tcPr>
          <w:p w14:paraId="0F28DFBD"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100%</w:t>
            </w:r>
          </w:p>
        </w:tc>
        <w:tc>
          <w:tcPr>
            <w:tcW w:w="0" w:type="auto"/>
            <w:tcBorders>
              <w:top w:val="nil"/>
              <w:left w:val="nil"/>
              <w:bottom w:val="single" w:sz="4" w:space="0" w:color="BFBFBF"/>
              <w:right w:val="single" w:sz="4" w:space="0" w:color="BFBFBF"/>
            </w:tcBorders>
            <w:shd w:val="clear" w:color="auto" w:fill="auto"/>
            <w:noWrap/>
            <w:vAlign w:val="bottom"/>
            <w:hideMark/>
          </w:tcPr>
          <w:p w14:paraId="2E1C0085"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Transition Amt 2021</w:t>
            </w:r>
          </w:p>
        </w:tc>
        <w:tc>
          <w:tcPr>
            <w:tcW w:w="0" w:type="auto"/>
            <w:tcBorders>
              <w:top w:val="nil"/>
              <w:left w:val="nil"/>
              <w:bottom w:val="single" w:sz="4" w:space="0" w:color="BFBFBF"/>
              <w:right w:val="single" w:sz="4" w:space="0" w:color="BFBFBF"/>
            </w:tcBorders>
            <w:shd w:val="clear" w:color="auto" w:fill="auto"/>
            <w:noWrap/>
            <w:vAlign w:val="center"/>
            <w:hideMark/>
          </w:tcPr>
          <w:p w14:paraId="034CC443"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     200,000 </w:t>
            </w:r>
          </w:p>
        </w:tc>
        <w:tc>
          <w:tcPr>
            <w:tcW w:w="0" w:type="auto"/>
            <w:vMerge w:val="restart"/>
            <w:tcBorders>
              <w:top w:val="nil"/>
              <w:left w:val="single" w:sz="4" w:space="0" w:color="BFBFBF"/>
              <w:bottom w:val="single" w:sz="4" w:space="0" w:color="BFBFBF"/>
              <w:right w:val="single" w:sz="4" w:space="0" w:color="BFBFBF"/>
            </w:tcBorders>
            <w:shd w:val="clear" w:color="auto" w:fill="auto"/>
            <w:vAlign w:val="center"/>
            <w:hideMark/>
          </w:tcPr>
          <w:p w14:paraId="3311FEEE"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Transition Funding reduces over 5 years</w:t>
            </w:r>
          </w:p>
        </w:tc>
      </w:tr>
      <w:tr w:rsidR="007E0BC0" w:rsidRPr="004D307F" w14:paraId="00B416F9" w14:textId="77777777" w:rsidTr="00C116FE">
        <w:trPr>
          <w:trHeight w:val="300"/>
        </w:trPr>
        <w:tc>
          <w:tcPr>
            <w:tcW w:w="0" w:type="auto"/>
            <w:tcBorders>
              <w:top w:val="single" w:sz="4" w:space="0" w:color="BFBFBF"/>
              <w:left w:val="single" w:sz="4" w:space="0" w:color="BFBFBF"/>
              <w:bottom w:val="single" w:sz="4" w:space="0" w:color="BFBFBF"/>
              <w:right w:val="single" w:sz="4" w:space="0" w:color="BFBFBF"/>
            </w:tcBorders>
            <w:shd w:val="clear" w:color="auto" w:fill="00B050"/>
            <w:noWrap/>
            <w:vAlign w:val="bottom"/>
            <w:hideMark/>
          </w:tcPr>
          <w:p w14:paraId="108430D8"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75%</w:t>
            </w:r>
          </w:p>
        </w:tc>
        <w:tc>
          <w:tcPr>
            <w:tcW w:w="0" w:type="auto"/>
            <w:tcBorders>
              <w:top w:val="single" w:sz="4" w:space="0" w:color="BFBFBF"/>
              <w:left w:val="nil"/>
              <w:bottom w:val="single" w:sz="4" w:space="0" w:color="BFBFBF"/>
              <w:right w:val="single" w:sz="4" w:space="0" w:color="BFBFBF"/>
            </w:tcBorders>
            <w:shd w:val="clear" w:color="auto" w:fill="00B050"/>
            <w:noWrap/>
            <w:vAlign w:val="bottom"/>
            <w:hideMark/>
          </w:tcPr>
          <w:p w14:paraId="3A528877"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Transition Amt 2022</w:t>
            </w:r>
          </w:p>
        </w:tc>
        <w:tc>
          <w:tcPr>
            <w:tcW w:w="0" w:type="auto"/>
            <w:tcBorders>
              <w:top w:val="single" w:sz="4" w:space="0" w:color="BFBFBF"/>
              <w:left w:val="nil"/>
              <w:bottom w:val="single" w:sz="4" w:space="0" w:color="BFBFBF"/>
              <w:right w:val="single" w:sz="4" w:space="0" w:color="BFBFBF"/>
            </w:tcBorders>
            <w:shd w:val="clear" w:color="auto" w:fill="00B050"/>
            <w:noWrap/>
            <w:vAlign w:val="center"/>
            <w:hideMark/>
          </w:tcPr>
          <w:p w14:paraId="0B4A0757"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     150,000 </w:t>
            </w:r>
          </w:p>
        </w:tc>
        <w:tc>
          <w:tcPr>
            <w:tcW w:w="0" w:type="auto"/>
            <w:vMerge/>
            <w:tcBorders>
              <w:top w:val="nil"/>
              <w:left w:val="single" w:sz="4" w:space="0" w:color="BFBFBF"/>
              <w:bottom w:val="single" w:sz="4" w:space="0" w:color="BFBFBF"/>
              <w:right w:val="single" w:sz="4" w:space="0" w:color="BFBFBF"/>
            </w:tcBorders>
            <w:vAlign w:val="center"/>
            <w:hideMark/>
          </w:tcPr>
          <w:p w14:paraId="32083A5F" w14:textId="77777777" w:rsidR="007E0BC0" w:rsidRPr="004D307F" w:rsidRDefault="007E0BC0" w:rsidP="0034555D">
            <w:pPr>
              <w:spacing w:after="0" w:line="240" w:lineRule="auto"/>
              <w:rPr>
                <w:rFonts w:eastAsia="Times New Roman" w:cs="Arial"/>
                <w:sz w:val="24"/>
                <w:szCs w:val="24"/>
                <w:lang w:eastAsia="en-AU"/>
              </w:rPr>
            </w:pPr>
          </w:p>
        </w:tc>
      </w:tr>
      <w:tr w:rsidR="007E0BC0" w:rsidRPr="004D307F" w14:paraId="1B7DD451" w14:textId="77777777" w:rsidTr="0034555D">
        <w:trPr>
          <w:trHeight w:val="300"/>
        </w:trPr>
        <w:tc>
          <w:tcPr>
            <w:tcW w:w="0" w:type="auto"/>
            <w:tcBorders>
              <w:top w:val="nil"/>
              <w:left w:val="single" w:sz="4" w:space="0" w:color="BFBFBF"/>
              <w:bottom w:val="single" w:sz="4" w:space="0" w:color="BFBFBF"/>
              <w:right w:val="single" w:sz="4" w:space="0" w:color="BFBFBF"/>
            </w:tcBorders>
            <w:shd w:val="clear" w:color="auto" w:fill="auto"/>
            <w:noWrap/>
            <w:vAlign w:val="bottom"/>
            <w:hideMark/>
          </w:tcPr>
          <w:p w14:paraId="17E1F460"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50%</w:t>
            </w:r>
          </w:p>
        </w:tc>
        <w:tc>
          <w:tcPr>
            <w:tcW w:w="0" w:type="auto"/>
            <w:tcBorders>
              <w:top w:val="nil"/>
              <w:left w:val="nil"/>
              <w:bottom w:val="single" w:sz="4" w:space="0" w:color="BFBFBF"/>
              <w:right w:val="single" w:sz="4" w:space="0" w:color="BFBFBF"/>
            </w:tcBorders>
            <w:shd w:val="clear" w:color="auto" w:fill="auto"/>
            <w:noWrap/>
            <w:vAlign w:val="bottom"/>
            <w:hideMark/>
          </w:tcPr>
          <w:p w14:paraId="5268B6E8"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Transition Amt 2023</w:t>
            </w:r>
          </w:p>
        </w:tc>
        <w:tc>
          <w:tcPr>
            <w:tcW w:w="0" w:type="auto"/>
            <w:tcBorders>
              <w:top w:val="nil"/>
              <w:left w:val="nil"/>
              <w:bottom w:val="single" w:sz="4" w:space="0" w:color="BFBFBF"/>
              <w:right w:val="single" w:sz="4" w:space="0" w:color="BFBFBF"/>
            </w:tcBorders>
            <w:shd w:val="clear" w:color="auto" w:fill="auto"/>
            <w:noWrap/>
            <w:vAlign w:val="center"/>
            <w:hideMark/>
          </w:tcPr>
          <w:p w14:paraId="163DB1D2"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     100,000 </w:t>
            </w:r>
          </w:p>
        </w:tc>
        <w:tc>
          <w:tcPr>
            <w:tcW w:w="0" w:type="auto"/>
            <w:vMerge/>
            <w:tcBorders>
              <w:top w:val="nil"/>
              <w:left w:val="single" w:sz="4" w:space="0" w:color="BFBFBF"/>
              <w:bottom w:val="single" w:sz="4" w:space="0" w:color="BFBFBF"/>
              <w:right w:val="single" w:sz="4" w:space="0" w:color="BFBFBF"/>
            </w:tcBorders>
            <w:vAlign w:val="center"/>
            <w:hideMark/>
          </w:tcPr>
          <w:p w14:paraId="57DB84AD" w14:textId="77777777" w:rsidR="007E0BC0" w:rsidRPr="004D307F" w:rsidRDefault="007E0BC0" w:rsidP="0034555D">
            <w:pPr>
              <w:spacing w:after="0" w:line="240" w:lineRule="auto"/>
              <w:rPr>
                <w:rFonts w:eastAsia="Times New Roman" w:cs="Arial"/>
                <w:sz w:val="24"/>
                <w:szCs w:val="24"/>
                <w:lang w:eastAsia="en-AU"/>
              </w:rPr>
            </w:pPr>
          </w:p>
        </w:tc>
      </w:tr>
      <w:tr w:rsidR="007E0BC0" w:rsidRPr="004D307F" w14:paraId="72186BF1" w14:textId="77777777" w:rsidTr="0034555D">
        <w:trPr>
          <w:trHeight w:val="300"/>
        </w:trPr>
        <w:tc>
          <w:tcPr>
            <w:tcW w:w="0" w:type="auto"/>
            <w:tcBorders>
              <w:top w:val="nil"/>
              <w:left w:val="single" w:sz="4" w:space="0" w:color="BFBFBF"/>
              <w:bottom w:val="single" w:sz="4" w:space="0" w:color="BFBFBF"/>
              <w:right w:val="single" w:sz="4" w:space="0" w:color="BFBFBF"/>
            </w:tcBorders>
            <w:shd w:val="clear" w:color="auto" w:fill="auto"/>
            <w:noWrap/>
            <w:vAlign w:val="bottom"/>
            <w:hideMark/>
          </w:tcPr>
          <w:p w14:paraId="4546D761"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25%</w:t>
            </w:r>
          </w:p>
        </w:tc>
        <w:tc>
          <w:tcPr>
            <w:tcW w:w="0" w:type="auto"/>
            <w:tcBorders>
              <w:top w:val="nil"/>
              <w:left w:val="nil"/>
              <w:bottom w:val="single" w:sz="4" w:space="0" w:color="BFBFBF"/>
              <w:right w:val="single" w:sz="4" w:space="0" w:color="BFBFBF"/>
            </w:tcBorders>
            <w:shd w:val="clear" w:color="auto" w:fill="auto"/>
            <w:noWrap/>
            <w:vAlign w:val="bottom"/>
            <w:hideMark/>
          </w:tcPr>
          <w:p w14:paraId="49C187AB"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Transition Amt 2024</w:t>
            </w:r>
          </w:p>
        </w:tc>
        <w:tc>
          <w:tcPr>
            <w:tcW w:w="0" w:type="auto"/>
            <w:tcBorders>
              <w:top w:val="nil"/>
              <w:left w:val="nil"/>
              <w:bottom w:val="single" w:sz="4" w:space="0" w:color="BFBFBF"/>
              <w:right w:val="single" w:sz="4" w:space="0" w:color="BFBFBF"/>
            </w:tcBorders>
            <w:shd w:val="clear" w:color="auto" w:fill="auto"/>
            <w:noWrap/>
            <w:vAlign w:val="center"/>
            <w:hideMark/>
          </w:tcPr>
          <w:p w14:paraId="207E8663"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        50,000 </w:t>
            </w:r>
          </w:p>
        </w:tc>
        <w:tc>
          <w:tcPr>
            <w:tcW w:w="0" w:type="auto"/>
            <w:vMerge/>
            <w:tcBorders>
              <w:top w:val="nil"/>
              <w:left w:val="single" w:sz="4" w:space="0" w:color="BFBFBF"/>
              <w:bottom w:val="single" w:sz="4" w:space="0" w:color="BFBFBF"/>
              <w:right w:val="single" w:sz="4" w:space="0" w:color="BFBFBF"/>
            </w:tcBorders>
            <w:vAlign w:val="center"/>
            <w:hideMark/>
          </w:tcPr>
          <w:p w14:paraId="30F64095" w14:textId="77777777" w:rsidR="007E0BC0" w:rsidRPr="004D307F" w:rsidRDefault="007E0BC0" w:rsidP="0034555D">
            <w:pPr>
              <w:spacing w:after="0" w:line="240" w:lineRule="auto"/>
              <w:rPr>
                <w:rFonts w:eastAsia="Times New Roman" w:cs="Arial"/>
                <w:sz w:val="24"/>
                <w:szCs w:val="24"/>
                <w:lang w:eastAsia="en-AU"/>
              </w:rPr>
            </w:pPr>
          </w:p>
        </w:tc>
      </w:tr>
      <w:tr w:rsidR="007E0BC0" w:rsidRPr="004D307F" w14:paraId="05CF2555" w14:textId="77777777" w:rsidTr="0034555D">
        <w:trPr>
          <w:trHeight w:val="300"/>
        </w:trPr>
        <w:tc>
          <w:tcPr>
            <w:tcW w:w="0" w:type="auto"/>
            <w:tcBorders>
              <w:top w:val="nil"/>
              <w:left w:val="single" w:sz="4" w:space="0" w:color="BFBFBF"/>
              <w:bottom w:val="single" w:sz="4" w:space="0" w:color="BFBFBF"/>
              <w:right w:val="single" w:sz="4" w:space="0" w:color="BFBFBF"/>
            </w:tcBorders>
            <w:shd w:val="clear" w:color="auto" w:fill="auto"/>
            <w:noWrap/>
            <w:vAlign w:val="bottom"/>
            <w:hideMark/>
          </w:tcPr>
          <w:p w14:paraId="2DF1F842"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0%</w:t>
            </w:r>
          </w:p>
        </w:tc>
        <w:tc>
          <w:tcPr>
            <w:tcW w:w="0" w:type="auto"/>
            <w:tcBorders>
              <w:top w:val="nil"/>
              <w:left w:val="nil"/>
              <w:bottom w:val="single" w:sz="4" w:space="0" w:color="BFBFBF"/>
              <w:right w:val="single" w:sz="4" w:space="0" w:color="BFBFBF"/>
            </w:tcBorders>
            <w:shd w:val="clear" w:color="auto" w:fill="auto"/>
            <w:noWrap/>
            <w:vAlign w:val="bottom"/>
            <w:hideMark/>
          </w:tcPr>
          <w:p w14:paraId="36CDD19F"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Transition Amt 2025</w:t>
            </w:r>
          </w:p>
        </w:tc>
        <w:tc>
          <w:tcPr>
            <w:tcW w:w="0" w:type="auto"/>
            <w:tcBorders>
              <w:top w:val="nil"/>
              <w:left w:val="nil"/>
              <w:bottom w:val="single" w:sz="4" w:space="0" w:color="BFBFBF"/>
              <w:right w:val="single" w:sz="4" w:space="0" w:color="BFBFBF"/>
            </w:tcBorders>
            <w:shd w:val="clear" w:color="auto" w:fill="auto"/>
            <w:noWrap/>
            <w:vAlign w:val="center"/>
            <w:hideMark/>
          </w:tcPr>
          <w:p w14:paraId="10EF8BD8"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                 -   </w:t>
            </w:r>
          </w:p>
        </w:tc>
        <w:tc>
          <w:tcPr>
            <w:tcW w:w="0" w:type="auto"/>
            <w:vMerge/>
            <w:tcBorders>
              <w:top w:val="nil"/>
              <w:left w:val="single" w:sz="4" w:space="0" w:color="BFBFBF"/>
              <w:bottom w:val="single" w:sz="4" w:space="0" w:color="BFBFBF"/>
              <w:right w:val="single" w:sz="4" w:space="0" w:color="BFBFBF"/>
            </w:tcBorders>
            <w:vAlign w:val="center"/>
            <w:hideMark/>
          </w:tcPr>
          <w:p w14:paraId="50D49118" w14:textId="77777777" w:rsidR="007E0BC0" w:rsidRPr="004D307F" w:rsidRDefault="007E0BC0" w:rsidP="0034555D">
            <w:pPr>
              <w:spacing w:after="0" w:line="240" w:lineRule="auto"/>
              <w:rPr>
                <w:rFonts w:eastAsia="Times New Roman" w:cs="Arial"/>
                <w:sz w:val="24"/>
                <w:szCs w:val="24"/>
                <w:lang w:eastAsia="en-AU"/>
              </w:rPr>
            </w:pPr>
          </w:p>
        </w:tc>
      </w:tr>
    </w:tbl>
    <w:p w14:paraId="76D7D8A9" w14:textId="77777777" w:rsidR="007E0BC0" w:rsidRPr="004D307F" w:rsidRDefault="007E0BC0" w:rsidP="007E0BC0">
      <w:pPr>
        <w:rPr>
          <w:sz w:val="24"/>
          <w:szCs w:val="24"/>
        </w:rPr>
      </w:pPr>
    </w:p>
    <w:tbl>
      <w:tblPr>
        <w:tblW w:w="9350" w:type="dxa"/>
        <w:tblLook w:val="04A0" w:firstRow="1" w:lastRow="0" w:firstColumn="1" w:lastColumn="0" w:noHBand="0" w:noVBand="1"/>
      </w:tblPr>
      <w:tblGrid>
        <w:gridCol w:w="1696"/>
        <w:gridCol w:w="7654"/>
      </w:tblGrid>
      <w:tr w:rsidR="007E0BC0" w:rsidRPr="004D307F" w14:paraId="53E62299" w14:textId="77777777" w:rsidTr="0034555D">
        <w:trPr>
          <w:trHeight w:val="255"/>
        </w:trPr>
        <w:tc>
          <w:tcPr>
            <w:tcW w:w="1696"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519FC0BB" w14:textId="77777777" w:rsidR="007E0BC0" w:rsidRPr="004D307F" w:rsidRDefault="007E0BC0" w:rsidP="0034555D">
            <w:pPr>
              <w:spacing w:after="0" w:line="240" w:lineRule="auto"/>
              <w:rPr>
                <w:rFonts w:ascii="Arial" w:eastAsia="Times New Roman" w:hAnsi="Arial" w:cs="Arial"/>
                <w:b/>
                <w:bCs/>
                <w:sz w:val="20"/>
                <w:szCs w:val="20"/>
                <w:lang w:eastAsia="en-AU"/>
              </w:rPr>
            </w:pPr>
            <w:r w:rsidRPr="004D307F">
              <w:rPr>
                <w:rFonts w:ascii="Arial" w:eastAsia="Times New Roman" w:hAnsi="Arial" w:cs="Arial"/>
                <w:b/>
                <w:bCs/>
                <w:sz w:val="20"/>
                <w:szCs w:val="20"/>
                <w:lang w:eastAsia="en-AU"/>
              </w:rPr>
              <w:t>Formula</w:t>
            </w:r>
          </w:p>
        </w:tc>
        <w:tc>
          <w:tcPr>
            <w:tcW w:w="7654" w:type="dxa"/>
            <w:tcBorders>
              <w:top w:val="single" w:sz="4" w:space="0" w:color="BFBFBF"/>
              <w:left w:val="nil"/>
              <w:bottom w:val="single" w:sz="4" w:space="0" w:color="BFBFBF"/>
              <w:right w:val="single" w:sz="4" w:space="0" w:color="BFBFBF"/>
            </w:tcBorders>
            <w:shd w:val="clear" w:color="auto" w:fill="auto"/>
            <w:noWrap/>
            <w:vAlign w:val="bottom"/>
            <w:hideMark/>
          </w:tcPr>
          <w:p w14:paraId="78B1B127" w14:textId="77777777" w:rsidR="007E0BC0" w:rsidRPr="004D307F" w:rsidRDefault="007E0BC0" w:rsidP="0034555D">
            <w:pPr>
              <w:spacing w:after="0" w:line="240" w:lineRule="auto"/>
              <w:rPr>
                <w:rFonts w:ascii="Arial" w:eastAsia="Times New Roman" w:hAnsi="Arial" w:cs="Arial"/>
                <w:b/>
                <w:bCs/>
                <w:sz w:val="20"/>
                <w:szCs w:val="20"/>
                <w:lang w:eastAsia="en-AU"/>
              </w:rPr>
            </w:pPr>
            <w:r w:rsidRPr="004D307F">
              <w:rPr>
                <w:rFonts w:ascii="Arial" w:eastAsia="Times New Roman" w:hAnsi="Arial" w:cs="Arial"/>
                <w:b/>
                <w:bCs/>
                <w:sz w:val="20"/>
                <w:szCs w:val="20"/>
                <w:lang w:eastAsia="en-AU"/>
              </w:rPr>
              <w:t>Explanation</w:t>
            </w:r>
          </w:p>
        </w:tc>
      </w:tr>
      <w:tr w:rsidR="007E0BC0" w:rsidRPr="004D307F" w14:paraId="6AB06ABB" w14:textId="77777777" w:rsidTr="0034555D">
        <w:trPr>
          <w:trHeight w:val="300"/>
        </w:trPr>
        <w:tc>
          <w:tcPr>
            <w:tcW w:w="1696" w:type="dxa"/>
            <w:tcBorders>
              <w:top w:val="nil"/>
              <w:left w:val="single" w:sz="4" w:space="0" w:color="BFBFBF"/>
              <w:bottom w:val="single" w:sz="4" w:space="0" w:color="BFBFBF"/>
              <w:right w:val="single" w:sz="4" w:space="0" w:color="BFBFBF"/>
            </w:tcBorders>
            <w:shd w:val="clear" w:color="auto" w:fill="auto"/>
            <w:noWrap/>
            <w:vAlign w:val="bottom"/>
            <w:hideMark/>
          </w:tcPr>
          <w:p w14:paraId="3ECA241E" w14:textId="77777777" w:rsidR="007E0BC0" w:rsidRPr="004D307F" w:rsidRDefault="007E0BC0" w:rsidP="0034555D">
            <w:pPr>
              <w:spacing w:after="0" w:line="240" w:lineRule="auto"/>
              <w:ind w:firstLineChars="100" w:firstLine="220"/>
              <w:rPr>
                <w:rFonts w:ascii="Calibri" w:eastAsia="Times New Roman" w:hAnsi="Calibri" w:cs="Calibri"/>
                <w:color w:val="000000"/>
                <w:lang w:eastAsia="en-AU"/>
              </w:rPr>
            </w:pPr>
            <w:r w:rsidRPr="004D307F">
              <w:rPr>
                <w:rFonts w:ascii="Calibri" w:eastAsia="Times New Roman" w:hAnsi="Calibri" w:cs="Calibri"/>
                <w:color w:val="000000"/>
                <w:lang w:eastAsia="en-AU"/>
              </w:rPr>
              <w:t>B =</w:t>
            </w:r>
          </w:p>
        </w:tc>
        <w:tc>
          <w:tcPr>
            <w:tcW w:w="7654" w:type="dxa"/>
            <w:tcBorders>
              <w:top w:val="nil"/>
              <w:left w:val="nil"/>
              <w:bottom w:val="single" w:sz="4" w:space="0" w:color="BFBFBF"/>
              <w:right w:val="single" w:sz="4" w:space="0" w:color="BFBFBF"/>
            </w:tcBorders>
            <w:shd w:val="clear" w:color="auto" w:fill="auto"/>
            <w:noWrap/>
            <w:vAlign w:val="bottom"/>
            <w:hideMark/>
          </w:tcPr>
          <w:p w14:paraId="6BD87940" w14:textId="77777777" w:rsidR="007E0BC0" w:rsidRPr="004D307F" w:rsidRDefault="007E0BC0" w:rsidP="0034555D">
            <w:pPr>
              <w:spacing w:after="0" w:line="240" w:lineRule="auto"/>
              <w:rPr>
                <w:rFonts w:ascii="Calibri" w:eastAsia="Times New Roman" w:hAnsi="Calibri" w:cs="Calibri"/>
                <w:color w:val="000000"/>
                <w:lang w:eastAsia="en-AU"/>
              </w:rPr>
            </w:pPr>
            <w:r w:rsidRPr="004D307F">
              <w:rPr>
                <w:rFonts w:ascii="Calibri" w:eastAsia="Times New Roman" w:hAnsi="Calibri" w:cs="Calibri"/>
                <w:color w:val="000000"/>
                <w:lang w:eastAsia="en-AU"/>
              </w:rPr>
              <w:t>2020 funding under rural items (RSAF, LIF and CAP) for which the school is no longer eligible</w:t>
            </w:r>
          </w:p>
        </w:tc>
      </w:tr>
      <w:tr w:rsidR="007E0BC0" w:rsidRPr="004D307F" w14:paraId="2F180883" w14:textId="77777777" w:rsidTr="0034555D">
        <w:trPr>
          <w:trHeight w:val="300"/>
        </w:trPr>
        <w:tc>
          <w:tcPr>
            <w:tcW w:w="1696" w:type="dxa"/>
            <w:tcBorders>
              <w:top w:val="nil"/>
              <w:left w:val="single" w:sz="4" w:space="0" w:color="BFBFBF"/>
              <w:bottom w:val="single" w:sz="4" w:space="0" w:color="BFBFBF"/>
              <w:right w:val="single" w:sz="4" w:space="0" w:color="BFBFBF"/>
            </w:tcBorders>
            <w:shd w:val="clear" w:color="auto" w:fill="auto"/>
            <w:noWrap/>
            <w:vAlign w:val="bottom"/>
            <w:hideMark/>
          </w:tcPr>
          <w:p w14:paraId="0CFB8A16" w14:textId="77777777" w:rsidR="007E0BC0" w:rsidRPr="004D307F" w:rsidRDefault="007E0BC0" w:rsidP="0034555D">
            <w:pPr>
              <w:spacing w:after="0" w:line="240" w:lineRule="auto"/>
              <w:ind w:firstLineChars="100" w:firstLine="220"/>
              <w:rPr>
                <w:rFonts w:ascii="Calibri" w:eastAsia="Times New Roman" w:hAnsi="Calibri" w:cs="Calibri"/>
                <w:color w:val="000000"/>
                <w:lang w:eastAsia="en-AU"/>
              </w:rPr>
            </w:pPr>
            <w:r w:rsidRPr="004D307F">
              <w:rPr>
                <w:rFonts w:ascii="Calibri" w:eastAsia="Times New Roman" w:hAnsi="Calibri" w:cs="Calibri"/>
                <w:color w:val="000000"/>
                <w:lang w:eastAsia="en-AU"/>
              </w:rPr>
              <w:t>C =</w:t>
            </w:r>
          </w:p>
        </w:tc>
        <w:tc>
          <w:tcPr>
            <w:tcW w:w="7654" w:type="dxa"/>
            <w:tcBorders>
              <w:top w:val="nil"/>
              <w:left w:val="nil"/>
              <w:bottom w:val="single" w:sz="4" w:space="0" w:color="BFBFBF"/>
              <w:right w:val="single" w:sz="4" w:space="0" w:color="BFBFBF"/>
            </w:tcBorders>
            <w:shd w:val="clear" w:color="auto" w:fill="auto"/>
            <w:noWrap/>
            <w:vAlign w:val="bottom"/>
            <w:hideMark/>
          </w:tcPr>
          <w:p w14:paraId="28ED3507" w14:textId="77777777" w:rsidR="007E0BC0" w:rsidRPr="004D307F" w:rsidRDefault="007E0BC0" w:rsidP="0034555D">
            <w:pPr>
              <w:spacing w:after="0" w:line="240" w:lineRule="auto"/>
              <w:rPr>
                <w:rFonts w:ascii="Calibri" w:eastAsia="Times New Roman" w:hAnsi="Calibri" w:cs="Calibri"/>
                <w:color w:val="000000"/>
                <w:lang w:eastAsia="en-AU"/>
              </w:rPr>
            </w:pPr>
            <w:r w:rsidRPr="004D307F">
              <w:rPr>
                <w:rFonts w:ascii="Calibri" w:eastAsia="Times New Roman" w:hAnsi="Calibri" w:cs="Calibri"/>
                <w:color w:val="000000"/>
                <w:lang w:eastAsia="en-AU"/>
              </w:rPr>
              <w:t>2020 Revised Total SRP</w:t>
            </w:r>
          </w:p>
        </w:tc>
      </w:tr>
      <w:tr w:rsidR="007E0BC0" w:rsidRPr="004D307F" w14:paraId="5F5F7CF9" w14:textId="77777777" w:rsidTr="0034555D">
        <w:trPr>
          <w:trHeight w:val="300"/>
        </w:trPr>
        <w:tc>
          <w:tcPr>
            <w:tcW w:w="1696" w:type="dxa"/>
            <w:tcBorders>
              <w:top w:val="nil"/>
              <w:left w:val="single" w:sz="4" w:space="0" w:color="BFBFBF"/>
              <w:bottom w:val="single" w:sz="4" w:space="0" w:color="BFBFBF"/>
              <w:right w:val="single" w:sz="4" w:space="0" w:color="BFBFBF"/>
            </w:tcBorders>
            <w:shd w:val="clear" w:color="auto" w:fill="auto"/>
            <w:noWrap/>
            <w:vAlign w:val="bottom"/>
            <w:hideMark/>
          </w:tcPr>
          <w:p w14:paraId="480B618E" w14:textId="77777777" w:rsidR="007E0BC0" w:rsidRPr="004D307F" w:rsidRDefault="007E0BC0" w:rsidP="0034555D">
            <w:pPr>
              <w:spacing w:after="0" w:line="240" w:lineRule="auto"/>
              <w:ind w:firstLineChars="100" w:firstLine="220"/>
              <w:rPr>
                <w:rFonts w:ascii="Calibri" w:eastAsia="Times New Roman" w:hAnsi="Calibri" w:cs="Calibri"/>
                <w:color w:val="000000"/>
                <w:lang w:eastAsia="en-AU"/>
              </w:rPr>
            </w:pPr>
            <w:r w:rsidRPr="004D307F">
              <w:rPr>
                <w:rFonts w:ascii="Calibri" w:eastAsia="Times New Roman" w:hAnsi="Calibri" w:cs="Calibri"/>
                <w:color w:val="000000"/>
                <w:lang w:eastAsia="en-AU"/>
              </w:rPr>
              <w:t>D =</w:t>
            </w:r>
          </w:p>
        </w:tc>
        <w:tc>
          <w:tcPr>
            <w:tcW w:w="7654" w:type="dxa"/>
            <w:tcBorders>
              <w:top w:val="nil"/>
              <w:left w:val="nil"/>
              <w:bottom w:val="single" w:sz="4" w:space="0" w:color="BFBFBF"/>
              <w:right w:val="single" w:sz="4" w:space="0" w:color="BFBFBF"/>
            </w:tcBorders>
            <w:shd w:val="clear" w:color="auto" w:fill="auto"/>
            <w:noWrap/>
            <w:vAlign w:val="bottom"/>
            <w:hideMark/>
          </w:tcPr>
          <w:p w14:paraId="77AA67DD" w14:textId="77777777" w:rsidR="007E0BC0" w:rsidRPr="004D307F" w:rsidRDefault="007E0BC0" w:rsidP="0034555D">
            <w:pPr>
              <w:spacing w:after="0" w:line="240" w:lineRule="auto"/>
              <w:rPr>
                <w:rFonts w:ascii="Calibri" w:eastAsia="Times New Roman" w:hAnsi="Calibri" w:cs="Calibri"/>
                <w:color w:val="000000"/>
                <w:lang w:eastAsia="en-AU"/>
              </w:rPr>
            </w:pPr>
            <w:r w:rsidRPr="004D307F">
              <w:rPr>
                <w:rFonts w:ascii="Calibri" w:eastAsia="Times New Roman" w:hAnsi="Calibri" w:cs="Calibri"/>
                <w:color w:val="000000"/>
                <w:lang w:eastAsia="en-AU"/>
              </w:rPr>
              <w:t>2021 Indicative SRP without the rurality transition funding</w:t>
            </w:r>
          </w:p>
        </w:tc>
      </w:tr>
      <w:tr w:rsidR="007E0BC0" w:rsidRPr="004D307F" w14:paraId="5DB34154" w14:textId="77777777" w:rsidTr="0034555D">
        <w:trPr>
          <w:trHeight w:val="300"/>
        </w:trPr>
        <w:tc>
          <w:tcPr>
            <w:tcW w:w="1696" w:type="dxa"/>
            <w:tcBorders>
              <w:top w:val="nil"/>
              <w:left w:val="single" w:sz="4" w:space="0" w:color="BFBFBF"/>
              <w:bottom w:val="single" w:sz="4" w:space="0" w:color="BFBFBF"/>
              <w:right w:val="single" w:sz="4" w:space="0" w:color="BFBFBF"/>
            </w:tcBorders>
            <w:shd w:val="clear" w:color="auto" w:fill="auto"/>
            <w:noWrap/>
            <w:vAlign w:val="bottom"/>
            <w:hideMark/>
          </w:tcPr>
          <w:p w14:paraId="6D4A47AD" w14:textId="77777777" w:rsidR="007E0BC0" w:rsidRPr="004D307F" w:rsidRDefault="007E0BC0" w:rsidP="0034555D">
            <w:pPr>
              <w:spacing w:after="0" w:line="240" w:lineRule="auto"/>
              <w:ind w:firstLineChars="100" w:firstLine="220"/>
              <w:rPr>
                <w:rFonts w:ascii="Calibri" w:eastAsia="Times New Roman" w:hAnsi="Calibri" w:cs="Calibri"/>
                <w:color w:val="000000"/>
                <w:lang w:eastAsia="en-AU"/>
              </w:rPr>
            </w:pPr>
            <w:r w:rsidRPr="004D307F">
              <w:rPr>
                <w:rFonts w:ascii="Calibri" w:eastAsia="Times New Roman" w:hAnsi="Calibri" w:cs="Calibri"/>
                <w:color w:val="000000"/>
                <w:lang w:eastAsia="en-AU"/>
              </w:rPr>
              <w:t>E = C - D</w:t>
            </w:r>
          </w:p>
        </w:tc>
        <w:tc>
          <w:tcPr>
            <w:tcW w:w="7654" w:type="dxa"/>
            <w:tcBorders>
              <w:top w:val="nil"/>
              <w:left w:val="nil"/>
              <w:bottom w:val="single" w:sz="4" w:space="0" w:color="BFBFBF"/>
              <w:right w:val="single" w:sz="4" w:space="0" w:color="BFBFBF"/>
            </w:tcBorders>
            <w:shd w:val="clear" w:color="auto" w:fill="auto"/>
            <w:noWrap/>
            <w:vAlign w:val="bottom"/>
            <w:hideMark/>
          </w:tcPr>
          <w:p w14:paraId="55ACB547" w14:textId="77777777" w:rsidR="007E0BC0" w:rsidRPr="004D307F" w:rsidRDefault="007E0BC0" w:rsidP="0034555D">
            <w:pPr>
              <w:spacing w:after="0" w:line="240" w:lineRule="auto"/>
              <w:rPr>
                <w:rFonts w:ascii="Calibri" w:eastAsia="Times New Roman" w:hAnsi="Calibri" w:cs="Calibri"/>
                <w:color w:val="000000"/>
                <w:lang w:eastAsia="en-AU"/>
              </w:rPr>
            </w:pPr>
            <w:r w:rsidRPr="004D307F">
              <w:rPr>
                <w:rFonts w:ascii="Calibri" w:eastAsia="Times New Roman" w:hAnsi="Calibri" w:cs="Calibri"/>
                <w:color w:val="000000"/>
                <w:lang w:eastAsia="en-AU"/>
              </w:rPr>
              <w:t>2020 SRP - 2021 SRP</w:t>
            </w:r>
          </w:p>
        </w:tc>
      </w:tr>
      <w:tr w:rsidR="007E0BC0" w:rsidRPr="004D307F" w14:paraId="61DD4C10" w14:textId="77777777" w:rsidTr="0034555D">
        <w:trPr>
          <w:trHeight w:val="300"/>
        </w:trPr>
        <w:tc>
          <w:tcPr>
            <w:tcW w:w="1696" w:type="dxa"/>
            <w:tcBorders>
              <w:top w:val="nil"/>
              <w:left w:val="single" w:sz="4" w:space="0" w:color="BFBFBF"/>
              <w:bottom w:val="single" w:sz="4" w:space="0" w:color="BFBFBF"/>
              <w:right w:val="single" w:sz="4" w:space="0" w:color="BFBFBF"/>
            </w:tcBorders>
            <w:shd w:val="clear" w:color="auto" w:fill="auto"/>
            <w:noWrap/>
            <w:vAlign w:val="bottom"/>
            <w:hideMark/>
          </w:tcPr>
          <w:p w14:paraId="40DE19DE" w14:textId="77777777" w:rsidR="007E0BC0" w:rsidRPr="004D307F" w:rsidRDefault="007E0BC0" w:rsidP="0034555D">
            <w:pPr>
              <w:spacing w:after="0" w:line="240" w:lineRule="auto"/>
              <w:ind w:firstLineChars="100" w:firstLine="220"/>
              <w:rPr>
                <w:rFonts w:ascii="Calibri" w:eastAsia="Times New Roman" w:hAnsi="Calibri" w:cs="Calibri"/>
                <w:color w:val="000000"/>
                <w:lang w:eastAsia="en-AU"/>
              </w:rPr>
            </w:pPr>
            <w:r w:rsidRPr="004D307F">
              <w:rPr>
                <w:rFonts w:ascii="Calibri" w:eastAsia="Times New Roman" w:hAnsi="Calibri" w:cs="Calibri"/>
                <w:color w:val="000000"/>
                <w:lang w:eastAsia="en-AU"/>
              </w:rPr>
              <w:t>F = Min (B,E)</w:t>
            </w:r>
          </w:p>
        </w:tc>
        <w:tc>
          <w:tcPr>
            <w:tcW w:w="7654" w:type="dxa"/>
            <w:tcBorders>
              <w:top w:val="nil"/>
              <w:left w:val="nil"/>
              <w:bottom w:val="single" w:sz="4" w:space="0" w:color="BFBFBF"/>
              <w:right w:val="single" w:sz="4" w:space="0" w:color="BFBFBF"/>
            </w:tcBorders>
            <w:shd w:val="clear" w:color="auto" w:fill="auto"/>
            <w:noWrap/>
            <w:vAlign w:val="bottom"/>
            <w:hideMark/>
          </w:tcPr>
          <w:p w14:paraId="23933823" w14:textId="77777777" w:rsidR="007E0BC0" w:rsidRPr="004D307F" w:rsidRDefault="007E0BC0" w:rsidP="0034555D">
            <w:pPr>
              <w:spacing w:after="0" w:line="240" w:lineRule="auto"/>
              <w:rPr>
                <w:rFonts w:ascii="Calibri" w:eastAsia="Times New Roman" w:hAnsi="Calibri" w:cs="Calibri"/>
                <w:color w:val="000000"/>
                <w:lang w:eastAsia="en-AU"/>
              </w:rPr>
            </w:pPr>
            <w:r w:rsidRPr="004D307F">
              <w:rPr>
                <w:rFonts w:ascii="Calibri" w:eastAsia="Times New Roman" w:hAnsi="Calibri" w:cs="Calibri"/>
                <w:color w:val="000000"/>
                <w:lang w:eastAsia="en-AU"/>
              </w:rPr>
              <w:t>Transition =  2020 SRP - 2021 SRP = (E) but capped at the loss of Rural Items (B)</w:t>
            </w:r>
          </w:p>
        </w:tc>
      </w:tr>
    </w:tbl>
    <w:p w14:paraId="23F1DBC2" w14:textId="49A25093" w:rsidR="000012C9" w:rsidRPr="004D307F" w:rsidRDefault="000012C9">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br w:type="page"/>
      </w:r>
    </w:p>
    <w:p w14:paraId="68079E05" w14:textId="1D48F85E" w:rsidR="006F7D3A" w:rsidRPr="004D307F" w:rsidRDefault="000012C9" w:rsidP="00B566E7">
      <w:pPr>
        <w:pStyle w:val="Heading2"/>
      </w:pPr>
      <w:bookmarkStart w:id="126" w:name="_Toc106793807"/>
      <w:r w:rsidRPr="004D307F">
        <w:lastRenderedPageBreak/>
        <w:t xml:space="preserve">Jobs, Skills and Pathways (JSP) coordination (Reference </w:t>
      </w:r>
      <w:r w:rsidR="002D5222" w:rsidRPr="004D307F">
        <w:t>127</w:t>
      </w:r>
      <w:r w:rsidRPr="004D307F">
        <w:t>)</w:t>
      </w:r>
      <w:bookmarkEnd w:id="126"/>
    </w:p>
    <w:p w14:paraId="15FDB571" w14:textId="77777777" w:rsidR="00FF5368" w:rsidRPr="004D307F" w:rsidRDefault="00FF5368" w:rsidP="000012C9">
      <w:pPr>
        <w:spacing w:after="0" w:line="240" w:lineRule="auto"/>
        <w:rPr>
          <w:rFonts w:ascii="VIC-Regular" w:eastAsia="Times New Roman" w:hAnsi="VIC-Regular" w:cs="Times New Roman"/>
          <w:color w:val="011A3C"/>
          <w:sz w:val="24"/>
          <w:szCs w:val="24"/>
          <w:lang w:val="en" w:eastAsia="en-AU"/>
        </w:rPr>
      </w:pPr>
    </w:p>
    <w:p w14:paraId="1618A129" w14:textId="06877770"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This program – Jobs, Skills and Pathways (JSP) coordination – provides funding for schools to help with the coordination and delivery of vocational and applied learning programs (i.e. Vocational Education and Training Delivered to Secondary Students (VDSS) and the current Victorian Certificate of Applied Learning (VCAL) as well as work related learning and School Based Apprenticeships and Traineeships (SBATs)). </w:t>
      </w:r>
    </w:p>
    <w:p w14:paraId="49EB6927" w14:textId="77777777"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p>
    <w:p w14:paraId="672DCD0A" w14:textId="77777777"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key objectives of JSP coordination funding are to:</w:t>
      </w:r>
    </w:p>
    <w:p w14:paraId="631FEA99" w14:textId="77777777" w:rsidR="000012C9" w:rsidRPr="004D307F" w:rsidRDefault="000012C9" w:rsidP="00ED0863">
      <w:pPr>
        <w:numPr>
          <w:ilvl w:val="0"/>
          <w:numId w:val="134"/>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support schools with the administrative burden of delivering vocational and applied learning</w:t>
      </w:r>
    </w:p>
    <w:p w14:paraId="5A77D3FC" w14:textId="6A272667" w:rsidR="000012C9" w:rsidRPr="004D307F" w:rsidRDefault="000012C9" w:rsidP="00ED0863">
      <w:pPr>
        <w:numPr>
          <w:ilvl w:val="0"/>
          <w:numId w:val="134"/>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provide schools with additional support to deliver high-quality offerings.</w:t>
      </w:r>
    </w:p>
    <w:p w14:paraId="7AF926B0" w14:textId="434E3602" w:rsidR="00E96E5D" w:rsidRPr="004D307F" w:rsidRDefault="00E96E5D" w:rsidP="00E96E5D">
      <w:pPr>
        <w:spacing w:after="0" w:line="240" w:lineRule="auto"/>
        <w:rPr>
          <w:rFonts w:ascii="VIC-Regular" w:eastAsia="Times New Roman" w:hAnsi="VIC-Regular" w:cs="Times New Roman"/>
          <w:color w:val="011A3C"/>
          <w:sz w:val="24"/>
          <w:szCs w:val="24"/>
          <w:lang w:val="en" w:eastAsia="en-AU"/>
        </w:rPr>
      </w:pPr>
    </w:p>
    <w:p w14:paraId="2A7ABF2C" w14:textId="1080889F" w:rsidR="00E96E5D" w:rsidRPr="004D307F" w:rsidRDefault="00E96E5D" w:rsidP="004363C4">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further information, refer to the Department’s policy on Vocational and Applied Learning Coordination and Delivery Support for Schools.</w:t>
      </w:r>
    </w:p>
    <w:p w14:paraId="420C53AC" w14:textId="77777777" w:rsidR="000012C9" w:rsidRPr="004D307F" w:rsidRDefault="000012C9" w:rsidP="000012C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6DF2C140" w14:textId="77777777"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following schools are eligible for an amount equivalent to 0.2 FTE of a Classroom Teacher Grade 2 mid-point salary:</w:t>
      </w:r>
    </w:p>
    <w:p w14:paraId="14ECB74D" w14:textId="77777777"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p>
    <w:p w14:paraId="5840D2F9" w14:textId="77777777" w:rsidR="000012C9" w:rsidRPr="004D307F" w:rsidRDefault="000012C9" w:rsidP="00ED0863">
      <w:pPr>
        <w:numPr>
          <w:ilvl w:val="0"/>
          <w:numId w:val="134"/>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 2021, all government secondary schools with a senior secondary program and that offer VET to their students, including specialist schools. This will include a number of 7-10 schools that offer VET.</w:t>
      </w:r>
    </w:p>
    <w:p w14:paraId="49EA77AB" w14:textId="77777777" w:rsidR="000012C9" w:rsidRPr="004D307F" w:rsidRDefault="000012C9" w:rsidP="00ED0863">
      <w:pPr>
        <w:numPr>
          <w:ilvl w:val="0"/>
          <w:numId w:val="134"/>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In 2022, all government secondary schools with a senior secondary program, including specialist schools. </w:t>
      </w:r>
    </w:p>
    <w:p w14:paraId="42FDB376" w14:textId="77777777"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p>
    <w:p w14:paraId="19DA95A1" w14:textId="77777777"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calculated at the Confirmed cycles through cash funding.</w:t>
      </w:r>
    </w:p>
    <w:p w14:paraId="71AAFA35" w14:textId="77777777"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p>
    <w:p w14:paraId="0A733228" w14:textId="77777777" w:rsidR="000012C9" w:rsidRPr="004D307F" w:rsidRDefault="000012C9" w:rsidP="000012C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0057EA9F" w14:textId="77777777"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Each school will receive a flat amount equivalent to 0.2 FTE of a Classroom Teacher Grade 2 mid-point salary.</w:t>
      </w:r>
    </w:p>
    <w:p w14:paraId="47D0912E" w14:textId="77777777" w:rsidR="000012C9" w:rsidRPr="004D307F" w:rsidRDefault="000012C9" w:rsidP="000012C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w:t>
      </w:r>
    </w:p>
    <w:p w14:paraId="275E6D20" w14:textId="1C02CA96"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Rate = $ </w:t>
      </w:r>
      <w:r w:rsidR="00ED2F0A" w:rsidRPr="004D307F">
        <w:rPr>
          <w:rFonts w:ascii="VIC-Regular" w:eastAsia="Times New Roman" w:hAnsi="VIC-Regular" w:cs="Times New Roman"/>
          <w:color w:val="011A3C"/>
          <w:sz w:val="24"/>
          <w:szCs w:val="24"/>
          <w:lang w:val="en" w:eastAsia="en-AU"/>
        </w:rPr>
        <w:t>130,960.55</w:t>
      </w:r>
      <w:r w:rsidRPr="004D307F">
        <w:rPr>
          <w:rFonts w:ascii="VIC-Regular" w:eastAsia="Times New Roman" w:hAnsi="VIC-Regular" w:cs="Times New Roman"/>
          <w:color w:val="011A3C"/>
          <w:sz w:val="24"/>
          <w:szCs w:val="24"/>
          <w:lang w:val="en" w:eastAsia="en-AU"/>
        </w:rPr>
        <w:t xml:space="preserve"> (Midpoint of a Classroom Teacher Grade 2 salary, including school </w:t>
      </w:r>
      <w:r w:rsidR="000623AA" w:rsidRPr="004D307F">
        <w:rPr>
          <w:rFonts w:ascii="VIC-Regular" w:eastAsia="Times New Roman" w:hAnsi="VIC-Regular" w:cs="Times New Roman"/>
          <w:color w:val="011A3C"/>
          <w:sz w:val="24"/>
          <w:szCs w:val="24"/>
          <w:lang w:val="en" w:eastAsia="en-AU"/>
        </w:rPr>
        <w:t>Student Resource Package (</w:t>
      </w:r>
      <w:r w:rsidRPr="004D307F">
        <w:rPr>
          <w:rFonts w:ascii="VIC-Regular" w:eastAsia="Times New Roman" w:hAnsi="VIC-Regular" w:cs="Times New Roman"/>
          <w:color w:val="011A3C"/>
          <w:sz w:val="24"/>
          <w:szCs w:val="24"/>
          <w:lang w:val="en" w:eastAsia="en-AU"/>
        </w:rPr>
        <w:t>SRP</w:t>
      </w:r>
      <w:r w:rsidR="000623AA"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 on-costs).</w:t>
      </w:r>
    </w:p>
    <w:p w14:paraId="6D482EAD" w14:textId="053389F4" w:rsidR="006A743D" w:rsidRPr="004D307F" w:rsidRDefault="006A743D" w:rsidP="000012C9">
      <w:pPr>
        <w:spacing w:after="0" w:line="240" w:lineRule="auto"/>
        <w:rPr>
          <w:rFonts w:ascii="VIC-Regular" w:eastAsia="Times New Roman" w:hAnsi="VIC-Regular" w:cs="Times New Roman"/>
          <w:color w:val="011A3C"/>
          <w:sz w:val="24"/>
          <w:szCs w:val="24"/>
          <w:lang w:val="en" w:eastAsia="en-AU"/>
        </w:rPr>
      </w:pPr>
    </w:p>
    <w:p w14:paraId="4AE535AF" w14:textId="77777777" w:rsidR="000B4666" w:rsidRPr="004D307F" w:rsidRDefault="000B4666" w:rsidP="000012C9">
      <w:pPr>
        <w:spacing w:after="0" w:line="240" w:lineRule="auto"/>
        <w:rPr>
          <w:rFonts w:ascii="VIC-Regular" w:eastAsia="Times New Roman" w:hAnsi="VIC-Regular" w:cs="Times New Roman"/>
          <w:color w:val="011A3C"/>
          <w:sz w:val="24"/>
          <w:szCs w:val="24"/>
          <w:lang w:val="en" w:eastAsia="en-AU"/>
        </w:rPr>
      </w:pPr>
    </w:p>
    <w:p w14:paraId="6C8D3D90" w14:textId="77777777" w:rsidR="000012C9" w:rsidRPr="004D307F" w:rsidRDefault="000012C9" w:rsidP="000012C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 xml:space="preserve">Further Information </w:t>
      </w:r>
    </w:p>
    <w:p w14:paraId="017FAE75" w14:textId="32229943" w:rsidR="000012C9" w:rsidRPr="004D307F" w:rsidRDefault="000012C9" w:rsidP="000012C9">
      <w:pPr>
        <w:spacing w:after="0" w:line="240" w:lineRule="auto"/>
      </w:pPr>
      <w:r w:rsidRPr="004D307F">
        <w:rPr>
          <w:rFonts w:ascii="VIC-Regular" w:eastAsia="Times New Roman" w:hAnsi="VIC-Regular" w:cs="Times New Roman"/>
          <w:color w:val="011A3C"/>
          <w:sz w:val="24"/>
          <w:szCs w:val="24"/>
          <w:lang w:val="en" w:eastAsia="en-AU"/>
        </w:rPr>
        <w:t xml:space="preserve">Further information about the functions the funding can be used for and some examples of how the funding can be used are available at: </w:t>
      </w:r>
      <w:hyperlink r:id="rId183" w:history="1">
        <w:r w:rsidR="00683C9C" w:rsidRPr="004D307F">
          <w:rPr>
            <w:rStyle w:val="Hyperlink"/>
          </w:rPr>
          <w:t>Vocational and Applied Learning Coordination and Delivery Support for Schools.</w:t>
        </w:r>
      </w:hyperlink>
    </w:p>
    <w:p w14:paraId="20B61E8C" w14:textId="77777777" w:rsidR="00683C9C" w:rsidRPr="004D307F" w:rsidRDefault="00683C9C" w:rsidP="00683C9C">
      <w:pPr>
        <w:pStyle w:val="mld-paragraph"/>
        <w:spacing w:before="0" w:beforeAutospacing="0" w:after="0" w:afterAutospacing="0" w:line="315" w:lineRule="exact"/>
        <w:rPr>
          <w:rFonts w:ascii="VIC-Regular" w:hAnsi="VIC-Regular" w:cs="Arial"/>
          <w:color w:val="53565A"/>
          <w:sz w:val="24"/>
          <w:szCs w:val="24"/>
        </w:rPr>
      </w:pPr>
      <w:r w:rsidRPr="004D307F">
        <w:rPr>
          <w:rFonts w:ascii="VIC-Regular" w:hAnsi="VIC-Regular" w:cs="Arial"/>
          <w:color w:val="53565A"/>
          <w:sz w:val="24"/>
          <w:szCs w:val="24"/>
        </w:rPr>
        <w:lastRenderedPageBreak/>
        <w:t>To record expenditure against this funding, schools should activate a CASES21 code within the 8950-8999 range (Vocational Ed and Training) and add the title ‘JSP Coordination’.</w:t>
      </w:r>
    </w:p>
    <w:p w14:paraId="1A547CC6" w14:textId="77777777"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p>
    <w:p w14:paraId="3643693C" w14:textId="77777777"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funding is currently available for 2021 and 2022 only. Please note when using the JSP coordination funding in the employment of new staff in one or multiple schools, consideration must be made on the employment conditions of fixed term and ongoing staff and the implications for the school/s with funding only given to the role for 1 or 2 years.</w:t>
      </w:r>
    </w:p>
    <w:p w14:paraId="5328F5B4" w14:textId="77777777" w:rsidR="000012C9" w:rsidRPr="004D307F" w:rsidRDefault="000012C9" w:rsidP="000012C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Contact Information</w:t>
      </w:r>
    </w:p>
    <w:p w14:paraId="6566E6E3" w14:textId="77777777" w:rsidR="000012C9" w:rsidRPr="004D307F" w:rsidRDefault="000012C9" w:rsidP="00ED0863">
      <w:pPr>
        <w:numPr>
          <w:ilvl w:val="0"/>
          <w:numId w:val="134"/>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Senior Secondary Pathways Reform Taskforce</w:t>
      </w:r>
    </w:p>
    <w:p w14:paraId="1FC2BCFA" w14:textId="37903055" w:rsidR="00CA677C" w:rsidRPr="004D307F" w:rsidRDefault="00901FCB" w:rsidP="00ED0863">
      <w:pPr>
        <w:numPr>
          <w:ilvl w:val="0"/>
          <w:numId w:val="134"/>
        </w:numPr>
        <w:spacing w:after="0" w:line="240" w:lineRule="auto"/>
        <w:rPr>
          <w:rFonts w:ascii="VIC-Regular" w:eastAsia="Times New Roman" w:hAnsi="VIC-Regular" w:cs="Times New Roman"/>
          <w:color w:val="011A3C"/>
          <w:sz w:val="24"/>
          <w:szCs w:val="24"/>
          <w:lang w:val="en" w:eastAsia="en-AU"/>
        </w:rPr>
      </w:pPr>
      <w:hyperlink r:id="rId184" w:history="1">
        <w:r w:rsidR="000012C9" w:rsidRPr="004D307F">
          <w:rPr>
            <w:rFonts w:ascii="VIC-Regular" w:eastAsia="Times New Roman" w:hAnsi="VIC-Regular" w:cs="Times New Roman"/>
            <w:color w:val="011A3C"/>
            <w:sz w:val="24"/>
            <w:szCs w:val="24"/>
            <w:lang w:val="en" w:eastAsia="en-AU"/>
          </w:rPr>
          <w:t>pathways.reform@education.vic.gov.au</w:t>
        </w:r>
      </w:hyperlink>
    </w:p>
    <w:p w14:paraId="6A2F23D8" w14:textId="77777777" w:rsidR="001D7476" w:rsidRPr="004D307F" w:rsidRDefault="001D7476">
      <w:pPr>
        <w:rPr>
          <w:rFonts w:ascii="VIC-Regular" w:eastAsia="Times New Roman" w:hAnsi="VIC-Regular" w:cs="Times New Roman"/>
          <w:color w:val="011A3C"/>
          <w:sz w:val="24"/>
          <w:szCs w:val="24"/>
          <w:lang w:val="en" w:eastAsia="en-AU"/>
        </w:rPr>
      </w:pPr>
    </w:p>
    <w:p w14:paraId="7CEE35FE" w14:textId="77777777" w:rsidR="001D7476" w:rsidRPr="004D307F" w:rsidRDefault="001D7476">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br w:type="page"/>
      </w:r>
    </w:p>
    <w:p w14:paraId="0C0CCA7B" w14:textId="77777777" w:rsidR="008205DE" w:rsidRPr="004D307F" w:rsidRDefault="008205DE" w:rsidP="00B566E7">
      <w:pPr>
        <w:pStyle w:val="Heading2"/>
      </w:pPr>
      <w:bookmarkStart w:id="127" w:name="_Toc106793808"/>
      <w:bookmarkStart w:id="128" w:name="_Hlk83981865"/>
      <w:r w:rsidRPr="004D307F">
        <w:lastRenderedPageBreak/>
        <w:t>Tutor Learning Initiative (Reference 129)</w:t>
      </w:r>
      <w:bookmarkEnd w:id="127"/>
    </w:p>
    <w:p w14:paraId="330ADA04" w14:textId="3A07D176"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 xml:space="preserve">The Tutor Learning Initiative (TLI) will ensure that any student who may have fallen behind or become disengaged due to remote learning receives the help they deserve. For further information on the TLI, refer to the </w:t>
      </w:r>
      <w:r w:rsidR="00677474">
        <w:rPr>
          <w:rFonts w:ascii="VIC-Regular" w:eastAsia="Times New Roman" w:hAnsi="VIC-Regular" w:cs="Arial"/>
          <w:color w:val="011A3C"/>
          <w:sz w:val="24"/>
          <w:szCs w:val="24"/>
          <w:lang w:val="en" w:eastAsia="en-AU"/>
        </w:rPr>
        <w:t>d</w:t>
      </w:r>
      <w:r w:rsidRPr="004D307F">
        <w:rPr>
          <w:rFonts w:ascii="VIC-Regular" w:eastAsia="Times New Roman" w:hAnsi="VIC-Regular" w:cs="Arial"/>
          <w:color w:val="011A3C"/>
          <w:sz w:val="24"/>
          <w:szCs w:val="24"/>
          <w:lang w:val="en" w:eastAsia="en-AU"/>
        </w:rPr>
        <w:t>epartment</w:t>
      </w:r>
      <w:r w:rsidRPr="004D307F">
        <w:rPr>
          <w:rFonts w:ascii="VIC-Regular" w:eastAsia="Times New Roman" w:hAnsi="VIC-Regular" w:cs="Arial" w:hint="eastAsia"/>
          <w:color w:val="011A3C"/>
          <w:sz w:val="24"/>
          <w:szCs w:val="24"/>
          <w:lang w:val="en" w:eastAsia="en-AU"/>
        </w:rPr>
        <w:t>’</w:t>
      </w:r>
      <w:r w:rsidRPr="004D307F">
        <w:rPr>
          <w:rFonts w:ascii="VIC-Regular" w:eastAsia="Times New Roman" w:hAnsi="VIC-Regular" w:cs="Arial"/>
          <w:color w:val="011A3C"/>
          <w:sz w:val="24"/>
          <w:szCs w:val="24"/>
          <w:lang w:val="en" w:eastAsia="en-AU"/>
        </w:rPr>
        <w:t xml:space="preserve">s policy on the </w:t>
      </w:r>
      <w:hyperlink r:id="rId185" w:history="1">
        <w:r w:rsidRPr="004D307F">
          <w:rPr>
            <w:rFonts w:ascii="VIC-Regular" w:eastAsia="Times New Roman" w:hAnsi="VIC-Regular" w:cs="Arial"/>
            <w:color w:val="011A3C"/>
            <w:sz w:val="24"/>
            <w:szCs w:val="24"/>
            <w:u w:val="single"/>
            <w:lang w:val="en" w:eastAsia="en-AU"/>
          </w:rPr>
          <w:t>Tutor Learning Initiative 2022</w:t>
        </w:r>
      </w:hyperlink>
      <w:r w:rsidRPr="004D307F">
        <w:rPr>
          <w:rFonts w:ascii="VIC-Regular" w:eastAsia="Times New Roman" w:hAnsi="VIC-Regular" w:cs="Arial"/>
          <w:color w:val="011A3C"/>
          <w:sz w:val="24"/>
          <w:szCs w:val="24"/>
          <w:lang w:val="en" w:eastAsia="en-AU"/>
        </w:rPr>
        <w:t>.</w:t>
      </w:r>
    </w:p>
    <w:p w14:paraId="425A8812"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Schools do not have to apply for TLI funding. Funding will be provided directly to schools as a specific purpose payment through a Student Resource Package (SRP) credit allocation. Schools are required to spend and acquit the TLI allocation during the 2022 calendar year. Schools must only use their funding for the provision of the TLI in schools which is to provide targeted teaching by a tutor to students identified as needing support. </w:t>
      </w:r>
    </w:p>
    <w:p w14:paraId="2622F25B" w14:textId="77777777" w:rsidR="008205DE" w:rsidRPr="004D307F" w:rsidRDefault="008205DE" w:rsidP="004D307F">
      <w:pPr>
        <w:spacing w:before="360" w:after="120" w:line="360"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25B86267"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All government schools, except ‘Camp’ and ‘Language’ school types are eligible for TLI funding, including:</w:t>
      </w:r>
    </w:p>
    <w:p w14:paraId="2DA3DEFD" w14:textId="77777777" w:rsidR="008205DE" w:rsidRPr="004D307F" w:rsidRDefault="008205DE" w:rsidP="00ED0863">
      <w:pPr>
        <w:numPr>
          <w:ilvl w:val="0"/>
          <w:numId w:val="164"/>
        </w:num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Primary</w:t>
      </w:r>
    </w:p>
    <w:p w14:paraId="02AE5406" w14:textId="77777777" w:rsidR="008205DE" w:rsidRPr="004D307F" w:rsidRDefault="008205DE" w:rsidP="00ED0863">
      <w:pPr>
        <w:numPr>
          <w:ilvl w:val="0"/>
          <w:numId w:val="164"/>
        </w:num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Secondary</w:t>
      </w:r>
    </w:p>
    <w:p w14:paraId="74DA21EC" w14:textId="77777777" w:rsidR="008205DE" w:rsidRPr="004D307F" w:rsidRDefault="008205DE" w:rsidP="00ED0863">
      <w:pPr>
        <w:numPr>
          <w:ilvl w:val="0"/>
          <w:numId w:val="164"/>
        </w:num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Primary/Secondary</w:t>
      </w:r>
    </w:p>
    <w:p w14:paraId="6F546055" w14:textId="77777777" w:rsidR="008205DE" w:rsidRPr="004D307F" w:rsidRDefault="008205DE" w:rsidP="00ED0863">
      <w:pPr>
        <w:numPr>
          <w:ilvl w:val="0"/>
          <w:numId w:val="164"/>
        </w:num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Specialist.</w:t>
      </w:r>
    </w:p>
    <w:p w14:paraId="1300888E" w14:textId="77777777" w:rsidR="008205DE" w:rsidRPr="004D307F" w:rsidRDefault="008205DE" w:rsidP="004D307F">
      <w:pPr>
        <w:spacing w:before="360" w:after="120" w:line="360"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Funding allocations</w:t>
      </w:r>
    </w:p>
    <w:p w14:paraId="168363D0" w14:textId="463A7FA8"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In October 202</w:t>
      </w:r>
      <w:r w:rsidR="00ED2F0A" w:rsidRPr="004D307F">
        <w:rPr>
          <w:rFonts w:ascii="VIC-Regular" w:eastAsia="Times New Roman" w:hAnsi="VIC-Regular" w:cs="Arial"/>
          <w:color w:val="011A3C"/>
          <w:sz w:val="24"/>
          <w:szCs w:val="24"/>
          <w:lang w:val="en" w:eastAsia="en-AU"/>
        </w:rPr>
        <w:t>1</w:t>
      </w:r>
      <w:r w:rsidRPr="004D307F">
        <w:rPr>
          <w:rFonts w:ascii="VIC-Regular" w:eastAsia="Times New Roman" w:hAnsi="VIC-Regular" w:cs="Arial"/>
          <w:color w:val="011A3C"/>
          <w:sz w:val="24"/>
          <w:szCs w:val="24"/>
          <w:lang w:val="en" w:eastAsia="en-AU"/>
        </w:rPr>
        <w:t>,</w:t>
      </w:r>
      <w:r w:rsidR="00ED2F0A" w:rsidRPr="004D307F">
        <w:rPr>
          <w:rFonts w:ascii="VIC-Regular" w:eastAsia="Times New Roman" w:hAnsi="VIC-Regular" w:cs="Arial"/>
          <w:color w:val="011A3C"/>
          <w:sz w:val="24"/>
          <w:szCs w:val="24"/>
          <w:lang w:val="en" w:eastAsia="en-AU"/>
        </w:rPr>
        <w:t xml:space="preserve"> s</w:t>
      </w:r>
      <w:r w:rsidRPr="004D307F">
        <w:rPr>
          <w:rFonts w:ascii="VIC-Regular" w:eastAsia="Times New Roman" w:hAnsi="VIC-Regular" w:cs="Arial"/>
          <w:color w:val="011A3C"/>
          <w:sz w:val="24"/>
          <w:szCs w:val="24"/>
          <w:lang w:val="en" w:eastAsia="en-AU"/>
        </w:rPr>
        <w:t>chools are to be advised of their indicative TLI funding, the equivalent FTE and number of students this was expected to support, and their expected 2021 SRP credit surplus contribution where applicable. Enrolments collected during February 2022 census will be used to finalise the 2022 TLI allocation to schools. Based on that calculation, each school will receive a confirmed TLI allocation equal to or greater than the amount that was advised in October 202</w:t>
      </w:r>
      <w:r w:rsidR="00ED2F0A" w:rsidRPr="004D307F">
        <w:rPr>
          <w:rFonts w:ascii="VIC-Regular" w:eastAsia="Times New Roman" w:hAnsi="VIC-Regular" w:cs="Arial"/>
          <w:color w:val="011A3C"/>
          <w:sz w:val="24"/>
          <w:szCs w:val="24"/>
          <w:lang w:val="en" w:eastAsia="en-AU"/>
        </w:rPr>
        <w:t>1</w:t>
      </w:r>
      <w:r w:rsidRPr="004D307F">
        <w:rPr>
          <w:rFonts w:ascii="VIC-Regular" w:eastAsia="Times New Roman" w:hAnsi="VIC-Regular" w:cs="Arial"/>
          <w:color w:val="011A3C"/>
          <w:sz w:val="24"/>
          <w:szCs w:val="24"/>
          <w:lang w:val="en" w:eastAsia="en-AU"/>
        </w:rPr>
        <w:t>.</w:t>
      </w:r>
    </w:p>
    <w:p w14:paraId="4998ED31" w14:textId="77777777" w:rsidR="008205DE" w:rsidRPr="004D307F" w:rsidRDefault="008205DE" w:rsidP="004D307F">
      <w:pPr>
        <w:spacing w:before="360" w:after="120" w:line="360"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0AD04759"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To ensure schools can participate effectively in the TLI, each eligible school campus will receive a base level allocation of $25,000 for primary enrolments and $25,000 for secondary enrolments, with additional loadings based on student enrolments and disadvantage.</w:t>
      </w:r>
    </w:p>
    <w:p w14:paraId="734DCCF0" w14:textId="77777777" w:rsidR="008205DE" w:rsidRPr="004D307F" w:rsidRDefault="008205DE" w:rsidP="004D307F">
      <w:pPr>
        <w:spacing w:before="120" w:after="120" w:line="360" w:lineRule="atLeast"/>
        <w:outlineLvl w:val="3"/>
        <w:rPr>
          <w:rFonts w:ascii="VIC-Bold" w:eastAsia="Times New Roman" w:hAnsi="VIC-Bold" w:cs="Arial"/>
          <w:color w:val="011A3C"/>
          <w:sz w:val="24"/>
          <w:szCs w:val="24"/>
          <w:lang w:val="en" w:eastAsia="en-AU"/>
        </w:rPr>
      </w:pPr>
      <w:r w:rsidRPr="004D307F">
        <w:rPr>
          <w:rFonts w:ascii="VIC-Bold" w:eastAsia="Times New Roman" w:hAnsi="VIC-Bold" w:cs="Arial"/>
          <w:color w:val="011A3C"/>
          <w:sz w:val="24"/>
          <w:szCs w:val="24"/>
          <w:lang w:val="en" w:eastAsia="en-AU"/>
        </w:rPr>
        <w:t>For each eligible campus</w:t>
      </w:r>
    </w:p>
    <w:p w14:paraId="0ABC0874" w14:textId="77777777" w:rsidR="008205DE" w:rsidRPr="004D307F" w:rsidRDefault="008205DE" w:rsidP="004D307F">
      <w:pPr>
        <w:spacing w:before="120" w:after="120" w:line="360" w:lineRule="atLeast"/>
        <w:outlineLvl w:val="4"/>
        <w:rPr>
          <w:rFonts w:ascii="VIC-Bold" w:eastAsia="Times New Roman" w:hAnsi="VIC-Bold" w:cs="Arial"/>
          <w:color w:val="011A3C"/>
          <w:sz w:val="20"/>
          <w:szCs w:val="20"/>
          <w:lang w:val="en" w:eastAsia="en-AU"/>
        </w:rPr>
      </w:pPr>
      <w:r w:rsidRPr="004D307F">
        <w:rPr>
          <w:rFonts w:ascii="VIC-Bold" w:eastAsia="Times New Roman" w:hAnsi="VIC-Bold" w:cs="Arial"/>
          <w:color w:val="011A3C"/>
          <w:sz w:val="20"/>
          <w:szCs w:val="20"/>
          <w:lang w:val="en" w:eastAsia="en-AU"/>
        </w:rPr>
        <w:t>a) Primary allocation</w:t>
      </w:r>
    </w:p>
    <w:p w14:paraId="6A9D07F4"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Provided if Primary Enrolment &gt; 0</w:t>
      </w:r>
    </w:p>
    <w:p w14:paraId="2547163A"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lastRenderedPageBreak/>
        <w:t>Formula:</w:t>
      </w:r>
    </w:p>
    <w:p w14:paraId="332C68D7"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Max of</w:t>
      </w:r>
    </w:p>
    <w:p w14:paraId="49BEDBAB"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[Floor 25K]</w:t>
      </w:r>
    </w:p>
    <w:p w14:paraId="39FE079D"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or</w:t>
      </w:r>
    </w:p>
    <w:p w14:paraId="6176D95D"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[pri_total_enrol × pri_enrol_rate + pri_SD_enrol × pri_SD_enrol_rate]</w:t>
      </w:r>
    </w:p>
    <w:p w14:paraId="277DC1FE" w14:textId="77777777" w:rsidR="008205DE" w:rsidRPr="004D307F" w:rsidRDefault="008205DE" w:rsidP="004D307F">
      <w:pPr>
        <w:spacing w:before="120" w:after="120" w:line="360" w:lineRule="atLeast"/>
        <w:outlineLvl w:val="4"/>
        <w:rPr>
          <w:rFonts w:ascii="VIC-Bold" w:eastAsia="Times New Roman" w:hAnsi="VIC-Bold" w:cs="Arial"/>
          <w:color w:val="011A3C"/>
          <w:sz w:val="20"/>
          <w:szCs w:val="20"/>
          <w:lang w:val="en" w:eastAsia="en-AU"/>
        </w:rPr>
      </w:pPr>
      <w:r w:rsidRPr="004D307F">
        <w:rPr>
          <w:rFonts w:ascii="VIC-Bold" w:eastAsia="Times New Roman" w:hAnsi="VIC-Bold" w:cs="Arial"/>
          <w:color w:val="011A3C"/>
          <w:sz w:val="20"/>
          <w:szCs w:val="20"/>
          <w:lang w:val="en" w:eastAsia="en-AU"/>
        </w:rPr>
        <w:t>b) Secondary allocation</w:t>
      </w:r>
    </w:p>
    <w:p w14:paraId="1E87F4C2"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Provided if Secondary Enrolment &gt; 0</w:t>
      </w:r>
    </w:p>
    <w:p w14:paraId="60C574E4"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Formula:</w:t>
      </w:r>
    </w:p>
    <w:p w14:paraId="1222346F"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Max of   </w:t>
      </w:r>
    </w:p>
    <w:p w14:paraId="4542457D"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[Floor 25K] </w:t>
      </w:r>
    </w:p>
    <w:p w14:paraId="1A70AAF9"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or       </w:t>
      </w:r>
    </w:p>
    <w:p w14:paraId="6F5BCEC6"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[sec_total_enrol × sec_enrol_rate + sec_SD_enrol × sec_SD_enrol_rate]</w:t>
      </w:r>
    </w:p>
    <w:p w14:paraId="3018643D" w14:textId="77777777" w:rsidR="008205DE" w:rsidRPr="004D307F" w:rsidRDefault="008205DE" w:rsidP="004D307F">
      <w:pPr>
        <w:spacing w:before="120" w:after="120" w:line="360" w:lineRule="atLeast"/>
        <w:outlineLvl w:val="4"/>
        <w:rPr>
          <w:rFonts w:ascii="VIC-Bold" w:eastAsia="Times New Roman" w:hAnsi="VIC-Bold" w:cs="Arial"/>
          <w:color w:val="011A3C"/>
          <w:sz w:val="20"/>
          <w:szCs w:val="20"/>
          <w:lang w:val="en" w:eastAsia="en-AU"/>
        </w:rPr>
      </w:pPr>
      <w:r w:rsidRPr="004D307F">
        <w:rPr>
          <w:rFonts w:ascii="VIC-Bold" w:eastAsia="Times New Roman" w:hAnsi="VIC-Bold" w:cs="Arial"/>
          <w:color w:val="011A3C"/>
          <w:sz w:val="20"/>
          <w:szCs w:val="20"/>
          <w:lang w:val="en" w:eastAsia="en-AU"/>
        </w:rPr>
        <w:t>c) Total Allocation = (a) + (b)</w:t>
      </w:r>
    </w:p>
    <w:p w14:paraId="12C4C933" w14:textId="77777777" w:rsidR="008205DE" w:rsidRPr="004D307F" w:rsidRDefault="008205DE" w:rsidP="004D307F">
      <w:pPr>
        <w:spacing w:before="360" w:after="120" w:line="360"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w:t>
      </w:r>
    </w:p>
    <w:p w14:paraId="2267555D"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Primary year level (Prep to Year 6 including primary ungraded or age equivalents) per student rate - $172(referenced as pri_total_enrol in calculation above).</w:t>
      </w:r>
    </w:p>
    <w:p w14:paraId="71428E39"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Secondary (Year 7 to Year 12 including secondary ungraded or age equivalents) per student rate - 1194(referenced as sec_total_enrol in calculation above).</w:t>
      </w:r>
    </w:p>
    <w:p w14:paraId="21571ED0"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Primary and special eligible social disadvantage per student rate - $464 (referenced as pri_SD_enrol_rate in calculation above).</w:t>
      </w:r>
    </w:p>
    <w:p w14:paraId="2645E004"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Secondary social disadvantage per student rate - $522 (referenced as sec_SD_enrol_rate in calculation above).</w:t>
      </w:r>
    </w:p>
    <w:p w14:paraId="61AFB3BF" w14:textId="77777777" w:rsidR="008205DE" w:rsidRPr="004D307F" w:rsidRDefault="008205DE" w:rsidP="004D307F">
      <w:pPr>
        <w:spacing w:before="360" w:after="120" w:line="360"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Contact information</w:t>
      </w:r>
    </w:p>
    <w:p w14:paraId="2C8F8C5E"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 xml:space="preserve">For further information contact your Student Achievement Manager, or </w:t>
      </w:r>
      <w:hyperlink r:id="rId186" w:tgtFrame="_blank" w:history="1">
        <w:r w:rsidRPr="004D307F">
          <w:rPr>
            <w:rFonts w:ascii="VIC-Regular" w:eastAsia="Times New Roman" w:hAnsi="VIC-Regular" w:cs="Arial"/>
            <w:color w:val="011A3C"/>
            <w:sz w:val="24"/>
            <w:szCs w:val="24"/>
            <w:lang w:val="en" w:eastAsia="en-AU"/>
          </w:rPr>
          <w:t>tutor@education.vic.gov.au</w:t>
        </w:r>
      </w:hyperlink>
    </w:p>
    <w:bookmarkEnd w:id="128"/>
    <w:p w14:paraId="76D9873B" w14:textId="77777777" w:rsidR="00E42436" w:rsidRPr="004D307F" w:rsidRDefault="00E42436" w:rsidP="004D307F">
      <w:pPr>
        <w:spacing w:before="120" w:after="120" w:line="360" w:lineRule="atLeast"/>
      </w:pPr>
    </w:p>
    <w:p w14:paraId="5F3CECCD" w14:textId="72BED3FF" w:rsidR="00CA677C" w:rsidRPr="004D307F" w:rsidRDefault="00CA677C" w:rsidP="005722F0">
      <w:r w:rsidRPr="004D307F">
        <w:br w:type="page"/>
      </w:r>
    </w:p>
    <w:p w14:paraId="58EDD84F" w14:textId="38862871" w:rsidR="000012C9" w:rsidRPr="004D307F" w:rsidRDefault="00CA677C" w:rsidP="00B566E7">
      <w:pPr>
        <w:pStyle w:val="Heading2"/>
      </w:pPr>
      <w:bookmarkStart w:id="129" w:name="_Toc106793809"/>
      <w:r w:rsidRPr="004D307F">
        <w:lastRenderedPageBreak/>
        <w:t>Mental Health in Primary Schools</w:t>
      </w:r>
      <w:r w:rsidR="0062549B" w:rsidRPr="004D307F">
        <w:t xml:space="preserve"> </w:t>
      </w:r>
      <w:r w:rsidR="0081228D" w:rsidRPr="004D307F">
        <w:t xml:space="preserve">Pilot </w:t>
      </w:r>
      <w:r w:rsidR="0062549B" w:rsidRPr="004D307F">
        <w:t>(Ref</w:t>
      </w:r>
      <w:r w:rsidR="004A6878" w:rsidRPr="004D307F">
        <w:t>erence 130</w:t>
      </w:r>
      <w:r w:rsidR="0062549B" w:rsidRPr="004D307F">
        <w:t>)</w:t>
      </w:r>
      <w:bookmarkEnd w:id="129"/>
    </w:p>
    <w:p w14:paraId="41B64AF1" w14:textId="3ADC644A" w:rsidR="00E923C4" w:rsidRPr="004D307F" w:rsidRDefault="00E923C4" w:rsidP="004D307F">
      <w:pPr>
        <w:spacing w:before="120" w:after="120" w:line="360" w:lineRule="atLeast"/>
        <w:rPr>
          <w:rFonts w:ascii="VIC-Regular" w:eastAsia="Times New Roman" w:hAnsi="VIC-Regular" w:cs="Times New Roman"/>
          <w:color w:val="011A3C"/>
          <w:sz w:val="24"/>
          <w:szCs w:val="24"/>
        </w:rPr>
      </w:pPr>
      <w:r w:rsidRPr="004D307F">
        <w:rPr>
          <w:rFonts w:ascii="VIC-Regular" w:eastAsia="Times New Roman" w:hAnsi="VIC-Regular" w:cs="Times New Roman"/>
          <w:color w:val="011A3C"/>
          <w:sz w:val="24"/>
          <w:szCs w:val="24"/>
        </w:rPr>
        <w:t xml:space="preserve">The </w:t>
      </w:r>
      <w:r w:rsidR="00E75F12">
        <w:rPr>
          <w:rFonts w:ascii="VIC-Regular" w:eastAsia="Times New Roman" w:hAnsi="VIC-Regular" w:cs="Times New Roman"/>
          <w:color w:val="011A3C"/>
          <w:sz w:val="24"/>
          <w:szCs w:val="24"/>
        </w:rPr>
        <w:t>d</w:t>
      </w:r>
      <w:r w:rsidRPr="004D307F">
        <w:rPr>
          <w:rFonts w:ascii="VIC-Regular" w:eastAsia="Times New Roman" w:hAnsi="VIC-Regular" w:cs="Times New Roman"/>
          <w:color w:val="011A3C"/>
          <w:sz w:val="24"/>
          <w:szCs w:val="24"/>
        </w:rPr>
        <w:t xml:space="preserve">epartment has partnered with the Murdoch Children’s Research Institute to deliver the Mental Health in Primary Schools Pilot (Pilot) to provide more mental health support in primary schools. </w:t>
      </w:r>
    </w:p>
    <w:p w14:paraId="0965D14D" w14:textId="77777777" w:rsidR="00E923C4" w:rsidRPr="004D307F" w:rsidRDefault="00E923C4" w:rsidP="004D307F">
      <w:pPr>
        <w:spacing w:before="120" w:after="120" w:line="360" w:lineRule="atLeast"/>
        <w:rPr>
          <w:rFonts w:ascii="VIC-Regular" w:eastAsia="Times New Roman" w:hAnsi="VIC-Regular" w:cs="Times New Roman"/>
          <w:color w:val="011A3C"/>
          <w:sz w:val="24"/>
          <w:szCs w:val="24"/>
        </w:rPr>
      </w:pPr>
      <w:r w:rsidRPr="004D307F">
        <w:rPr>
          <w:rFonts w:ascii="VIC-Regular" w:eastAsia="Times New Roman" w:hAnsi="VIC-Regular" w:cs="Times New Roman"/>
          <w:color w:val="011A3C"/>
          <w:sz w:val="24"/>
          <w:szCs w:val="24"/>
        </w:rPr>
        <w:t xml:space="preserve">Participating schools receive funding to employ a Mental Health and Wellbeing Coordinator (MHWC). The role of the MHWC is to implement a whole-school approach to mental health and wellbeing, build the capability of teaching/education support staff to identify and support students with mental health concerns, and support schools to create clear referral pathways for students needing further assessment and intervention. </w:t>
      </w:r>
    </w:p>
    <w:p w14:paraId="01EDB3AB" w14:textId="701EB856" w:rsidR="00F20EC8" w:rsidRPr="004D307F" w:rsidRDefault="00E923C4" w:rsidP="004D307F">
      <w:pPr>
        <w:spacing w:before="120" w:after="120" w:line="360" w:lineRule="atLeast"/>
        <w:rPr>
          <w:sz w:val="21"/>
          <w:szCs w:val="21"/>
        </w:rPr>
      </w:pPr>
      <w:r w:rsidRPr="004D307F">
        <w:rPr>
          <w:rFonts w:ascii="VIC-Regular" w:eastAsia="Times New Roman" w:hAnsi="VIC-Regular" w:cs="Times New Roman"/>
          <w:color w:val="011A3C"/>
          <w:sz w:val="24"/>
          <w:szCs w:val="24"/>
        </w:rPr>
        <w:t>Each participating region has a Pilot Coordinator to support implementation and be in regular contact with schools.</w:t>
      </w:r>
    </w:p>
    <w:p w14:paraId="35BD362C" w14:textId="5F7110D3" w:rsidR="00F20EC8" w:rsidRPr="004D307F" w:rsidRDefault="00F20EC8" w:rsidP="004D307F">
      <w:pPr>
        <w:spacing w:before="360" w:after="120" w:line="360"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5FBF6C6D" w14:textId="3C8EFC6A" w:rsidR="006A4A67" w:rsidRPr="004D307F" w:rsidRDefault="00E75F12" w:rsidP="006A4A67">
      <w:pPr>
        <w:spacing w:before="360" w:after="120" w:line="360" w:lineRule="atLeast"/>
        <w:outlineLvl w:val="2"/>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One hundred</w:t>
      </w:r>
      <w:r w:rsidR="006A4A67" w:rsidRPr="004D307F">
        <w:rPr>
          <w:rFonts w:ascii="VIC-Regular" w:eastAsia="Times New Roman" w:hAnsi="VIC-Regular" w:cs="Times New Roman"/>
          <w:color w:val="011A3C"/>
          <w:sz w:val="24"/>
          <w:szCs w:val="24"/>
          <w:lang w:val="en" w:eastAsia="en-AU"/>
        </w:rPr>
        <w:t xml:space="preserve"> primary schools have been selected to participate in the Mental Health in Primary Schools Pilot (the Pilot) in 2022. </w:t>
      </w:r>
    </w:p>
    <w:p w14:paraId="4DAF7720" w14:textId="77777777" w:rsidR="006A4A67" w:rsidRPr="004D307F" w:rsidRDefault="006A4A67" w:rsidP="006A4A67">
      <w:pPr>
        <w:spacing w:before="360" w:after="120" w:line="360" w:lineRule="atLeast"/>
        <w:outlineLvl w:val="2"/>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were selected based on a selection criteria: </w:t>
      </w:r>
    </w:p>
    <w:p w14:paraId="5F79E52F" w14:textId="57E7D9D5" w:rsidR="006A4A67" w:rsidRPr="004D307F" w:rsidRDefault="006A4A67" w:rsidP="00ED0863">
      <w:pPr>
        <w:pStyle w:val="ListParagraph"/>
        <w:numPr>
          <w:ilvl w:val="0"/>
          <w:numId w:val="135"/>
        </w:numPr>
        <w:spacing w:before="120" w:after="120" w:line="360" w:lineRule="atLeast"/>
        <w:contextualSpacing w:val="0"/>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DET </w:t>
      </w:r>
      <w:r w:rsidR="00E75F12">
        <w:rPr>
          <w:rFonts w:ascii="VIC-Regular" w:eastAsia="Times New Roman" w:hAnsi="VIC-Regular" w:cs="Times New Roman"/>
          <w:color w:val="011A3C"/>
          <w:sz w:val="24"/>
          <w:szCs w:val="24"/>
          <w:lang w:val="en" w:eastAsia="en-AU"/>
        </w:rPr>
        <w:t>r</w:t>
      </w:r>
      <w:r w:rsidRPr="004D307F">
        <w:rPr>
          <w:rFonts w:ascii="VIC-Regular" w:eastAsia="Times New Roman" w:hAnsi="VIC-Regular" w:cs="Times New Roman"/>
          <w:color w:val="011A3C"/>
          <w:sz w:val="24"/>
          <w:szCs w:val="24"/>
          <w:lang w:val="en" w:eastAsia="en-AU"/>
        </w:rPr>
        <w:t xml:space="preserve">egion: schools based in DET’s North Western or South Western Victoria regions, which is where the pilot is based </w:t>
      </w:r>
    </w:p>
    <w:p w14:paraId="625A1EC1" w14:textId="77777777" w:rsidR="006A4A67" w:rsidRPr="004D307F" w:rsidRDefault="006A4A67" w:rsidP="00ED0863">
      <w:pPr>
        <w:pStyle w:val="ListParagraph"/>
        <w:numPr>
          <w:ilvl w:val="0"/>
          <w:numId w:val="135"/>
        </w:numPr>
        <w:spacing w:before="120" w:after="120" w:line="360" w:lineRule="atLeast"/>
        <w:contextualSpacing w:val="0"/>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Need: using mental health and wellbeing data and DET region knowledge </w:t>
      </w:r>
    </w:p>
    <w:p w14:paraId="365AB46C" w14:textId="77777777" w:rsidR="006A4A67" w:rsidRPr="004D307F" w:rsidRDefault="006A4A67" w:rsidP="00ED0863">
      <w:pPr>
        <w:pStyle w:val="ListParagraph"/>
        <w:numPr>
          <w:ilvl w:val="0"/>
          <w:numId w:val="135"/>
        </w:numPr>
        <w:spacing w:before="120" w:after="120" w:line="360" w:lineRule="atLeast"/>
        <w:contextualSpacing w:val="0"/>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Readiness: schools with the capacity and willingness to participate </w:t>
      </w:r>
    </w:p>
    <w:p w14:paraId="50C852B3" w14:textId="77777777" w:rsidR="006A4A67" w:rsidRPr="004D307F" w:rsidRDefault="006A4A67" w:rsidP="00ED0863">
      <w:pPr>
        <w:pStyle w:val="ListParagraph"/>
        <w:numPr>
          <w:ilvl w:val="0"/>
          <w:numId w:val="135"/>
        </w:numPr>
        <w:spacing w:before="120" w:after="120" w:line="360" w:lineRule="atLeast"/>
        <w:contextualSpacing w:val="0"/>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Diversity of locations: selecting schools from metropolitan, regional and rural areas</w:t>
      </w:r>
    </w:p>
    <w:p w14:paraId="5B149E47" w14:textId="35C03AE4" w:rsidR="006A4A67" w:rsidRPr="004D307F" w:rsidRDefault="006A4A67" w:rsidP="00ED0863">
      <w:pPr>
        <w:pStyle w:val="ListParagraph"/>
        <w:numPr>
          <w:ilvl w:val="0"/>
          <w:numId w:val="135"/>
        </w:numPr>
        <w:spacing w:before="120" w:after="120" w:line="360" w:lineRule="atLeast"/>
        <w:contextualSpacing w:val="0"/>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Local clusters: to support schools to work together in a Community of Practice</w:t>
      </w:r>
    </w:p>
    <w:p w14:paraId="4108ED99" w14:textId="6CD03D8C" w:rsidR="006A4A67" w:rsidRPr="004D307F" w:rsidRDefault="006A4A67"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were endorsed for participation by their </w:t>
      </w:r>
      <w:r w:rsidR="00E75F12">
        <w:rPr>
          <w:rFonts w:ascii="VIC-Regular" w:eastAsia="Times New Roman" w:hAnsi="VIC-Regular" w:cs="Times New Roman"/>
          <w:color w:val="011A3C"/>
          <w:sz w:val="24"/>
          <w:szCs w:val="24"/>
          <w:lang w:val="en" w:eastAsia="en-AU"/>
        </w:rPr>
        <w:t>r</w:t>
      </w:r>
      <w:r w:rsidRPr="004D307F">
        <w:rPr>
          <w:rFonts w:ascii="VIC-Regular" w:eastAsia="Times New Roman" w:hAnsi="VIC-Regular" w:cs="Times New Roman"/>
          <w:color w:val="011A3C"/>
          <w:sz w:val="24"/>
          <w:szCs w:val="24"/>
          <w:lang w:val="en" w:eastAsia="en-AU"/>
        </w:rPr>
        <w:t xml:space="preserve">egion’s </w:t>
      </w:r>
      <w:r w:rsidR="00E75F12">
        <w:rPr>
          <w:rFonts w:ascii="VIC-Regular" w:eastAsia="Times New Roman" w:hAnsi="VIC-Regular" w:cs="Times New Roman"/>
          <w:color w:val="011A3C"/>
          <w:sz w:val="24"/>
          <w:szCs w:val="24"/>
          <w:lang w:val="en" w:eastAsia="en-AU"/>
        </w:rPr>
        <w:t>r</w:t>
      </w:r>
      <w:r w:rsidRPr="004D307F">
        <w:rPr>
          <w:rFonts w:ascii="VIC-Regular" w:eastAsia="Times New Roman" w:hAnsi="VIC-Regular" w:cs="Times New Roman"/>
          <w:color w:val="011A3C"/>
          <w:sz w:val="24"/>
          <w:szCs w:val="24"/>
          <w:lang w:val="en" w:eastAsia="en-AU"/>
        </w:rPr>
        <w:t xml:space="preserve">egional </w:t>
      </w:r>
      <w:r w:rsidR="00E75F12">
        <w:rPr>
          <w:rFonts w:ascii="VIC-Regular" w:eastAsia="Times New Roman" w:hAnsi="VIC-Regular" w:cs="Times New Roman"/>
          <w:color w:val="011A3C"/>
          <w:sz w:val="24"/>
          <w:szCs w:val="24"/>
          <w:lang w:val="en" w:eastAsia="en-AU"/>
        </w:rPr>
        <w:t>d</w:t>
      </w:r>
      <w:r w:rsidRPr="004D307F">
        <w:rPr>
          <w:rFonts w:ascii="VIC-Regular" w:eastAsia="Times New Roman" w:hAnsi="VIC-Regular" w:cs="Times New Roman"/>
          <w:color w:val="011A3C"/>
          <w:sz w:val="24"/>
          <w:szCs w:val="24"/>
          <w:lang w:val="en" w:eastAsia="en-AU"/>
        </w:rPr>
        <w:t xml:space="preserve">irector and Executive Director of School Support. </w:t>
      </w:r>
    </w:p>
    <w:p w14:paraId="08C45D00" w14:textId="77777777" w:rsidR="00371D05" w:rsidRPr="004D307F" w:rsidRDefault="00371D05">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br w:type="page"/>
      </w:r>
    </w:p>
    <w:p w14:paraId="64A39514" w14:textId="6327CA4C" w:rsidR="00F20EC8" w:rsidRPr="004D307F" w:rsidRDefault="00F20EC8" w:rsidP="004D307F">
      <w:pPr>
        <w:spacing w:before="360" w:after="120" w:line="360" w:lineRule="atLeast"/>
        <w:outlineLvl w:val="2"/>
        <w:rPr>
          <w:sz w:val="21"/>
          <w:szCs w:val="21"/>
        </w:rPr>
      </w:pPr>
      <w:r w:rsidRPr="004D307F">
        <w:rPr>
          <w:rFonts w:ascii="VIC-Bold" w:eastAsia="Times New Roman" w:hAnsi="VIC-Bold" w:cs="Times New Roman"/>
          <w:b/>
          <w:bCs/>
          <w:color w:val="011A3C"/>
          <w:sz w:val="27"/>
          <w:szCs w:val="27"/>
          <w:lang w:val="en" w:eastAsia="en-AU"/>
        </w:rPr>
        <w:lastRenderedPageBreak/>
        <w:t xml:space="preserve">Calculation </w:t>
      </w:r>
    </w:p>
    <w:p w14:paraId="69CE4B7D" w14:textId="77777777" w:rsidR="000F69C8" w:rsidRPr="004D307F" w:rsidRDefault="000F69C8" w:rsidP="000F69C8">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will be funded for a MHWC from January to December 2022, ranging from a minimum of 0.4 FTE to 1.0 FTE. This will be at the Classroom Teacher 2-4 salary, plus on-costs. </w:t>
      </w:r>
    </w:p>
    <w:p w14:paraId="2A32E57C" w14:textId="77777777" w:rsidR="000F69C8" w:rsidRPr="004D307F" w:rsidRDefault="000F69C8" w:rsidP="000F69C8">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MHWC FTE allocation will depend on primary school enrolment, (see Table 1). Schools with a location index of 0.2 and above will receive a rural loading of an additional 0.1 FTE, in recognition of the challenges these schools face in recruiting.</w:t>
      </w:r>
    </w:p>
    <w:p w14:paraId="25C7E710" w14:textId="7D9A8F2C" w:rsidR="000F69C8" w:rsidRPr="004D307F" w:rsidRDefault="000F69C8" w:rsidP="00885B2C">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Multi-campus school funding will be provided based on school-level rather than campus-level enrolment numbers. Multi-campus schools will have flexibility in how they allocate FTE and share learnings across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491"/>
        <w:gridCol w:w="3525"/>
      </w:tblGrid>
      <w:tr w:rsidR="00487B08" w:rsidRPr="004D307F" w14:paraId="2046F600" w14:textId="77777777" w:rsidTr="00885B2C">
        <w:trPr>
          <w:tblHeader/>
        </w:trPr>
        <w:tc>
          <w:tcPr>
            <w:tcW w:w="0" w:type="auto"/>
            <w:hideMark/>
          </w:tcPr>
          <w:p w14:paraId="58BDF694" w14:textId="4C4D1CA9" w:rsidR="00CA6F96" w:rsidRPr="004D307F" w:rsidRDefault="00CC32D2" w:rsidP="006A68F1">
            <w:pPr>
              <w:spacing w:after="0" w:line="240" w:lineRule="atLeast"/>
              <w:rPr>
                <w:rFonts w:ascii="VIC" w:eastAsia="Times New Roman" w:hAnsi="VIC" w:cs="Times New Roman"/>
                <w:b/>
                <w:bCs/>
                <w:color w:val="323E4F" w:themeColor="text2" w:themeShade="BF"/>
                <w:sz w:val="24"/>
                <w:szCs w:val="24"/>
                <w:lang w:eastAsia="en-AU"/>
              </w:rPr>
            </w:pPr>
            <w:r w:rsidRPr="004D307F">
              <w:rPr>
                <w:rFonts w:ascii="VIC" w:eastAsia="Times New Roman" w:hAnsi="VIC" w:cs="Times New Roman"/>
                <w:b/>
                <w:bCs/>
                <w:color w:val="323E4F" w:themeColor="text2" w:themeShade="BF"/>
                <w:sz w:val="24"/>
                <w:szCs w:val="24"/>
                <w:lang w:eastAsia="en-AU"/>
              </w:rPr>
              <w:t>School enrolment</w:t>
            </w:r>
          </w:p>
        </w:tc>
        <w:tc>
          <w:tcPr>
            <w:tcW w:w="0" w:type="auto"/>
            <w:hideMark/>
          </w:tcPr>
          <w:p w14:paraId="0AA969A8" w14:textId="67E6D332" w:rsidR="00CA6F96" w:rsidRPr="004D307F" w:rsidRDefault="00EF40DA" w:rsidP="006A68F1">
            <w:pPr>
              <w:spacing w:after="0" w:line="240" w:lineRule="atLeast"/>
              <w:rPr>
                <w:rFonts w:ascii="VIC" w:eastAsia="Times New Roman" w:hAnsi="VIC" w:cs="Times New Roman"/>
                <w:b/>
                <w:bCs/>
                <w:color w:val="323E4F" w:themeColor="text2" w:themeShade="BF"/>
                <w:sz w:val="24"/>
                <w:szCs w:val="24"/>
                <w:lang w:eastAsia="en-AU"/>
              </w:rPr>
            </w:pPr>
            <w:r w:rsidRPr="004D307F">
              <w:rPr>
                <w:rFonts w:ascii="VIC" w:eastAsia="Times New Roman" w:hAnsi="VIC" w:cs="Times New Roman"/>
                <w:b/>
                <w:bCs/>
                <w:color w:val="323E4F" w:themeColor="text2" w:themeShade="BF"/>
                <w:sz w:val="24"/>
                <w:szCs w:val="24"/>
                <w:lang w:eastAsia="en-AU"/>
              </w:rPr>
              <w:t>MHWC FTE</w:t>
            </w:r>
          </w:p>
        </w:tc>
      </w:tr>
      <w:tr w:rsidR="00487B08" w:rsidRPr="004D307F" w14:paraId="6B4F0D2A" w14:textId="77777777" w:rsidTr="00885B2C">
        <w:tc>
          <w:tcPr>
            <w:tcW w:w="0" w:type="auto"/>
            <w:hideMark/>
          </w:tcPr>
          <w:p w14:paraId="5D5818AB" w14:textId="5EBA2D45" w:rsidR="00487B08" w:rsidRPr="004D307F" w:rsidRDefault="00487B08" w:rsidP="00487B08">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0</w:t>
            </w:r>
            <w:r w:rsidR="00E75F12">
              <w:rPr>
                <w:rFonts w:ascii="VIC" w:hAnsi="VIC"/>
              </w:rPr>
              <w:t xml:space="preserve"> to </w:t>
            </w:r>
            <w:r w:rsidRPr="004D307F">
              <w:rPr>
                <w:rFonts w:ascii="VIC" w:hAnsi="VIC"/>
              </w:rPr>
              <w:t>150</w:t>
            </w:r>
          </w:p>
        </w:tc>
        <w:tc>
          <w:tcPr>
            <w:tcW w:w="0" w:type="auto"/>
            <w:hideMark/>
          </w:tcPr>
          <w:p w14:paraId="17B73A94" w14:textId="07ACB0F5" w:rsidR="00487B08" w:rsidRPr="004D307F" w:rsidRDefault="00487B08" w:rsidP="00487B08">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Calibri"/>
                <w:sz w:val="21"/>
                <w:szCs w:val="21"/>
              </w:rPr>
              <w:t>0.4</w:t>
            </w:r>
          </w:p>
        </w:tc>
      </w:tr>
      <w:tr w:rsidR="00487B08" w:rsidRPr="004D307F" w14:paraId="0A23B17C" w14:textId="77777777" w:rsidTr="004D307F">
        <w:tc>
          <w:tcPr>
            <w:tcW w:w="0" w:type="auto"/>
          </w:tcPr>
          <w:p w14:paraId="081002B6" w14:textId="1BB15A44" w:rsidR="00487B08" w:rsidRPr="004D307F" w:rsidRDefault="00487B08" w:rsidP="00487B08">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150</w:t>
            </w:r>
            <w:r w:rsidR="00E75F12">
              <w:rPr>
                <w:rFonts w:ascii="VIC" w:hAnsi="VIC"/>
              </w:rPr>
              <w:t xml:space="preserve"> to </w:t>
            </w:r>
            <w:r w:rsidRPr="004D307F">
              <w:rPr>
                <w:rFonts w:ascii="VIC" w:hAnsi="VIC"/>
              </w:rPr>
              <w:t>300</w:t>
            </w:r>
          </w:p>
        </w:tc>
        <w:tc>
          <w:tcPr>
            <w:tcW w:w="0" w:type="auto"/>
          </w:tcPr>
          <w:p w14:paraId="6944A967" w14:textId="070D4E7F" w:rsidR="00487B08" w:rsidRPr="004D307F" w:rsidRDefault="00487B08" w:rsidP="00487B08">
            <w:pPr>
              <w:spacing w:after="0" w:line="360" w:lineRule="atLeast"/>
              <w:rPr>
                <w:rFonts w:ascii="VIC" w:hAnsi="VIC"/>
              </w:rPr>
            </w:pPr>
            <w:r w:rsidRPr="004D307F">
              <w:rPr>
                <w:rFonts w:ascii="VIC" w:eastAsia="Times New Roman" w:hAnsi="VIC" w:cs="Calibri"/>
                <w:sz w:val="21"/>
                <w:szCs w:val="21"/>
              </w:rPr>
              <w:t>0.6</w:t>
            </w:r>
          </w:p>
        </w:tc>
      </w:tr>
      <w:tr w:rsidR="00487B08" w:rsidRPr="004D307F" w14:paraId="6D6788D6" w14:textId="77777777" w:rsidTr="004D307F">
        <w:tc>
          <w:tcPr>
            <w:tcW w:w="0" w:type="auto"/>
          </w:tcPr>
          <w:p w14:paraId="129DBD9D" w14:textId="55103360" w:rsidR="00487B08" w:rsidRPr="004D307F" w:rsidRDefault="00487B08" w:rsidP="00487B08">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300</w:t>
            </w:r>
            <w:r w:rsidR="00E75F12">
              <w:rPr>
                <w:rFonts w:ascii="VIC" w:hAnsi="VIC"/>
              </w:rPr>
              <w:t xml:space="preserve"> to </w:t>
            </w:r>
            <w:r w:rsidRPr="004D307F">
              <w:rPr>
                <w:rFonts w:ascii="VIC" w:hAnsi="VIC"/>
              </w:rPr>
              <w:t>450</w:t>
            </w:r>
          </w:p>
        </w:tc>
        <w:tc>
          <w:tcPr>
            <w:tcW w:w="0" w:type="auto"/>
          </w:tcPr>
          <w:p w14:paraId="487FE456" w14:textId="2489070D" w:rsidR="00487B08" w:rsidRPr="004D307F" w:rsidRDefault="00487B08" w:rsidP="00487B08">
            <w:pPr>
              <w:spacing w:after="0" w:line="360" w:lineRule="atLeast"/>
              <w:rPr>
                <w:rFonts w:ascii="VIC" w:hAnsi="VIC"/>
              </w:rPr>
            </w:pPr>
            <w:r w:rsidRPr="004D307F">
              <w:rPr>
                <w:rFonts w:ascii="VIC" w:eastAsia="Times New Roman" w:hAnsi="VIC" w:cs="Calibri"/>
                <w:sz w:val="21"/>
                <w:szCs w:val="21"/>
              </w:rPr>
              <w:t>0.8</w:t>
            </w:r>
          </w:p>
        </w:tc>
      </w:tr>
      <w:tr w:rsidR="00487B08" w:rsidRPr="004D307F" w14:paraId="283F3398" w14:textId="77777777" w:rsidTr="004D307F">
        <w:tc>
          <w:tcPr>
            <w:tcW w:w="0" w:type="auto"/>
          </w:tcPr>
          <w:p w14:paraId="6683AB01" w14:textId="56411964" w:rsidR="00487B08" w:rsidRPr="004D307F" w:rsidRDefault="00487B08" w:rsidP="00487B08">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&gt;450</w:t>
            </w:r>
          </w:p>
        </w:tc>
        <w:tc>
          <w:tcPr>
            <w:tcW w:w="0" w:type="auto"/>
          </w:tcPr>
          <w:p w14:paraId="644438AD" w14:textId="37E037F1" w:rsidR="00487B08" w:rsidRPr="004D307F" w:rsidRDefault="00487B08" w:rsidP="00487B08">
            <w:pPr>
              <w:spacing w:after="0" w:line="360" w:lineRule="atLeast"/>
              <w:rPr>
                <w:rFonts w:ascii="VIC" w:hAnsi="VIC"/>
              </w:rPr>
            </w:pPr>
            <w:r w:rsidRPr="004D307F">
              <w:rPr>
                <w:rFonts w:ascii="VIC" w:eastAsia="Times New Roman" w:hAnsi="VIC" w:cs="Calibri"/>
                <w:sz w:val="21"/>
                <w:szCs w:val="21"/>
              </w:rPr>
              <w:t>1.0</w:t>
            </w:r>
          </w:p>
        </w:tc>
      </w:tr>
    </w:tbl>
    <w:p w14:paraId="50561295" w14:textId="77777777" w:rsidR="001A073E" w:rsidRPr="004D307F" w:rsidRDefault="001A073E" w:rsidP="004D307F">
      <w:pPr>
        <w:spacing w:before="120" w:after="120" w:line="360" w:lineRule="atLeast"/>
        <w:rPr>
          <w:rFonts w:ascii="VIC-Regular" w:eastAsia="Times New Roman" w:hAnsi="VIC-Regular" w:cs="Times New Roman"/>
          <w:color w:val="011A3C"/>
          <w:sz w:val="24"/>
          <w:szCs w:val="24"/>
          <w:lang w:val="en" w:eastAsia="en-AU"/>
        </w:rPr>
      </w:pPr>
      <w:bookmarkStart w:id="130" w:name="_Hlk80192439"/>
      <w:r w:rsidRPr="004D307F">
        <w:rPr>
          <w:rFonts w:ascii="VIC-Regular" w:eastAsia="Times New Roman" w:hAnsi="VIC-Regular" w:cs="Times New Roman"/>
          <w:color w:val="011A3C"/>
          <w:sz w:val="24"/>
          <w:szCs w:val="24"/>
          <w:lang w:val="en" w:eastAsia="en-AU"/>
        </w:rPr>
        <w:t xml:space="preserve">Note: the rural FTE loading is in addition to these rates. </w:t>
      </w:r>
      <w:bookmarkEnd w:id="130"/>
    </w:p>
    <w:p w14:paraId="2A8C13BC" w14:textId="77777777" w:rsidR="00F20EC8" w:rsidRPr="004D307F" w:rsidRDefault="00F20EC8" w:rsidP="00F20EC8">
      <w:pPr>
        <w:spacing w:after="0"/>
        <w:rPr>
          <w:sz w:val="21"/>
          <w:szCs w:val="21"/>
        </w:rPr>
      </w:pPr>
    </w:p>
    <w:p w14:paraId="6C16CD0C" w14:textId="77777777" w:rsidR="006F7D3A" w:rsidRPr="004D307F" w:rsidRDefault="006F7D3A">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br w:type="page"/>
      </w:r>
    </w:p>
    <w:p w14:paraId="3B6D9411" w14:textId="28F803E6" w:rsidR="004A5C17" w:rsidRPr="004D307F" w:rsidRDefault="006F7D3A" w:rsidP="00B566E7">
      <w:pPr>
        <w:pStyle w:val="Heading2"/>
      </w:pPr>
      <w:bookmarkStart w:id="131" w:name="_Toc106793810"/>
      <w:r w:rsidRPr="004D307F">
        <w:lastRenderedPageBreak/>
        <w:t>Mental Health Practitioners in Specialist Schools (Ref</w:t>
      </w:r>
      <w:r w:rsidR="0013300F" w:rsidRPr="004D307F">
        <w:t>erence 131</w:t>
      </w:r>
      <w:r w:rsidRPr="004D307F">
        <w:t>)</w:t>
      </w:r>
      <w:bookmarkEnd w:id="131"/>
    </w:p>
    <w:p w14:paraId="19EE09D2" w14:textId="77777777" w:rsidR="00FF32A4" w:rsidRPr="004D307F" w:rsidRDefault="00FF32A4" w:rsidP="00182B9B">
      <w:pPr>
        <w:rPr>
          <w:lang w:val="en" w:eastAsia="en-AU"/>
        </w:rPr>
      </w:pPr>
    </w:p>
    <w:p w14:paraId="63968CF5" w14:textId="2A92D068" w:rsidR="006F7D3A" w:rsidRPr="004D307F" w:rsidRDefault="006F7D3A" w:rsidP="004D307F">
      <w:pPr>
        <w:spacing w:before="120" w:after="120" w:line="360" w:lineRule="atLeast"/>
        <w:jc w:val="both"/>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Mental Health Practitioners in Specialist Schools (SSMHP) initiative provides funding to government specialist school campuses with secondary-aged enrolments (12 years+) to employ a suitably qualified Mental Health Practitioner (i.e. a fully registered Mental Health Nurse, Occupational Therapist, Psychologist or Social Worker) for between one and four days a week.</w:t>
      </w:r>
    </w:p>
    <w:p w14:paraId="4AEF33DA" w14:textId="4A5BC8F6" w:rsidR="00E96E5D" w:rsidRPr="004D307F" w:rsidRDefault="006F7D3A" w:rsidP="004D307F">
      <w:pPr>
        <w:spacing w:before="120" w:after="120" w:line="360" w:lineRule="atLeast"/>
        <w:jc w:val="both"/>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Mental Health Practitioners provide direct counselling support to students, early intervention services and whole-school mental health and wellbeing promotion and prevention activities. They also coordinate supports for students with complex needs.</w:t>
      </w:r>
    </w:p>
    <w:p w14:paraId="263D5CAE" w14:textId="03E3D3B3" w:rsidR="006F7D3A" w:rsidRPr="004D307F" w:rsidRDefault="00E96E5D" w:rsidP="004D307F">
      <w:pPr>
        <w:spacing w:before="120" w:after="120" w:line="360" w:lineRule="atLeast"/>
        <w:jc w:val="both"/>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For further information on the SSMHP, refer to the Department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Mental Health Toolkit. </w:t>
      </w:r>
    </w:p>
    <w:p w14:paraId="1B194858" w14:textId="563D275C" w:rsidR="006F7D3A" w:rsidRPr="004D307F" w:rsidRDefault="000623AA" w:rsidP="004D307F">
      <w:pPr>
        <w:spacing w:before="120" w:after="120" w:line="360" w:lineRule="atLeast"/>
        <w:jc w:val="both"/>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Student Resource Package (</w:t>
      </w:r>
      <w:r w:rsidR="006F7D3A" w:rsidRPr="004D307F">
        <w:rPr>
          <w:rFonts w:ascii="VIC" w:eastAsia="Times New Roman" w:hAnsi="VIC" w:cs="Times New Roman"/>
          <w:color w:val="011A3C"/>
          <w:sz w:val="24"/>
          <w:szCs w:val="24"/>
          <w:lang w:val="en" w:eastAsia="en-AU"/>
        </w:rPr>
        <w:t>SRP</w:t>
      </w:r>
      <w:r w:rsidRPr="004D307F">
        <w:rPr>
          <w:rFonts w:ascii="VIC" w:eastAsia="Times New Roman" w:hAnsi="VIC" w:cs="Times New Roman"/>
          <w:color w:val="011A3C"/>
          <w:sz w:val="24"/>
          <w:szCs w:val="24"/>
          <w:lang w:val="en" w:eastAsia="en-AU"/>
        </w:rPr>
        <w:t>)</w:t>
      </w:r>
      <w:r w:rsidR="006F7D3A" w:rsidRPr="004D307F">
        <w:rPr>
          <w:rFonts w:ascii="VIC" w:eastAsia="Times New Roman" w:hAnsi="VIC" w:cs="Times New Roman"/>
          <w:color w:val="011A3C"/>
          <w:sz w:val="24"/>
          <w:szCs w:val="24"/>
          <w:lang w:val="en" w:eastAsia="en-AU"/>
        </w:rPr>
        <w:t xml:space="preserve"> funding is provided to cover the salary of a </w:t>
      </w:r>
      <w:r w:rsidR="00B63F2C" w:rsidRPr="004D307F">
        <w:rPr>
          <w:rFonts w:ascii="VIC" w:eastAsia="Times New Roman" w:hAnsi="VIC" w:cs="Times New Roman"/>
          <w:color w:val="011A3C"/>
          <w:sz w:val="24"/>
          <w:szCs w:val="24"/>
          <w:lang w:val="en" w:eastAsia="en-AU"/>
        </w:rPr>
        <w:t>fixed term</w:t>
      </w:r>
      <w:r w:rsidR="006F7D3A" w:rsidRPr="004D307F">
        <w:rPr>
          <w:rFonts w:ascii="VIC" w:eastAsia="Times New Roman" w:hAnsi="VIC" w:cs="Times New Roman"/>
          <w:color w:val="011A3C"/>
          <w:sz w:val="24"/>
          <w:szCs w:val="24"/>
          <w:lang w:val="en" w:eastAsia="en-AU"/>
        </w:rPr>
        <w:t xml:space="preserve"> school-based Mental Health Practitioner. Participating specialist schools receive between a minimum of 0.2 FTE and a maximum of 0.8 FTE, depending on their secondary-aged student enrolments. </w:t>
      </w:r>
    </w:p>
    <w:p w14:paraId="33F9163C" w14:textId="7E88A5B6" w:rsidR="006F7D3A" w:rsidRPr="004D307F" w:rsidRDefault="006F7D3A" w:rsidP="004D307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 xml:space="preserve">SSMHP initiative funding eligibility for schools with combined Primary /Secondary-aged enrolments </w:t>
      </w:r>
    </w:p>
    <w:p w14:paraId="75D6D376" w14:textId="4A052D6E" w:rsidR="006F7D3A" w:rsidRPr="004D307F" w:rsidRDefault="006F7D3A" w:rsidP="004D307F">
      <w:pPr>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All participating specialist schools will receive funding from the beginning of Term 1, 2021 so funding allocations will not be adjusted or differentiated across schools. For specialist schools with both primary and secondary-aged student enrolments, funding allocations will be determined based on secondary-aged</w:t>
      </w:r>
      <w:r w:rsidR="00006721" w:rsidRPr="004D307F">
        <w:rPr>
          <w:rFonts w:ascii="VIC" w:eastAsia="Times New Roman" w:hAnsi="VIC" w:cs="Times New Roman"/>
          <w:color w:val="011A3C"/>
          <w:sz w:val="24"/>
          <w:szCs w:val="24"/>
          <w:lang w:val="en" w:eastAsia="en-AU"/>
        </w:rPr>
        <w:t xml:space="preserve"> (12+ years) </w:t>
      </w:r>
      <w:r w:rsidRPr="004D307F">
        <w:rPr>
          <w:rFonts w:ascii="VIC" w:eastAsia="Times New Roman" w:hAnsi="VIC" w:cs="Times New Roman"/>
          <w:color w:val="011A3C"/>
          <w:sz w:val="24"/>
          <w:szCs w:val="24"/>
          <w:lang w:val="en" w:eastAsia="en-AU"/>
        </w:rPr>
        <w:t xml:space="preserve">enrolments only. </w:t>
      </w:r>
    </w:p>
    <w:p w14:paraId="4D7B43A3" w14:textId="43ACA43C" w:rsidR="006F7D3A" w:rsidRPr="004D307F" w:rsidRDefault="006F7D3A" w:rsidP="004D307F">
      <w:pPr>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SSMHP funding will be allocated as credit and cash.</w:t>
      </w:r>
    </w:p>
    <w:p w14:paraId="0CDEA21A" w14:textId="77777777" w:rsidR="006F7D3A" w:rsidRPr="004D307F" w:rsidRDefault="006F7D3A" w:rsidP="006D6E02">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53FD89C6" w14:textId="77777777" w:rsidR="006F7D3A" w:rsidRPr="004D307F" w:rsidRDefault="006F7D3A" w:rsidP="004D307F">
      <w:pPr>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b/>
          <w:bCs/>
          <w:color w:val="011A3C"/>
          <w:sz w:val="24"/>
          <w:szCs w:val="24"/>
          <w:lang w:val="en" w:eastAsia="en-AU"/>
        </w:rPr>
        <w:t>School FTE Allocation (Part 1)</w:t>
      </w:r>
      <w:r w:rsidRPr="004D307F">
        <w:rPr>
          <w:rFonts w:ascii="VIC" w:eastAsia="Times New Roman" w:hAnsi="VIC" w:cs="Times New Roman"/>
          <w:color w:val="44546A" w:themeColor="text2"/>
          <w:sz w:val="24"/>
          <w:szCs w:val="24"/>
          <w:lang w:val="en" w:eastAsia="en-AU"/>
        </w:rPr>
        <w:t xml:space="preserve"> </w:t>
      </w:r>
      <w:r w:rsidRPr="004D307F">
        <w:rPr>
          <w:rFonts w:ascii="VIC" w:hAnsi="VIC"/>
          <w:color w:val="44546A" w:themeColor="text2"/>
          <w:sz w:val="24"/>
          <w:szCs w:val="24"/>
          <w:lang w:val="en-US"/>
        </w:rPr>
        <w:t xml:space="preserve">= </w:t>
      </w:r>
      <w:r w:rsidRPr="004D307F">
        <w:rPr>
          <w:rFonts w:ascii="VIC" w:eastAsia="Times New Roman" w:hAnsi="VIC" w:cs="Times New Roman"/>
          <w:color w:val="011A3C"/>
          <w:sz w:val="24"/>
          <w:szCs w:val="24"/>
          <w:lang w:val="en" w:eastAsia="en-AU"/>
        </w:rPr>
        <w:t>FTE allocated as per below ranges:</w:t>
      </w:r>
    </w:p>
    <w:p w14:paraId="409B51F6" w14:textId="77777777" w:rsidR="006F7D3A" w:rsidRPr="004D307F" w:rsidRDefault="006F7D3A" w:rsidP="004D307F">
      <w:pPr>
        <w:pStyle w:val="NoSpacing"/>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&lt; 50 students = 0.2 FTE</w:t>
      </w:r>
    </w:p>
    <w:p w14:paraId="21A42CD3" w14:textId="51257261" w:rsidR="006F7D3A" w:rsidRPr="004D307F" w:rsidRDefault="00E11795" w:rsidP="004D307F">
      <w:pPr>
        <w:pStyle w:val="NoSpacing"/>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&gt;</w:t>
      </w:r>
      <w:r w:rsidR="006F7D3A" w:rsidRPr="004D307F">
        <w:rPr>
          <w:rFonts w:ascii="VIC" w:eastAsia="Times New Roman" w:hAnsi="VIC" w:cs="Times New Roman"/>
          <w:color w:val="011A3C"/>
          <w:sz w:val="24"/>
          <w:szCs w:val="24"/>
          <w:lang w:val="en" w:eastAsia="en-AU"/>
        </w:rPr>
        <w:t>50-100 students = 0.4 FTE</w:t>
      </w:r>
    </w:p>
    <w:p w14:paraId="3258680E" w14:textId="083E2026" w:rsidR="006F7D3A" w:rsidRPr="004D307F" w:rsidRDefault="00E11795" w:rsidP="004D307F">
      <w:pPr>
        <w:pStyle w:val="NoSpacing"/>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&gt;</w:t>
      </w:r>
      <w:r w:rsidR="006F7D3A" w:rsidRPr="004D307F">
        <w:rPr>
          <w:rFonts w:ascii="VIC" w:eastAsia="Times New Roman" w:hAnsi="VIC" w:cs="Times New Roman"/>
          <w:color w:val="011A3C"/>
          <w:sz w:val="24"/>
          <w:szCs w:val="24"/>
          <w:lang w:val="en" w:eastAsia="en-AU"/>
        </w:rPr>
        <w:t>100-250 students = 0.6 FTE</w:t>
      </w:r>
    </w:p>
    <w:p w14:paraId="049CACEB" w14:textId="24A1D240" w:rsidR="006F7D3A" w:rsidRPr="004D307F" w:rsidRDefault="006F7D3A" w:rsidP="004D307F">
      <w:pPr>
        <w:pStyle w:val="NoSpacing"/>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250+ students = 0.8 FTE</w:t>
      </w:r>
    </w:p>
    <w:p w14:paraId="09A25FF5" w14:textId="478BE3DD" w:rsidR="006F7D3A" w:rsidRPr="004D307F" w:rsidRDefault="006F7D3A" w:rsidP="004D307F">
      <w:pPr>
        <w:spacing w:before="120" w:after="120" w:line="360" w:lineRule="atLeast"/>
        <w:rPr>
          <w:rFonts w:ascii="VIC" w:hAnsi="VIC"/>
          <w:color w:val="44546A" w:themeColor="text2"/>
          <w:sz w:val="24"/>
          <w:szCs w:val="24"/>
          <w:lang w:val="en-US"/>
        </w:rPr>
      </w:pPr>
      <w:r w:rsidRPr="004D307F">
        <w:rPr>
          <w:rFonts w:ascii="VIC" w:eastAsia="Times New Roman" w:hAnsi="VIC" w:cs="Times New Roman"/>
          <w:b/>
          <w:bCs/>
          <w:color w:val="011A3C"/>
          <w:sz w:val="24"/>
          <w:szCs w:val="24"/>
          <w:lang w:val="en" w:eastAsia="en-AU"/>
        </w:rPr>
        <w:t>Funding Calculation (Part 2)</w:t>
      </w:r>
      <w:r w:rsidRPr="004D307F">
        <w:rPr>
          <w:rFonts w:ascii="VIC" w:eastAsia="Times New Roman" w:hAnsi="VIC" w:cs="Times New Roman"/>
          <w:color w:val="44546A" w:themeColor="text2"/>
          <w:sz w:val="24"/>
          <w:szCs w:val="24"/>
          <w:lang w:val="en" w:eastAsia="en-AU"/>
        </w:rPr>
        <w:t xml:space="preserve"> = </w:t>
      </w:r>
      <w:r w:rsidRPr="004D307F">
        <w:rPr>
          <w:rFonts w:ascii="VIC" w:hAnsi="VIC"/>
          <w:color w:val="44546A" w:themeColor="text2"/>
          <w:sz w:val="24"/>
          <w:szCs w:val="24"/>
          <w:lang w:val="en-US"/>
        </w:rPr>
        <w:t>School FTE Allocation (rounded to 1 decimal) * Rate</w:t>
      </w:r>
    </w:p>
    <w:p w14:paraId="3547F067" w14:textId="77777777" w:rsidR="006F7D3A" w:rsidRPr="004D307F" w:rsidRDefault="006F7D3A" w:rsidP="004D307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w:t>
      </w:r>
    </w:p>
    <w:p w14:paraId="662E6B63" w14:textId="4FCD367F" w:rsidR="005058ED" w:rsidRPr="004D307F" w:rsidRDefault="006F7D3A" w:rsidP="004D307F">
      <w:pPr>
        <w:spacing w:before="120" w:after="120" w:line="360" w:lineRule="atLeast"/>
        <w:rPr>
          <w:rFonts w:ascii="VIC" w:hAnsi="VIC"/>
          <w:sz w:val="24"/>
          <w:szCs w:val="24"/>
        </w:rPr>
      </w:pPr>
      <w:r w:rsidRPr="004D307F">
        <w:rPr>
          <w:rFonts w:ascii="VIC" w:hAnsi="VIC"/>
          <w:sz w:val="24"/>
          <w:szCs w:val="24"/>
        </w:rPr>
        <w:t>Rate = $</w:t>
      </w:r>
      <w:r w:rsidR="00B8658A" w:rsidRPr="004D307F">
        <w:rPr>
          <w:rFonts w:ascii="VIC" w:hAnsi="VIC"/>
          <w:sz w:val="24"/>
          <w:szCs w:val="24"/>
        </w:rPr>
        <w:t>109,138.46</w:t>
      </w:r>
      <w:r w:rsidRPr="004D307F">
        <w:rPr>
          <w:rFonts w:ascii="Calibri" w:hAnsi="Calibri" w:cs="Calibri"/>
          <w:sz w:val="24"/>
          <w:szCs w:val="24"/>
        </w:rPr>
        <w:t> </w:t>
      </w:r>
      <w:r w:rsidRPr="004D307F">
        <w:rPr>
          <w:rFonts w:ascii="VIC" w:hAnsi="VIC"/>
          <w:sz w:val="24"/>
          <w:szCs w:val="24"/>
        </w:rPr>
        <w:t xml:space="preserve"> (Midpoint of an Education Support, Level 1 Range 4, position including school SRP on costs)</w:t>
      </w:r>
    </w:p>
    <w:p w14:paraId="691A732A" w14:textId="77777777" w:rsidR="005058ED" w:rsidRPr="004D307F" w:rsidRDefault="005058ED">
      <w:pPr>
        <w:rPr>
          <w:rFonts w:ascii="VIC" w:hAnsi="VIC"/>
        </w:rPr>
      </w:pPr>
      <w:r w:rsidRPr="004D307F">
        <w:rPr>
          <w:rFonts w:ascii="VIC" w:hAnsi="VIC"/>
        </w:rPr>
        <w:br w:type="page"/>
      </w:r>
    </w:p>
    <w:p w14:paraId="500D3274" w14:textId="506F704C" w:rsidR="00C95C6E" w:rsidRPr="004D307F" w:rsidRDefault="00642F26" w:rsidP="00B566E7">
      <w:pPr>
        <w:pStyle w:val="Heading2"/>
      </w:pPr>
      <w:bookmarkStart w:id="132" w:name="_Toc106793811"/>
      <w:bookmarkStart w:id="133" w:name="_Hlk65761303"/>
      <w:r w:rsidRPr="004D307F">
        <w:lastRenderedPageBreak/>
        <w:t xml:space="preserve">Career Start - </w:t>
      </w:r>
      <w:r w:rsidR="00C95C6E" w:rsidRPr="004D307F">
        <w:t>Transforming the First Years of the Teaching Career (Reference 132)</w:t>
      </w:r>
      <w:bookmarkEnd w:id="132"/>
      <w:r w:rsidR="00C95C6E" w:rsidRPr="004D307F">
        <w:rPr>
          <w:rStyle w:val="Heading2Char"/>
          <w:rFonts w:eastAsiaTheme="majorEastAsia"/>
        </w:rPr>
        <w:t xml:space="preserve"> </w:t>
      </w:r>
    </w:p>
    <w:p w14:paraId="255571E5" w14:textId="77777777" w:rsidR="00C95C6E" w:rsidRPr="004D307F" w:rsidRDefault="00C95C6E" w:rsidP="00C95C6E">
      <w:pPr>
        <w:rPr>
          <w:lang w:val="en" w:eastAsia="en-AU"/>
        </w:rPr>
      </w:pPr>
    </w:p>
    <w:p w14:paraId="59FF2B4B" w14:textId="77777777" w:rsidR="00C95C6E" w:rsidRPr="004D307F" w:rsidRDefault="00C95C6E" w:rsidP="004D307F">
      <w:pPr>
        <w:spacing w:before="120" w:line="360" w:lineRule="atLeast"/>
        <w:jc w:val="both"/>
        <w:rPr>
          <w:rFonts w:ascii="VIC" w:hAnsi="VIC"/>
          <w:sz w:val="24"/>
          <w:szCs w:val="24"/>
        </w:rPr>
      </w:pPr>
      <w:r w:rsidRPr="004D307F">
        <w:rPr>
          <w:rFonts w:ascii="VIC" w:hAnsi="VIC"/>
          <w:sz w:val="24"/>
          <w:szCs w:val="24"/>
        </w:rPr>
        <w:t xml:space="preserve">Funding of $73.4 million has been committed by the State Government for the establishment of a Pilot to transform the first two years of a graduate teacher’s career through a new, nation-leading induction program. </w:t>
      </w:r>
    </w:p>
    <w:p w14:paraId="2D2CB291" w14:textId="0E95B99D" w:rsidR="00C95C6E" w:rsidRPr="004D307F" w:rsidRDefault="00642F26" w:rsidP="004D307F">
      <w:pPr>
        <w:spacing w:before="120" w:line="360" w:lineRule="atLeast"/>
        <w:jc w:val="both"/>
        <w:rPr>
          <w:rFonts w:ascii="VIC" w:hAnsi="VIC"/>
          <w:sz w:val="24"/>
          <w:szCs w:val="24"/>
        </w:rPr>
      </w:pPr>
      <w:r w:rsidRPr="004D307F">
        <w:rPr>
          <w:rFonts w:ascii="VIC" w:hAnsi="VIC"/>
          <w:sz w:val="24"/>
          <w:szCs w:val="24"/>
        </w:rPr>
        <w:t xml:space="preserve">Career Start </w:t>
      </w:r>
      <w:r w:rsidR="00C95C6E" w:rsidRPr="004D307F">
        <w:rPr>
          <w:rFonts w:ascii="VIC" w:hAnsi="VIC"/>
          <w:sz w:val="24"/>
          <w:szCs w:val="24"/>
        </w:rPr>
        <w:t>is a structured two-year pilot program for graduate teachers which aims to improve the experience of graduate teachers as they are inducted in</w:t>
      </w:r>
      <w:r w:rsidR="00C95C6E" w:rsidRPr="004D307F">
        <w:rPr>
          <w:rFonts w:ascii="VIC" w:hAnsi="VIC" w:cstheme="minorHAnsi"/>
          <w:sz w:val="24"/>
          <w:szCs w:val="24"/>
        </w:rPr>
        <w:t>to the profession. I</w:t>
      </w:r>
      <w:r w:rsidR="00C95C6E" w:rsidRPr="004D307F">
        <w:rPr>
          <w:rFonts w:ascii="VIC" w:hAnsi="VIC"/>
          <w:sz w:val="24"/>
          <w:szCs w:val="24"/>
        </w:rPr>
        <w:t xml:space="preserve">t provides new graduate teachers with additional time and support to focus on preparation, learning from others including mentors, targeted professional learning, </w:t>
      </w:r>
      <w:r w:rsidR="00C95C6E" w:rsidRPr="004D307F">
        <w:rPr>
          <w:rFonts w:ascii="VIC" w:eastAsia="Arial" w:hAnsi="VIC" w:cs="Arial"/>
        </w:rPr>
        <w:t>networking opportunities with other graduate teachers through</w:t>
      </w:r>
      <w:r w:rsidR="00C95C6E" w:rsidRPr="004D307F">
        <w:rPr>
          <w:rFonts w:ascii="VIC" w:hAnsi="VIC"/>
          <w:sz w:val="24"/>
          <w:szCs w:val="24"/>
        </w:rPr>
        <w:t xml:space="preserve"> area-based alliances.  </w:t>
      </w:r>
    </w:p>
    <w:p w14:paraId="26CB21BF" w14:textId="7960AA4B" w:rsidR="00C95C6E" w:rsidRPr="004D307F" w:rsidRDefault="00C95C6E" w:rsidP="004D307F">
      <w:pPr>
        <w:spacing w:before="120" w:line="360" w:lineRule="atLeast"/>
        <w:rPr>
          <w:rFonts w:ascii="VIC" w:hAnsi="VIC"/>
          <w:sz w:val="24"/>
          <w:szCs w:val="24"/>
        </w:rPr>
      </w:pPr>
      <w:r w:rsidRPr="004D307F">
        <w:rPr>
          <w:rFonts w:ascii="VIC" w:hAnsi="VIC"/>
          <w:sz w:val="24"/>
          <w:szCs w:val="24"/>
        </w:rPr>
        <w:t>The Pilot is being delivered in primary schools</w:t>
      </w:r>
      <w:r w:rsidR="00331ED3" w:rsidRPr="004D307F">
        <w:rPr>
          <w:rFonts w:ascii="VIC" w:hAnsi="VIC"/>
          <w:sz w:val="24"/>
          <w:szCs w:val="24"/>
        </w:rPr>
        <w:t>, specialist schools</w:t>
      </w:r>
      <w:r w:rsidRPr="004D307F">
        <w:rPr>
          <w:rFonts w:ascii="VIC" w:hAnsi="VIC"/>
          <w:sz w:val="24"/>
          <w:szCs w:val="24"/>
        </w:rPr>
        <w:t xml:space="preserve"> and P-9/P-12 schools in the areas of North Eastern Melbourne, Western Melbourne and Inner Gippsland.</w:t>
      </w:r>
    </w:p>
    <w:p w14:paraId="59DA5149" w14:textId="77777777" w:rsidR="00C95C6E" w:rsidRPr="004D307F" w:rsidRDefault="00C95C6E" w:rsidP="004D307F">
      <w:pPr>
        <w:spacing w:before="120" w:line="360" w:lineRule="atLeast"/>
        <w:jc w:val="both"/>
        <w:rPr>
          <w:rFonts w:ascii="VIC" w:hAnsi="VIC"/>
          <w:sz w:val="24"/>
          <w:szCs w:val="24"/>
        </w:rPr>
      </w:pPr>
      <w:r w:rsidRPr="004D307F">
        <w:rPr>
          <w:rFonts w:ascii="VIC" w:hAnsi="VIC"/>
          <w:sz w:val="24"/>
          <w:szCs w:val="24"/>
        </w:rPr>
        <w:t xml:space="preserve">A key component of the Pilot is a reduction in face-to-face teaching time for graduate teachers and their mentors. Schools will be funded to </w:t>
      </w:r>
      <w:r w:rsidRPr="004D307F">
        <w:rPr>
          <w:rFonts w:ascii="VIC" w:eastAsia="Arial" w:hAnsi="VIC"/>
          <w:sz w:val="24"/>
          <w:szCs w:val="24"/>
          <w:lang w:val="en-US"/>
        </w:rPr>
        <w:t>employ additional classroom teachers to counteract this reduction and ensure continuity of teaching and learning.</w:t>
      </w:r>
    </w:p>
    <w:p w14:paraId="276D4080" w14:textId="77777777" w:rsidR="00C95C6E" w:rsidRPr="004D307F" w:rsidRDefault="00C95C6E" w:rsidP="004D307F">
      <w:pPr>
        <w:spacing w:before="100" w:beforeAutospacing="1" w:after="100" w:afterAutospacing="1" w:line="360" w:lineRule="atLeast"/>
        <w:outlineLvl w:val="2"/>
        <w:rPr>
          <w:rFonts w:ascii="VIC" w:eastAsia="Times New Roman" w:hAnsi="VIC" w:cs="Times New Roman"/>
          <w:b/>
          <w:bCs/>
          <w:color w:val="011A3C"/>
          <w:sz w:val="28"/>
          <w:szCs w:val="28"/>
          <w:lang w:val="en" w:eastAsia="en-AU"/>
        </w:rPr>
      </w:pPr>
      <w:r w:rsidRPr="004D307F">
        <w:rPr>
          <w:rFonts w:ascii="VIC" w:eastAsia="Times New Roman" w:hAnsi="VIC" w:cs="Times New Roman"/>
          <w:b/>
          <w:bCs/>
          <w:color w:val="011A3C"/>
          <w:sz w:val="28"/>
          <w:szCs w:val="28"/>
          <w:lang w:val="en" w:eastAsia="en-AU"/>
        </w:rPr>
        <w:t>Teacher Time Release</w:t>
      </w:r>
    </w:p>
    <w:p w14:paraId="25504651" w14:textId="77777777" w:rsidR="00C95C6E" w:rsidRPr="004D307F" w:rsidRDefault="00C95C6E" w:rsidP="004D307F">
      <w:pPr>
        <w:spacing w:line="360" w:lineRule="atLeast"/>
        <w:rPr>
          <w:rFonts w:ascii="VIC" w:hAnsi="VIC"/>
          <w:b/>
          <w:bCs/>
          <w:sz w:val="24"/>
          <w:szCs w:val="24"/>
        </w:rPr>
      </w:pPr>
      <w:r w:rsidRPr="004D307F">
        <w:rPr>
          <w:rFonts w:ascii="VIC" w:hAnsi="VIC"/>
          <w:b/>
          <w:bCs/>
          <w:sz w:val="24"/>
          <w:szCs w:val="24"/>
        </w:rPr>
        <w:t>Graduate teachers</w:t>
      </w:r>
    </w:p>
    <w:p w14:paraId="13A666C6" w14:textId="77777777" w:rsidR="00C95C6E" w:rsidRPr="004D307F" w:rsidRDefault="00C95C6E" w:rsidP="004D307F">
      <w:pPr>
        <w:spacing w:line="360" w:lineRule="atLeast"/>
        <w:rPr>
          <w:rFonts w:ascii="VIC" w:hAnsi="VIC"/>
          <w:sz w:val="24"/>
          <w:szCs w:val="24"/>
        </w:rPr>
      </w:pPr>
      <w:r w:rsidRPr="004D307F">
        <w:rPr>
          <w:rFonts w:ascii="VIC" w:hAnsi="VIC"/>
          <w:sz w:val="24"/>
          <w:szCs w:val="24"/>
        </w:rPr>
        <w:t xml:space="preserve">The work allocated to classroom teachers in the first two years of their teaching should recognise the need for the teacher to perform all their required duties in a reasonable time frame and to participate in induction and development activities. </w:t>
      </w:r>
    </w:p>
    <w:p w14:paraId="71C16922" w14:textId="77777777"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t>The Victorian Government Schools Agreement (VGSA) 2017 provides first year graduates with a 5 per cent reduction on the teaching and learning focus. The Pilot supports an additional 15 per cent reduction in face-to-face teaching time for graduate teachers in their first year of the Pilot and a 10 per cent reduction in their second year.</w:t>
      </w:r>
    </w:p>
    <w:p w14:paraId="23EB27D4" w14:textId="20FE828B"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t>For graduate teachers participating in the</w:t>
      </w:r>
      <w:r w:rsidR="00642F26" w:rsidRPr="004D307F">
        <w:rPr>
          <w:rFonts w:ascii="VIC" w:hAnsi="VIC" w:cstheme="minorHAnsi"/>
          <w:sz w:val="24"/>
          <w:szCs w:val="24"/>
        </w:rPr>
        <w:t>ir</w:t>
      </w:r>
      <w:r w:rsidRPr="004D307F">
        <w:rPr>
          <w:rFonts w:ascii="VIC" w:hAnsi="VIC" w:cstheme="minorHAnsi"/>
          <w:sz w:val="24"/>
          <w:szCs w:val="24"/>
        </w:rPr>
        <w:t xml:space="preserve"> first year of the Pilot (202</w:t>
      </w:r>
      <w:r w:rsidR="00642F26" w:rsidRPr="004D307F">
        <w:rPr>
          <w:rFonts w:ascii="VIC" w:hAnsi="VIC" w:cstheme="minorHAnsi"/>
          <w:sz w:val="24"/>
          <w:szCs w:val="24"/>
        </w:rPr>
        <w:t>2</w:t>
      </w:r>
      <w:r w:rsidRPr="004D307F">
        <w:rPr>
          <w:rFonts w:ascii="VIC" w:hAnsi="VIC" w:cstheme="minorHAnsi"/>
          <w:sz w:val="24"/>
          <w:szCs w:val="24"/>
        </w:rPr>
        <w:t>), the 20 per cent reduction in face-to-face teaching time is based on:</w:t>
      </w:r>
    </w:p>
    <w:p w14:paraId="0F63A7D7" w14:textId="77777777" w:rsidR="00C95C6E" w:rsidRPr="004D307F" w:rsidRDefault="00C95C6E" w:rsidP="00ED0863">
      <w:pPr>
        <w:pStyle w:val="ListParagraph"/>
        <w:numPr>
          <w:ilvl w:val="0"/>
          <w:numId w:val="146"/>
        </w:numPr>
        <w:spacing w:before="120" w:line="360" w:lineRule="atLeast"/>
        <w:jc w:val="both"/>
        <w:rPr>
          <w:rFonts w:ascii="VIC" w:hAnsi="VIC" w:cstheme="minorHAnsi"/>
          <w:sz w:val="24"/>
          <w:szCs w:val="24"/>
        </w:rPr>
      </w:pPr>
      <w:r w:rsidRPr="004D307F">
        <w:rPr>
          <w:rFonts w:ascii="VIC" w:hAnsi="VIC" w:cstheme="minorHAnsi"/>
          <w:sz w:val="24"/>
          <w:szCs w:val="24"/>
        </w:rPr>
        <w:lastRenderedPageBreak/>
        <w:t>Pilot funding for 15 per cent of a full-time (38-hour week) Classroom Level 2, Range 4 salary for each first-year graduate teacher, plus</w:t>
      </w:r>
    </w:p>
    <w:p w14:paraId="7D2AA2F1" w14:textId="77777777" w:rsidR="00C95C6E" w:rsidRPr="004D307F" w:rsidRDefault="00C95C6E" w:rsidP="00ED0863">
      <w:pPr>
        <w:pStyle w:val="ListParagraph"/>
        <w:numPr>
          <w:ilvl w:val="0"/>
          <w:numId w:val="146"/>
        </w:numPr>
        <w:spacing w:before="120" w:line="360" w:lineRule="atLeast"/>
        <w:jc w:val="both"/>
        <w:rPr>
          <w:rFonts w:ascii="VIC" w:hAnsi="VIC" w:cstheme="minorHAnsi"/>
          <w:sz w:val="24"/>
          <w:szCs w:val="24"/>
        </w:rPr>
      </w:pPr>
      <w:r w:rsidRPr="004D307F">
        <w:rPr>
          <w:rFonts w:ascii="VIC" w:hAnsi="VIC" w:cstheme="minorHAnsi"/>
          <w:sz w:val="24"/>
          <w:szCs w:val="24"/>
        </w:rPr>
        <w:t xml:space="preserve">an additional 5 per cent reduction as per the current arrangements of </w:t>
      </w:r>
      <w:bookmarkStart w:id="134" w:name="_Hlk67572323"/>
      <w:r w:rsidRPr="004D307F">
        <w:rPr>
          <w:rFonts w:ascii="VIC" w:hAnsi="VIC" w:cstheme="minorHAnsi"/>
          <w:sz w:val="24"/>
          <w:szCs w:val="24"/>
        </w:rPr>
        <w:t>the Victorian Government Schools Agreement (VGSA) 2017</w:t>
      </w:r>
      <w:bookmarkEnd w:id="134"/>
      <w:r w:rsidRPr="004D307F">
        <w:rPr>
          <w:rFonts w:ascii="VIC" w:hAnsi="VIC" w:cstheme="minorHAnsi"/>
          <w:sz w:val="24"/>
          <w:szCs w:val="24"/>
        </w:rPr>
        <w:t xml:space="preserve">. </w:t>
      </w:r>
    </w:p>
    <w:p w14:paraId="67B9EE76" w14:textId="77777777"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t xml:space="preserve">In the second year of the pilot, participating graduate teachers from the 2021 cohort will be funded for a 10 per cent reduction in face-to-face teaching time also at a full-time Classroom Level 2, Range 4 salary. </w:t>
      </w:r>
    </w:p>
    <w:p w14:paraId="62FE08E5" w14:textId="77777777" w:rsidR="00C95C6E" w:rsidRPr="004D307F" w:rsidRDefault="00C95C6E" w:rsidP="004D307F">
      <w:pPr>
        <w:spacing w:line="360" w:lineRule="atLeast"/>
        <w:rPr>
          <w:rFonts w:ascii="VIC" w:hAnsi="VIC"/>
          <w:sz w:val="24"/>
          <w:szCs w:val="24"/>
        </w:rPr>
      </w:pPr>
      <w:r w:rsidRPr="004D307F">
        <w:rPr>
          <w:rFonts w:ascii="VIC" w:hAnsi="VIC"/>
          <w:sz w:val="24"/>
          <w:szCs w:val="24"/>
        </w:rPr>
        <w:t>This time allocation will be used across multiple graduate teacher activities:</w:t>
      </w:r>
    </w:p>
    <w:p w14:paraId="46A825D6" w14:textId="5EE2E569" w:rsidR="00C95C6E" w:rsidRPr="004D307F" w:rsidRDefault="00C95C6E" w:rsidP="00ED0863">
      <w:pPr>
        <w:pStyle w:val="ListParagraph"/>
        <w:numPr>
          <w:ilvl w:val="0"/>
          <w:numId w:val="136"/>
        </w:numPr>
        <w:tabs>
          <w:tab w:val="left" w:pos="591"/>
          <w:tab w:val="left" w:pos="851"/>
          <w:tab w:val="left" w:pos="1418"/>
          <w:tab w:val="left" w:pos="2126"/>
          <w:tab w:val="right" w:pos="9356"/>
        </w:tabs>
        <w:overflowPunct w:val="0"/>
        <w:autoSpaceDE w:val="0"/>
        <w:autoSpaceDN w:val="0"/>
        <w:adjustRightInd w:val="0"/>
        <w:spacing w:after="120" w:line="360" w:lineRule="atLeast"/>
        <w:ind w:left="567" w:hanging="283"/>
        <w:contextualSpacing w:val="0"/>
        <w:textAlignment w:val="baseline"/>
        <w:rPr>
          <w:rFonts w:ascii="VIC" w:hAnsi="VIC"/>
          <w:sz w:val="24"/>
          <w:szCs w:val="24"/>
        </w:rPr>
      </w:pPr>
      <w:r w:rsidRPr="004D307F">
        <w:rPr>
          <w:rFonts w:ascii="VIC" w:hAnsi="VIC"/>
          <w:sz w:val="24"/>
          <w:szCs w:val="24"/>
        </w:rPr>
        <w:t xml:space="preserve">for participation in </w:t>
      </w:r>
      <w:r w:rsidR="00642F26" w:rsidRPr="004D307F">
        <w:rPr>
          <w:rFonts w:ascii="VIC" w:hAnsi="VIC"/>
          <w:sz w:val="24"/>
          <w:szCs w:val="24"/>
        </w:rPr>
        <w:t xml:space="preserve">Career Start </w:t>
      </w:r>
      <w:r w:rsidRPr="004D307F">
        <w:rPr>
          <w:rFonts w:ascii="VIC" w:hAnsi="VIC"/>
          <w:sz w:val="24"/>
          <w:szCs w:val="24"/>
        </w:rPr>
        <w:t>professional learning activities</w:t>
      </w:r>
    </w:p>
    <w:p w14:paraId="3BC06B1E" w14:textId="77777777" w:rsidR="00C95C6E" w:rsidRPr="004D307F" w:rsidRDefault="00C95C6E" w:rsidP="00ED0863">
      <w:pPr>
        <w:pStyle w:val="ListParagraph"/>
        <w:numPr>
          <w:ilvl w:val="0"/>
          <w:numId w:val="136"/>
        </w:numPr>
        <w:tabs>
          <w:tab w:val="left" w:pos="591"/>
          <w:tab w:val="left" w:pos="851"/>
          <w:tab w:val="left" w:pos="1418"/>
          <w:tab w:val="left" w:pos="2126"/>
          <w:tab w:val="right" w:pos="9356"/>
        </w:tabs>
        <w:overflowPunct w:val="0"/>
        <w:autoSpaceDE w:val="0"/>
        <w:autoSpaceDN w:val="0"/>
        <w:adjustRightInd w:val="0"/>
        <w:spacing w:after="120" w:line="360" w:lineRule="atLeast"/>
        <w:ind w:left="567" w:hanging="283"/>
        <w:contextualSpacing w:val="0"/>
        <w:textAlignment w:val="baseline"/>
        <w:rPr>
          <w:rFonts w:ascii="VIC" w:hAnsi="VIC"/>
          <w:sz w:val="24"/>
          <w:szCs w:val="24"/>
        </w:rPr>
      </w:pPr>
      <w:r w:rsidRPr="004D307F">
        <w:rPr>
          <w:rFonts w:ascii="VIC" w:hAnsi="VIC"/>
          <w:sz w:val="24"/>
          <w:szCs w:val="24"/>
        </w:rPr>
        <w:t>for formal and informal mentoring via mentors or school leaders</w:t>
      </w:r>
    </w:p>
    <w:p w14:paraId="5FDA38B6" w14:textId="77777777" w:rsidR="00C95C6E" w:rsidRPr="004D307F" w:rsidRDefault="00C95C6E" w:rsidP="00ED0863">
      <w:pPr>
        <w:pStyle w:val="ListParagraph"/>
        <w:numPr>
          <w:ilvl w:val="0"/>
          <w:numId w:val="136"/>
        </w:numPr>
        <w:tabs>
          <w:tab w:val="left" w:pos="591"/>
          <w:tab w:val="left" w:pos="851"/>
          <w:tab w:val="left" w:pos="1418"/>
          <w:tab w:val="left" w:pos="2126"/>
          <w:tab w:val="right" w:pos="9356"/>
        </w:tabs>
        <w:overflowPunct w:val="0"/>
        <w:autoSpaceDE w:val="0"/>
        <w:autoSpaceDN w:val="0"/>
        <w:adjustRightInd w:val="0"/>
        <w:spacing w:after="120" w:line="360" w:lineRule="atLeast"/>
        <w:ind w:left="567" w:hanging="283"/>
        <w:contextualSpacing w:val="0"/>
        <w:textAlignment w:val="baseline"/>
        <w:rPr>
          <w:rFonts w:ascii="VIC" w:hAnsi="VIC"/>
          <w:sz w:val="24"/>
          <w:szCs w:val="24"/>
        </w:rPr>
      </w:pPr>
      <w:r w:rsidRPr="004D307F">
        <w:rPr>
          <w:rFonts w:ascii="VIC" w:hAnsi="VIC"/>
          <w:sz w:val="24"/>
          <w:szCs w:val="24"/>
        </w:rPr>
        <w:t>for observing lessons</w:t>
      </w:r>
    </w:p>
    <w:p w14:paraId="51BE7DA6" w14:textId="77777777" w:rsidR="00C95C6E" w:rsidRPr="004D307F" w:rsidRDefault="00C95C6E" w:rsidP="00ED0863">
      <w:pPr>
        <w:pStyle w:val="ListParagraph"/>
        <w:numPr>
          <w:ilvl w:val="0"/>
          <w:numId w:val="136"/>
        </w:numPr>
        <w:tabs>
          <w:tab w:val="left" w:pos="591"/>
          <w:tab w:val="left" w:pos="851"/>
          <w:tab w:val="left" w:pos="1418"/>
          <w:tab w:val="left" w:pos="2126"/>
          <w:tab w:val="right" w:pos="9356"/>
        </w:tabs>
        <w:overflowPunct w:val="0"/>
        <w:autoSpaceDE w:val="0"/>
        <w:autoSpaceDN w:val="0"/>
        <w:adjustRightInd w:val="0"/>
        <w:spacing w:after="120" w:line="360" w:lineRule="atLeast"/>
        <w:ind w:left="567" w:hanging="283"/>
        <w:contextualSpacing w:val="0"/>
        <w:textAlignment w:val="baseline"/>
        <w:rPr>
          <w:rFonts w:ascii="VIC" w:hAnsi="VIC"/>
          <w:sz w:val="24"/>
          <w:szCs w:val="24"/>
        </w:rPr>
      </w:pPr>
      <w:r w:rsidRPr="004D307F">
        <w:rPr>
          <w:rFonts w:ascii="VIC" w:hAnsi="VIC"/>
          <w:sz w:val="24"/>
          <w:szCs w:val="24"/>
        </w:rPr>
        <w:t>for participating in activities arranged by their area-based alliance.</w:t>
      </w:r>
    </w:p>
    <w:p w14:paraId="13E739DA" w14:textId="77777777" w:rsidR="00C95C6E" w:rsidRPr="004D307F" w:rsidRDefault="00C95C6E" w:rsidP="004D307F">
      <w:pPr>
        <w:spacing w:line="360" w:lineRule="atLeast"/>
        <w:jc w:val="both"/>
        <w:rPr>
          <w:rFonts w:ascii="VIC" w:hAnsi="VIC" w:cstheme="minorHAnsi"/>
          <w:sz w:val="24"/>
          <w:szCs w:val="24"/>
        </w:rPr>
      </w:pPr>
      <w:r w:rsidRPr="004D307F">
        <w:rPr>
          <w:rFonts w:ascii="VIC" w:hAnsi="VIC" w:cstheme="minorHAnsi"/>
          <w:sz w:val="24"/>
          <w:szCs w:val="24"/>
        </w:rPr>
        <w:t xml:space="preserve">School leaders, mentors and graduate teachers will work collaboratively in planning and allocating the time release to enable full participation in the Pilot. </w:t>
      </w:r>
    </w:p>
    <w:p w14:paraId="28A30CEE" w14:textId="77777777" w:rsidR="00C95C6E" w:rsidRPr="004D307F" w:rsidRDefault="00C95C6E" w:rsidP="004D307F">
      <w:pPr>
        <w:spacing w:line="360" w:lineRule="atLeast"/>
        <w:jc w:val="both"/>
        <w:rPr>
          <w:rFonts w:ascii="VIC" w:hAnsi="VIC" w:cstheme="minorHAnsi"/>
          <w:sz w:val="24"/>
          <w:szCs w:val="24"/>
        </w:rPr>
      </w:pPr>
      <w:r w:rsidRPr="004D307F">
        <w:rPr>
          <w:rFonts w:ascii="VIC" w:hAnsi="VIC" w:cstheme="minorHAnsi"/>
          <w:sz w:val="24"/>
          <w:szCs w:val="24"/>
        </w:rPr>
        <w:t>A pro-rata time allowance will apply to graduate teachers employed on a part-time basis.</w:t>
      </w:r>
    </w:p>
    <w:p w14:paraId="1233CACC" w14:textId="77777777" w:rsidR="00C95C6E" w:rsidRPr="004D307F" w:rsidRDefault="00C95C6E" w:rsidP="004D307F">
      <w:pPr>
        <w:tabs>
          <w:tab w:val="left" w:pos="591"/>
          <w:tab w:val="left" w:pos="709"/>
          <w:tab w:val="left" w:pos="1418"/>
          <w:tab w:val="left" w:pos="2126"/>
          <w:tab w:val="right" w:pos="9356"/>
        </w:tabs>
        <w:overflowPunct w:val="0"/>
        <w:autoSpaceDE w:val="0"/>
        <w:autoSpaceDN w:val="0"/>
        <w:adjustRightInd w:val="0"/>
        <w:spacing w:before="120" w:line="360" w:lineRule="atLeast"/>
        <w:textAlignment w:val="baseline"/>
        <w:rPr>
          <w:rFonts w:ascii="VIC" w:hAnsi="VIC"/>
          <w:b/>
          <w:bCs/>
          <w:sz w:val="24"/>
          <w:szCs w:val="24"/>
        </w:rPr>
      </w:pPr>
      <w:r w:rsidRPr="004D307F">
        <w:rPr>
          <w:rFonts w:ascii="VIC" w:hAnsi="VIC"/>
          <w:b/>
          <w:bCs/>
          <w:sz w:val="24"/>
          <w:szCs w:val="24"/>
        </w:rPr>
        <w:t>Mentor teachers</w:t>
      </w:r>
    </w:p>
    <w:p w14:paraId="67F7C0C2" w14:textId="77777777" w:rsidR="00C95C6E" w:rsidRPr="004D307F" w:rsidRDefault="00C95C6E" w:rsidP="004D307F">
      <w:pPr>
        <w:spacing w:after="120" w:line="360" w:lineRule="atLeast"/>
        <w:jc w:val="both"/>
        <w:rPr>
          <w:rFonts w:ascii="VIC" w:eastAsia="Arial" w:hAnsi="VIC" w:cstheme="minorHAnsi"/>
          <w:sz w:val="24"/>
          <w:szCs w:val="28"/>
          <w:lang w:val="en-GB"/>
        </w:rPr>
      </w:pPr>
      <w:r w:rsidRPr="004D307F">
        <w:rPr>
          <w:rFonts w:ascii="VIC" w:eastAsia="Arial" w:hAnsi="VIC" w:cstheme="minorHAnsi"/>
          <w:sz w:val="24"/>
          <w:szCs w:val="28"/>
          <w:lang w:val="en-GB"/>
        </w:rPr>
        <w:t xml:space="preserve">To enable mentor teachers to fully support graduate teachers with their learning and development, schools will receive funding equivalent to 5 per cent of a Classroom Level 2, Range 6 salary for each graduate teacher they mentor.  </w:t>
      </w:r>
    </w:p>
    <w:p w14:paraId="26AACBB6" w14:textId="77777777" w:rsidR="00C95C6E" w:rsidRPr="004D307F" w:rsidRDefault="00C95C6E" w:rsidP="004D307F">
      <w:pPr>
        <w:spacing w:after="120" w:line="360" w:lineRule="atLeast"/>
        <w:jc w:val="both"/>
        <w:rPr>
          <w:rFonts w:ascii="VIC" w:eastAsia="Arial" w:hAnsi="VIC" w:cstheme="minorHAnsi"/>
          <w:sz w:val="24"/>
          <w:szCs w:val="28"/>
          <w:lang w:val="en-GB"/>
        </w:rPr>
      </w:pPr>
      <w:r w:rsidRPr="004D307F">
        <w:rPr>
          <w:rFonts w:ascii="VIC" w:eastAsia="Arial" w:hAnsi="VIC" w:cstheme="minorHAnsi"/>
          <w:sz w:val="24"/>
          <w:szCs w:val="28"/>
          <w:lang w:val="en-GB"/>
        </w:rPr>
        <w:t>The purpose of this funding is to support schools in reducing a mentor’s face-to-face teaching time so they can support the graduate to undertake observational rounds or team teaching activities, attend workshops and alliance meetings, without feeling overburdened by the role. The reduction is funded for a period of two years, or for as long as the graduate teacher is employed, whichever is shorter.</w:t>
      </w:r>
    </w:p>
    <w:p w14:paraId="0155DAEA" w14:textId="77777777" w:rsidR="00C95C6E" w:rsidRPr="004D307F" w:rsidRDefault="00C95C6E" w:rsidP="004D307F">
      <w:pPr>
        <w:spacing w:before="100" w:beforeAutospacing="1" w:after="100" w:afterAutospacing="1" w:line="360" w:lineRule="atLeast"/>
        <w:outlineLvl w:val="2"/>
        <w:rPr>
          <w:rFonts w:ascii="VIC" w:eastAsia="Times New Roman" w:hAnsi="VIC" w:cs="Times New Roman"/>
          <w:b/>
          <w:bCs/>
          <w:color w:val="011A3C"/>
          <w:sz w:val="28"/>
          <w:szCs w:val="28"/>
          <w:lang w:val="en" w:eastAsia="en-AU"/>
        </w:rPr>
      </w:pPr>
      <w:r w:rsidRPr="004D307F">
        <w:rPr>
          <w:rFonts w:ascii="VIC" w:eastAsia="Times New Roman" w:hAnsi="VIC" w:cs="Times New Roman"/>
          <w:b/>
          <w:bCs/>
          <w:color w:val="011A3C"/>
          <w:sz w:val="28"/>
          <w:szCs w:val="28"/>
          <w:lang w:val="en" w:eastAsia="en-AU"/>
        </w:rPr>
        <w:t xml:space="preserve">Eligibility </w:t>
      </w:r>
    </w:p>
    <w:p w14:paraId="55BBF5A9" w14:textId="77777777"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t xml:space="preserve">Schools are eligible to receive funding if they employ: </w:t>
      </w:r>
    </w:p>
    <w:p w14:paraId="26CC2625" w14:textId="77777777" w:rsidR="00C95C6E" w:rsidRPr="004D307F" w:rsidRDefault="00C95C6E" w:rsidP="004D307F">
      <w:pPr>
        <w:spacing w:before="120" w:line="360" w:lineRule="atLeast"/>
        <w:jc w:val="both"/>
        <w:rPr>
          <w:rFonts w:ascii="VIC" w:hAnsi="VIC" w:cstheme="minorHAnsi"/>
          <w:b/>
          <w:bCs/>
          <w:sz w:val="24"/>
          <w:szCs w:val="24"/>
          <w:u w:val="single"/>
        </w:rPr>
      </w:pPr>
      <w:r w:rsidRPr="004D307F">
        <w:rPr>
          <w:rFonts w:ascii="VIC" w:hAnsi="VIC" w:cstheme="minorHAnsi"/>
          <w:b/>
          <w:bCs/>
          <w:sz w:val="24"/>
          <w:szCs w:val="24"/>
          <w:u w:val="single"/>
        </w:rPr>
        <w:t>Graduate Teachers</w:t>
      </w:r>
    </w:p>
    <w:p w14:paraId="00E01EE7" w14:textId="6F0BA103" w:rsidR="00C95C6E" w:rsidRPr="004D307F" w:rsidRDefault="00C95C6E" w:rsidP="004D307F">
      <w:pPr>
        <w:spacing w:before="120" w:line="360" w:lineRule="atLeast"/>
        <w:rPr>
          <w:rFonts w:ascii="VIC" w:hAnsi="VIC" w:cstheme="minorHAnsi"/>
          <w:sz w:val="24"/>
          <w:szCs w:val="24"/>
        </w:rPr>
      </w:pPr>
      <w:r w:rsidRPr="004D307F">
        <w:rPr>
          <w:rFonts w:ascii="VIC" w:hAnsi="VIC" w:cstheme="minorHAnsi"/>
          <w:sz w:val="24"/>
          <w:szCs w:val="24"/>
        </w:rPr>
        <w:lastRenderedPageBreak/>
        <w:t xml:space="preserve">The core focus of the Pilot is to provide enhanced induction experiences for new graduates commencing their first substantive teaching position in an eligible school in the Pilot areas. </w:t>
      </w:r>
    </w:p>
    <w:p w14:paraId="796DC33B" w14:textId="77777777" w:rsidR="00331ED3" w:rsidRPr="004D307F" w:rsidRDefault="00331ED3" w:rsidP="004D307F">
      <w:pPr>
        <w:spacing w:before="120" w:line="360" w:lineRule="atLeast"/>
        <w:rPr>
          <w:rFonts w:ascii="VIC" w:hAnsi="VIC" w:cstheme="minorHAnsi"/>
          <w:sz w:val="24"/>
          <w:szCs w:val="24"/>
        </w:rPr>
      </w:pPr>
      <w:r w:rsidRPr="004D307F">
        <w:rPr>
          <w:rFonts w:ascii="VIC" w:hAnsi="VIC" w:cstheme="minorHAnsi"/>
          <w:sz w:val="24"/>
          <w:szCs w:val="24"/>
        </w:rPr>
        <w:t>Graduate teachers are eligible to participate in Year 1 of the program if they are employed in a primary, P-9 or P-12 school or specialist school in a Pilot area (Inner Gippsland, North Eastern Melbourne and Western Melbourne) and:</w:t>
      </w:r>
    </w:p>
    <w:p w14:paraId="02E7B263" w14:textId="77777777" w:rsidR="00331ED3" w:rsidRPr="004D307F" w:rsidRDefault="00331ED3" w:rsidP="00ED0863">
      <w:pPr>
        <w:pStyle w:val="ListParagraph"/>
        <w:numPr>
          <w:ilvl w:val="0"/>
          <w:numId w:val="161"/>
        </w:numPr>
        <w:spacing w:before="120" w:line="360" w:lineRule="atLeast"/>
        <w:rPr>
          <w:rFonts w:ascii="VIC" w:hAnsi="VIC" w:cstheme="minorHAnsi"/>
          <w:sz w:val="24"/>
          <w:szCs w:val="24"/>
        </w:rPr>
      </w:pPr>
      <w:r w:rsidRPr="004D307F">
        <w:rPr>
          <w:rFonts w:ascii="VIC" w:hAnsi="VIC" w:cstheme="minorHAnsi"/>
          <w:sz w:val="24"/>
          <w:szCs w:val="24"/>
        </w:rPr>
        <w:t xml:space="preserve">have graduated with a bachelor or master qualification within the last four years </w:t>
      </w:r>
    </w:p>
    <w:p w14:paraId="0DB32E80" w14:textId="77777777" w:rsidR="00331ED3" w:rsidRPr="004D307F" w:rsidRDefault="00331ED3" w:rsidP="00ED0863">
      <w:pPr>
        <w:pStyle w:val="ListParagraph"/>
        <w:numPr>
          <w:ilvl w:val="0"/>
          <w:numId w:val="161"/>
        </w:numPr>
        <w:spacing w:before="120" w:line="360" w:lineRule="atLeast"/>
        <w:rPr>
          <w:rFonts w:ascii="VIC" w:hAnsi="VIC" w:cstheme="minorHAnsi"/>
          <w:sz w:val="24"/>
          <w:szCs w:val="24"/>
        </w:rPr>
      </w:pPr>
      <w:r w:rsidRPr="004D307F">
        <w:rPr>
          <w:rFonts w:ascii="VIC" w:hAnsi="VIC" w:cstheme="minorHAnsi"/>
          <w:sz w:val="24"/>
          <w:szCs w:val="24"/>
        </w:rPr>
        <w:t xml:space="preserve">are provisionally registered with the Victorian Institute of Teaching (VIT) </w:t>
      </w:r>
    </w:p>
    <w:p w14:paraId="2E0B9043" w14:textId="77777777" w:rsidR="00331ED3" w:rsidRPr="004D307F" w:rsidRDefault="00331ED3" w:rsidP="00ED0863">
      <w:pPr>
        <w:pStyle w:val="ListParagraph"/>
        <w:numPr>
          <w:ilvl w:val="0"/>
          <w:numId w:val="161"/>
        </w:numPr>
        <w:spacing w:before="120" w:line="360" w:lineRule="atLeast"/>
        <w:rPr>
          <w:rFonts w:ascii="VIC" w:hAnsi="VIC" w:cstheme="minorHAnsi"/>
          <w:sz w:val="24"/>
          <w:szCs w:val="24"/>
        </w:rPr>
      </w:pPr>
      <w:r w:rsidRPr="004D307F">
        <w:rPr>
          <w:rFonts w:ascii="VIC" w:hAnsi="VIC" w:cstheme="minorHAnsi"/>
          <w:sz w:val="24"/>
          <w:szCs w:val="24"/>
        </w:rPr>
        <w:t xml:space="preserve">are commencing their first teaching position since gaining VIT provisional registration </w:t>
      </w:r>
    </w:p>
    <w:p w14:paraId="0CAA27D2" w14:textId="77777777" w:rsidR="00331ED3" w:rsidRPr="004D307F" w:rsidRDefault="00331ED3" w:rsidP="00ED0863">
      <w:pPr>
        <w:pStyle w:val="ListParagraph"/>
        <w:numPr>
          <w:ilvl w:val="0"/>
          <w:numId w:val="161"/>
        </w:numPr>
        <w:spacing w:before="120" w:line="360" w:lineRule="atLeast"/>
        <w:rPr>
          <w:rFonts w:ascii="VIC" w:hAnsi="VIC" w:cstheme="minorHAnsi"/>
          <w:sz w:val="24"/>
          <w:szCs w:val="24"/>
        </w:rPr>
      </w:pPr>
      <w:r w:rsidRPr="004D307F">
        <w:rPr>
          <w:rFonts w:ascii="VIC" w:hAnsi="VIC" w:cstheme="minorHAnsi"/>
          <w:sz w:val="24"/>
          <w:szCs w:val="24"/>
        </w:rPr>
        <w:t>are employed at a Classroom Level 1, Range 1 classification</w:t>
      </w:r>
    </w:p>
    <w:p w14:paraId="76C64FB8" w14:textId="77777777" w:rsidR="00331ED3" w:rsidRPr="004D307F" w:rsidRDefault="00331ED3" w:rsidP="004D307F">
      <w:pPr>
        <w:spacing w:before="120" w:line="360" w:lineRule="atLeast"/>
        <w:rPr>
          <w:rFonts w:ascii="VIC" w:hAnsi="VIC" w:cstheme="minorHAnsi"/>
          <w:sz w:val="24"/>
          <w:szCs w:val="24"/>
        </w:rPr>
      </w:pPr>
      <w:r w:rsidRPr="004D307F">
        <w:rPr>
          <w:rFonts w:ascii="VIC" w:hAnsi="VIC" w:cstheme="minorHAnsi"/>
          <w:sz w:val="24"/>
          <w:szCs w:val="24"/>
        </w:rPr>
        <w:t>A provisionally registered teacher (PRT) who has worked as a Casual Relief Teacher (CRT) is eligible.</w:t>
      </w:r>
    </w:p>
    <w:p w14:paraId="30ED3B08" w14:textId="77777777" w:rsidR="00331ED3" w:rsidRPr="004D307F" w:rsidRDefault="00331ED3" w:rsidP="004D307F">
      <w:pPr>
        <w:spacing w:before="120" w:line="360" w:lineRule="atLeast"/>
        <w:rPr>
          <w:rFonts w:ascii="VIC" w:hAnsi="VIC" w:cstheme="minorHAnsi"/>
          <w:sz w:val="24"/>
          <w:szCs w:val="24"/>
        </w:rPr>
      </w:pPr>
      <w:r w:rsidRPr="004D307F">
        <w:rPr>
          <w:rFonts w:ascii="VIC" w:hAnsi="VIC" w:cstheme="minorHAnsi"/>
          <w:sz w:val="24"/>
          <w:szCs w:val="24"/>
        </w:rPr>
        <w:t xml:space="preserve">A provisionally registered teacher (PRT) who has worked as a tutor for the Tutor Learning Initiative in 2021 is eligible.  </w:t>
      </w:r>
    </w:p>
    <w:p w14:paraId="7DE632DD" w14:textId="2C2CE009" w:rsidR="00331ED3" w:rsidRPr="004D307F" w:rsidRDefault="00331ED3" w:rsidP="004D307F">
      <w:pPr>
        <w:spacing w:before="120" w:line="360" w:lineRule="atLeast"/>
        <w:rPr>
          <w:rFonts w:ascii="VIC" w:hAnsi="VIC" w:cstheme="minorHAnsi"/>
          <w:sz w:val="24"/>
          <w:szCs w:val="24"/>
        </w:rPr>
      </w:pPr>
      <w:r w:rsidRPr="004D307F">
        <w:rPr>
          <w:rFonts w:ascii="VIC" w:hAnsi="VIC" w:cstheme="minorHAnsi"/>
          <w:sz w:val="24"/>
          <w:szCs w:val="24"/>
        </w:rPr>
        <w:t>Graduate teachers are eligible to participate in Year 2 of the program if they are employed in a primary, P-9 or P-12 school in a Pilot Area (Inner Gippsland, North Eastern Melbourne and Western Melbourne) and have participated in the Pilot in 2021.</w:t>
      </w:r>
    </w:p>
    <w:p w14:paraId="6400775A" w14:textId="4187E1F5" w:rsidR="00C95C6E" w:rsidRPr="004D307F" w:rsidRDefault="00C95C6E" w:rsidP="004D307F">
      <w:pPr>
        <w:spacing w:before="120" w:line="360" w:lineRule="atLeast"/>
        <w:rPr>
          <w:rFonts w:ascii="VIC" w:hAnsi="VIC"/>
          <w:sz w:val="24"/>
          <w:szCs w:val="24"/>
        </w:rPr>
      </w:pPr>
      <w:r w:rsidRPr="004D307F">
        <w:rPr>
          <w:rFonts w:ascii="VIC" w:hAnsi="VIC"/>
          <w:sz w:val="24"/>
          <w:szCs w:val="24"/>
          <w:lang w:val="en-US"/>
        </w:rPr>
        <w:t xml:space="preserve">Eligible schools can inform the </w:t>
      </w:r>
      <w:r w:rsidR="00642F26" w:rsidRPr="004D307F">
        <w:rPr>
          <w:rFonts w:ascii="VIC" w:hAnsi="VIC"/>
          <w:sz w:val="24"/>
          <w:szCs w:val="24"/>
          <w:lang w:val="en-US"/>
        </w:rPr>
        <w:t>d</w:t>
      </w:r>
      <w:r w:rsidRPr="004D307F">
        <w:rPr>
          <w:rFonts w:ascii="VIC" w:hAnsi="VIC"/>
          <w:sz w:val="24"/>
          <w:szCs w:val="24"/>
          <w:lang w:val="en-US"/>
        </w:rPr>
        <w:t>epartment of the intake of an eligible graduate teacher throughout the two intake years of the Pilot (2021 and 2022). Funds will be released to schools on a pro-rata basis.</w:t>
      </w:r>
    </w:p>
    <w:p w14:paraId="00EF9270" w14:textId="77777777" w:rsidR="00C95C6E" w:rsidRPr="004D307F" w:rsidRDefault="00C95C6E" w:rsidP="004D307F">
      <w:pPr>
        <w:spacing w:before="100" w:beforeAutospacing="1" w:after="100" w:afterAutospacing="1" w:line="360" w:lineRule="atLeast"/>
        <w:outlineLvl w:val="2"/>
        <w:rPr>
          <w:rFonts w:ascii="VIC" w:eastAsia="Times New Roman" w:hAnsi="VIC" w:cs="Times New Roman"/>
          <w:b/>
          <w:bCs/>
          <w:color w:val="011A3C"/>
          <w:sz w:val="28"/>
          <w:szCs w:val="28"/>
          <w:lang w:val="en" w:eastAsia="en-AU"/>
        </w:rPr>
      </w:pPr>
      <w:r w:rsidRPr="004D307F">
        <w:rPr>
          <w:rFonts w:ascii="VIC" w:eastAsia="Times New Roman" w:hAnsi="VIC" w:cs="Times New Roman"/>
          <w:b/>
          <w:bCs/>
          <w:color w:val="011A3C"/>
          <w:sz w:val="28"/>
          <w:szCs w:val="28"/>
          <w:lang w:val="en" w:eastAsia="en-AU"/>
        </w:rPr>
        <w:t xml:space="preserve">Rates </w:t>
      </w:r>
    </w:p>
    <w:p w14:paraId="01D184E5" w14:textId="77777777"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t xml:space="preserve">The Pilot is funded to allow schools to employ additional classroom teachers to counteract the reduction in teaching time provided to graduate teachers and their mentors. These teachers will be responsible for the teaching duties that graduate teachers and mentors will no longer be able to undertake. </w:t>
      </w:r>
    </w:p>
    <w:p w14:paraId="5DE3ED21" w14:textId="77777777"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t xml:space="preserve">Schools are provided funding to support the reduction in face-to-face teacher duties: </w:t>
      </w:r>
    </w:p>
    <w:p w14:paraId="0C0CE936" w14:textId="77777777" w:rsidR="00C95C6E" w:rsidRPr="004D307F" w:rsidRDefault="00C95C6E" w:rsidP="004D307F">
      <w:pPr>
        <w:spacing w:before="120" w:line="360" w:lineRule="atLeast"/>
        <w:jc w:val="both"/>
        <w:rPr>
          <w:rFonts w:ascii="VIC" w:hAnsi="VIC" w:cstheme="minorHAnsi"/>
          <w:b/>
          <w:bCs/>
          <w:sz w:val="24"/>
          <w:szCs w:val="24"/>
        </w:rPr>
      </w:pPr>
      <w:r w:rsidRPr="004D307F">
        <w:rPr>
          <w:rFonts w:ascii="VIC" w:hAnsi="VIC" w:cstheme="minorHAnsi"/>
          <w:b/>
          <w:bCs/>
          <w:sz w:val="24"/>
          <w:szCs w:val="24"/>
        </w:rPr>
        <w:t>Graduate Teacher</w:t>
      </w:r>
    </w:p>
    <w:p w14:paraId="665B7C28" w14:textId="77777777"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lastRenderedPageBreak/>
        <w:t>Funding provided at the</w:t>
      </w:r>
      <w:r w:rsidRPr="004D307F">
        <w:rPr>
          <w:rFonts w:ascii="VIC" w:hAnsi="VIC" w:cstheme="minorHAnsi"/>
          <w:b/>
          <w:bCs/>
          <w:sz w:val="24"/>
          <w:szCs w:val="24"/>
        </w:rPr>
        <w:t xml:space="preserve"> </w:t>
      </w:r>
      <w:r w:rsidRPr="004D307F">
        <w:rPr>
          <w:rFonts w:ascii="VIC" w:hAnsi="VIC" w:cstheme="minorHAnsi"/>
          <w:sz w:val="24"/>
          <w:szCs w:val="24"/>
        </w:rPr>
        <w:t>Classroom Level 2, Range 4 classification</w:t>
      </w:r>
    </w:p>
    <w:p w14:paraId="5EB6E591" w14:textId="77777777" w:rsidR="00C95C6E" w:rsidRPr="004D307F" w:rsidRDefault="00C95C6E" w:rsidP="004D307F">
      <w:pPr>
        <w:spacing w:before="120" w:line="360" w:lineRule="atLeast"/>
        <w:jc w:val="both"/>
        <w:rPr>
          <w:rFonts w:ascii="VIC" w:hAnsi="VIC" w:cstheme="minorHAnsi"/>
          <w:b/>
          <w:bCs/>
          <w:sz w:val="24"/>
          <w:szCs w:val="24"/>
        </w:rPr>
      </w:pPr>
      <w:r w:rsidRPr="004D307F">
        <w:rPr>
          <w:rFonts w:ascii="VIC" w:hAnsi="VIC" w:cstheme="minorHAnsi"/>
          <w:b/>
          <w:bCs/>
          <w:sz w:val="24"/>
          <w:szCs w:val="24"/>
        </w:rPr>
        <w:t xml:space="preserve">Mentor Teacher </w:t>
      </w:r>
    </w:p>
    <w:p w14:paraId="2991E01E" w14:textId="77777777"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t>Funding provided at the Classroom Level 2, Range 6 classification</w:t>
      </w:r>
    </w:p>
    <w:p w14:paraId="5C4F9CB6" w14:textId="77777777" w:rsidR="00C95C6E" w:rsidRPr="004D307F" w:rsidRDefault="00C95C6E" w:rsidP="004D307F">
      <w:pPr>
        <w:spacing w:line="360" w:lineRule="atLeast"/>
        <w:rPr>
          <w:rFonts w:ascii="VIC" w:hAnsi="VIC"/>
          <w:sz w:val="24"/>
          <w:szCs w:val="24"/>
          <w:lang w:val="en-US"/>
        </w:rPr>
      </w:pPr>
      <w:r w:rsidRPr="004D307F">
        <w:rPr>
          <w:rFonts w:ascii="VIC" w:hAnsi="VIC"/>
          <w:sz w:val="24"/>
          <w:szCs w:val="24"/>
          <w:lang w:val="en-US"/>
        </w:rPr>
        <w:t xml:space="preserve">Funds will be transferred to schools through the Student Resource Package (SRP) as a targeted initiative. </w:t>
      </w:r>
    </w:p>
    <w:p w14:paraId="753BECB2" w14:textId="77777777" w:rsidR="00C95C6E" w:rsidRPr="004D307F" w:rsidRDefault="00C95C6E" w:rsidP="004D307F">
      <w:pPr>
        <w:spacing w:before="100" w:beforeAutospacing="1" w:after="100" w:afterAutospacing="1" w:line="360" w:lineRule="atLeast"/>
        <w:outlineLvl w:val="2"/>
        <w:rPr>
          <w:rFonts w:ascii="VIC" w:eastAsia="Times New Roman" w:hAnsi="VIC" w:cs="Times New Roman"/>
          <w:b/>
          <w:bCs/>
          <w:color w:val="011A3C"/>
          <w:sz w:val="28"/>
          <w:szCs w:val="28"/>
          <w:lang w:val="en" w:eastAsia="en-AU"/>
        </w:rPr>
      </w:pPr>
      <w:r w:rsidRPr="004D307F">
        <w:rPr>
          <w:rFonts w:ascii="VIC" w:eastAsia="Times New Roman" w:hAnsi="VIC" w:cs="Times New Roman"/>
          <w:b/>
          <w:bCs/>
          <w:color w:val="011A3C"/>
          <w:sz w:val="28"/>
          <w:szCs w:val="28"/>
          <w:lang w:val="en" w:eastAsia="en-AU"/>
        </w:rPr>
        <w:t>Calculation</w:t>
      </w:r>
    </w:p>
    <w:p w14:paraId="16F46F2A" w14:textId="77777777" w:rsidR="00C95C6E" w:rsidRPr="004D307F" w:rsidRDefault="00C95C6E" w:rsidP="004D307F">
      <w:pPr>
        <w:pStyle w:val="Heading3"/>
        <w:spacing w:line="360" w:lineRule="atLeast"/>
        <w:rPr>
          <w:rFonts w:ascii="VIC" w:hAnsi="VIC"/>
          <w:sz w:val="28"/>
          <w:szCs w:val="28"/>
        </w:rPr>
      </w:pPr>
      <w:r w:rsidRPr="004D307F">
        <w:rPr>
          <w:rFonts w:ascii="VIC" w:hAnsi="VIC"/>
          <w:sz w:val="28"/>
          <w:szCs w:val="28"/>
        </w:rPr>
        <w:t>Year One</w:t>
      </w:r>
    </w:p>
    <w:p w14:paraId="3A595388" w14:textId="77777777" w:rsidR="00C95C6E" w:rsidRPr="004D307F" w:rsidRDefault="00C95C6E" w:rsidP="004D307F">
      <w:pPr>
        <w:spacing w:before="120" w:line="360" w:lineRule="atLeast"/>
        <w:jc w:val="both"/>
        <w:rPr>
          <w:rFonts w:ascii="VIC" w:hAnsi="VIC" w:cstheme="minorHAnsi"/>
          <w:b/>
          <w:bCs/>
          <w:sz w:val="24"/>
          <w:szCs w:val="24"/>
        </w:rPr>
      </w:pPr>
      <w:r w:rsidRPr="004D307F">
        <w:rPr>
          <w:rFonts w:ascii="VIC" w:hAnsi="VIC" w:cstheme="minorHAnsi"/>
          <w:b/>
          <w:bCs/>
          <w:sz w:val="24"/>
          <w:szCs w:val="24"/>
        </w:rPr>
        <w:t>Graduate Teacher</w:t>
      </w:r>
    </w:p>
    <w:p w14:paraId="0FE667DE" w14:textId="3BAB606F"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t xml:space="preserve">(0.15 [% of additional time release] x ([Classroom Level 2, Range 4 classification salary]+[Oncosts]) </w:t>
      </w:r>
    </w:p>
    <w:p w14:paraId="152B72DD" w14:textId="77777777" w:rsidR="00C95C6E" w:rsidRPr="004D307F" w:rsidRDefault="00C95C6E" w:rsidP="004D307F">
      <w:pPr>
        <w:spacing w:before="120" w:line="360" w:lineRule="atLeast"/>
        <w:jc w:val="both"/>
        <w:rPr>
          <w:rFonts w:ascii="VIC" w:hAnsi="VIC" w:cstheme="minorHAnsi"/>
          <w:b/>
          <w:bCs/>
          <w:sz w:val="24"/>
          <w:szCs w:val="24"/>
        </w:rPr>
      </w:pPr>
      <w:r w:rsidRPr="004D307F">
        <w:rPr>
          <w:rFonts w:ascii="VIC" w:hAnsi="VIC" w:cstheme="minorHAnsi"/>
          <w:b/>
          <w:bCs/>
          <w:sz w:val="24"/>
          <w:szCs w:val="24"/>
        </w:rPr>
        <w:t xml:space="preserve">Mentor Teacher </w:t>
      </w:r>
    </w:p>
    <w:p w14:paraId="3EE23924" w14:textId="77777777"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t>(0.05 [% of time release, per graduate] x ([Classroom Level 2, Range 6 classification salary]+[Oncosts]) x [FTE])</w:t>
      </w:r>
    </w:p>
    <w:p w14:paraId="07B6DE0B" w14:textId="77777777" w:rsidR="00C95C6E" w:rsidRPr="004D307F" w:rsidRDefault="00C95C6E" w:rsidP="004D307F">
      <w:pPr>
        <w:pStyle w:val="Heading3"/>
        <w:spacing w:line="360" w:lineRule="atLeast"/>
        <w:rPr>
          <w:rFonts w:ascii="VIC" w:hAnsi="VIC"/>
          <w:sz w:val="28"/>
          <w:szCs w:val="28"/>
        </w:rPr>
      </w:pPr>
      <w:r w:rsidRPr="004D307F">
        <w:rPr>
          <w:rFonts w:ascii="VIC" w:hAnsi="VIC"/>
          <w:sz w:val="28"/>
          <w:szCs w:val="28"/>
        </w:rPr>
        <w:t>Year Two</w:t>
      </w:r>
    </w:p>
    <w:p w14:paraId="0D70F5CF" w14:textId="77777777" w:rsidR="00C95C6E" w:rsidRPr="004D307F" w:rsidRDefault="00C95C6E" w:rsidP="004D307F">
      <w:pPr>
        <w:spacing w:before="120" w:line="360" w:lineRule="atLeast"/>
        <w:jc w:val="both"/>
        <w:rPr>
          <w:rFonts w:ascii="VIC" w:hAnsi="VIC" w:cstheme="minorHAnsi"/>
          <w:b/>
          <w:bCs/>
          <w:sz w:val="24"/>
          <w:szCs w:val="24"/>
        </w:rPr>
      </w:pPr>
      <w:r w:rsidRPr="004D307F">
        <w:rPr>
          <w:rFonts w:ascii="VIC" w:hAnsi="VIC" w:cstheme="minorHAnsi"/>
          <w:b/>
          <w:bCs/>
          <w:sz w:val="24"/>
          <w:szCs w:val="24"/>
        </w:rPr>
        <w:t>Graduate Teacher</w:t>
      </w:r>
    </w:p>
    <w:p w14:paraId="4192C750" w14:textId="77777777"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t>(0.10 [% of additional time release] x ([Classroom Level 2, Range 4 classification salary]+[Oncosts]) x [FTE])</w:t>
      </w:r>
    </w:p>
    <w:p w14:paraId="36F51BFC" w14:textId="77777777" w:rsidR="00C95C6E" w:rsidRPr="004D307F" w:rsidRDefault="00C95C6E" w:rsidP="004D307F">
      <w:pPr>
        <w:spacing w:before="120" w:line="360" w:lineRule="atLeast"/>
        <w:jc w:val="both"/>
        <w:rPr>
          <w:rFonts w:ascii="VIC" w:hAnsi="VIC" w:cstheme="minorHAnsi"/>
          <w:b/>
          <w:bCs/>
          <w:sz w:val="24"/>
          <w:szCs w:val="24"/>
        </w:rPr>
      </w:pPr>
      <w:r w:rsidRPr="004D307F">
        <w:rPr>
          <w:rFonts w:ascii="VIC" w:hAnsi="VIC" w:cstheme="minorHAnsi"/>
          <w:b/>
          <w:bCs/>
          <w:sz w:val="24"/>
          <w:szCs w:val="24"/>
        </w:rPr>
        <w:t>Mentor Teacher</w:t>
      </w:r>
    </w:p>
    <w:p w14:paraId="743F56CE" w14:textId="389F5798"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t xml:space="preserve">(0.05 [% of additional time release] x ([Range 2 Level 6 classroom teacher salary]+[Oncosts]) </w:t>
      </w:r>
    </w:p>
    <w:p w14:paraId="3CF208E2" w14:textId="14F454AA" w:rsidR="00C95C6E" w:rsidRPr="004D307F" w:rsidRDefault="00642F26" w:rsidP="004D307F">
      <w:pPr>
        <w:spacing w:after="0" w:line="360" w:lineRule="atLeast"/>
        <w:rPr>
          <w:rFonts w:ascii="VIC" w:eastAsia="Times New Roman" w:hAnsi="VIC" w:cs="Times New Roman"/>
          <w:b/>
          <w:bCs/>
          <w:color w:val="011A3C"/>
          <w:sz w:val="28"/>
          <w:szCs w:val="28"/>
          <w:lang w:val="en" w:eastAsia="en-AU"/>
        </w:rPr>
      </w:pPr>
      <w:r w:rsidRPr="004D307F">
        <w:rPr>
          <w:rFonts w:ascii="VIC" w:eastAsia="Times New Roman" w:hAnsi="VIC" w:cs="Times New Roman"/>
          <w:b/>
          <w:bCs/>
          <w:color w:val="011A3C"/>
          <w:sz w:val="28"/>
          <w:szCs w:val="28"/>
          <w:lang w:val="en" w:eastAsia="en-AU"/>
        </w:rPr>
        <w:t xml:space="preserve">Career Start </w:t>
      </w:r>
      <w:r w:rsidR="00C95C6E" w:rsidRPr="004D307F">
        <w:rPr>
          <w:rFonts w:ascii="VIC" w:eastAsia="Times New Roman" w:hAnsi="VIC" w:cs="Times New Roman"/>
          <w:b/>
          <w:bCs/>
          <w:color w:val="011A3C"/>
          <w:sz w:val="28"/>
          <w:szCs w:val="28"/>
          <w:lang w:val="en" w:eastAsia="en-AU"/>
        </w:rPr>
        <w:t xml:space="preserve">Hub Schools </w:t>
      </w:r>
    </w:p>
    <w:p w14:paraId="6BDC36E0" w14:textId="4946529F" w:rsidR="00C95C6E" w:rsidRPr="004D307F" w:rsidRDefault="00642F26" w:rsidP="004D307F">
      <w:pPr>
        <w:spacing w:after="0" w:line="360" w:lineRule="atLeast"/>
        <w:rPr>
          <w:rFonts w:ascii="VIC" w:hAnsi="VIC" w:cstheme="minorHAnsi"/>
          <w:sz w:val="24"/>
          <w:szCs w:val="24"/>
        </w:rPr>
      </w:pPr>
      <w:r w:rsidRPr="004D307F">
        <w:rPr>
          <w:rFonts w:ascii="VIC" w:hAnsi="VIC" w:cstheme="minorHAnsi"/>
          <w:sz w:val="24"/>
          <w:szCs w:val="24"/>
        </w:rPr>
        <w:t xml:space="preserve">Career Start </w:t>
      </w:r>
      <w:r w:rsidR="00C95C6E" w:rsidRPr="004D307F">
        <w:rPr>
          <w:rFonts w:ascii="VIC" w:hAnsi="VIC" w:cstheme="minorHAnsi"/>
          <w:sz w:val="24"/>
          <w:szCs w:val="24"/>
        </w:rPr>
        <w:t>Hub Schools are funded to provide a base for participants and host professional learning and alliance networking meetings. Funds will be used for the provision of resource and technical support, catering, and a bursary for professional learning available to all school staff.</w:t>
      </w:r>
    </w:p>
    <w:p w14:paraId="7A322A08" w14:textId="53F030D1" w:rsidR="00C95C6E" w:rsidRPr="004D307F" w:rsidRDefault="00331ED3" w:rsidP="004D307F">
      <w:pPr>
        <w:spacing w:after="0" w:line="360" w:lineRule="atLeast"/>
        <w:rPr>
          <w:rFonts w:ascii="VIC" w:hAnsi="VIC" w:cstheme="minorHAnsi"/>
          <w:sz w:val="24"/>
          <w:szCs w:val="24"/>
        </w:rPr>
      </w:pPr>
      <w:r w:rsidRPr="004D307F">
        <w:rPr>
          <w:rFonts w:ascii="VIC" w:hAnsi="VIC" w:cstheme="minorHAnsi"/>
          <w:sz w:val="24"/>
          <w:szCs w:val="24"/>
        </w:rPr>
        <w:t>Twelve</w:t>
      </w:r>
      <w:r w:rsidR="00C95C6E" w:rsidRPr="004D307F">
        <w:rPr>
          <w:rFonts w:ascii="VIC" w:hAnsi="VIC" w:cstheme="minorHAnsi"/>
          <w:sz w:val="24"/>
          <w:szCs w:val="24"/>
        </w:rPr>
        <w:t xml:space="preserve"> schools, distributed across the three Pilot areas of Inner Gippsland, North Eastern Melbourne and Western Melbourne, have been selected through an Expression of Interest (EOI) process for the duration of the Pilot (2021 – 2023). </w:t>
      </w:r>
    </w:p>
    <w:p w14:paraId="71835C14" w14:textId="77777777" w:rsidR="00C95C6E" w:rsidRPr="004D307F" w:rsidRDefault="00C95C6E" w:rsidP="004D307F">
      <w:pPr>
        <w:spacing w:after="0" w:line="360" w:lineRule="atLeast"/>
        <w:rPr>
          <w:rFonts w:ascii="VIC" w:hAnsi="VIC" w:cstheme="minorHAnsi"/>
          <w:sz w:val="24"/>
          <w:szCs w:val="24"/>
        </w:rPr>
      </w:pPr>
    </w:p>
    <w:p w14:paraId="5770701D" w14:textId="77777777" w:rsidR="00C95C6E" w:rsidRPr="004D307F" w:rsidRDefault="00C95C6E" w:rsidP="004D307F">
      <w:pPr>
        <w:spacing w:after="0" w:line="360" w:lineRule="atLeast"/>
        <w:rPr>
          <w:rFonts w:ascii="VIC" w:hAnsi="VIC" w:cstheme="minorHAnsi"/>
          <w:sz w:val="24"/>
          <w:szCs w:val="24"/>
        </w:rPr>
      </w:pPr>
      <w:r w:rsidRPr="004D307F">
        <w:rPr>
          <w:rFonts w:ascii="VIC" w:hAnsi="VIC" w:cstheme="minorHAnsi"/>
          <w:sz w:val="24"/>
          <w:szCs w:val="24"/>
        </w:rPr>
        <w:lastRenderedPageBreak/>
        <w:t>This is a cash allocation for all participating Hub Schools at $23,000 for the 2021 school year, $34,500 for the 2022 school year and $11,500 for the 2023 school year which will be paid through the Curriculum Support Line.</w:t>
      </w:r>
    </w:p>
    <w:p w14:paraId="0F89E453" w14:textId="77777777" w:rsidR="00C95C6E" w:rsidRPr="004D307F" w:rsidRDefault="00C95C6E" w:rsidP="004D307F">
      <w:pPr>
        <w:spacing w:before="100" w:beforeAutospacing="1" w:after="100" w:afterAutospacing="1" w:line="360" w:lineRule="atLeast"/>
        <w:outlineLvl w:val="2"/>
        <w:rPr>
          <w:rFonts w:ascii="VIC" w:eastAsia="Times New Roman" w:hAnsi="VIC" w:cs="Times New Roman"/>
          <w:b/>
          <w:bCs/>
          <w:color w:val="011A3C"/>
          <w:sz w:val="28"/>
          <w:szCs w:val="28"/>
          <w:lang w:val="en" w:eastAsia="en-AU"/>
        </w:rPr>
      </w:pPr>
      <w:r w:rsidRPr="004D307F">
        <w:rPr>
          <w:rFonts w:ascii="VIC" w:eastAsia="Times New Roman" w:hAnsi="VIC" w:cs="Times New Roman"/>
          <w:b/>
          <w:bCs/>
          <w:color w:val="011A3C"/>
          <w:sz w:val="28"/>
          <w:szCs w:val="28"/>
          <w:lang w:val="en" w:eastAsia="en-AU"/>
        </w:rPr>
        <w:t xml:space="preserve">Further information </w:t>
      </w:r>
    </w:p>
    <w:p w14:paraId="4FD4832D" w14:textId="23246CE9" w:rsidR="003C2063" w:rsidRPr="00283E9D" w:rsidRDefault="00C95C6E" w:rsidP="004D307F">
      <w:pPr>
        <w:spacing w:line="360" w:lineRule="atLeast"/>
        <w:rPr>
          <w:rFonts w:ascii="VIC" w:hAnsi="VIC"/>
          <w:bCs/>
          <w:sz w:val="24"/>
          <w:szCs w:val="24"/>
          <w:lang w:val="en" w:eastAsia="en-AU"/>
        </w:rPr>
      </w:pPr>
      <w:r w:rsidRPr="00283E9D">
        <w:rPr>
          <w:rFonts w:ascii="VIC" w:hAnsi="VIC" w:cstheme="minorHAnsi"/>
          <w:sz w:val="24"/>
          <w:szCs w:val="24"/>
        </w:rPr>
        <w:t>For  further information contact</w:t>
      </w:r>
      <w:r w:rsidRPr="00283E9D">
        <w:rPr>
          <w:rFonts w:ascii="VIC" w:eastAsia="Calibri" w:hAnsi="VIC" w:cstheme="minorHAnsi"/>
          <w:bCs/>
          <w:color w:val="2F5496" w:themeColor="accent1" w:themeShade="BF"/>
          <w:sz w:val="24"/>
          <w:szCs w:val="24"/>
          <w:lang w:val="en" w:eastAsia="en-AU"/>
        </w:rPr>
        <w:t xml:space="preserve"> </w:t>
      </w:r>
      <w:hyperlink r:id="rId187" w:history="1">
        <w:r w:rsidRPr="00283E9D">
          <w:rPr>
            <w:rStyle w:val="Hyperlink"/>
            <w:rFonts w:ascii="VIC" w:eastAsia="Calibri" w:hAnsi="VIC" w:cs="Calibri"/>
            <w:bCs/>
            <w:sz w:val="24"/>
            <w:szCs w:val="24"/>
            <w:lang w:val="en" w:eastAsia="en-AU"/>
          </w:rPr>
          <w:t>graduate.induction@education.vic.gov.au</w:t>
        </w:r>
      </w:hyperlink>
      <w:r w:rsidRPr="00283E9D">
        <w:rPr>
          <w:rStyle w:val="Hyperlink"/>
          <w:rFonts w:ascii="VIC" w:eastAsia="Calibri" w:hAnsi="VIC" w:cs="Calibri"/>
          <w:bCs/>
          <w:sz w:val="24"/>
          <w:szCs w:val="24"/>
          <w:lang w:val="en" w:eastAsia="en-AU"/>
        </w:rPr>
        <w:t xml:space="preserve"> </w:t>
      </w:r>
      <w:r w:rsidRPr="00283E9D">
        <w:rPr>
          <w:rFonts w:ascii="VIC" w:hAnsi="VIC" w:cstheme="minorHAnsi"/>
          <w:bCs/>
          <w:sz w:val="24"/>
          <w:szCs w:val="24"/>
        </w:rPr>
        <w:t>or visit</w:t>
      </w:r>
      <w:r w:rsidRPr="00283E9D">
        <w:rPr>
          <w:rFonts w:asciiTheme="majorHAnsi" w:hAnsiTheme="majorHAnsi" w:cstheme="minorHAnsi"/>
          <w:bCs/>
          <w:sz w:val="36"/>
          <w:szCs w:val="26"/>
        </w:rPr>
        <w:t xml:space="preserve"> </w:t>
      </w:r>
      <w:hyperlink r:id="rId188" w:history="1">
        <w:r w:rsidR="00642F26" w:rsidRPr="00283E9D">
          <w:rPr>
            <w:rStyle w:val="Hyperlink"/>
            <w:rFonts w:ascii="VIC" w:eastAsia="Calibri" w:hAnsi="VIC" w:cs="Calibri"/>
            <w:bCs/>
            <w:sz w:val="24"/>
            <w:szCs w:val="24"/>
            <w:lang w:val="en" w:eastAsia="en-AU"/>
          </w:rPr>
          <w:t>Career Start -t</w:t>
        </w:r>
        <w:r w:rsidRPr="00283E9D">
          <w:rPr>
            <w:rStyle w:val="Hyperlink"/>
            <w:rFonts w:ascii="VIC" w:eastAsia="Calibri" w:hAnsi="VIC" w:cstheme="majorBidi"/>
            <w:bCs/>
            <w:sz w:val="24"/>
            <w:szCs w:val="24"/>
            <w:lang w:val="en" w:eastAsia="en-AU"/>
          </w:rPr>
          <w:t>ransforming the first years of the teaching career</w:t>
        </w:r>
      </w:hyperlink>
      <w:r w:rsidR="00283E9D" w:rsidRPr="00283E9D">
        <w:rPr>
          <w:rStyle w:val="Hyperlink"/>
          <w:rFonts w:ascii="VIC" w:eastAsia="Calibri" w:hAnsi="VIC" w:cstheme="majorBidi"/>
          <w:bCs/>
          <w:sz w:val="24"/>
          <w:szCs w:val="24"/>
          <w:lang w:val="en" w:eastAsia="en-AU"/>
        </w:rPr>
        <w:t>.</w:t>
      </w:r>
    </w:p>
    <w:p w14:paraId="693B4F65" w14:textId="77777777" w:rsidR="002B743A" w:rsidRPr="004D307F" w:rsidRDefault="002B743A">
      <w:pPr>
        <w:rPr>
          <w:rFonts w:asciiTheme="majorHAnsi" w:eastAsia="Calibri" w:hAnsiTheme="majorHAnsi" w:cstheme="majorBidi"/>
          <w:b/>
          <w:color w:val="2F5496" w:themeColor="accent1" w:themeShade="BF"/>
          <w:sz w:val="36"/>
          <w:szCs w:val="26"/>
          <w:lang w:val="en" w:eastAsia="en-AU"/>
        </w:rPr>
      </w:pPr>
      <w:r w:rsidRPr="004D307F">
        <w:br w:type="page"/>
      </w:r>
    </w:p>
    <w:p w14:paraId="7B354C44" w14:textId="5E2DC20F" w:rsidR="008A6CE0" w:rsidRPr="004D307F" w:rsidRDefault="00BA2190" w:rsidP="004D307F">
      <w:pPr>
        <w:pStyle w:val="Heading2"/>
      </w:pPr>
      <w:bookmarkStart w:id="135" w:name="_Toc106793812"/>
      <w:bookmarkEnd w:id="133"/>
      <w:r w:rsidRPr="004D307F">
        <w:lastRenderedPageBreak/>
        <w:t>I</w:t>
      </w:r>
      <w:r w:rsidR="00517905" w:rsidRPr="004D307F">
        <w:t>nclusion Outreach Coaching (IOC) initiative (Reference 136)</w:t>
      </w:r>
      <w:bookmarkEnd w:id="135"/>
    </w:p>
    <w:p w14:paraId="3FD80A8B" w14:textId="0A863604" w:rsidR="00517905" w:rsidRPr="004D307F" w:rsidRDefault="00517905" w:rsidP="004D307F">
      <w:pPr>
        <w:spacing w:before="240" w:after="120"/>
        <w:jc w:val="both"/>
        <w:rPr>
          <w:rFonts w:ascii="VIC" w:hAnsi="VIC"/>
          <w:sz w:val="24"/>
          <w:szCs w:val="24"/>
        </w:rPr>
      </w:pPr>
      <w:r w:rsidRPr="004D307F">
        <w:rPr>
          <w:rFonts w:ascii="VIC" w:hAnsi="VIC"/>
          <w:sz w:val="24"/>
          <w:szCs w:val="24"/>
        </w:rPr>
        <w:t xml:space="preserve">The Inclusion </w:t>
      </w:r>
      <w:bookmarkStart w:id="136" w:name="_Hlk72146554"/>
      <w:r w:rsidRPr="004D307F">
        <w:rPr>
          <w:rFonts w:ascii="VIC" w:hAnsi="VIC"/>
          <w:sz w:val="24"/>
          <w:szCs w:val="24"/>
        </w:rPr>
        <w:t xml:space="preserve">Outreach Coaching (IOC) initiative </w:t>
      </w:r>
      <w:bookmarkEnd w:id="136"/>
      <w:r w:rsidRPr="004D307F">
        <w:rPr>
          <w:rFonts w:ascii="VIC" w:hAnsi="VIC"/>
          <w:sz w:val="24"/>
          <w:szCs w:val="24"/>
        </w:rPr>
        <w:t xml:space="preserve">will provide funding to all government specialist schools to employ a full time Inclusion Outreach Coach, </w:t>
      </w:r>
      <w:r w:rsidR="00C8414A" w:rsidRPr="004D307F">
        <w:rPr>
          <w:rFonts w:ascii="VIC" w:hAnsi="VIC"/>
          <w:sz w:val="24"/>
          <w:szCs w:val="24"/>
        </w:rPr>
        <w:t>(</w:t>
      </w:r>
      <w:r w:rsidRPr="004D307F">
        <w:rPr>
          <w:rFonts w:ascii="VIC" w:hAnsi="VIC"/>
          <w:sz w:val="24"/>
          <w:szCs w:val="24"/>
        </w:rPr>
        <w:t>for five days a week</w:t>
      </w:r>
      <w:r w:rsidR="00C8414A" w:rsidRPr="004D307F">
        <w:rPr>
          <w:rFonts w:ascii="VIC" w:hAnsi="VIC"/>
          <w:sz w:val="24"/>
          <w:szCs w:val="24"/>
        </w:rPr>
        <w:t>)</w:t>
      </w:r>
    </w:p>
    <w:p w14:paraId="5E194399" w14:textId="77777777" w:rsidR="00517905" w:rsidRPr="004D307F" w:rsidRDefault="00517905" w:rsidP="004D307F">
      <w:pPr>
        <w:spacing w:after="120"/>
        <w:jc w:val="both"/>
        <w:rPr>
          <w:rFonts w:ascii="VIC" w:hAnsi="VIC"/>
          <w:sz w:val="24"/>
          <w:szCs w:val="24"/>
        </w:rPr>
      </w:pPr>
      <w:r w:rsidRPr="004D307F">
        <w:rPr>
          <w:rFonts w:ascii="VIC" w:hAnsi="VIC"/>
          <w:sz w:val="24"/>
          <w:szCs w:val="24"/>
        </w:rPr>
        <w:t>SRP funding will be provided to specialist schools to cover the salary of the Inclusion Outreach Coach. All schools will receive funding to employ an Inclusion Outreach Coach at 1.0 FTE.</w:t>
      </w:r>
    </w:p>
    <w:p w14:paraId="0A431AE7" w14:textId="23E85F7B" w:rsidR="00517905" w:rsidRPr="004D307F" w:rsidRDefault="00517905" w:rsidP="004D307F">
      <w:pPr>
        <w:spacing w:after="120"/>
        <w:jc w:val="both"/>
        <w:rPr>
          <w:rFonts w:ascii="VIC" w:hAnsi="VIC"/>
          <w:sz w:val="24"/>
          <w:szCs w:val="24"/>
        </w:rPr>
      </w:pPr>
      <w:r w:rsidRPr="004D307F">
        <w:rPr>
          <w:rFonts w:ascii="VIC" w:hAnsi="VIC"/>
          <w:sz w:val="24"/>
          <w:szCs w:val="24"/>
        </w:rPr>
        <w:t>Inclusion Outreach Coaches are employed through specialist schools and provide strategically coordinated capability building opportunities to mainstream schools including whole-of-school training, in-class coaching and individual teacher support through school-to-school partnerships and collaborative learning. In this way, specialist and mainstream schools are encouraged to share resources, knowledge and skills in a two-way exchange of expertise that extends current practice</w:t>
      </w:r>
      <w:r w:rsidR="00C8414A" w:rsidRPr="004D307F">
        <w:rPr>
          <w:rFonts w:ascii="VIC" w:hAnsi="VIC"/>
          <w:sz w:val="24"/>
          <w:szCs w:val="24"/>
        </w:rPr>
        <w:t>.</w:t>
      </w:r>
    </w:p>
    <w:p w14:paraId="4B6BCCFC" w14:textId="77777777" w:rsidR="00517905" w:rsidRPr="004D307F" w:rsidRDefault="00517905" w:rsidP="004D307F">
      <w:pPr>
        <w:spacing w:after="120"/>
        <w:rPr>
          <w:rFonts w:ascii="VIC" w:hAnsi="VIC"/>
          <w:b/>
          <w:sz w:val="24"/>
          <w:szCs w:val="24"/>
        </w:rPr>
      </w:pPr>
      <w:r w:rsidRPr="004D307F">
        <w:rPr>
          <w:rFonts w:ascii="VIC" w:hAnsi="VIC"/>
          <w:b/>
          <w:sz w:val="24"/>
          <w:szCs w:val="24"/>
        </w:rPr>
        <w:t>Eligibility</w:t>
      </w:r>
    </w:p>
    <w:p w14:paraId="01427A2F" w14:textId="4065493A" w:rsidR="00517905" w:rsidRPr="004D307F" w:rsidRDefault="00517905" w:rsidP="004D307F">
      <w:pPr>
        <w:spacing w:after="120"/>
        <w:rPr>
          <w:rFonts w:ascii="VIC" w:hAnsi="VIC"/>
          <w:sz w:val="24"/>
          <w:szCs w:val="24"/>
        </w:rPr>
      </w:pPr>
      <w:r w:rsidRPr="004D307F">
        <w:rPr>
          <w:rFonts w:ascii="VIC" w:hAnsi="VIC"/>
          <w:sz w:val="24"/>
          <w:szCs w:val="24"/>
        </w:rPr>
        <w:t xml:space="preserve">Funding in 2021 </w:t>
      </w:r>
      <w:r w:rsidR="003C2063" w:rsidRPr="004D307F">
        <w:rPr>
          <w:rFonts w:ascii="VIC" w:hAnsi="VIC"/>
          <w:sz w:val="24"/>
          <w:szCs w:val="24"/>
        </w:rPr>
        <w:t>was</w:t>
      </w:r>
      <w:r w:rsidRPr="004D307F">
        <w:rPr>
          <w:rFonts w:ascii="VIC" w:hAnsi="VIC"/>
          <w:sz w:val="24"/>
          <w:szCs w:val="24"/>
        </w:rPr>
        <w:t xml:space="preserve"> provided to all government specialist schools in the Bayside-Peninsula, Barwon and Loddon-Campaspe Areas. Schools do not have to apply for funding. </w:t>
      </w:r>
    </w:p>
    <w:p w14:paraId="6E560E87" w14:textId="255B76CD" w:rsidR="00517905" w:rsidRPr="004D307F" w:rsidRDefault="00517905" w:rsidP="004D307F">
      <w:pPr>
        <w:spacing w:after="120"/>
        <w:rPr>
          <w:rFonts w:ascii="VIC" w:hAnsi="VIC"/>
          <w:b/>
          <w:bCs/>
          <w:sz w:val="24"/>
          <w:szCs w:val="24"/>
        </w:rPr>
      </w:pPr>
      <w:r w:rsidRPr="004D307F">
        <w:rPr>
          <w:rFonts w:ascii="VIC" w:hAnsi="VIC"/>
          <w:b/>
          <w:bCs/>
          <w:sz w:val="24"/>
          <w:szCs w:val="24"/>
        </w:rPr>
        <w:t xml:space="preserve">2022 </w:t>
      </w:r>
    </w:p>
    <w:p w14:paraId="1C17A9B0" w14:textId="77777777" w:rsidR="00117C15" w:rsidRPr="004D307F" w:rsidRDefault="00117C15" w:rsidP="004D307F">
      <w:pPr>
        <w:spacing w:before="100" w:beforeAutospacing="1" w:after="120" w:line="288" w:lineRule="atLeast"/>
        <w:outlineLvl w:val="2"/>
        <w:rPr>
          <w:rFonts w:ascii="VIC" w:eastAsia="Times New Roman" w:hAnsi="VIC" w:cs="Times New Roman"/>
          <w:b/>
          <w:bCs/>
          <w:color w:val="011A3C"/>
          <w:sz w:val="28"/>
          <w:szCs w:val="28"/>
          <w:lang w:val="en" w:eastAsia="en-AU"/>
        </w:rPr>
      </w:pPr>
      <w:r w:rsidRPr="004D307F">
        <w:rPr>
          <w:rFonts w:ascii="VIC" w:hAnsi="VIC"/>
          <w:sz w:val="24"/>
          <w:szCs w:val="24"/>
        </w:rPr>
        <w:t>Funding in 2022 will be provided to all government specialist schools in the Central Highlands, Mallee and Outer Eastern Melbourne Areas. Schools do not have to apply for funding.</w:t>
      </w:r>
    </w:p>
    <w:p w14:paraId="7F7424DC" w14:textId="35343A26" w:rsidR="00117C15" w:rsidRPr="004D307F" w:rsidRDefault="00117C15" w:rsidP="004D307F">
      <w:pPr>
        <w:spacing w:after="120"/>
        <w:rPr>
          <w:rFonts w:ascii="VIC" w:hAnsi="VIC"/>
          <w:b/>
          <w:bCs/>
          <w:sz w:val="24"/>
          <w:szCs w:val="24"/>
        </w:rPr>
      </w:pPr>
      <w:r w:rsidRPr="004D307F">
        <w:rPr>
          <w:rFonts w:ascii="VIC" w:hAnsi="VIC"/>
          <w:b/>
          <w:bCs/>
          <w:sz w:val="24"/>
          <w:szCs w:val="24"/>
        </w:rPr>
        <w:t>2023 and beyond</w:t>
      </w:r>
    </w:p>
    <w:p w14:paraId="767831E2" w14:textId="59D2EFCC" w:rsidR="00517905" w:rsidRPr="004D307F" w:rsidRDefault="00517905" w:rsidP="004D307F">
      <w:pPr>
        <w:spacing w:after="120"/>
        <w:rPr>
          <w:rFonts w:ascii="VIC" w:hAnsi="VIC"/>
          <w:b/>
          <w:sz w:val="24"/>
          <w:szCs w:val="24"/>
        </w:rPr>
      </w:pPr>
      <w:r w:rsidRPr="004D307F">
        <w:rPr>
          <w:rFonts w:ascii="VIC" w:hAnsi="VIC"/>
          <w:sz w:val="24"/>
          <w:szCs w:val="24"/>
        </w:rPr>
        <w:t>All government specialist schools will be funded through this initiative. Funding will be progressively rolled out to all D</w:t>
      </w:r>
      <w:r w:rsidR="00C8414A" w:rsidRPr="004D307F">
        <w:rPr>
          <w:rFonts w:ascii="VIC" w:hAnsi="VIC"/>
          <w:sz w:val="24"/>
          <w:szCs w:val="24"/>
        </w:rPr>
        <w:t>epartment</w:t>
      </w:r>
      <w:r w:rsidRPr="004D307F">
        <w:rPr>
          <w:rFonts w:ascii="VIC" w:hAnsi="VIC"/>
          <w:sz w:val="24"/>
          <w:szCs w:val="24"/>
        </w:rPr>
        <w:t xml:space="preserve"> Areas by 2025.</w:t>
      </w:r>
    </w:p>
    <w:p w14:paraId="7C1E9EB6" w14:textId="77777777" w:rsidR="00517905" w:rsidRPr="004D307F" w:rsidRDefault="00517905" w:rsidP="004D307F">
      <w:pPr>
        <w:spacing w:after="120"/>
        <w:rPr>
          <w:rFonts w:ascii="VIC" w:hAnsi="VIC"/>
          <w:b/>
          <w:sz w:val="24"/>
          <w:szCs w:val="24"/>
        </w:rPr>
      </w:pPr>
      <w:r w:rsidRPr="004D307F">
        <w:rPr>
          <w:rFonts w:ascii="VIC" w:hAnsi="VIC"/>
          <w:b/>
          <w:sz w:val="24"/>
          <w:szCs w:val="24"/>
        </w:rPr>
        <w:t>Funding allocation</w:t>
      </w:r>
    </w:p>
    <w:p w14:paraId="3DBBB6CF" w14:textId="77777777" w:rsidR="00517905" w:rsidRPr="004D307F" w:rsidRDefault="00517905" w:rsidP="004D307F">
      <w:pPr>
        <w:spacing w:after="120"/>
        <w:jc w:val="both"/>
        <w:rPr>
          <w:rFonts w:ascii="VIC" w:hAnsi="VIC"/>
          <w:sz w:val="24"/>
          <w:szCs w:val="24"/>
        </w:rPr>
      </w:pPr>
      <w:r w:rsidRPr="004D307F">
        <w:rPr>
          <w:rFonts w:ascii="VIC" w:hAnsi="VIC"/>
          <w:sz w:val="24"/>
          <w:szCs w:val="24"/>
        </w:rPr>
        <w:t>SRP funding will be provided to cover the salary of the Inclusion Outreach Coach.</w:t>
      </w:r>
    </w:p>
    <w:p w14:paraId="6561056E" w14:textId="06B32D8E" w:rsidR="00517905" w:rsidRPr="004D307F" w:rsidRDefault="00517905" w:rsidP="004D307F">
      <w:pPr>
        <w:spacing w:after="120"/>
        <w:jc w:val="both"/>
        <w:rPr>
          <w:rFonts w:ascii="VIC" w:hAnsi="VIC"/>
          <w:sz w:val="24"/>
          <w:szCs w:val="24"/>
        </w:rPr>
      </w:pPr>
      <w:r w:rsidRPr="004D307F">
        <w:rPr>
          <w:rFonts w:ascii="VIC" w:hAnsi="VIC"/>
          <w:sz w:val="24"/>
          <w:szCs w:val="24"/>
        </w:rPr>
        <w:t>All specialist schools will receive a credit</w:t>
      </w:r>
      <w:r w:rsidR="008254A8" w:rsidRPr="004D307F">
        <w:rPr>
          <w:rFonts w:ascii="VIC" w:hAnsi="VIC"/>
          <w:sz w:val="24"/>
          <w:szCs w:val="24"/>
        </w:rPr>
        <w:t xml:space="preserve"> </w:t>
      </w:r>
      <w:r w:rsidRPr="004D307F">
        <w:rPr>
          <w:rFonts w:ascii="VIC" w:hAnsi="VIC"/>
          <w:sz w:val="24"/>
          <w:szCs w:val="24"/>
        </w:rPr>
        <w:t>allocation of 1.0 FTE for the Inclusion Outreach Coach. Allocations will be adjusted dependant on the school term that they enter into the initiative.</w:t>
      </w:r>
    </w:p>
    <w:p w14:paraId="561A2BD2" w14:textId="77777777" w:rsidR="00517905" w:rsidRPr="004D307F" w:rsidRDefault="00517905" w:rsidP="004D307F">
      <w:pPr>
        <w:spacing w:after="120"/>
        <w:rPr>
          <w:rFonts w:ascii="VIC" w:hAnsi="VIC"/>
          <w:b/>
          <w:sz w:val="24"/>
          <w:szCs w:val="24"/>
        </w:rPr>
      </w:pPr>
      <w:r w:rsidRPr="004D307F">
        <w:rPr>
          <w:rFonts w:ascii="VIC" w:hAnsi="VIC"/>
          <w:b/>
          <w:sz w:val="24"/>
          <w:szCs w:val="24"/>
        </w:rPr>
        <w:t>Calculation</w:t>
      </w:r>
    </w:p>
    <w:p w14:paraId="450FEF7B" w14:textId="77777777" w:rsidR="00517905" w:rsidRPr="004D307F" w:rsidRDefault="00517905" w:rsidP="004D307F">
      <w:pPr>
        <w:spacing w:after="120" w:line="240" w:lineRule="auto"/>
        <w:rPr>
          <w:rFonts w:ascii="VIC" w:hAnsi="VIC"/>
          <w:sz w:val="24"/>
          <w:szCs w:val="24"/>
          <w:u w:val="single"/>
          <w:lang w:eastAsia="en-AU"/>
        </w:rPr>
      </w:pPr>
      <w:r w:rsidRPr="004D307F">
        <w:rPr>
          <w:rFonts w:ascii="VIC" w:hAnsi="VIC"/>
          <w:sz w:val="24"/>
          <w:szCs w:val="24"/>
          <w:u w:val="single"/>
          <w:lang w:eastAsia="en-AU"/>
        </w:rPr>
        <w:t>Funding Calculation</w:t>
      </w:r>
    </w:p>
    <w:p w14:paraId="66F02330" w14:textId="77777777" w:rsidR="00517905" w:rsidRPr="004D307F" w:rsidRDefault="00517905" w:rsidP="004D307F">
      <w:pPr>
        <w:spacing w:after="120" w:line="240" w:lineRule="auto"/>
        <w:rPr>
          <w:rFonts w:ascii="VIC" w:hAnsi="VIC"/>
          <w:sz w:val="24"/>
          <w:szCs w:val="24"/>
          <w:lang w:eastAsia="en-AU"/>
        </w:rPr>
      </w:pPr>
    </w:p>
    <w:p w14:paraId="2582D4C9" w14:textId="0216E623" w:rsidR="00517905" w:rsidRPr="004D307F" w:rsidRDefault="00517905" w:rsidP="00ED0863">
      <w:pPr>
        <w:pStyle w:val="ListParagraph"/>
        <w:numPr>
          <w:ilvl w:val="0"/>
          <w:numId w:val="145"/>
        </w:numPr>
        <w:spacing w:after="120" w:line="240" w:lineRule="auto"/>
        <w:rPr>
          <w:rFonts w:ascii="VIC" w:hAnsi="VIC"/>
          <w:sz w:val="24"/>
          <w:szCs w:val="24"/>
          <w:lang w:eastAsia="en-AU"/>
        </w:rPr>
      </w:pPr>
      <w:r w:rsidRPr="004D307F">
        <w:rPr>
          <w:rFonts w:ascii="VIC" w:hAnsi="VIC"/>
          <w:sz w:val="24"/>
          <w:szCs w:val="24"/>
          <w:lang w:eastAsia="en-AU"/>
        </w:rPr>
        <w:lastRenderedPageBreak/>
        <w:t>Rate = $</w:t>
      </w:r>
      <w:r w:rsidR="00ED2F0A" w:rsidRPr="004D307F">
        <w:rPr>
          <w:rFonts w:ascii="VIC" w:hAnsi="VIC"/>
          <w:sz w:val="24"/>
          <w:szCs w:val="24"/>
          <w:lang w:eastAsia="en-AU"/>
        </w:rPr>
        <w:t>145,119</w:t>
      </w:r>
    </w:p>
    <w:p w14:paraId="2729EF86" w14:textId="3C13A443" w:rsidR="00517905" w:rsidRPr="004D307F" w:rsidRDefault="00517905" w:rsidP="00ED0863">
      <w:pPr>
        <w:pStyle w:val="ListParagraph"/>
        <w:numPr>
          <w:ilvl w:val="0"/>
          <w:numId w:val="145"/>
        </w:numPr>
        <w:spacing w:after="120" w:line="240" w:lineRule="auto"/>
        <w:rPr>
          <w:rFonts w:ascii="VIC" w:eastAsia="Times New Roman" w:hAnsi="VIC" w:cs="Calibri"/>
          <w:color w:val="000000"/>
          <w:sz w:val="24"/>
          <w:szCs w:val="24"/>
          <w:lang w:eastAsia="en-AU"/>
        </w:rPr>
      </w:pPr>
      <w:r w:rsidRPr="004D307F">
        <w:rPr>
          <w:rFonts w:ascii="VIC" w:eastAsia="Times New Roman" w:hAnsi="VIC" w:cs="Calibri"/>
          <w:color w:val="000000"/>
          <w:sz w:val="24"/>
          <w:szCs w:val="24"/>
          <w:lang w:eastAsia="en-AU"/>
        </w:rPr>
        <w:t xml:space="preserve">The funding rate is based on the annualised Midpoint of a </w:t>
      </w:r>
      <w:r w:rsidR="00117C15" w:rsidRPr="004D307F">
        <w:rPr>
          <w:rFonts w:ascii="VIC" w:eastAsia="Times New Roman" w:hAnsi="VIC" w:cs="Calibri"/>
          <w:color w:val="000000"/>
          <w:sz w:val="24"/>
          <w:szCs w:val="24"/>
          <w:lang w:eastAsia="en-AU"/>
        </w:rPr>
        <w:t>learning specialist</w:t>
      </w:r>
      <w:r w:rsidRPr="004D307F">
        <w:rPr>
          <w:rFonts w:ascii="VIC" w:eastAsia="Times New Roman" w:hAnsi="VIC" w:cs="Calibri"/>
          <w:color w:val="000000"/>
          <w:sz w:val="24"/>
          <w:szCs w:val="24"/>
          <w:lang w:eastAsia="en-AU"/>
        </w:rPr>
        <w:t xml:space="preserve"> position, Level 3 as per the VGSA 2017 Agreement (including school SRP on costs). </w:t>
      </w:r>
    </w:p>
    <w:p w14:paraId="0ED6AC9E" w14:textId="77777777" w:rsidR="00517905" w:rsidRPr="004D307F" w:rsidRDefault="00517905" w:rsidP="004D307F">
      <w:pPr>
        <w:spacing w:after="120" w:line="240" w:lineRule="auto"/>
        <w:rPr>
          <w:rFonts w:ascii="VIC" w:eastAsia="Times New Roman" w:hAnsi="VIC" w:cs="Calibri"/>
          <w:color w:val="000000"/>
          <w:sz w:val="24"/>
          <w:szCs w:val="24"/>
          <w:lang w:eastAsia="en-AU"/>
        </w:rPr>
      </w:pPr>
    </w:p>
    <w:p w14:paraId="5CA8E112" w14:textId="77777777" w:rsidR="00517905" w:rsidRPr="004D307F" w:rsidRDefault="00517905" w:rsidP="004D307F">
      <w:pPr>
        <w:spacing w:after="120" w:line="240" w:lineRule="auto"/>
        <w:rPr>
          <w:rFonts w:ascii="VIC" w:eastAsia="Times New Roman" w:hAnsi="VIC" w:cs="Calibri"/>
          <w:color w:val="000000"/>
          <w:sz w:val="24"/>
          <w:szCs w:val="24"/>
          <w:u w:val="single"/>
          <w:lang w:eastAsia="en-AU"/>
        </w:rPr>
      </w:pPr>
      <w:r w:rsidRPr="004D307F">
        <w:rPr>
          <w:rFonts w:ascii="VIC" w:eastAsia="Times New Roman" w:hAnsi="VIC" w:cs="Calibri"/>
          <w:color w:val="000000"/>
          <w:sz w:val="24"/>
          <w:szCs w:val="24"/>
          <w:u w:val="single"/>
          <w:lang w:eastAsia="en-AU"/>
        </w:rPr>
        <w:t>Term Allocation Adjustment</w:t>
      </w:r>
    </w:p>
    <w:p w14:paraId="55CF47CE" w14:textId="77777777" w:rsidR="00517905" w:rsidRPr="004D307F" w:rsidRDefault="00517905" w:rsidP="004D307F">
      <w:pPr>
        <w:spacing w:after="120" w:line="240" w:lineRule="auto"/>
        <w:rPr>
          <w:rFonts w:ascii="VIC" w:eastAsia="Times New Roman" w:hAnsi="VIC" w:cs="Calibri"/>
          <w:color w:val="000000"/>
          <w:sz w:val="24"/>
          <w:szCs w:val="24"/>
          <w:lang w:eastAsia="en-AU"/>
        </w:rPr>
      </w:pPr>
      <w:r w:rsidRPr="004D307F">
        <w:rPr>
          <w:rFonts w:ascii="VIC" w:eastAsia="Times New Roman" w:hAnsi="VIC" w:cs="Calibri"/>
          <w:color w:val="000000"/>
          <w:sz w:val="24"/>
          <w:szCs w:val="24"/>
          <w:lang w:eastAsia="en-AU"/>
        </w:rPr>
        <w:t>Depending on when your rollout period is, your annual allocation will also be adjusted.</w:t>
      </w:r>
    </w:p>
    <w:p w14:paraId="0C0282A1" w14:textId="268FCFD6" w:rsidR="00517905" w:rsidRPr="004D307F" w:rsidRDefault="008254A8" w:rsidP="004D307F">
      <w:pPr>
        <w:spacing w:after="120" w:line="240" w:lineRule="auto"/>
        <w:rPr>
          <w:rFonts w:ascii="VIC" w:eastAsia="Times New Roman" w:hAnsi="VIC" w:cs="Calibri"/>
          <w:color w:val="000000"/>
          <w:sz w:val="24"/>
          <w:szCs w:val="24"/>
          <w:lang w:eastAsia="en-AU"/>
        </w:rPr>
      </w:pPr>
      <w:r w:rsidRPr="004D307F">
        <w:rPr>
          <w:rFonts w:ascii="VIC" w:eastAsia="Times New Roman" w:hAnsi="VIC" w:cs="Calibri"/>
          <w:color w:val="000000"/>
          <w:sz w:val="24"/>
          <w:szCs w:val="24"/>
          <w:lang w:eastAsia="en-AU"/>
        </w:rPr>
        <w:t xml:space="preserve">Refer to the </w:t>
      </w:r>
      <w:r w:rsidR="006D6E02" w:rsidRPr="004D307F">
        <w:rPr>
          <w:rFonts w:ascii="VIC" w:eastAsia="Times New Roman" w:hAnsi="VIC" w:cs="Calibri"/>
          <w:color w:val="000000"/>
          <w:sz w:val="24"/>
          <w:szCs w:val="24"/>
          <w:lang w:eastAsia="en-AU"/>
        </w:rPr>
        <w:t>table</w:t>
      </w:r>
      <w:r w:rsidR="00517905" w:rsidRPr="004D307F">
        <w:rPr>
          <w:rFonts w:ascii="VIC" w:eastAsia="Times New Roman" w:hAnsi="VIC" w:cs="Calibri"/>
          <w:color w:val="000000"/>
          <w:sz w:val="24"/>
          <w:szCs w:val="24"/>
          <w:lang w:eastAsia="en-AU"/>
        </w:rPr>
        <w:t xml:space="preserve"> below </w:t>
      </w:r>
      <w:r w:rsidRPr="004D307F">
        <w:rPr>
          <w:rFonts w:ascii="VIC" w:eastAsia="Times New Roman" w:hAnsi="VIC" w:cs="Calibri"/>
          <w:color w:val="000000"/>
          <w:sz w:val="24"/>
          <w:szCs w:val="24"/>
          <w:lang w:eastAsia="en-AU"/>
        </w:rPr>
        <w:t>for further information.</w:t>
      </w:r>
      <w:r w:rsidR="00517905" w:rsidRPr="004D307F">
        <w:rPr>
          <w:rFonts w:ascii="VIC" w:eastAsia="Times New Roman" w:hAnsi="VIC" w:cs="Calibri"/>
          <w:color w:val="000000"/>
          <w:sz w:val="24"/>
          <w:szCs w:val="24"/>
          <w:lang w:eastAsia="en-AU"/>
        </w:rPr>
        <w:tab/>
      </w:r>
      <w:r w:rsidR="00517905" w:rsidRPr="004D307F">
        <w:rPr>
          <w:rFonts w:ascii="VIC" w:eastAsia="Times New Roman" w:hAnsi="VIC" w:cs="Calibri"/>
          <w:color w:val="000000"/>
          <w:sz w:val="24"/>
          <w:szCs w:val="24"/>
          <w:lang w:eastAsia="en-AU"/>
        </w:rPr>
        <w:tab/>
      </w:r>
      <w:r w:rsidR="00517905" w:rsidRPr="004D307F">
        <w:rPr>
          <w:rFonts w:ascii="VIC" w:eastAsia="Times New Roman" w:hAnsi="VIC" w:cs="Calibri"/>
          <w:color w:val="000000"/>
          <w:sz w:val="24"/>
          <w:szCs w:val="24"/>
          <w:lang w:eastAsia="en-AU"/>
        </w:rPr>
        <w:tab/>
      </w:r>
      <w:r w:rsidR="00517905" w:rsidRPr="004D307F">
        <w:rPr>
          <w:rFonts w:ascii="VIC" w:eastAsia="Times New Roman" w:hAnsi="VIC" w:cs="Calibri"/>
          <w:color w:val="000000"/>
          <w:sz w:val="24"/>
          <w:szCs w:val="24"/>
          <w:lang w:eastAsia="en-AU"/>
        </w:rPr>
        <w:tab/>
      </w:r>
      <w:r w:rsidR="00517905" w:rsidRPr="004D307F">
        <w:rPr>
          <w:rFonts w:ascii="VIC" w:eastAsia="Times New Roman" w:hAnsi="VIC" w:cs="Calibri"/>
          <w:color w:val="000000"/>
          <w:sz w:val="24"/>
          <w:szCs w:val="24"/>
          <w:lang w:eastAsia="en-AU"/>
        </w:rPr>
        <w:tab/>
      </w:r>
      <w:r w:rsidR="00517905" w:rsidRPr="004D307F">
        <w:rPr>
          <w:rFonts w:ascii="VIC" w:eastAsia="Times New Roman" w:hAnsi="VIC" w:cs="Calibri"/>
          <w:color w:val="000000"/>
          <w:sz w:val="24"/>
          <w:szCs w:val="24"/>
          <w:lang w:eastAsia="en-AU"/>
        </w:rPr>
        <w:tab/>
      </w:r>
    </w:p>
    <w:tbl>
      <w:tblPr>
        <w:tblW w:w="11653" w:type="dxa"/>
        <w:tblInd w:w="-5" w:type="dxa"/>
        <w:tblLook w:val="04A0" w:firstRow="1" w:lastRow="0" w:firstColumn="1" w:lastColumn="0" w:noHBand="0" w:noVBand="1"/>
      </w:tblPr>
      <w:tblGrid>
        <w:gridCol w:w="1835"/>
        <w:gridCol w:w="2418"/>
        <w:gridCol w:w="2542"/>
        <w:gridCol w:w="2050"/>
        <w:gridCol w:w="222"/>
        <w:gridCol w:w="222"/>
        <w:gridCol w:w="222"/>
        <w:gridCol w:w="236"/>
        <w:gridCol w:w="946"/>
        <w:gridCol w:w="960"/>
      </w:tblGrid>
      <w:tr w:rsidR="00517905" w:rsidRPr="004D307F" w14:paraId="18368128" w14:textId="77777777" w:rsidTr="00DF01DE">
        <w:trPr>
          <w:trHeight w:val="300"/>
        </w:trPr>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A1754" w14:textId="77777777" w:rsidR="00517905" w:rsidRPr="004D307F" w:rsidRDefault="00517905" w:rsidP="00DF01DE">
            <w:pPr>
              <w:spacing w:after="0" w:line="240" w:lineRule="auto"/>
              <w:jc w:val="center"/>
              <w:rPr>
                <w:rFonts w:ascii="VIC" w:eastAsia="Times New Roman" w:hAnsi="VIC" w:cs="Calibri"/>
                <w:color w:val="000000"/>
                <w:sz w:val="24"/>
                <w:szCs w:val="24"/>
                <w:lang w:eastAsia="en-AU"/>
              </w:rPr>
            </w:pPr>
            <w:r w:rsidRPr="004D307F">
              <w:rPr>
                <w:rFonts w:ascii="VIC" w:eastAsia="Times New Roman" w:hAnsi="VIC" w:cs="Calibri"/>
                <w:color w:val="000000"/>
                <w:sz w:val="24"/>
                <w:szCs w:val="24"/>
                <w:lang w:eastAsia="en-AU"/>
              </w:rPr>
              <w:t>Term 1</w:t>
            </w:r>
          </w:p>
        </w:tc>
        <w:tc>
          <w:tcPr>
            <w:tcW w:w="2418" w:type="dxa"/>
            <w:tcBorders>
              <w:top w:val="single" w:sz="4" w:space="0" w:color="auto"/>
              <w:left w:val="nil"/>
              <w:bottom w:val="single" w:sz="4" w:space="0" w:color="auto"/>
              <w:right w:val="single" w:sz="4" w:space="0" w:color="auto"/>
            </w:tcBorders>
            <w:shd w:val="clear" w:color="auto" w:fill="auto"/>
            <w:noWrap/>
            <w:vAlign w:val="bottom"/>
            <w:hideMark/>
          </w:tcPr>
          <w:p w14:paraId="363DDE3D" w14:textId="77777777" w:rsidR="00517905" w:rsidRPr="004D307F" w:rsidRDefault="00517905" w:rsidP="00DF01DE">
            <w:pPr>
              <w:spacing w:after="0" w:line="240" w:lineRule="auto"/>
              <w:jc w:val="center"/>
              <w:rPr>
                <w:rFonts w:ascii="VIC" w:eastAsia="Times New Roman" w:hAnsi="VIC" w:cs="Calibri"/>
                <w:color w:val="000000"/>
                <w:sz w:val="24"/>
                <w:szCs w:val="24"/>
                <w:lang w:eastAsia="en-AU"/>
              </w:rPr>
            </w:pPr>
            <w:r w:rsidRPr="004D307F">
              <w:rPr>
                <w:rFonts w:ascii="VIC" w:eastAsia="Times New Roman" w:hAnsi="VIC" w:cs="Calibri"/>
                <w:color w:val="000000"/>
                <w:sz w:val="24"/>
                <w:szCs w:val="24"/>
                <w:lang w:eastAsia="en-AU"/>
              </w:rPr>
              <w:t>Term 2</w:t>
            </w:r>
          </w:p>
        </w:tc>
        <w:tc>
          <w:tcPr>
            <w:tcW w:w="2542" w:type="dxa"/>
            <w:tcBorders>
              <w:top w:val="single" w:sz="4" w:space="0" w:color="auto"/>
              <w:left w:val="nil"/>
              <w:bottom w:val="single" w:sz="4" w:space="0" w:color="auto"/>
              <w:right w:val="single" w:sz="4" w:space="0" w:color="auto"/>
            </w:tcBorders>
            <w:shd w:val="clear" w:color="auto" w:fill="auto"/>
            <w:noWrap/>
            <w:vAlign w:val="bottom"/>
            <w:hideMark/>
          </w:tcPr>
          <w:p w14:paraId="7E839323" w14:textId="77777777" w:rsidR="00517905" w:rsidRPr="004D307F" w:rsidRDefault="00517905" w:rsidP="00DF01DE">
            <w:pPr>
              <w:spacing w:after="0" w:line="240" w:lineRule="auto"/>
              <w:jc w:val="center"/>
              <w:rPr>
                <w:rFonts w:ascii="VIC" w:eastAsia="Times New Roman" w:hAnsi="VIC" w:cs="Calibri"/>
                <w:color w:val="000000"/>
                <w:sz w:val="24"/>
                <w:szCs w:val="24"/>
                <w:lang w:eastAsia="en-AU"/>
              </w:rPr>
            </w:pPr>
            <w:r w:rsidRPr="004D307F">
              <w:rPr>
                <w:rFonts w:ascii="VIC" w:eastAsia="Times New Roman" w:hAnsi="VIC" w:cs="Calibri"/>
                <w:color w:val="000000"/>
                <w:sz w:val="24"/>
                <w:szCs w:val="24"/>
                <w:lang w:eastAsia="en-AU"/>
              </w:rPr>
              <w:t>Term 3</w:t>
            </w:r>
          </w:p>
        </w:tc>
        <w:tc>
          <w:tcPr>
            <w:tcW w:w="2050" w:type="dxa"/>
            <w:tcBorders>
              <w:top w:val="single" w:sz="4" w:space="0" w:color="auto"/>
              <w:left w:val="nil"/>
              <w:bottom w:val="single" w:sz="4" w:space="0" w:color="auto"/>
              <w:right w:val="single" w:sz="4" w:space="0" w:color="auto"/>
            </w:tcBorders>
            <w:shd w:val="clear" w:color="auto" w:fill="auto"/>
            <w:noWrap/>
            <w:vAlign w:val="bottom"/>
            <w:hideMark/>
          </w:tcPr>
          <w:p w14:paraId="18B0A2C6" w14:textId="77777777" w:rsidR="00517905" w:rsidRPr="004D307F" w:rsidRDefault="00517905" w:rsidP="00DF01DE">
            <w:pPr>
              <w:spacing w:after="0" w:line="240" w:lineRule="auto"/>
              <w:jc w:val="center"/>
              <w:rPr>
                <w:rFonts w:ascii="VIC" w:eastAsia="Times New Roman" w:hAnsi="VIC" w:cs="Calibri"/>
                <w:color w:val="000000"/>
                <w:sz w:val="24"/>
                <w:szCs w:val="24"/>
                <w:lang w:eastAsia="en-AU"/>
              </w:rPr>
            </w:pPr>
            <w:r w:rsidRPr="004D307F">
              <w:rPr>
                <w:rFonts w:ascii="VIC" w:eastAsia="Times New Roman" w:hAnsi="VIC" w:cs="Calibri"/>
                <w:color w:val="000000"/>
                <w:sz w:val="24"/>
                <w:szCs w:val="24"/>
                <w:lang w:eastAsia="en-AU"/>
              </w:rPr>
              <w:t>Term 4</w:t>
            </w:r>
          </w:p>
        </w:tc>
        <w:tc>
          <w:tcPr>
            <w:tcW w:w="222" w:type="dxa"/>
            <w:tcBorders>
              <w:top w:val="nil"/>
              <w:left w:val="nil"/>
              <w:bottom w:val="nil"/>
              <w:right w:val="nil"/>
            </w:tcBorders>
            <w:shd w:val="clear" w:color="auto" w:fill="auto"/>
            <w:noWrap/>
            <w:vAlign w:val="bottom"/>
            <w:hideMark/>
          </w:tcPr>
          <w:p w14:paraId="4B613F8D" w14:textId="77777777" w:rsidR="00517905" w:rsidRPr="004D307F" w:rsidRDefault="00517905" w:rsidP="00DF01DE">
            <w:pPr>
              <w:spacing w:after="0" w:line="240" w:lineRule="auto"/>
              <w:jc w:val="center"/>
              <w:rPr>
                <w:rFonts w:ascii="VIC" w:eastAsia="Times New Roman" w:hAnsi="VIC" w:cs="Calibri"/>
                <w:color w:val="000000"/>
                <w:sz w:val="24"/>
                <w:szCs w:val="24"/>
                <w:lang w:eastAsia="en-AU"/>
              </w:rPr>
            </w:pPr>
          </w:p>
        </w:tc>
        <w:tc>
          <w:tcPr>
            <w:tcW w:w="222" w:type="dxa"/>
            <w:tcBorders>
              <w:top w:val="nil"/>
              <w:left w:val="nil"/>
              <w:bottom w:val="nil"/>
              <w:right w:val="nil"/>
            </w:tcBorders>
            <w:shd w:val="clear" w:color="auto" w:fill="auto"/>
            <w:noWrap/>
            <w:vAlign w:val="bottom"/>
            <w:hideMark/>
          </w:tcPr>
          <w:p w14:paraId="6CCFD1D9" w14:textId="77777777" w:rsidR="00517905" w:rsidRPr="004D307F" w:rsidRDefault="00517905" w:rsidP="00DF01DE">
            <w:pPr>
              <w:spacing w:after="0" w:line="240" w:lineRule="auto"/>
              <w:rPr>
                <w:rFonts w:ascii="VIC" w:eastAsia="Times New Roman" w:hAnsi="VIC" w:cs="Times New Roman"/>
                <w:lang w:eastAsia="en-AU"/>
              </w:rPr>
            </w:pPr>
          </w:p>
        </w:tc>
        <w:tc>
          <w:tcPr>
            <w:tcW w:w="222" w:type="dxa"/>
            <w:tcBorders>
              <w:top w:val="nil"/>
              <w:left w:val="nil"/>
              <w:bottom w:val="nil"/>
              <w:right w:val="nil"/>
            </w:tcBorders>
            <w:shd w:val="clear" w:color="auto" w:fill="auto"/>
            <w:noWrap/>
            <w:vAlign w:val="bottom"/>
            <w:hideMark/>
          </w:tcPr>
          <w:p w14:paraId="7BB25290" w14:textId="77777777" w:rsidR="00517905" w:rsidRPr="004D307F" w:rsidRDefault="00517905" w:rsidP="00DF01DE">
            <w:pPr>
              <w:spacing w:after="0" w:line="240" w:lineRule="auto"/>
              <w:rPr>
                <w:rFonts w:ascii="VIC" w:eastAsia="Times New Roman" w:hAnsi="VIC" w:cs="Times New Roman"/>
                <w:lang w:eastAsia="en-AU"/>
              </w:rPr>
            </w:pPr>
          </w:p>
        </w:tc>
        <w:tc>
          <w:tcPr>
            <w:tcW w:w="236" w:type="dxa"/>
            <w:tcBorders>
              <w:top w:val="nil"/>
              <w:left w:val="nil"/>
              <w:bottom w:val="nil"/>
              <w:right w:val="nil"/>
            </w:tcBorders>
            <w:shd w:val="clear" w:color="auto" w:fill="auto"/>
            <w:noWrap/>
            <w:vAlign w:val="bottom"/>
            <w:hideMark/>
          </w:tcPr>
          <w:p w14:paraId="03164B56" w14:textId="77777777" w:rsidR="00517905" w:rsidRPr="004D307F" w:rsidRDefault="00517905" w:rsidP="00DF01DE">
            <w:pPr>
              <w:spacing w:after="0" w:line="240" w:lineRule="auto"/>
              <w:rPr>
                <w:rFonts w:ascii="VIC" w:eastAsia="Times New Roman" w:hAnsi="VIC" w:cs="Times New Roman"/>
                <w:lang w:eastAsia="en-AU"/>
              </w:rPr>
            </w:pPr>
          </w:p>
        </w:tc>
        <w:tc>
          <w:tcPr>
            <w:tcW w:w="946" w:type="dxa"/>
            <w:tcBorders>
              <w:top w:val="nil"/>
              <w:left w:val="nil"/>
              <w:bottom w:val="nil"/>
              <w:right w:val="nil"/>
            </w:tcBorders>
            <w:shd w:val="clear" w:color="auto" w:fill="auto"/>
            <w:noWrap/>
            <w:vAlign w:val="bottom"/>
            <w:hideMark/>
          </w:tcPr>
          <w:p w14:paraId="0954E0D0" w14:textId="77777777" w:rsidR="00517905" w:rsidRPr="004D307F" w:rsidRDefault="00517905" w:rsidP="00DF01DE">
            <w:pPr>
              <w:spacing w:after="0" w:line="240" w:lineRule="auto"/>
              <w:rPr>
                <w:rFonts w:ascii="VIC" w:eastAsia="Times New Roman" w:hAnsi="VIC" w:cs="Times New Roman"/>
                <w:lang w:eastAsia="en-AU"/>
              </w:rPr>
            </w:pPr>
          </w:p>
        </w:tc>
        <w:tc>
          <w:tcPr>
            <w:tcW w:w="960" w:type="dxa"/>
            <w:tcBorders>
              <w:top w:val="nil"/>
              <w:left w:val="nil"/>
              <w:bottom w:val="nil"/>
              <w:right w:val="nil"/>
            </w:tcBorders>
            <w:shd w:val="clear" w:color="auto" w:fill="auto"/>
            <w:noWrap/>
            <w:vAlign w:val="bottom"/>
            <w:hideMark/>
          </w:tcPr>
          <w:p w14:paraId="18413261" w14:textId="77777777" w:rsidR="00517905" w:rsidRPr="004D307F" w:rsidRDefault="00517905" w:rsidP="00DF01DE">
            <w:pPr>
              <w:spacing w:after="0" w:line="240" w:lineRule="auto"/>
              <w:rPr>
                <w:rFonts w:ascii="VIC" w:eastAsia="Times New Roman" w:hAnsi="VIC" w:cs="Times New Roman"/>
                <w:lang w:eastAsia="en-AU"/>
              </w:rPr>
            </w:pPr>
          </w:p>
        </w:tc>
      </w:tr>
      <w:tr w:rsidR="00517905" w:rsidRPr="004D307F" w14:paraId="33254374" w14:textId="77777777" w:rsidTr="00DF01DE">
        <w:trPr>
          <w:trHeight w:val="300"/>
        </w:trPr>
        <w:tc>
          <w:tcPr>
            <w:tcW w:w="1835" w:type="dxa"/>
            <w:tcBorders>
              <w:top w:val="nil"/>
              <w:left w:val="single" w:sz="4" w:space="0" w:color="auto"/>
              <w:bottom w:val="single" w:sz="4" w:space="0" w:color="auto"/>
              <w:right w:val="single" w:sz="4" w:space="0" w:color="auto"/>
            </w:tcBorders>
            <w:shd w:val="clear" w:color="auto" w:fill="auto"/>
            <w:noWrap/>
            <w:vAlign w:val="bottom"/>
            <w:hideMark/>
          </w:tcPr>
          <w:p w14:paraId="7E05A286" w14:textId="77777777" w:rsidR="00517905" w:rsidRPr="004D307F" w:rsidRDefault="00517905" w:rsidP="00DF01DE">
            <w:pPr>
              <w:spacing w:after="0" w:line="240" w:lineRule="auto"/>
              <w:jc w:val="center"/>
              <w:rPr>
                <w:rFonts w:ascii="VIC" w:eastAsia="Times New Roman" w:hAnsi="VIC" w:cs="Calibri"/>
                <w:color w:val="000000"/>
                <w:sz w:val="24"/>
                <w:szCs w:val="24"/>
                <w:lang w:eastAsia="en-AU"/>
              </w:rPr>
            </w:pPr>
            <w:r w:rsidRPr="004D307F">
              <w:rPr>
                <w:rFonts w:ascii="VIC" w:eastAsia="Times New Roman" w:hAnsi="VIC" w:cs="Calibri"/>
                <w:color w:val="000000"/>
                <w:sz w:val="24"/>
                <w:szCs w:val="24"/>
                <w:lang w:eastAsia="en-AU"/>
              </w:rPr>
              <w:t>100%</w:t>
            </w:r>
          </w:p>
        </w:tc>
        <w:tc>
          <w:tcPr>
            <w:tcW w:w="2418" w:type="dxa"/>
            <w:tcBorders>
              <w:top w:val="nil"/>
              <w:left w:val="nil"/>
              <w:bottom w:val="single" w:sz="4" w:space="0" w:color="auto"/>
              <w:right w:val="single" w:sz="4" w:space="0" w:color="auto"/>
            </w:tcBorders>
            <w:shd w:val="clear" w:color="auto" w:fill="auto"/>
            <w:noWrap/>
            <w:vAlign w:val="bottom"/>
            <w:hideMark/>
          </w:tcPr>
          <w:p w14:paraId="3938DFB6" w14:textId="77777777" w:rsidR="00517905" w:rsidRPr="004D307F" w:rsidRDefault="00517905" w:rsidP="00DF01DE">
            <w:pPr>
              <w:spacing w:after="0" w:line="240" w:lineRule="auto"/>
              <w:jc w:val="center"/>
              <w:rPr>
                <w:rFonts w:ascii="VIC" w:eastAsia="Times New Roman" w:hAnsi="VIC" w:cs="Calibri"/>
                <w:color w:val="000000"/>
                <w:sz w:val="24"/>
                <w:szCs w:val="24"/>
                <w:lang w:eastAsia="en-AU"/>
              </w:rPr>
            </w:pPr>
            <w:r w:rsidRPr="004D307F">
              <w:rPr>
                <w:rFonts w:ascii="VIC" w:eastAsia="Times New Roman" w:hAnsi="VIC" w:cs="Calibri"/>
                <w:color w:val="000000"/>
                <w:sz w:val="24"/>
                <w:szCs w:val="24"/>
                <w:lang w:eastAsia="en-AU"/>
              </w:rPr>
              <w:t>75%</w:t>
            </w:r>
          </w:p>
        </w:tc>
        <w:tc>
          <w:tcPr>
            <w:tcW w:w="2542" w:type="dxa"/>
            <w:tcBorders>
              <w:top w:val="nil"/>
              <w:left w:val="nil"/>
              <w:bottom w:val="single" w:sz="4" w:space="0" w:color="auto"/>
              <w:right w:val="single" w:sz="4" w:space="0" w:color="auto"/>
            </w:tcBorders>
            <w:shd w:val="clear" w:color="auto" w:fill="auto"/>
            <w:noWrap/>
            <w:vAlign w:val="bottom"/>
            <w:hideMark/>
          </w:tcPr>
          <w:p w14:paraId="55EB1013" w14:textId="77777777" w:rsidR="00517905" w:rsidRPr="004D307F" w:rsidRDefault="00517905" w:rsidP="00DF01DE">
            <w:pPr>
              <w:spacing w:after="0" w:line="240" w:lineRule="auto"/>
              <w:jc w:val="center"/>
              <w:rPr>
                <w:rFonts w:ascii="VIC" w:eastAsia="Times New Roman" w:hAnsi="VIC" w:cs="Calibri"/>
                <w:color w:val="000000"/>
                <w:sz w:val="24"/>
                <w:szCs w:val="24"/>
                <w:lang w:eastAsia="en-AU"/>
              </w:rPr>
            </w:pPr>
            <w:r w:rsidRPr="004D307F">
              <w:rPr>
                <w:rFonts w:ascii="VIC" w:eastAsia="Times New Roman" w:hAnsi="VIC" w:cs="Calibri"/>
                <w:color w:val="000000"/>
                <w:sz w:val="24"/>
                <w:szCs w:val="24"/>
                <w:lang w:eastAsia="en-AU"/>
              </w:rPr>
              <w:t>50%</w:t>
            </w:r>
          </w:p>
        </w:tc>
        <w:tc>
          <w:tcPr>
            <w:tcW w:w="2050" w:type="dxa"/>
            <w:tcBorders>
              <w:top w:val="nil"/>
              <w:left w:val="nil"/>
              <w:bottom w:val="single" w:sz="4" w:space="0" w:color="auto"/>
              <w:right w:val="single" w:sz="4" w:space="0" w:color="auto"/>
            </w:tcBorders>
            <w:shd w:val="clear" w:color="auto" w:fill="auto"/>
            <w:noWrap/>
            <w:vAlign w:val="bottom"/>
            <w:hideMark/>
          </w:tcPr>
          <w:p w14:paraId="35D48344" w14:textId="77777777" w:rsidR="00517905" w:rsidRPr="004D307F" w:rsidRDefault="00517905" w:rsidP="00DF01DE">
            <w:pPr>
              <w:spacing w:after="0" w:line="240" w:lineRule="auto"/>
              <w:jc w:val="center"/>
              <w:rPr>
                <w:rFonts w:ascii="VIC" w:eastAsia="Times New Roman" w:hAnsi="VIC" w:cs="Calibri"/>
                <w:color w:val="000000"/>
                <w:sz w:val="24"/>
                <w:szCs w:val="24"/>
                <w:lang w:eastAsia="en-AU"/>
              </w:rPr>
            </w:pPr>
            <w:r w:rsidRPr="004D307F">
              <w:rPr>
                <w:rFonts w:ascii="VIC" w:eastAsia="Times New Roman" w:hAnsi="VIC" w:cs="Calibri"/>
                <w:color w:val="000000"/>
                <w:sz w:val="24"/>
                <w:szCs w:val="24"/>
                <w:lang w:eastAsia="en-AU"/>
              </w:rPr>
              <w:t>25%</w:t>
            </w:r>
          </w:p>
        </w:tc>
        <w:tc>
          <w:tcPr>
            <w:tcW w:w="222" w:type="dxa"/>
            <w:tcBorders>
              <w:top w:val="nil"/>
              <w:left w:val="nil"/>
              <w:bottom w:val="nil"/>
              <w:right w:val="nil"/>
            </w:tcBorders>
            <w:shd w:val="clear" w:color="auto" w:fill="auto"/>
            <w:noWrap/>
            <w:vAlign w:val="bottom"/>
            <w:hideMark/>
          </w:tcPr>
          <w:p w14:paraId="34BCA3CA" w14:textId="77777777" w:rsidR="00517905" w:rsidRPr="004D307F" w:rsidRDefault="00517905" w:rsidP="00DF01DE">
            <w:pPr>
              <w:spacing w:after="0" w:line="240" w:lineRule="auto"/>
              <w:jc w:val="center"/>
              <w:rPr>
                <w:rFonts w:ascii="VIC" w:eastAsia="Times New Roman" w:hAnsi="VIC" w:cs="Calibri"/>
                <w:color w:val="000000"/>
                <w:sz w:val="24"/>
                <w:szCs w:val="24"/>
                <w:lang w:eastAsia="en-AU"/>
              </w:rPr>
            </w:pPr>
          </w:p>
        </w:tc>
        <w:tc>
          <w:tcPr>
            <w:tcW w:w="222" w:type="dxa"/>
            <w:tcBorders>
              <w:top w:val="nil"/>
              <w:left w:val="nil"/>
              <w:bottom w:val="nil"/>
              <w:right w:val="nil"/>
            </w:tcBorders>
            <w:shd w:val="clear" w:color="auto" w:fill="auto"/>
            <w:noWrap/>
            <w:vAlign w:val="bottom"/>
            <w:hideMark/>
          </w:tcPr>
          <w:p w14:paraId="43E45F4A" w14:textId="77777777" w:rsidR="00517905" w:rsidRPr="004D307F" w:rsidRDefault="00517905" w:rsidP="00DF01DE">
            <w:pPr>
              <w:spacing w:after="0" w:line="240" w:lineRule="auto"/>
              <w:rPr>
                <w:rFonts w:ascii="VIC" w:eastAsia="Times New Roman" w:hAnsi="VIC" w:cs="Times New Roman"/>
                <w:lang w:eastAsia="en-AU"/>
              </w:rPr>
            </w:pPr>
          </w:p>
        </w:tc>
        <w:tc>
          <w:tcPr>
            <w:tcW w:w="222" w:type="dxa"/>
            <w:tcBorders>
              <w:top w:val="nil"/>
              <w:left w:val="nil"/>
              <w:bottom w:val="nil"/>
              <w:right w:val="nil"/>
            </w:tcBorders>
            <w:shd w:val="clear" w:color="auto" w:fill="auto"/>
            <w:noWrap/>
            <w:vAlign w:val="bottom"/>
            <w:hideMark/>
          </w:tcPr>
          <w:p w14:paraId="2B286ABB" w14:textId="77777777" w:rsidR="00517905" w:rsidRPr="004D307F" w:rsidRDefault="00517905" w:rsidP="00DF01DE">
            <w:pPr>
              <w:spacing w:after="0" w:line="240" w:lineRule="auto"/>
              <w:rPr>
                <w:rFonts w:ascii="VIC" w:eastAsia="Times New Roman" w:hAnsi="VIC" w:cs="Times New Roman"/>
                <w:lang w:eastAsia="en-AU"/>
              </w:rPr>
            </w:pPr>
          </w:p>
        </w:tc>
        <w:tc>
          <w:tcPr>
            <w:tcW w:w="236" w:type="dxa"/>
            <w:tcBorders>
              <w:top w:val="nil"/>
              <w:left w:val="nil"/>
              <w:bottom w:val="nil"/>
              <w:right w:val="nil"/>
            </w:tcBorders>
            <w:shd w:val="clear" w:color="auto" w:fill="auto"/>
            <w:noWrap/>
            <w:vAlign w:val="bottom"/>
            <w:hideMark/>
          </w:tcPr>
          <w:p w14:paraId="48936166" w14:textId="77777777" w:rsidR="00517905" w:rsidRPr="004D307F" w:rsidRDefault="00517905" w:rsidP="00DF01DE">
            <w:pPr>
              <w:spacing w:after="0" w:line="240" w:lineRule="auto"/>
              <w:rPr>
                <w:rFonts w:ascii="VIC" w:eastAsia="Times New Roman" w:hAnsi="VIC" w:cs="Times New Roman"/>
                <w:lang w:eastAsia="en-AU"/>
              </w:rPr>
            </w:pPr>
          </w:p>
        </w:tc>
        <w:tc>
          <w:tcPr>
            <w:tcW w:w="946" w:type="dxa"/>
            <w:tcBorders>
              <w:top w:val="nil"/>
              <w:left w:val="nil"/>
              <w:bottom w:val="nil"/>
              <w:right w:val="nil"/>
            </w:tcBorders>
            <w:shd w:val="clear" w:color="auto" w:fill="auto"/>
            <w:noWrap/>
            <w:vAlign w:val="bottom"/>
            <w:hideMark/>
          </w:tcPr>
          <w:p w14:paraId="590C5B3F" w14:textId="77777777" w:rsidR="00517905" w:rsidRPr="004D307F" w:rsidRDefault="00517905" w:rsidP="00DF01DE">
            <w:pPr>
              <w:spacing w:after="0" w:line="240" w:lineRule="auto"/>
              <w:rPr>
                <w:rFonts w:ascii="VIC" w:eastAsia="Times New Roman" w:hAnsi="VIC" w:cs="Times New Roman"/>
                <w:lang w:eastAsia="en-AU"/>
              </w:rPr>
            </w:pPr>
          </w:p>
        </w:tc>
        <w:tc>
          <w:tcPr>
            <w:tcW w:w="960" w:type="dxa"/>
            <w:tcBorders>
              <w:top w:val="nil"/>
              <w:left w:val="nil"/>
              <w:bottom w:val="nil"/>
              <w:right w:val="nil"/>
            </w:tcBorders>
            <w:shd w:val="clear" w:color="auto" w:fill="auto"/>
            <w:noWrap/>
            <w:vAlign w:val="bottom"/>
            <w:hideMark/>
          </w:tcPr>
          <w:p w14:paraId="4A156DE2" w14:textId="77777777" w:rsidR="00517905" w:rsidRPr="004D307F" w:rsidRDefault="00517905" w:rsidP="00DF01DE">
            <w:pPr>
              <w:spacing w:after="0" w:line="240" w:lineRule="auto"/>
              <w:rPr>
                <w:rFonts w:ascii="VIC" w:eastAsia="Times New Roman" w:hAnsi="VIC" w:cs="Times New Roman"/>
                <w:lang w:eastAsia="en-AU"/>
              </w:rPr>
            </w:pPr>
          </w:p>
        </w:tc>
      </w:tr>
    </w:tbl>
    <w:p w14:paraId="37999681" w14:textId="77777777" w:rsidR="00517905" w:rsidRPr="004D307F" w:rsidRDefault="00517905" w:rsidP="00517905">
      <w:pPr>
        <w:rPr>
          <w:rFonts w:ascii="VIC" w:hAnsi="VIC"/>
          <w:b/>
          <w:sz w:val="24"/>
          <w:szCs w:val="24"/>
        </w:rPr>
      </w:pPr>
    </w:p>
    <w:p w14:paraId="1A2F92C8" w14:textId="01539AA3" w:rsidR="00517905" w:rsidRPr="004D307F" w:rsidRDefault="00517905" w:rsidP="00517905">
      <w:pPr>
        <w:rPr>
          <w:rFonts w:ascii="VIC" w:hAnsi="VIC"/>
          <w:b/>
          <w:sz w:val="24"/>
          <w:szCs w:val="24"/>
        </w:rPr>
      </w:pPr>
      <w:r w:rsidRPr="004D307F">
        <w:rPr>
          <w:rFonts w:ascii="VIC" w:hAnsi="VIC"/>
          <w:b/>
          <w:sz w:val="24"/>
          <w:szCs w:val="24"/>
        </w:rPr>
        <w:t>Incl</w:t>
      </w:r>
      <w:r w:rsidR="008254A8" w:rsidRPr="004D307F">
        <w:rPr>
          <w:rFonts w:ascii="VIC" w:hAnsi="VIC"/>
          <w:b/>
          <w:sz w:val="24"/>
          <w:szCs w:val="24"/>
        </w:rPr>
        <w:t>us</w:t>
      </w:r>
      <w:r w:rsidRPr="004D307F">
        <w:rPr>
          <w:rFonts w:ascii="VIC" w:hAnsi="VIC"/>
          <w:b/>
          <w:sz w:val="24"/>
          <w:szCs w:val="24"/>
        </w:rPr>
        <w:t>ion Outreach Coaching initiative Funding</w:t>
      </w:r>
      <w:r w:rsidRPr="004D307F">
        <w:rPr>
          <w:rFonts w:ascii="VIC" w:hAnsi="VIC"/>
          <w:b/>
          <w:sz w:val="24"/>
          <w:szCs w:val="24"/>
        </w:rPr>
        <w:tab/>
      </w:r>
      <w:r w:rsidRPr="004D307F">
        <w:rPr>
          <w:rFonts w:ascii="VIC" w:hAnsi="VIC"/>
          <w:b/>
          <w:sz w:val="24"/>
          <w:szCs w:val="24"/>
        </w:rPr>
        <w:tab/>
      </w:r>
      <w:r w:rsidRPr="004D307F">
        <w:rPr>
          <w:rFonts w:ascii="VIC" w:hAnsi="VIC"/>
          <w:b/>
          <w:sz w:val="24"/>
          <w:szCs w:val="24"/>
        </w:rPr>
        <w:tab/>
      </w:r>
      <w:r w:rsidRPr="004D307F">
        <w:rPr>
          <w:rFonts w:ascii="VIC" w:hAnsi="VIC"/>
          <w:b/>
          <w:sz w:val="24"/>
          <w:szCs w:val="24"/>
        </w:rPr>
        <w:tab/>
      </w:r>
      <w:r w:rsidRPr="004D307F">
        <w:rPr>
          <w:rFonts w:ascii="VIC" w:hAnsi="VIC"/>
          <w:b/>
          <w:sz w:val="24"/>
          <w:szCs w:val="24"/>
        </w:rPr>
        <w:tab/>
      </w:r>
    </w:p>
    <w:p w14:paraId="2E1EB3D0" w14:textId="39683C48" w:rsidR="00517905" w:rsidRPr="004D307F" w:rsidRDefault="00517905" w:rsidP="00517905">
      <w:pPr>
        <w:rPr>
          <w:rFonts w:ascii="VIC" w:hAnsi="VIC"/>
          <w:sz w:val="24"/>
          <w:szCs w:val="24"/>
        </w:rPr>
      </w:pPr>
      <w:r w:rsidRPr="004D307F">
        <w:rPr>
          <w:rFonts w:ascii="VIC" w:hAnsi="VIC"/>
          <w:sz w:val="24"/>
          <w:szCs w:val="24"/>
        </w:rPr>
        <w:t>Incl</w:t>
      </w:r>
      <w:r w:rsidR="008254A8" w:rsidRPr="004D307F">
        <w:rPr>
          <w:rFonts w:ascii="VIC" w:hAnsi="VIC"/>
          <w:sz w:val="24"/>
          <w:szCs w:val="24"/>
        </w:rPr>
        <w:t>us</w:t>
      </w:r>
      <w:r w:rsidRPr="004D307F">
        <w:rPr>
          <w:rFonts w:ascii="VIC" w:hAnsi="VIC"/>
          <w:sz w:val="24"/>
          <w:szCs w:val="24"/>
        </w:rPr>
        <w:t>ion Outreach Coaching initiative = Funding Calculation * Term Allocation Adjustment %</w:t>
      </w:r>
    </w:p>
    <w:p w14:paraId="6EDD6D4C" w14:textId="3626331C" w:rsidR="00AA4D4B" w:rsidRPr="004D307F" w:rsidRDefault="00AA4D4B" w:rsidP="00517905">
      <w:pPr>
        <w:rPr>
          <w:rFonts w:ascii="VIC" w:hAnsi="VIC"/>
          <w:sz w:val="24"/>
          <w:szCs w:val="24"/>
        </w:rPr>
      </w:pPr>
    </w:p>
    <w:p w14:paraId="72838B97" w14:textId="5C241541" w:rsidR="00AA4D4B" w:rsidRPr="004D307F" w:rsidRDefault="00AA4D4B" w:rsidP="00517905">
      <w:pPr>
        <w:rPr>
          <w:rFonts w:ascii="VIC" w:hAnsi="VIC"/>
          <w:sz w:val="24"/>
          <w:szCs w:val="24"/>
        </w:rPr>
      </w:pPr>
    </w:p>
    <w:p w14:paraId="68C3FD95" w14:textId="77777777" w:rsidR="002B743A" w:rsidRPr="004D307F" w:rsidRDefault="002B743A" w:rsidP="00B566E7">
      <w:pPr>
        <w:pStyle w:val="Heading2"/>
      </w:pPr>
      <w:bookmarkStart w:id="137" w:name="_Toc75180327"/>
    </w:p>
    <w:p w14:paraId="687FA0AD" w14:textId="77777777" w:rsidR="002B743A" w:rsidRPr="004D307F" w:rsidRDefault="002B743A">
      <w:pPr>
        <w:rPr>
          <w:rFonts w:asciiTheme="majorHAnsi" w:eastAsia="Calibri" w:hAnsiTheme="majorHAnsi" w:cstheme="majorBidi"/>
          <w:b/>
          <w:color w:val="2F5496" w:themeColor="accent1" w:themeShade="BF"/>
          <w:sz w:val="36"/>
          <w:szCs w:val="26"/>
          <w:lang w:val="en" w:eastAsia="en-AU"/>
        </w:rPr>
      </w:pPr>
      <w:r w:rsidRPr="004D307F">
        <w:br w:type="page"/>
      </w:r>
    </w:p>
    <w:p w14:paraId="3D4EBF0B" w14:textId="51AC0CC1" w:rsidR="00AA4D4B" w:rsidRPr="004D307F" w:rsidRDefault="00AA4D4B" w:rsidP="00B566E7">
      <w:pPr>
        <w:pStyle w:val="Heading2"/>
      </w:pPr>
      <w:bookmarkStart w:id="138" w:name="_Toc106793813"/>
      <w:r w:rsidRPr="004D307F">
        <w:lastRenderedPageBreak/>
        <w:t>Outside School Hours Care (OSHC) Establishment Grant Initiative (Reference 134)</w:t>
      </w:r>
      <w:bookmarkEnd w:id="137"/>
      <w:bookmarkEnd w:id="138"/>
    </w:p>
    <w:p w14:paraId="1103E1F0" w14:textId="77777777" w:rsidR="00AA4D4B" w:rsidRPr="004D307F" w:rsidRDefault="00AA4D4B" w:rsidP="006D6E02">
      <w:p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The Outside School Hours Care Establishment Grant Initiative (the Initiative) will support schools that have not previously had outside school hours care (OSHC) to establish new OSHC services.</w:t>
      </w:r>
    </w:p>
    <w:p w14:paraId="5CFF7EF7" w14:textId="3EF17100" w:rsidR="00AA4D4B" w:rsidRPr="004D307F" w:rsidRDefault="00AA4D4B" w:rsidP="00AA4D4B">
      <w:p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 xml:space="preserve">The Initiative prioritises schools which meet the following </w:t>
      </w:r>
      <w:r w:rsidR="00472147">
        <w:rPr>
          <w:rFonts w:ascii="VIC-Regular" w:eastAsia="Times New Roman" w:hAnsi="VIC-Regular" w:cs="Times New Roman"/>
          <w:color w:val="011A3C"/>
          <w:sz w:val="24"/>
          <w:szCs w:val="24"/>
          <w:lang w:eastAsia="en-AU"/>
        </w:rPr>
        <w:t>3</w:t>
      </w:r>
      <w:r w:rsidRPr="004D307F">
        <w:rPr>
          <w:rFonts w:ascii="VIC-Regular" w:eastAsia="Times New Roman" w:hAnsi="VIC-Regular" w:cs="Times New Roman"/>
          <w:color w:val="011A3C"/>
          <w:sz w:val="24"/>
          <w:szCs w:val="24"/>
          <w:lang w:eastAsia="en-AU"/>
        </w:rPr>
        <w:t xml:space="preserve"> priority categories:</w:t>
      </w:r>
    </w:p>
    <w:p w14:paraId="50B6AE35" w14:textId="77777777" w:rsidR="00AA4D4B" w:rsidRPr="004D307F" w:rsidRDefault="00AA4D4B" w:rsidP="00ED0863">
      <w:pPr>
        <w:pStyle w:val="ListParagraph"/>
        <w:numPr>
          <w:ilvl w:val="0"/>
          <w:numId w:val="142"/>
        </w:num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Priority 1: Schools in areas with limited or no OSHC services.</w:t>
      </w:r>
    </w:p>
    <w:p w14:paraId="0B46175A" w14:textId="77777777" w:rsidR="00AA4D4B" w:rsidRPr="004D307F" w:rsidRDefault="00AA4D4B" w:rsidP="00ED0863">
      <w:pPr>
        <w:pStyle w:val="ListParagraph"/>
        <w:numPr>
          <w:ilvl w:val="0"/>
          <w:numId w:val="142"/>
        </w:num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Priority 2:</w:t>
      </w:r>
      <w:r w:rsidRPr="004D307F">
        <w:t xml:space="preserve"> </w:t>
      </w:r>
      <w:r w:rsidRPr="004D307F">
        <w:rPr>
          <w:rFonts w:ascii="VIC-Regular" w:eastAsia="Times New Roman" w:hAnsi="VIC-Regular" w:cs="Times New Roman"/>
          <w:color w:val="011A3C"/>
          <w:sz w:val="24"/>
          <w:szCs w:val="24"/>
          <w:lang w:eastAsia="en-AU"/>
        </w:rPr>
        <w:t>Schools where services are unlikely to be viable without grant funding.</w:t>
      </w:r>
    </w:p>
    <w:p w14:paraId="1AFA80FC" w14:textId="77777777" w:rsidR="00AA4D4B" w:rsidRPr="004D307F" w:rsidRDefault="00AA4D4B" w:rsidP="00ED0863">
      <w:pPr>
        <w:pStyle w:val="ListParagraph"/>
        <w:numPr>
          <w:ilvl w:val="0"/>
          <w:numId w:val="142"/>
        </w:num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Priority 3:</w:t>
      </w:r>
      <w:r w:rsidRPr="004D307F">
        <w:t xml:space="preserve"> </w:t>
      </w:r>
      <w:r w:rsidRPr="004D307F">
        <w:rPr>
          <w:rFonts w:ascii="VIC-Regular" w:eastAsia="Times New Roman" w:hAnsi="VIC-Regular" w:cs="Times New Roman"/>
          <w:color w:val="011A3C"/>
          <w:sz w:val="24"/>
          <w:szCs w:val="24"/>
          <w:lang w:eastAsia="en-AU"/>
        </w:rPr>
        <w:t xml:space="preserve">Schools with disadvantaged student cohorts AND schools with demonstrated readiness to commence services </w:t>
      </w:r>
    </w:p>
    <w:p w14:paraId="1732FA3F" w14:textId="2B955E56" w:rsidR="00AA4D4B" w:rsidRPr="004D307F" w:rsidRDefault="00AA4D4B" w:rsidP="00AA4D4B">
      <w:pPr>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 xml:space="preserve">The program is broken into </w:t>
      </w:r>
      <w:r w:rsidR="00FA4946">
        <w:rPr>
          <w:rFonts w:ascii="VIC-Regular" w:eastAsia="Times New Roman" w:hAnsi="VIC-Regular" w:cs="Times New Roman"/>
          <w:color w:val="011A3C"/>
          <w:sz w:val="24"/>
          <w:szCs w:val="24"/>
          <w:lang w:eastAsia="en-AU"/>
        </w:rPr>
        <w:t xml:space="preserve">4 </w:t>
      </w:r>
      <w:r w:rsidRPr="004D307F">
        <w:rPr>
          <w:rFonts w:ascii="VIC-Regular" w:eastAsia="Times New Roman" w:hAnsi="VIC-Regular" w:cs="Times New Roman"/>
          <w:color w:val="011A3C"/>
          <w:sz w:val="24"/>
          <w:szCs w:val="24"/>
          <w:lang w:eastAsia="en-AU"/>
        </w:rPr>
        <w:t xml:space="preserve">rounds over </w:t>
      </w:r>
      <w:r w:rsidR="00FA4946">
        <w:rPr>
          <w:rFonts w:ascii="VIC-Regular" w:eastAsia="Times New Roman" w:hAnsi="VIC-Regular" w:cs="Times New Roman"/>
          <w:color w:val="011A3C"/>
          <w:sz w:val="24"/>
          <w:szCs w:val="24"/>
          <w:lang w:eastAsia="en-AU"/>
        </w:rPr>
        <w:t>4</w:t>
      </w:r>
      <w:r w:rsidRPr="004D307F">
        <w:rPr>
          <w:rFonts w:ascii="VIC-Regular" w:eastAsia="Times New Roman" w:hAnsi="VIC-Regular" w:cs="Times New Roman"/>
          <w:color w:val="011A3C"/>
          <w:sz w:val="24"/>
          <w:szCs w:val="24"/>
          <w:lang w:eastAsia="en-AU"/>
        </w:rPr>
        <w:t xml:space="preserve"> financial years. Four years of funding was available for schools that successfully apply in Round 1, and </w:t>
      </w:r>
      <w:r w:rsidR="00FA4946">
        <w:rPr>
          <w:rFonts w:ascii="VIC-Regular" w:eastAsia="Times New Roman" w:hAnsi="VIC-Regular" w:cs="Times New Roman"/>
          <w:color w:val="011A3C"/>
          <w:sz w:val="24"/>
          <w:szCs w:val="24"/>
          <w:lang w:eastAsia="en-AU"/>
        </w:rPr>
        <w:t>3</w:t>
      </w:r>
      <w:r w:rsidRPr="004D307F">
        <w:rPr>
          <w:rFonts w:ascii="VIC-Regular" w:eastAsia="Times New Roman" w:hAnsi="VIC-Regular" w:cs="Times New Roman"/>
          <w:color w:val="011A3C"/>
          <w:sz w:val="24"/>
          <w:szCs w:val="24"/>
          <w:lang w:eastAsia="en-AU"/>
        </w:rPr>
        <w:t xml:space="preserve"> years for those applying in Round 2. For the rounds yet to open, schools funded in Round 3 will receive </w:t>
      </w:r>
      <w:r w:rsidR="00FA4946">
        <w:rPr>
          <w:rFonts w:ascii="VIC-Regular" w:eastAsia="Times New Roman" w:hAnsi="VIC-Regular" w:cs="Times New Roman"/>
          <w:color w:val="011A3C"/>
          <w:sz w:val="24"/>
          <w:szCs w:val="24"/>
          <w:lang w:eastAsia="en-AU"/>
        </w:rPr>
        <w:t>2</w:t>
      </w:r>
      <w:r w:rsidRPr="004D307F">
        <w:rPr>
          <w:rFonts w:ascii="VIC-Regular" w:eastAsia="Times New Roman" w:hAnsi="VIC-Regular" w:cs="Times New Roman"/>
          <w:color w:val="011A3C"/>
          <w:sz w:val="24"/>
          <w:szCs w:val="24"/>
          <w:lang w:eastAsia="en-AU"/>
        </w:rPr>
        <w:t xml:space="preserve"> years of funding, and Round 4 schools will receive one year of funding. </w:t>
      </w:r>
    </w:p>
    <w:p w14:paraId="19B70D4B" w14:textId="012042C7" w:rsidR="00AA4D4B" w:rsidRPr="004D307F" w:rsidRDefault="00AA4D4B" w:rsidP="00AA4D4B">
      <w:p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Schools may use the funds to cover costs associated with initially providing access to OSHC services for students</w:t>
      </w:r>
      <w:r w:rsidR="00472147">
        <w:rPr>
          <w:rFonts w:ascii="VIC-Regular" w:eastAsia="Times New Roman" w:hAnsi="VIC-Regular" w:cs="Times New Roman"/>
          <w:color w:val="011A3C"/>
          <w:sz w:val="24"/>
          <w:szCs w:val="24"/>
          <w:lang w:eastAsia="en-AU"/>
        </w:rPr>
        <w:t xml:space="preserve"> </w:t>
      </w:r>
      <w:r w:rsidRPr="004D307F">
        <w:rPr>
          <w:rFonts w:ascii="VIC-Regular" w:eastAsia="Times New Roman" w:hAnsi="VIC-Regular" w:cs="Times New Roman"/>
          <w:color w:val="011A3C"/>
          <w:sz w:val="24"/>
          <w:szCs w:val="24"/>
          <w:lang w:eastAsia="en-AU"/>
        </w:rPr>
        <w:t>and operational expenses over the lifetime of the funding. The funding will allow services that may not initially be financially viable to expand and work towards ongoing viability over the grant period.</w:t>
      </w:r>
    </w:p>
    <w:p w14:paraId="1E85B7E3" w14:textId="77777777" w:rsidR="00AA4D4B" w:rsidRPr="004D307F" w:rsidRDefault="00AA4D4B" w:rsidP="00AA4D4B">
      <w:pPr>
        <w:spacing w:before="100" w:beforeAutospacing="1" w:after="100" w:afterAutospacing="1" w:line="288" w:lineRule="atLeast"/>
        <w:outlineLvl w:val="2"/>
        <w:rPr>
          <w:rFonts w:ascii="VIC-Bold" w:eastAsia="Times New Roman" w:hAnsi="VIC-Bold" w:cs="Times New Roman"/>
          <w:color w:val="011A3C"/>
          <w:sz w:val="27"/>
          <w:szCs w:val="27"/>
          <w:lang w:eastAsia="en-AU"/>
        </w:rPr>
      </w:pPr>
      <w:r w:rsidRPr="004D307F">
        <w:rPr>
          <w:rFonts w:ascii="VIC-Bold" w:hAnsi="VIC-Bold"/>
          <w:b/>
          <w:bCs/>
          <w:color w:val="011A3C"/>
          <w:sz w:val="27"/>
          <w:szCs w:val="27"/>
          <w:lang w:val="en" w:eastAsia="en-AU"/>
        </w:rPr>
        <w:t>Accountability</w:t>
      </w:r>
    </w:p>
    <w:p w14:paraId="0AEC3771" w14:textId="04D82C1F" w:rsidR="00AA4D4B" w:rsidRPr="004D307F" w:rsidRDefault="00AA4D4B" w:rsidP="00AA4D4B">
      <w:p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 xml:space="preserve">Schools are responsible for using the funds within the guidelines provided by the </w:t>
      </w:r>
      <w:r w:rsidR="00FA4946">
        <w:rPr>
          <w:rFonts w:ascii="VIC-Regular" w:eastAsia="Times New Roman" w:hAnsi="VIC-Regular" w:cs="Times New Roman"/>
          <w:color w:val="011A3C"/>
          <w:sz w:val="24"/>
          <w:szCs w:val="24"/>
          <w:lang w:eastAsia="en-AU"/>
        </w:rPr>
        <w:t>d</w:t>
      </w:r>
      <w:r w:rsidRPr="004D307F">
        <w:rPr>
          <w:rFonts w:ascii="VIC-Regular" w:eastAsia="Times New Roman" w:hAnsi="VIC-Regular" w:cs="Times New Roman"/>
          <w:color w:val="011A3C"/>
          <w:sz w:val="24"/>
          <w:szCs w:val="24"/>
          <w:lang w:eastAsia="en-AU"/>
        </w:rPr>
        <w:t>epartment. School principals will be required to complete an acquittal process once per year for each year of funding received, demonstrating that the funds were used for expenditure within the Initiative’s guidelines.</w:t>
      </w:r>
    </w:p>
    <w:p w14:paraId="23179177" w14:textId="77777777" w:rsidR="00AA4D4B" w:rsidRPr="004D307F" w:rsidRDefault="00AA4D4B" w:rsidP="00AA4D4B">
      <w:pPr>
        <w:spacing w:before="100" w:beforeAutospacing="1" w:after="100" w:afterAutospacing="1" w:line="288" w:lineRule="atLeast"/>
        <w:outlineLvl w:val="2"/>
        <w:rPr>
          <w:rFonts w:ascii="VIC-Bold" w:hAnsi="VIC-Bold"/>
          <w:b/>
          <w:bCs/>
          <w:color w:val="011A3C"/>
          <w:sz w:val="27"/>
          <w:szCs w:val="27"/>
          <w:lang w:val="en" w:eastAsia="en-AU"/>
        </w:rPr>
      </w:pPr>
      <w:r w:rsidRPr="004D307F">
        <w:rPr>
          <w:rFonts w:ascii="VIC-Bold" w:hAnsi="VIC-Bold"/>
          <w:b/>
          <w:bCs/>
          <w:color w:val="011A3C"/>
          <w:sz w:val="27"/>
          <w:szCs w:val="27"/>
          <w:lang w:val="en" w:eastAsia="en-AU"/>
        </w:rPr>
        <w:t>Eligibility</w:t>
      </w:r>
    </w:p>
    <w:p w14:paraId="5A344A89" w14:textId="30EACE61" w:rsidR="00AA4D4B" w:rsidRPr="004D307F" w:rsidRDefault="00AA4D4B" w:rsidP="00AA4D4B">
      <w:p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 xml:space="preserve">Interested schools will apply for the funding using the SmartyGrants online portal, which will be available when round 3 is launched during 2022. Further advice will be provided closer to the launch. All Victorian </w:t>
      </w:r>
      <w:r w:rsidR="00FA4946">
        <w:rPr>
          <w:rFonts w:ascii="VIC-Regular" w:eastAsia="Times New Roman" w:hAnsi="VIC-Regular" w:cs="Times New Roman"/>
          <w:color w:val="011A3C"/>
          <w:sz w:val="24"/>
          <w:szCs w:val="24"/>
          <w:lang w:eastAsia="en-AU"/>
        </w:rPr>
        <w:t>g</w:t>
      </w:r>
      <w:r w:rsidRPr="004D307F">
        <w:rPr>
          <w:rFonts w:ascii="VIC-Regular" w:eastAsia="Times New Roman" w:hAnsi="VIC-Regular" w:cs="Times New Roman"/>
          <w:color w:val="011A3C"/>
          <w:sz w:val="24"/>
          <w:szCs w:val="24"/>
          <w:lang w:eastAsia="en-AU"/>
        </w:rPr>
        <w:t>overnment schools which provide primary aged education to children, and who have not had an OSHC service in the preceding two terms are eligible to apply. This includes primary schools, combined primary/secondary schools, and specialist schools.</w:t>
      </w:r>
    </w:p>
    <w:p w14:paraId="231C4E7A" w14:textId="77777777" w:rsidR="00AA4D4B" w:rsidRPr="004D307F" w:rsidRDefault="00AA4D4B" w:rsidP="00AA4D4B">
      <w:pPr>
        <w:spacing w:before="100" w:beforeAutospacing="1" w:after="100" w:afterAutospacing="1" w:line="288" w:lineRule="atLeast"/>
        <w:outlineLvl w:val="2"/>
        <w:rPr>
          <w:rFonts w:ascii="VIC-Bold" w:hAnsi="VIC-Bold"/>
          <w:b/>
          <w:bCs/>
          <w:color w:val="011A3C"/>
          <w:sz w:val="27"/>
          <w:szCs w:val="27"/>
          <w:lang w:val="en" w:eastAsia="en-AU"/>
        </w:rPr>
      </w:pPr>
      <w:r w:rsidRPr="004D307F">
        <w:rPr>
          <w:rFonts w:ascii="VIC-Bold" w:hAnsi="VIC-Bold"/>
          <w:b/>
          <w:bCs/>
          <w:color w:val="011A3C"/>
          <w:sz w:val="27"/>
          <w:szCs w:val="27"/>
          <w:lang w:val="en" w:eastAsia="en-AU"/>
        </w:rPr>
        <w:t>Funding</w:t>
      </w:r>
    </w:p>
    <w:p w14:paraId="0FFB5698" w14:textId="77777777" w:rsidR="00AA4D4B" w:rsidRPr="004D307F" w:rsidRDefault="00AA4D4B" w:rsidP="00AA4D4B">
      <w:p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 xml:space="preserve">The maximum amount of funding offered is $75,000 per year per applicant school, except where the school is applying on behalf of a cluster of schools, in which case the maximum is $150,000. In a cluster arrangement, one school establishes the service, with nearby schools able to access it on an equal footing. Schools or clusters may apply up to the maximum </w:t>
      </w:r>
      <w:r w:rsidRPr="004D307F">
        <w:rPr>
          <w:rFonts w:ascii="VIC-Regular" w:eastAsia="Times New Roman" w:hAnsi="VIC-Regular" w:cs="Times New Roman"/>
          <w:color w:val="011A3C"/>
          <w:sz w:val="24"/>
          <w:szCs w:val="24"/>
          <w:lang w:eastAsia="en-AU"/>
        </w:rPr>
        <w:lastRenderedPageBreak/>
        <w:t xml:space="preserve">amount if they have proposed expenditure to that amount which meets the Initiative guidelines. In order to be eligible for the increased funding cap, all cluster schools must meet the grant eligibility requirements. </w:t>
      </w:r>
    </w:p>
    <w:p w14:paraId="3835C881" w14:textId="77777777" w:rsidR="00AA4D4B" w:rsidRPr="004D307F" w:rsidRDefault="00AA4D4B" w:rsidP="00AA4D4B">
      <w:p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Funding allocations are 100% Cash funding.</w:t>
      </w:r>
    </w:p>
    <w:p w14:paraId="0259DB0D" w14:textId="77777777" w:rsidR="00AA4D4B" w:rsidRPr="004D307F" w:rsidRDefault="00AA4D4B" w:rsidP="00AA4D4B">
      <w:pPr>
        <w:spacing w:before="100" w:beforeAutospacing="1" w:after="100" w:afterAutospacing="1" w:line="288" w:lineRule="atLeast"/>
        <w:outlineLvl w:val="2"/>
        <w:rPr>
          <w:rFonts w:ascii="VIC-Bold" w:hAnsi="VIC-Bold"/>
          <w:b/>
          <w:bCs/>
          <w:color w:val="011A3C"/>
          <w:sz w:val="27"/>
          <w:szCs w:val="27"/>
          <w:lang w:val="en" w:eastAsia="en-AU"/>
        </w:rPr>
      </w:pPr>
      <w:r w:rsidRPr="004D307F">
        <w:rPr>
          <w:rFonts w:ascii="VIC-Bold" w:hAnsi="VIC-Bold"/>
          <w:b/>
          <w:bCs/>
          <w:color w:val="011A3C"/>
          <w:sz w:val="27"/>
          <w:szCs w:val="27"/>
          <w:lang w:val="en" w:eastAsia="en-AU"/>
        </w:rPr>
        <w:t>Use of Initiative funding</w:t>
      </w:r>
    </w:p>
    <w:p w14:paraId="4C354190" w14:textId="77777777" w:rsidR="00AA4D4B" w:rsidRPr="004D307F" w:rsidRDefault="00AA4D4B" w:rsidP="00AA4D4B">
      <w:p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 xml:space="preserve">School principals will consider the context of their school and the needs of the school community to determine the best use of the funding. A school may decide to use the funding to establish an OSHC service run by the school council, engage a third party provider to operate a new service, or provide transport to enable children to access OSHC at an already operating service. New services may be established at the school or at external premises. </w:t>
      </w:r>
    </w:p>
    <w:p w14:paraId="322101DD" w14:textId="77777777" w:rsidR="00AA4D4B" w:rsidRPr="004D307F" w:rsidRDefault="00AA4D4B" w:rsidP="00AA4D4B">
      <w:p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Examples of eligible expenditure include:</w:t>
      </w:r>
    </w:p>
    <w:p w14:paraId="37514FE1" w14:textId="4A4FF940" w:rsidR="00AA4D4B" w:rsidRPr="004D307F" w:rsidRDefault="00FA4946" w:rsidP="00ED0863">
      <w:pPr>
        <w:pStyle w:val="ListParagraph"/>
        <w:numPr>
          <w:ilvl w:val="0"/>
          <w:numId w:val="143"/>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s</w:t>
      </w:r>
      <w:r w:rsidR="00AA4D4B" w:rsidRPr="004D307F">
        <w:rPr>
          <w:rFonts w:ascii="VIC-Regular" w:eastAsia="Times New Roman" w:hAnsi="VIC-Regular" w:cs="Times New Roman"/>
          <w:color w:val="011A3C"/>
          <w:sz w:val="24"/>
          <w:szCs w:val="24"/>
          <w:lang w:eastAsia="en-AU"/>
        </w:rPr>
        <w:t>taffing</w:t>
      </w:r>
    </w:p>
    <w:p w14:paraId="4572475A" w14:textId="7254C9BF" w:rsidR="00AA4D4B" w:rsidRPr="004D307F" w:rsidRDefault="00FA4946" w:rsidP="00ED0863">
      <w:pPr>
        <w:pStyle w:val="ListParagraph"/>
        <w:numPr>
          <w:ilvl w:val="0"/>
          <w:numId w:val="143"/>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w:t>
      </w:r>
      <w:r w:rsidR="00AA4D4B" w:rsidRPr="004D307F">
        <w:rPr>
          <w:rFonts w:ascii="VIC-Regular" w:eastAsia="Times New Roman" w:hAnsi="VIC-Regular" w:cs="Times New Roman"/>
          <w:color w:val="011A3C"/>
          <w:sz w:val="24"/>
          <w:szCs w:val="24"/>
          <w:lang w:eastAsia="en-AU"/>
        </w:rPr>
        <w:t>raining and professional development</w:t>
      </w:r>
    </w:p>
    <w:p w14:paraId="4C280EA7" w14:textId="7B7F7ED7" w:rsidR="00AA4D4B" w:rsidRPr="004D307F" w:rsidRDefault="00FA4946" w:rsidP="00ED0863">
      <w:pPr>
        <w:pStyle w:val="ListParagraph"/>
        <w:numPr>
          <w:ilvl w:val="0"/>
          <w:numId w:val="143"/>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p</w:t>
      </w:r>
      <w:r w:rsidR="00AA4D4B" w:rsidRPr="004D307F">
        <w:rPr>
          <w:rFonts w:ascii="VIC-Regular" w:eastAsia="Times New Roman" w:hAnsi="VIC-Regular" w:cs="Times New Roman"/>
          <w:color w:val="011A3C"/>
          <w:sz w:val="24"/>
          <w:szCs w:val="24"/>
          <w:lang w:eastAsia="en-AU"/>
        </w:rPr>
        <w:t>rogram management and administration</w:t>
      </w:r>
    </w:p>
    <w:p w14:paraId="37C6F708" w14:textId="4860A0C1" w:rsidR="00AA4D4B" w:rsidRPr="004D307F" w:rsidRDefault="00FA4946" w:rsidP="00ED0863">
      <w:pPr>
        <w:pStyle w:val="ListParagraph"/>
        <w:numPr>
          <w:ilvl w:val="0"/>
          <w:numId w:val="143"/>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r</w:t>
      </w:r>
      <w:r w:rsidR="00AA4D4B" w:rsidRPr="004D307F">
        <w:rPr>
          <w:rFonts w:ascii="VIC-Regular" w:eastAsia="Times New Roman" w:hAnsi="VIC-Regular" w:cs="Times New Roman"/>
          <w:color w:val="011A3C"/>
          <w:sz w:val="24"/>
          <w:szCs w:val="24"/>
          <w:lang w:eastAsia="en-AU"/>
        </w:rPr>
        <w:t>esources and/or equipment</w:t>
      </w:r>
    </w:p>
    <w:p w14:paraId="66FFC9FE" w14:textId="39769256" w:rsidR="00AA4D4B" w:rsidRPr="004D307F" w:rsidRDefault="00FA4946" w:rsidP="00ED0863">
      <w:pPr>
        <w:pStyle w:val="ListParagraph"/>
        <w:numPr>
          <w:ilvl w:val="0"/>
          <w:numId w:val="143"/>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m</w:t>
      </w:r>
      <w:r w:rsidR="00AA4D4B" w:rsidRPr="004D307F">
        <w:rPr>
          <w:rFonts w:ascii="VIC-Regular" w:eastAsia="Times New Roman" w:hAnsi="VIC-Regular" w:cs="Times New Roman"/>
          <w:color w:val="011A3C"/>
          <w:sz w:val="24"/>
          <w:szCs w:val="24"/>
          <w:lang w:eastAsia="en-AU"/>
        </w:rPr>
        <w:t>inor facility upgrades</w:t>
      </w:r>
    </w:p>
    <w:p w14:paraId="7DF4F82D" w14:textId="59073D12" w:rsidR="00AA4D4B" w:rsidRPr="004D307F" w:rsidRDefault="00FA4946" w:rsidP="00ED0863">
      <w:pPr>
        <w:pStyle w:val="ListParagraph"/>
        <w:numPr>
          <w:ilvl w:val="0"/>
          <w:numId w:val="143"/>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w:t>
      </w:r>
      <w:r w:rsidR="00AA4D4B" w:rsidRPr="004D307F">
        <w:rPr>
          <w:rFonts w:ascii="VIC-Regular" w:eastAsia="Times New Roman" w:hAnsi="VIC-Regular" w:cs="Times New Roman"/>
          <w:color w:val="011A3C"/>
          <w:sz w:val="24"/>
          <w:szCs w:val="24"/>
          <w:lang w:eastAsia="en-AU"/>
        </w:rPr>
        <w:t>ransport</w:t>
      </w:r>
    </w:p>
    <w:p w14:paraId="39E1CD8F" w14:textId="018BAD0B" w:rsidR="00AA4D4B" w:rsidRPr="004D307F" w:rsidRDefault="00FA4946" w:rsidP="00ED0863">
      <w:pPr>
        <w:pStyle w:val="ListParagraph"/>
        <w:numPr>
          <w:ilvl w:val="0"/>
          <w:numId w:val="143"/>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f</w:t>
      </w:r>
      <w:r w:rsidR="00AA4D4B" w:rsidRPr="004D307F">
        <w:rPr>
          <w:rFonts w:ascii="VIC-Regular" w:eastAsia="Times New Roman" w:hAnsi="VIC-Regular" w:cs="Times New Roman"/>
          <w:color w:val="011A3C"/>
          <w:sz w:val="24"/>
          <w:szCs w:val="24"/>
          <w:lang w:eastAsia="en-AU"/>
        </w:rPr>
        <w:t>ood</w:t>
      </w:r>
    </w:p>
    <w:p w14:paraId="2697C07E" w14:textId="7AE134C9" w:rsidR="00AA4D4B" w:rsidRPr="004D307F" w:rsidRDefault="00FA4946" w:rsidP="00ED0863">
      <w:pPr>
        <w:pStyle w:val="ListParagraph"/>
        <w:numPr>
          <w:ilvl w:val="0"/>
          <w:numId w:val="143"/>
        </w:numPr>
        <w:spacing w:before="100" w:beforeAutospacing="1" w:after="100" w:afterAutospacing="1" w:line="240" w:lineRule="auto"/>
      </w:pPr>
      <w:r>
        <w:rPr>
          <w:rFonts w:ascii="VIC-Regular" w:eastAsia="Times New Roman" w:hAnsi="VIC-Regular" w:cs="Times New Roman"/>
          <w:color w:val="011A3C"/>
          <w:sz w:val="24"/>
          <w:szCs w:val="24"/>
          <w:lang w:eastAsia="en-AU"/>
        </w:rPr>
        <w:t>p</w:t>
      </w:r>
      <w:r w:rsidR="00AA4D4B" w:rsidRPr="004D307F">
        <w:rPr>
          <w:rFonts w:ascii="VIC-Regular" w:eastAsia="Times New Roman" w:hAnsi="VIC-Regular" w:cs="Times New Roman"/>
          <w:color w:val="011A3C"/>
          <w:sz w:val="24"/>
          <w:szCs w:val="24"/>
          <w:lang w:eastAsia="en-AU"/>
        </w:rPr>
        <w:t>rograms/activities to attract or retain enrolments</w:t>
      </w:r>
      <w:r>
        <w:rPr>
          <w:rFonts w:ascii="VIC-Regular" w:eastAsia="Times New Roman" w:hAnsi="VIC-Regular" w:cs="Times New Roman"/>
          <w:color w:val="011A3C"/>
          <w:sz w:val="24"/>
          <w:szCs w:val="24"/>
          <w:lang w:eastAsia="en-AU"/>
        </w:rPr>
        <w:t>.</w:t>
      </w:r>
    </w:p>
    <w:p w14:paraId="56BD56AA" w14:textId="77777777" w:rsidR="00AA4D4B" w:rsidRPr="004D307F" w:rsidRDefault="00AA4D4B" w:rsidP="00517905"/>
    <w:p w14:paraId="1B19CF7D" w14:textId="790E9F43" w:rsidR="002B743A" w:rsidRPr="004D307F" w:rsidRDefault="002B743A">
      <w:pPr>
        <w:rPr>
          <w:rFonts w:asciiTheme="majorHAnsi" w:eastAsia="Times New Roman" w:hAnsiTheme="majorHAnsi" w:cstheme="majorBidi"/>
          <w:b/>
          <w:color w:val="2F5496" w:themeColor="accent1" w:themeShade="BF"/>
          <w:sz w:val="36"/>
          <w:szCs w:val="26"/>
          <w:lang w:val="en" w:eastAsia="en-AU"/>
        </w:rPr>
      </w:pPr>
      <w:r w:rsidRPr="004D307F">
        <w:rPr>
          <w:rFonts w:asciiTheme="majorHAnsi" w:eastAsia="Times New Roman" w:hAnsiTheme="majorHAnsi" w:cstheme="majorBidi"/>
          <w:b/>
          <w:color w:val="2F5496" w:themeColor="accent1" w:themeShade="BF"/>
          <w:sz w:val="36"/>
          <w:szCs w:val="26"/>
          <w:lang w:val="en" w:eastAsia="en-AU"/>
        </w:rPr>
        <w:br w:type="page"/>
      </w:r>
    </w:p>
    <w:p w14:paraId="41DC7D6B" w14:textId="77777777" w:rsidR="00C23301" w:rsidRPr="00DB1E56" w:rsidRDefault="00C23301" w:rsidP="00992D99">
      <w:pPr>
        <w:pStyle w:val="Heading2"/>
      </w:pPr>
      <w:bookmarkStart w:id="139" w:name="_Toc106793814"/>
      <w:r w:rsidRPr="00DB1E56">
        <w:lastRenderedPageBreak/>
        <w:t>Innovative Initial Teacher Education (ITE) Programs (Reference 135)</w:t>
      </w:r>
      <w:bookmarkEnd w:id="139"/>
      <w:r w:rsidRPr="00DB1E56">
        <w:t xml:space="preserve"> </w:t>
      </w:r>
    </w:p>
    <w:p w14:paraId="42C4597F" w14:textId="77777777" w:rsidR="00C23301" w:rsidRPr="004D307F" w:rsidRDefault="00C23301" w:rsidP="00C23301">
      <w:pPr>
        <w:spacing w:after="0" w:line="240" w:lineRule="auto"/>
        <w:contextualSpacing/>
        <w:jc w:val="both"/>
        <w:rPr>
          <w:rFonts w:asciiTheme="majorHAnsi" w:eastAsia="Times New Roman" w:hAnsiTheme="majorHAnsi" w:cstheme="majorHAnsi"/>
          <w:b/>
          <w:bCs/>
          <w:color w:val="0563C1" w:themeColor="hyperlink"/>
          <w:sz w:val="20"/>
          <w:szCs w:val="20"/>
          <w:u w:val="single"/>
          <w:lang w:val="en-US"/>
        </w:rPr>
      </w:pPr>
    </w:p>
    <w:p w14:paraId="01AA3EFF" w14:textId="6F466E02"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 xml:space="preserve">Innovative ITE programs seek to boost the supply of teachers in Victorian government secondary schools, particularly in outer-metropolitan, rural and remote locations and in priority subject areas. The </w:t>
      </w:r>
      <w:r w:rsidR="004A1101">
        <w:rPr>
          <w:rFonts w:ascii="VIC" w:eastAsia="Times New Roman" w:hAnsi="VIC" w:cs="Times New Roman"/>
          <w:color w:val="011A3C"/>
          <w:sz w:val="24"/>
          <w:szCs w:val="24"/>
          <w:lang w:eastAsia="en-AU"/>
        </w:rPr>
        <w:t>d</w:t>
      </w:r>
      <w:r w:rsidRPr="004D307F">
        <w:rPr>
          <w:rFonts w:ascii="VIC" w:eastAsia="Times New Roman" w:hAnsi="VIC" w:cs="Times New Roman"/>
          <w:color w:val="011A3C"/>
          <w:sz w:val="24"/>
          <w:szCs w:val="24"/>
          <w:lang w:eastAsia="en-AU"/>
        </w:rPr>
        <w:t xml:space="preserve">epartment is working in partnership with </w:t>
      </w:r>
      <w:r w:rsidR="004A1101">
        <w:rPr>
          <w:rFonts w:ascii="VIC" w:eastAsia="Times New Roman" w:hAnsi="VIC" w:cs="Times New Roman"/>
          <w:color w:val="011A3C"/>
          <w:sz w:val="24"/>
          <w:szCs w:val="24"/>
          <w:lang w:eastAsia="en-AU"/>
        </w:rPr>
        <w:t>5</w:t>
      </w:r>
      <w:r w:rsidRPr="004D307F">
        <w:rPr>
          <w:rFonts w:ascii="VIC" w:eastAsia="Times New Roman" w:hAnsi="VIC" w:cs="Times New Roman"/>
          <w:color w:val="011A3C"/>
          <w:sz w:val="24"/>
          <w:szCs w:val="24"/>
          <w:lang w:eastAsia="en-AU"/>
        </w:rPr>
        <w:t xml:space="preserve"> universities to attract and train local teachers for eligible secondary schools: Australian Catholic University (ACU), Deakin University, Federation University, Monash University and the University of Melbourne. </w:t>
      </w:r>
    </w:p>
    <w:p w14:paraId="7B3F78A7"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p>
    <w:p w14:paraId="42672FB8" w14:textId="23204DC9" w:rsidR="00C23301" w:rsidRPr="004D307F" w:rsidRDefault="00C23301" w:rsidP="00C23301">
      <w:pPr>
        <w:spacing w:after="0" w:line="240" w:lineRule="auto"/>
        <w:contextualSpacing/>
        <w:jc w:val="both"/>
        <w:rPr>
          <w:rFonts w:ascii="VIC" w:eastAsia="Times New Roman" w:hAnsi="VIC" w:cstheme="majorHAnsi"/>
          <w:color w:val="0563C1" w:themeColor="hyperlink"/>
          <w:sz w:val="20"/>
          <w:szCs w:val="20"/>
          <w:u w:val="single"/>
          <w:lang w:val="en-US"/>
        </w:rPr>
      </w:pPr>
      <w:r w:rsidRPr="004D307F">
        <w:rPr>
          <w:rFonts w:ascii="VIC" w:eastAsia="Times New Roman" w:hAnsi="VIC" w:cs="Times New Roman"/>
          <w:color w:val="011A3C"/>
          <w:sz w:val="24"/>
          <w:szCs w:val="24"/>
          <w:lang w:eastAsia="en-AU"/>
        </w:rPr>
        <w:t>Department-funded scholarships are payable to students in the ACU and Federation University (2022 program only) programs to provide them with financial support during the period of intensive study and address barriers to participation in ITE. Scholarships will be paid to students by host schools as an element of the host school</w:t>
      </w:r>
      <w:r w:rsidRPr="004D307F">
        <w:rPr>
          <w:rFonts w:ascii="VIC" w:eastAsia="Times New Roman" w:hAnsi="VIC" w:cs="Times New Roman" w:hint="eastAsia"/>
          <w:color w:val="011A3C"/>
          <w:sz w:val="24"/>
          <w:szCs w:val="24"/>
          <w:lang w:eastAsia="en-AU"/>
        </w:rPr>
        <w:t>’</w:t>
      </w:r>
      <w:r w:rsidRPr="004D307F">
        <w:rPr>
          <w:rFonts w:ascii="VIC" w:eastAsia="Times New Roman" w:hAnsi="VIC" w:cs="Times New Roman"/>
          <w:color w:val="011A3C"/>
          <w:sz w:val="24"/>
          <w:szCs w:val="24"/>
          <w:lang w:eastAsia="en-AU"/>
        </w:rPr>
        <w:t>s support for them.</w:t>
      </w:r>
    </w:p>
    <w:p w14:paraId="0B9E775F" w14:textId="77777777" w:rsidR="00C23301" w:rsidRPr="004D307F" w:rsidRDefault="00C23301" w:rsidP="00C23301">
      <w:pPr>
        <w:spacing w:before="100" w:beforeAutospacing="1" w:after="100" w:afterAutospacing="1" w:line="288" w:lineRule="atLeast"/>
        <w:outlineLvl w:val="2"/>
        <w:rPr>
          <w:rFonts w:ascii="VIC" w:hAnsi="VIC"/>
          <w:b/>
          <w:bCs/>
          <w:color w:val="011A3C"/>
          <w:sz w:val="27"/>
          <w:szCs w:val="27"/>
          <w:lang w:val="en" w:eastAsia="en-AU"/>
        </w:rPr>
      </w:pPr>
      <w:r w:rsidRPr="004D307F">
        <w:rPr>
          <w:rFonts w:ascii="VIC" w:hAnsi="VIC"/>
          <w:b/>
          <w:bCs/>
          <w:color w:val="011A3C"/>
          <w:sz w:val="27"/>
          <w:szCs w:val="27"/>
          <w:lang w:val="en" w:eastAsia="en-AU"/>
        </w:rPr>
        <w:t>Eligibility</w:t>
      </w:r>
    </w:p>
    <w:p w14:paraId="59561C9A"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Secondary Schools</w:t>
      </w:r>
    </w:p>
    <w:p w14:paraId="57941669"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P-12 Schools (only the secondary component of the school)</w:t>
      </w:r>
    </w:p>
    <w:p w14:paraId="672CAB82"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 xml:space="preserve">Specialist Schools are now eligible in 2022. The VIT require PSTs to undertake placement in mainstream schools prior to employment consideration in a specialist setting. For more information on specialist schools participation, please contact the team on </w:t>
      </w:r>
      <w:hyperlink r:id="rId189" w:history="1">
        <w:r w:rsidRPr="004D307F">
          <w:rPr>
            <w:rStyle w:val="Hyperlink"/>
            <w:rFonts w:ascii="VIC" w:hAnsi="VIC" w:cs="Times New Roman"/>
            <w:sz w:val="24"/>
            <w:szCs w:val="24"/>
          </w:rPr>
          <w:t>innovative.ite@education.vic.gov.au</w:t>
        </w:r>
      </w:hyperlink>
      <w:r w:rsidRPr="004D307F">
        <w:rPr>
          <w:rFonts w:ascii="VIC" w:eastAsia="Times New Roman" w:hAnsi="VIC" w:cs="Times New Roman"/>
          <w:color w:val="011A3C"/>
          <w:sz w:val="24"/>
          <w:szCs w:val="24"/>
          <w:lang w:eastAsia="en-AU"/>
        </w:rPr>
        <w:t>.</w:t>
      </w:r>
    </w:p>
    <w:p w14:paraId="37BC939C"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p>
    <w:p w14:paraId="5877AB66"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Specifically, schools must be hosting students as part of this program to be eligible for this allocation.</w:t>
      </w:r>
    </w:p>
    <w:p w14:paraId="01F75F32"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 xml:space="preserve">Secondary (including primary/secondary) and specialist schools that are hosting students participating in the ACU and Federation University (2022 program only) innovative ITE programs. </w:t>
      </w:r>
    </w:p>
    <w:p w14:paraId="0A0BAD4D"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p>
    <w:p w14:paraId="20CA035A" w14:textId="74A4DB26" w:rsidR="00C23301" w:rsidRPr="004D307F" w:rsidRDefault="00C23301" w:rsidP="00C23301">
      <w:pPr>
        <w:spacing w:after="0" w:line="240" w:lineRule="auto"/>
        <w:contextualSpacing/>
        <w:jc w:val="both"/>
        <w:rPr>
          <w:rFonts w:ascii="VIC" w:hAnsi="VIC"/>
          <w:sz w:val="21"/>
          <w:szCs w:val="21"/>
          <w:lang w:val="en-GB"/>
        </w:rPr>
      </w:pPr>
      <w:r w:rsidRPr="004D307F">
        <w:rPr>
          <w:rFonts w:ascii="VIC" w:eastAsia="Times New Roman" w:hAnsi="VIC" w:cs="Times New Roman"/>
          <w:color w:val="011A3C"/>
          <w:sz w:val="24"/>
          <w:szCs w:val="24"/>
          <w:lang w:eastAsia="en-AU"/>
        </w:rPr>
        <w:t>Funding will be allocated in instalments in April (out-of-cycle) and August (indicative cycle) through credit funding and is calculated at the school level.</w:t>
      </w:r>
    </w:p>
    <w:p w14:paraId="00EF4B5F" w14:textId="77777777" w:rsidR="00C23301" w:rsidRPr="004D307F" w:rsidRDefault="00C23301" w:rsidP="00C23301">
      <w:pPr>
        <w:spacing w:before="100" w:beforeAutospacing="1" w:after="100" w:afterAutospacing="1" w:line="288" w:lineRule="atLeast"/>
        <w:outlineLvl w:val="2"/>
        <w:rPr>
          <w:rFonts w:ascii="VIC" w:hAnsi="VIC"/>
          <w:b/>
          <w:bCs/>
          <w:color w:val="011A3C"/>
          <w:sz w:val="27"/>
          <w:szCs w:val="27"/>
          <w:lang w:val="en" w:eastAsia="en-AU"/>
        </w:rPr>
      </w:pPr>
      <w:r w:rsidRPr="004D307F">
        <w:rPr>
          <w:rFonts w:ascii="VIC" w:hAnsi="VIC"/>
          <w:b/>
          <w:bCs/>
          <w:color w:val="011A3C"/>
          <w:sz w:val="27"/>
          <w:szCs w:val="27"/>
          <w:lang w:val="en" w:eastAsia="en-AU"/>
        </w:rPr>
        <w:t>Calculation</w:t>
      </w:r>
    </w:p>
    <w:p w14:paraId="772B2D69"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Only schools hosting students participating in the ACU and Federation University innovative ITE programs will receive $15,000 per student hosted.</w:t>
      </w:r>
    </w:p>
    <w:p w14:paraId="4E7A144C"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p>
    <w:p w14:paraId="3C69966E"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p>
    <w:p w14:paraId="1A0DE88E" w14:textId="25078B11"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Example: An eligible school hosts a Federation University student and an ACU student in 2022. This school will receive a total of $30,000 ($15,000 for the Federation University student and $15,000 for the ACU student).</w:t>
      </w:r>
    </w:p>
    <w:p w14:paraId="229F539F" w14:textId="77777777" w:rsidR="00C23301" w:rsidRPr="004D307F" w:rsidRDefault="00C23301" w:rsidP="00C23301">
      <w:pPr>
        <w:spacing w:before="100" w:beforeAutospacing="1" w:after="100" w:afterAutospacing="1" w:line="288" w:lineRule="atLeast"/>
        <w:outlineLvl w:val="2"/>
        <w:rPr>
          <w:rFonts w:ascii="VIC" w:hAnsi="VIC"/>
          <w:b/>
          <w:bCs/>
          <w:color w:val="011A3C"/>
          <w:sz w:val="27"/>
          <w:szCs w:val="27"/>
          <w:lang w:val="en" w:eastAsia="en-AU"/>
        </w:rPr>
      </w:pPr>
      <w:r w:rsidRPr="004D307F">
        <w:rPr>
          <w:rFonts w:ascii="VIC" w:hAnsi="VIC"/>
          <w:b/>
          <w:bCs/>
          <w:color w:val="011A3C"/>
          <w:sz w:val="27"/>
          <w:szCs w:val="27"/>
          <w:lang w:val="en" w:eastAsia="en-AU"/>
        </w:rPr>
        <w:lastRenderedPageBreak/>
        <w:t>Rates</w:t>
      </w:r>
    </w:p>
    <w:p w14:paraId="5557D1E7"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$15,000 per ACU and Federation University student hosted.</w:t>
      </w:r>
    </w:p>
    <w:p w14:paraId="251C6E46"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p>
    <w:p w14:paraId="4EBF47B9" w14:textId="77777777" w:rsidR="00C23301" w:rsidRPr="004D307F" w:rsidRDefault="00C23301" w:rsidP="00C23301">
      <w:pPr>
        <w:spacing w:after="0" w:line="240" w:lineRule="auto"/>
        <w:contextualSpacing/>
        <w:jc w:val="both"/>
        <w:rPr>
          <w:rFonts w:ascii="VIC" w:hAnsi="VIC"/>
        </w:rPr>
      </w:pPr>
      <w:r w:rsidRPr="004D307F">
        <w:rPr>
          <w:rFonts w:ascii="VIC" w:eastAsia="Times New Roman" w:hAnsi="VIC" w:cs="Times New Roman"/>
          <w:color w:val="011A3C"/>
          <w:sz w:val="24"/>
          <w:szCs w:val="24"/>
          <w:lang w:eastAsia="en-AU"/>
        </w:rPr>
        <w:t>Please note the allocations do not include payroll tax and superannuation and will not attract these charges in the SRP Budget Management report.</w:t>
      </w:r>
    </w:p>
    <w:p w14:paraId="5E0475F5" w14:textId="7226A121" w:rsidR="00117C15" w:rsidRPr="004D307F" w:rsidRDefault="00117C15" w:rsidP="00517905">
      <w:pPr>
        <w:rPr>
          <w:rFonts w:ascii="VIC" w:hAnsi="VIC"/>
        </w:rPr>
      </w:pPr>
    </w:p>
    <w:p w14:paraId="4F005BEF" w14:textId="3660FF3A" w:rsidR="00117C15" w:rsidRPr="004D307F" w:rsidRDefault="00117C15" w:rsidP="00517905"/>
    <w:p w14:paraId="422C3747" w14:textId="04365280" w:rsidR="00117C15" w:rsidRPr="004D307F" w:rsidRDefault="00117C15" w:rsidP="00517905"/>
    <w:p w14:paraId="6ECBAFA2" w14:textId="77777777" w:rsidR="005D692C" w:rsidRDefault="005D692C">
      <w:pPr>
        <w:rPr>
          <w:rFonts w:asciiTheme="majorHAnsi" w:eastAsia="Times New Roman" w:hAnsiTheme="majorHAnsi" w:cstheme="majorBidi"/>
          <w:b/>
          <w:color w:val="2F5496" w:themeColor="accent1" w:themeShade="BF"/>
          <w:sz w:val="36"/>
          <w:szCs w:val="26"/>
          <w:lang w:val="en" w:eastAsia="en-AU"/>
        </w:rPr>
      </w:pPr>
      <w:r>
        <w:rPr>
          <w:rFonts w:asciiTheme="majorHAnsi" w:eastAsia="Times New Roman" w:hAnsiTheme="majorHAnsi" w:cstheme="majorBidi"/>
          <w:b/>
          <w:color w:val="2F5496" w:themeColor="accent1" w:themeShade="BF"/>
          <w:sz w:val="36"/>
          <w:szCs w:val="26"/>
          <w:lang w:val="en" w:eastAsia="en-AU"/>
        </w:rPr>
        <w:br w:type="page"/>
      </w:r>
    </w:p>
    <w:p w14:paraId="367AC7DF" w14:textId="7810BF55" w:rsidR="005D692C" w:rsidRPr="004D307F" w:rsidRDefault="005D692C" w:rsidP="00992D99">
      <w:pPr>
        <w:pStyle w:val="Heading2"/>
      </w:pPr>
      <w:bookmarkStart w:id="140" w:name="_Toc106793815"/>
      <w:r>
        <w:lastRenderedPageBreak/>
        <w:t>School Mental Health Fund</w:t>
      </w:r>
      <w:r w:rsidRPr="004D307F">
        <w:t xml:space="preserve"> (Reference 13</w:t>
      </w:r>
      <w:r>
        <w:t>9</w:t>
      </w:r>
      <w:r w:rsidRPr="004D307F">
        <w:t>)</w:t>
      </w:r>
      <w:bookmarkEnd w:id="140"/>
      <w:r w:rsidRPr="004D307F">
        <w:t xml:space="preserve"> </w:t>
      </w:r>
    </w:p>
    <w:p w14:paraId="3307B20C" w14:textId="55E247E8" w:rsidR="00117C15" w:rsidRPr="004D307F" w:rsidRDefault="00117C15" w:rsidP="00517905"/>
    <w:p w14:paraId="020CBE9B" w14:textId="66B81211" w:rsidR="005D692C" w:rsidRPr="005D692C" w:rsidRDefault="008B57D1" w:rsidP="005D692C">
      <w:pPr>
        <w:spacing w:after="0"/>
        <w:rPr>
          <w:rFonts w:ascii="VIC" w:eastAsia="Times New Roman" w:hAnsi="VIC" w:cs="Times New Roman"/>
          <w:color w:val="011A3C"/>
          <w:sz w:val="24"/>
          <w:szCs w:val="24"/>
          <w:lang w:eastAsia="en-AU"/>
        </w:rPr>
      </w:pPr>
      <w:bookmarkStart w:id="141" w:name="_Hlk104370985"/>
      <w:r w:rsidRPr="008B57D1">
        <w:rPr>
          <w:rFonts w:ascii="VIC" w:eastAsia="Times New Roman" w:hAnsi="VIC" w:cs="Times New Roman"/>
          <w:color w:val="011A3C"/>
          <w:sz w:val="24"/>
          <w:szCs w:val="24"/>
          <w:lang w:eastAsia="en-AU"/>
        </w:rPr>
        <w:t>The Schools Mental Health Fund provides schools with funding to strengthen school-wide capacity and capability to improve students’ mental health and wellbeing.  An evidence-based Menu underpins the Fund to give schools confidence in purchasing programs and interventions that will meet their students’ needs. Schools are required to spend their Fund allocation on items listed on the Menu</w:t>
      </w:r>
      <w:r w:rsidR="005D692C" w:rsidRPr="005D692C">
        <w:rPr>
          <w:rFonts w:ascii="VIC" w:eastAsia="Times New Roman" w:hAnsi="VIC" w:cs="Times New Roman"/>
          <w:color w:val="011A3C"/>
          <w:sz w:val="24"/>
          <w:szCs w:val="24"/>
          <w:lang w:eastAsia="en-AU"/>
        </w:rPr>
        <w:t>.</w:t>
      </w:r>
    </w:p>
    <w:p w14:paraId="734D92B1" w14:textId="3E9A14A8" w:rsidR="005D692C" w:rsidRPr="005D692C" w:rsidRDefault="005D692C" w:rsidP="005D692C">
      <w:pPr>
        <w:spacing w:after="0"/>
        <w:contextualSpacing/>
        <w:jc w:val="both"/>
        <w:rPr>
          <w:rFonts w:ascii="VIC" w:eastAsia="Times New Roman" w:hAnsi="VIC" w:cs="Times New Roman"/>
          <w:color w:val="011A3C"/>
          <w:sz w:val="24"/>
          <w:szCs w:val="24"/>
          <w:lang w:eastAsia="en-AU"/>
        </w:rPr>
      </w:pPr>
    </w:p>
    <w:p w14:paraId="020184BE" w14:textId="77777777" w:rsidR="005D692C" w:rsidRDefault="005D692C" w:rsidP="00992D99">
      <w:pPr>
        <w:spacing w:before="100" w:beforeAutospacing="1" w:after="100" w:afterAutospacing="1" w:line="288" w:lineRule="atLeast"/>
        <w:outlineLvl w:val="2"/>
        <w:rPr>
          <w:rFonts w:ascii="Calibri" w:hAnsi="Calibri"/>
          <w:b/>
          <w:bCs/>
          <w:sz w:val="21"/>
          <w:szCs w:val="21"/>
          <w:highlight w:val="yellow"/>
          <w:lang w:val="en-US"/>
        </w:rPr>
      </w:pPr>
      <w:r w:rsidRPr="00992D99">
        <w:rPr>
          <w:rFonts w:ascii="VIC" w:hAnsi="VIC"/>
          <w:b/>
          <w:bCs/>
          <w:color w:val="011A3C"/>
          <w:sz w:val="27"/>
          <w:szCs w:val="27"/>
          <w:lang w:val="en" w:eastAsia="en-AU"/>
        </w:rPr>
        <w:t>Eligibility</w:t>
      </w:r>
    </w:p>
    <w:p w14:paraId="0F4E2AFE" w14:textId="77777777" w:rsidR="005D692C" w:rsidRPr="00992D99" w:rsidRDefault="005D692C" w:rsidP="005D692C">
      <w:pPr>
        <w:spacing w:after="0"/>
        <w:contextualSpacing/>
        <w:jc w:val="both"/>
        <w:rPr>
          <w:rFonts w:ascii="VIC" w:eastAsia="Times New Roman" w:hAnsi="VIC" w:cs="Times New Roman"/>
          <w:color w:val="011A3C"/>
          <w:sz w:val="24"/>
          <w:szCs w:val="24"/>
          <w:lang w:eastAsia="en-AU"/>
        </w:rPr>
      </w:pPr>
    </w:p>
    <w:p w14:paraId="2436BE03" w14:textId="77777777" w:rsidR="008B57D1" w:rsidRPr="005D692C" w:rsidRDefault="008B57D1" w:rsidP="008B57D1">
      <w:pPr>
        <w:spacing w:after="0"/>
        <w:rPr>
          <w:rFonts w:ascii="VIC" w:eastAsia="Times New Roman" w:hAnsi="VIC" w:cs="Times New Roman"/>
          <w:color w:val="011A3C"/>
          <w:sz w:val="24"/>
          <w:szCs w:val="24"/>
          <w:lang w:eastAsia="en-AU"/>
        </w:rPr>
      </w:pPr>
      <w:r w:rsidRPr="005D692C">
        <w:rPr>
          <w:rFonts w:ascii="VIC" w:eastAsia="Times New Roman" w:hAnsi="VIC" w:cs="Times New Roman"/>
          <w:color w:val="011A3C"/>
          <w:sz w:val="24"/>
          <w:szCs w:val="24"/>
          <w:lang w:eastAsia="en-AU"/>
        </w:rPr>
        <w:t>The Fund will be rolled out to all government regional and rural schools from Term 3 2022, and all government metropolitan schools by 2024.</w:t>
      </w:r>
    </w:p>
    <w:p w14:paraId="63244CA2" w14:textId="77777777" w:rsidR="008B57D1" w:rsidRPr="005D692C" w:rsidRDefault="008B57D1" w:rsidP="008B57D1">
      <w:pPr>
        <w:spacing w:after="0"/>
        <w:contextualSpacing/>
        <w:jc w:val="both"/>
        <w:rPr>
          <w:rFonts w:ascii="VIC" w:eastAsia="Times New Roman" w:hAnsi="VIC" w:cs="Times New Roman"/>
          <w:color w:val="011A3C"/>
          <w:sz w:val="24"/>
          <w:szCs w:val="24"/>
          <w:lang w:eastAsia="en-AU"/>
        </w:rPr>
      </w:pPr>
    </w:p>
    <w:p w14:paraId="029CD100" w14:textId="64BF82ED" w:rsidR="008B57D1" w:rsidRPr="00142235" w:rsidRDefault="008B57D1" w:rsidP="008B57D1">
      <w:pPr>
        <w:spacing w:after="0"/>
        <w:contextualSpacing/>
        <w:jc w:val="both"/>
        <w:rPr>
          <w:color w:val="011A3C"/>
        </w:rPr>
      </w:pPr>
      <w:r w:rsidRPr="005D692C">
        <w:rPr>
          <w:rFonts w:ascii="VIC" w:eastAsia="Times New Roman" w:hAnsi="VIC" w:cs="Times New Roman"/>
          <w:color w:val="011A3C"/>
          <w:sz w:val="24"/>
          <w:szCs w:val="24"/>
          <w:lang w:eastAsia="en-AU"/>
        </w:rPr>
        <w:t xml:space="preserve">For further information on the School Mental Health Fund </w:t>
      </w:r>
      <w:r>
        <w:rPr>
          <w:rFonts w:ascii="VIC" w:eastAsia="Times New Roman" w:hAnsi="VIC" w:cs="Times New Roman"/>
          <w:color w:val="011A3C"/>
          <w:sz w:val="24"/>
          <w:szCs w:val="24"/>
          <w:lang w:eastAsia="en-AU"/>
        </w:rPr>
        <w:t>refer to</w:t>
      </w:r>
      <w:r w:rsidRPr="005D692C">
        <w:rPr>
          <w:rFonts w:ascii="VIC" w:eastAsia="Times New Roman" w:hAnsi="VIC" w:cs="Times New Roman"/>
          <w:color w:val="011A3C"/>
          <w:sz w:val="24"/>
          <w:szCs w:val="24"/>
          <w:lang w:eastAsia="en-AU"/>
        </w:rPr>
        <w:t xml:space="preserve">: </w:t>
      </w:r>
      <w:r w:rsidRPr="007675F5">
        <w:rPr>
          <w:rFonts w:ascii="VIC" w:eastAsia="Times New Roman" w:hAnsi="VIC" w:cs="Times New Roman"/>
          <w:color w:val="011A3C"/>
          <w:sz w:val="24"/>
          <w:szCs w:val="24"/>
          <w:u w:val="single"/>
          <w:lang w:eastAsia="en-AU"/>
        </w:rPr>
        <w:fldChar w:fldCharType="begin"/>
      </w:r>
      <w:r w:rsidRPr="00A77924">
        <w:rPr>
          <w:rFonts w:ascii="VIC" w:eastAsia="Times New Roman" w:hAnsi="VIC" w:cs="Times New Roman"/>
          <w:color w:val="011A3C"/>
          <w:sz w:val="24"/>
          <w:szCs w:val="24"/>
          <w:u w:val="single"/>
          <w:lang w:eastAsia="en-AU"/>
        </w:rPr>
        <w:instrText xml:space="preserve"> HYPERLINK "https://www2.education.vic.gov.au/pal/mental-health-fund-menu/policy" </w:instrText>
      </w:r>
      <w:r w:rsidRPr="007675F5">
        <w:rPr>
          <w:rFonts w:ascii="VIC" w:eastAsia="Times New Roman" w:hAnsi="VIC" w:cs="Times New Roman"/>
          <w:color w:val="011A3C"/>
          <w:sz w:val="24"/>
          <w:szCs w:val="24"/>
          <w:u w:val="single"/>
          <w:lang w:eastAsia="en-AU"/>
        </w:rPr>
        <w:fldChar w:fldCharType="separate"/>
      </w:r>
      <w:r w:rsidRPr="00142235">
        <w:rPr>
          <w:rFonts w:ascii="VIC" w:eastAsia="Times New Roman" w:hAnsi="VIC" w:cs="Times New Roman"/>
          <w:color w:val="011A3C"/>
          <w:sz w:val="24"/>
          <w:szCs w:val="24"/>
          <w:u w:val="single"/>
          <w:lang w:eastAsia="en-AU"/>
        </w:rPr>
        <w:t>Mental Health Fund and Menu</w:t>
      </w:r>
      <w:r>
        <w:rPr>
          <w:rFonts w:ascii="VIC" w:eastAsia="Times New Roman" w:hAnsi="VIC" w:cs="Times New Roman"/>
          <w:color w:val="011A3C"/>
          <w:sz w:val="24"/>
          <w:szCs w:val="24"/>
          <w:u w:val="single"/>
          <w:lang w:eastAsia="en-AU"/>
        </w:rPr>
        <w:t>.</w:t>
      </w:r>
    </w:p>
    <w:p w14:paraId="32C9500A" w14:textId="550AA0ED" w:rsidR="005D692C" w:rsidRPr="008E343C" w:rsidRDefault="008B57D1" w:rsidP="008B57D1">
      <w:pPr>
        <w:spacing w:after="0"/>
        <w:contextualSpacing/>
        <w:jc w:val="both"/>
        <w:rPr>
          <w:rFonts w:ascii="Calibri" w:hAnsi="Calibri"/>
          <w:sz w:val="21"/>
          <w:szCs w:val="21"/>
          <w:highlight w:val="yellow"/>
          <w:lang w:val="en-US"/>
        </w:rPr>
      </w:pPr>
      <w:r w:rsidRPr="007675F5">
        <w:rPr>
          <w:rFonts w:ascii="VIC" w:eastAsia="Times New Roman" w:hAnsi="VIC" w:cs="Times New Roman"/>
          <w:color w:val="011A3C"/>
          <w:sz w:val="24"/>
          <w:szCs w:val="24"/>
          <w:u w:val="single"/>
          <w:lang w:eastAsia="en-AU"/>
        </w:rPr>
        <w:fldChar w:fldCharType="end"/>
      </w:r>
    </w:p>
    <w:p w14:paraId="40046021" w14:textId="215EE6B3" w:rsidR="005D692C" w:rsidRPr="00992D99" w:rsidRDefault="005D692C" w:rsidP="00992D99">
      <w:pPr>
        <w:spacing w:before="100" w:beforeAutospacing="1" w:after="100" w:afterAutospacing="1" w:line="288" w:lineRule="atLeast"/>
        <w:outlineLvl w:val="2"/>
        <w:rPr>
          <w:rFonts w:ascii="VIC" w:hAnsi="VIC"/>
          <w:b/>
          <w:bCs/>
          <w:color w:val="011A3C"/>
          <w:sz w:val="27"/>
          <w:szCs w:val="27"/>
          <w:lang w:val="en" w:eastAsia="en-AU"/>
        </w:rPr>
      </w:pPr>
      <w:r w:rsidRPr="00992D99">
        <w:rPr>
          <w:rFonts w:ascii="VIC" w:hAnsi="VIC"/>
          <w:b/>
          <w:bCs/>
          <w:color w:val="011A3C"/>
          <w:sz w:val="27"/>
          <w:szCs w:val="27"/>
          <w:lang w:val="en" w:eastAsia="en-AU"/>
        </w:rPr>
        <w:t>Calculation</w:t>
      </w:r>
    </w:p>
    <w:p w14:paraId="02E8B439" w14:textId="2DD6D063" w:rsidR="005D692C" w:rsidRDefault="005D692C" w:rsidP="005D692C">
      <w:pPr>
        <w:spacing w:after="0"/>
        <w:contextualSpacing/>
        <w:jc w:val="both"/>
        <w:rPr>
          <w:rFonts w:ascii="VIC" w:eastAsia="Times New Roman" w:hAnsi="VIC" w:cs="Times New Roman"/>
          <w:color w:val="011A3C"/>
          <w:sz w:val="24"/>
          <w:szCs w:val="24"/>
          <w:lang w:eastAsia="en-AU"/>
        </w:rPr>
      </w:pPr>
      <w:r w:rsidRPr="00992D99">
        <w:rPr>
          <w:rFonts w:ascii="VIC" w:eastAsia="Times New Roman" w:hAnsi="VIC" w:cs="Times New Roman"/>
          <w:color w:val="011A3C"/>
          <w:sz w:val="24"/>
          <w:szCs w:val="24"/>
          <w:lang w:eastAsia="en-AU"/>
        </w:rPr>
        <w:t>All schools start with a base allocation amount of $25,000</w:t>
      </w:r>
      <w:r w:rsidR="008B57D1">
        <w:rPr>
          <w:rFonts w:ascii="VIC" w:eastAsia="Times New Roman" w:hAnsi="VIC" w:cs="Times New Roman"/>
          <w:color w:val="011A3C"/>
          <w:sz w:val="24"/>
          <w:szCs w:val="24"/>
          <w:lang w:eastAsia="en-AU"/>
        </w:rPr>
        <w:t>.</w:t>
      </w:r>
    </w:p>
    <w:p w14:paraId="25052E7F" w14:textId="52D59162" w:rsidR="008B57D1" w:rsidRDefault="008B57D1" w:rsidP="005D692C">
      <w:pPr>
        <w:spacing w:after="0"/>
        <w:contextualSpacing/>
        <w:jc w:val="both"/>
        <w:rPr>
          <w:rFonts w:ascii="VIC" w:eastAsia="Times New Roman" w:hAnsi="VIC" w:cs="Times New Roman"/>
          <w:color w:val="011A3C"/>
          <w:sz w:val="24"/>
          <w:szCs w:val="24"/>
          <w:lang w:eastAsia="en-AU"/>
        </w:rPr>
      </w:pPr>
    </w:p>
    <w:p w14:paraId="66372EDF" w14:textId="54D1844E" w:rsidR="008B57D1" w:rsidRPr="00992D99" w:rsidRDefault="008B57D1" w:rsidP="005D692C">
      <w:pPr>
        <w:spacing w:after="0"/>
        <w:contextualSpacing/>
        <w:jc w:val="both"/>
        <w:rPr>
          <w:rFonts w:ascii="VIC" w:eastAsia="Times New Roman" w:hAnsi="VIC" w:cs="Times New Roman"/>
          <w:color w:val="011A3C"/>
          <w:sz w:val="24"/>
          <w:szCs w:val="24"/>
          <w:lang w:eastAsia="en-AU"/>
        </w:rPr>
      </w:pPr>
      <w:r w:rsidRPr="008B57D1">
        <w:rPr>
          <w:rFonts w:ascii="VIC" w:eastAsia="Times New Roman" w:hAnsi="VIC" w:cs="Times New Roman"/>
          <w:color w:val="011A3C"/>
          <w:sz w:val="24"/>
          <w:szCs w:val="24"/>
          <w:lang w:eastAsia="en-AU"/>
        </w:rPr>
        <w:t>Funding will be allocated as credit (70%) and cash (30%).</w:t>
      </w:r>
    </w:p>
    <w:p w14:paraId="3456A734" w14:textId="77777777" w:rsidR="005D692C" w:rsidRPr="00992D99" w:rsidRDefault="005D692C" w:rsidP="005D692C">
      <w:pPr>
        <w:spacing w:after="0"/>
        <w:jc w:val="both"/>
        <w:rPr>
          <w:rFonts w:ascii="VIC" w:eastAsia="Times New Roman" w:hAnsi="VIC" w:cs="Times New Roman"/>
          <w:color w:val="011A3C"/>
          <w:sz w:val="24"/>
          <w:szCs w:val="24"/>
          <w:lang w:eastAsia="en-AU"/>
        </w:rPr>
      </w:pPr>
    </w:p>
    <w:p w14:paraId="7B594E15" w14:textId="7CFC1082" w:rsidR="005D692C" w:rsidRPr="00992D99" w:rsidRDefault="005D692C" w:rsidP="005D692C">
      <w:pPr>
        <w:spacing w:after="0"/>
        <w:contextualSpacing/>
        <w:jc w:val="both"/>
        <w:rPr>
          <w:rFonts w:ascii="VIC" w:eastAsia="Times New Roman" w:hAnsi="VIC" w:cs="Times New Roman"/>
          <w:color w:val="011A3C"/>
          <w:sz w:val="24"/>
          <w:szCs w:val="24"/>
          <w:lang w:eastAsia="en-AU"/>
        </w:rPr>
      </w:pPr>
      <w:r w:rsidRPr="00992D99">
        <w:rPr>
          <w:rFonts w:ascii="VIC" w:eastAsia="Times New Roman" w:hAnsi="VIC" w:cs="Times New Roman"/>
          <w:color w:val="011A3C"/>
          <w:sz w:val="24"/>
          <w:szCs w:val="24"/>
          <w:lang w:eastAsia="en-AU"/>
        </w:rPr>
        <w:t xml:space="preserve">Regional and </w:t>
      </w:r>
      <w:r w:rsidR="00430F89">
        <w:rPr>
          <w:rFonts w:ascii="VIC" w:eastAsia="Times New Roman" w:hAnsi="VIC" w:cs="Times New Roman"/>
          <w:color w:val="011A3C"/>
          <w:sz w:val="24"/>
          <w:szCs w:val="24"/>
          <w:lang w:eastAsia="en-AU"/>
        </w:rPr>
        <w:t>r</w:t>
      </w:r>
      <w:r w:rsidRPr="00992D99">
        <w:rPr>
          <w:rFonts w:ascii="VIC" w:eastAsia="Times New Roman" w:hAnsi="VIC" w:cs="Times New Roman"/>
          <w:color w:val="011A3C"/>
          <w:sz w:val="24"/>
          <w:szCs w:val="24"/>
          <w:lang w:eastAsia="en-AU"/>
        </w:rPr>
        <w:t xml:space="preserve">ural loading </w:t>
      </w:r>
    </w:p>
    <w:p w14:paraId="2C156475" w14:textId="38BC6D11" w:rsidR="005D692C" w:rsidRPr="00F733D4" w:rsidRDefault="005D692C" w:rsidP="00F733D4">
      <w:pPr>
        <w:spacing w:after="0"/>
        <w:jc w:val="both"/>
        <w:rPr>
          <w:rFonts w:ascii="VIC" w:eastAsia="Times New Roman" w:hAnsi="VIC" w:cs="Times New Roman"/>
          <w:color w:val="011A3C"/>
          <w:sz w:val="24"/>
          <w:szCs w:val="24"/>
          <w:lang w:eastAsia="en-AU"/>
        </w:rPr>
      </w:pPr>
      <w:r w:rsidRPr="00F733D4">
        <w:rPr>
          <w:rFonts w:ascii="VIC" w:eastAsia="Times New Roman" w:hAnsi="VIC" w:cs="Times New Roman"/>
          <w:color w:val="011A3C"/>
          <w:sz w:val="24"/>
          <w:szCs w:val="24"/>
          <w:lang w:eastAsia="en-AU"/>
        </w:rPr>
        <w:t>All regional and rural schools receive an extra loading (10%)</w:t>
      </w:r>
      <w:r w:rsidR="00F733D4">
        <w:rPr>
          <w:rFonts w:ascii="VIC" w:eastAsia="Times New Roman" w:hAnsi="VIC" w:cs="Times New Roman"/>
          <w:color w:val="011A3C"/>
          <w:sz w:val="24"/>
          <w:szCs w:val="24"/>
          <w:lang w:eastAsia="en-AU"/>
        </w:rPr>
        <w:t>.</w:t>
      </w:r>
    </w:p>
    <w:p w14:paraId="4BBB947A" w14:textId="77777777" w:rsidR="005D692C" w:rsidRPr="00992D99" w:rsidRDefault="005D692C" w:rsidP="005D692C">
      <w:pPr>
        <w:pStyle w:val="ListParagraph"/>
        <w:spacing w:after="0"/>
        <w:jc w:val="both"/>
        <w:rPr>
          <w:rFonts w:ascii="VIC" w:eastAsia="Times New Roman" w:hAnsi="VIC" w:cs="Times New Roman"/>
          <w:color w:val="011A3C"/>
          <w:sz w:val="24"/>
          <w:szCs w:val="24"/>
          <w:lang w:eastAsia="en-AU"/>
        </w:rPr>
      </w:pPr>
    </w:p>
    <w:p w14:paraId="763BDA18" w14:textId="77777777" w:rsidR="005D692C" w:rsidRPr="00992D99" w:rsidRDefault="005D692C" w:rsidP="005D692C">
      <w:pPr>
        <w:spacing w:after="0"/>
        <w:contextualSpacing/>
        <w:jc w:val="both"/>
        <w:rPr>
          <w:rFonts w:ascii="VIC" w:eastAsia="Times New Roman" w:hAnsi="VIC" w:cs="Times New Roman"/>
          <w:color w:val="011A3C"/>
          <w:sz w:val="24"/>
          <w:szCs w:val="24"/>
          <w:lang w:eastAsia="en-AU"/>
        </w:rPr>
      </w:pPr>
      <w:r w:rsidRPr="00992D99">
        <w:rPr>
          <w:rFonts w:ascii="VIC" w:eastAsia="Times New Roman" w:hAnsi="VIC" w:cs="Times New Roman"/>
          <w:color w:val="011A3C"/>
          <w:sz w:val="24"/>
          <w:szCs w:val="24"/>
          <w:lang w:eastAsia="en-AU"/>
        </w:rPr>
        <w:t xml:space="preserve">Small school threshold </w:t>
      </w:r>
    </w:p>
    <w:p w14:paraId="712AB963" w14:textId="77777777" w:rsidR="005D692C" w:rsidRPr="00992D99" w:rsidRDefault="005D692C" w:rsidP="005D692C">
      <w:pPr>
        <w:pStyle w:val="ListParagraph"/>
        <w:numPr>
          <w:ilvl w:val="0"/>
          <w:numId w:val="185"/>
        </w:numPr>
        <w:spacing w:after="0"/>
        <w:jc w:val="both"/>
        <w:rPr>
          <w:rFonts w:ascii="VIC" w:eastAsia="Times New Roman" w:hAnsi="VIC" w:cs="Times New Roman"/>
          <w:color w:val="011A3C"/>
          <w:sz w:val="24"/>
          <w:szCs w:val="24"/>
          <w:lang w:eastAsia="en-AU"/>
        </w:rPr>
      </w:pPr>
      <w:r w:rsidRPr="00992D99">
        <w:rPr>
          <w:rFonts w:ascii="VIC" w:eastAsia="Times New Roman" w:hAnsi="VIC" w:cs="Times New Roman"/>
          <w:color w:val="011A3C"/>
          <w:sz w:val="24"/>
          <w:szCs w:val="24"/>
          <w:lang w:eastAsia="en-AU"/>
        </w:rPr>
        <w:t>All schools with 200 students or less will get the base allocation</w:t>
      </w:r>
    </w:p>
    <w:p w14:paraId="0F16EFBF" w14:textId="77777777" w:rsidR="005D692C" w:rsidRPr="00992D99" w:rsidRDefault="005D692C" w:rsidP="005D692C">
      <w:pPr>
        <w:pStyle w:val="ListParagraph"/>
        <w:numPr>
          <w:ilvl w:val="0"/>
          <w:numId w:val="184"/>
        </w:numPr>
        <w:spacing w:after="0"/>
        <w:jc w:val="both"/>
        <w:rPr>
          <w:rFonts w:ascii="VIC" w:eastAsia="Times New Roman" w:hAnsi="VIC" w:cs="Times New Roman"/>
          <w:color w:val="011A3C"/>
          <w:sz w:val="24"/>
          <w:szCs w:val="24"/>
          <w:lang w:eastAsia="en-AU"/>
        </w:rPr>
      </w:pPr>
      <w:r w:rsidRPr="00992D99">
        <w:rPr>
          <w:rFonts w:ascii="VIC" w:eastAsia="Times New Roman" w:hAnsi="VIC" w:cs="Times New Roman"/>
          <w:color w:val="011A3C"/>
          <w:sz w:val="24"/>
          <w:szCs w:val="24"/>
          <w:lang w:eastAsia="en-AU"/>
        </w:rPr>
        <w:t xml:space="preserve">A per student rate will apply above 200 students </w:t>
      </w:r>
    </w:p>
    <w:p w14:paraId="7DF831B3" w14:textId="77777777" w:rsidR="005D692C" w:rsidRPr="00992D99" w:rsidRDefault="005D692C" w:rsidP="005D692C">
      <w:pPr>
        <w:spacing w:after="0"/>
        <w:contextualSpacing/>
        <w:jc w:val="both"/>
        <w:rPr>
          <w:rFonts w:ascii="VIC" w:eastAsia="Times New Roman" w:hAnsi="VIC" w:cs="Times New Roman"/>
          <w:color w:val="011A3C"/>
          <w:sz w:val="24"/>
          <w:szCs w:val="24"/>
          <w:lang w:eastAsia="en-AU"/>
        </w:rPr>
      </w:pPr>
    </w:p>
    <w:p w14:paraId="35978C86" w14:textId="7E48F454" w:rsidR="005D692C" w:rsidRPr="00992D99" w:rsidRDefault="00F733D4" w:rsidP="005D692C">
      <w:pPr>
        <w:rPr>
          <w:rFonts w:ascii="VIC" w:eastAsia="Times New Roman" w:hAnsi="VIC" w:cs="Times New Roman"/>
          <w:color w:val="011A3C"/>
          <w:sz w:val="24"/>
          <w:szCs w:val="24"/>
          <w:lang w:eastAsia="en-AU"/>
        </w:rPr>
      </w:pPr>
      <w:r w:rsidRPr="00F733D4">
        <w:rPr>
          <w:rFonts w:ascii="VIC" w:eastAsia="Times New Roman" w:hAnsi="VIC" w:cs="Times New Roman"/>
          <w:color w:val="011A3C"/>
          <w:sz w:val="24"/>
          <w:szCs w:val="24"/>
          <w:lang w:eastAsia="en-AU"/>
        </w:rPr>
        <w:t>Enrolments used to calculate the Fund will be updated at each SRP cycle (indicative to reflect Principal enrolment projections, confirmed to reflect February census enrolment and revised to reflect audited enrolments)</w:t>
      </w:r>
    </w:p>
    <w:p w14:paraId="11F6CB1F" w14:textId="77777777" w:rsidR="005D692C" w:rsidRPr="00992D99" w:rsidRDefault="005D692C" w:rsidP="005D692C">
      <w:pPr>
        <w:spacing w:after="0"/>
        <w:contextualSpacing/>
        <w:jc w:val="both"/>
        <w:rPr>
          <w:rFonts w:ascii="VIC" w:eastAsia="Times New Roman" w:hAnsi="VIC" w:cs="Times New Roman"/>
          <w:color w:val="011A3C"/>
          <w:sz w:val="24"/>
          <w:szCs w:val="24"/>
          <w:lang w:eastAsia="en-AU"/>
        </w:rPr>
      </w:pPr>
    </w:p>
    <w:p w14:paraId="43DB20F4" w14:textId="77777777" w:rsidR="005D692C" w:rsidRPr="00992D99" w:rsidRDefault="005D692C" w:rsidP="005D692C">
      <w:pPr>
        <w:spacing w:after="0"/>
        <w:contextualSpacing/>
        <w:jc w:val="both"/>
        <w:rPr>
          <w:rFonts w:ascii="VIC" w:eastAsia="Times New Roman" w:hAnsi="VIC" w:cs="Times New Roman"/>
          <w:color w:val="011A3C"/>
          <w:sz w:val="24"/>
          <w:szCs w:val="24"/>
          <w:lang w:eastAsia="en-AU"/>
        </w:rPr>
      </w:pPr>
      <w:r w:rsidRPr="00992D99">
        <w:rPr>
          <w:rFonts w:ascii="VIC" w:eastAsia="Times New Roman" w:hAnsi="VIC" w:cs="Times New Roman"/>
          <w:color w:val="011A3C"/>
          <w:sz w:val="24"/>
          <w:szCs w:val="24"/>
          <w:lang w:eastAsia="en-AU"/>
        </w:rPr>
        <w:t xml:space="preserve">Large school threshold </w:t>
      </w:r>
    </w:p>
    <w:p w14:paraId="488C0F6D" w14:textId="77777777" w:rsidR="005D692C" w:rsidRPr="00992D99" w:rsidRDefault="005D692C" w:rsidP="005D692C">
      <w:pPr>
        <w:pStyle w:val="ListParagraph"/>
        <w:numPr>
          <w:ilvl w:val="0"/>
          <w:numId w:val="186"/>
        </w:numPr>
        <w:spacing w:after="0"/>
        <w:jc w:val="both"/>
        <w:rPr>
          <w:rFonts w:ascii="VIC" w:eastAsia="Times New Roman" w:hAnsi="VIC" w:cs="Times New Roman"/>
          <w:color w:val="011A3C"/>
          <w:sz w:val="24"/>
          <w:szCs w:val="24"/>
          <w:lang w:eastAsia="en-AU"/>
        </w:rPr>
      </w:pPr>
      <w:r w:rsidRPr="00992D99">
        <w:rPr>
          <w:rFonts w:ascii="VIC" w:eastAsia="Times New Roman" w:hAnsi="VIC" w:cs="Times New Roman"/>
          <w:color w:val="011A3C"/>
          <w:sz w:val="24"/>
          <w:szCs w:val="24"/>
          <w:lang w:eastAsia="en-AU"/>
        </w:rPr>
        <w:t>A slightly lower per student rate will apply above the large school threshold number of students</w:t>
      </w:r>
    </w:p>
    <w:p w14:paraId="403899D2" w14:textId="77777777" w:rsidR="005D692C" w:rsidRPr="00992D99" w:rsidRDefault="005D692C" w:rsidP="005D692C">
      <w:pPr>
        <w:pStyle w:val="ListParagraph"/>
        <w:numPr>
          <w:ilvl w:val="1"/>
          <w:numId w:val="186"/>
        </w:numPr>
        <w:spacing w:after="0"/>
        <w:jc w:val="both"/>
        <w:rPr>
          <w:rFonts w:ascii="VIC" w:eastAsia="Times New Roman" w:hAnsi="VIC" w:cs="Times New Roman"/>
          <w:color w:val="011A3C"/>
          <w:sz w:val="24"/>
          <w:szCs w:val="24"/>
          <w:lang w:eastAsia="en-AU"/>
        </w:rPr>
      </w:pPr>
      <w:r w:rsidRPr="00992D99">
        <w:rPr>
          <w:rFonts w:ascii="VIC" w:eastAsia="Times New Roman" w:hAnsi="VIC" w:cs="Times New Roman"/>
          <w:color w:val="011A3C"/>
          <w:sz w:val="24"/>
          <w:szCs w:val="24"/>
          <w:lang w:eastAsia="en-AU"/>
        </w:rPr>
        <w:lastRenderedPageBreak/>
        <w:t>Primary: 600 students</w:t>
      </w:r>
    </w:p>
    <w:p w14:paraId="5671E33B" w14:textId="77777777" w:rsidR="005D692C" w:rsidRPr="00992D99" w:rsidRDefault="005D692C" w:rsidP="005D692C">
      <w:pPr>
        <w:pStyle w:val="ListParagraph"/>
        <w:numPr>
          <w:ilvl w:val="1"/>
          <w:numId w:val="186"/>
        </w:numPr>
        <w:spacing w:after="0"/>
        <w:jc w:val="both"/>
        <w:rPr>
          <w:rFonts w:ascii="VIC" w:eastAsia="Times New Roman" w:hAnsi="VIC" w:cs="Times New Roman"/>
          <w:color w:val="011A3C"/>
          <w:sz w:val="24"/>
          <w:szCs w:val="24"/>
          <w:lang w:eastAsia="en-AU"/>
        </w:rPr>
      </w:pPr>
      <w:r w:rsidRPr="00992D99">
        <w:rPr>
          <w:rFonts w:ascii="VIC" w:eastAsia="Times New Roman" w:hAnsi="VIC" w:cs="Times New Roman"/>
          <w:color w:val="011A3C"/>
          <w:sz w:val="24"/>
          <w:szCs w:val="24"/>
          <w:lang w:eastAsia="en-AU"/>
        </w:rPr>
        <w:t xml:space="preserve">Secondary: 1200 students </w:t>
      </w:r>
    </w:p>
    <w:p w14:paraId="6A273562" w14:textId="40101C3C" w:rsidR="005D692C" w:rsidRPr="00992D99" w:rsidRDefault="005D692C" w:rsidP="005D692C">
      <w:pPr>
        <w:pStyle w:val="ListParagraph"/>
        <w:numPr>
          <w:ilvl w:val="1"/>
          <w:numId w:val="186"/>
        </w:numPr>
        <w:spacing w:after="0"/>
        <w:jc w:val="both"/>
        <w:rPr>
          <w:rFonts w:ascii="VIC" w:eastAsia="Times New Roman" w:hAnsi="VIC" w:cs="Times New Roman"/>
          <w:color w:val="011A3C"/>
          <w:sz w:val="24"/>
          <w:szCs w:val="24"/>
          <w:lang w:eastAsia="en-AU"/>
        </w:rPr>
      </w:pPr>
      <w:r w:rsidRPr="00992D99">
        <w:rPr>
          <w:rFonts w:ascii="VIC" w:eastAsia="Times New Roman" w:hAnsi="VIC" w:cs="Times New Roman"/>
          <w:color w:val="011A3C"/>
          <w:sz w:val="24"/>
          <w:szCs w:val="24"/>
          <w:lang w:eastAsia="en-AU"/>
        </w:rPr>
        <w:t>Pri</w:t>
      </w:r>
      <w:r w:rsidR="00B27693">
        <w:rPr>
          <w:rFonts w:ascii="VIC" w:eastAsia="Times New Roman" w:hAnsi="VIC" w:cs="Times New Roman"/>
          <w:color w:val="011A3C"/>
          <w:sz w:val="24"/>
          <w:szCs w:val="24"/>
          <w:lang w:eastAsia="en-AU"/>
        </w:rPr>
        <w:t>mary</w:t>
      </w:r>
      <w:r w:rsidRPr="00992D99">
        <w:rPr>
          <w:rFonts w:ascii="VIC" w:eastAsia="Times New Roman" w:hAnsi="VIC" w:cs="Times New Roman"/>
          <w:color w:val="011A3C"/>
          <w:sz w:val="24"/>
          <w:szCs w:val="24"/>
          <w:lang w:eastAsia="en-AU"/>
        </w:rPr>
        <w:t>/Sec</w:t>
      </w:r>
      <w:r w:rsidR="00B27693">
        <w:rPr>
          <w:rFonts w:ascii="VIC" w:eastAsia="Times New Roman" w:hAnsi="VIC" w:cs="Times New Roman"/>
          <w:color w:val="011A3C"/>
          <w:sz w:val="24"/>
          <w:szCs w:val="24"/>
          <w:lang w:eastAsia="en-AU"/>
        </w:rPr>
        <w:t>ondary</w:t>
      </w:r>
      <w:r w:rsidRPr="00992D99">
        <w:rPr>
          <w:rFonts w:ascii="VIC" w:eastAsia="Times New Roman" w:hAnsi="VIC" w:cs="Times New Roman"/>
          <w:color w:val="011A3C"/>
          <w:sz w:val="24"/>
          <w:szCs w:val="24"/>
          <w:lang w:eastAsia="en-AU"/>
        </w:rPr>
        <w:t>: 900 students</w:t>
      </w:r>
    </w:p>
    <w:p w14:paraId="7D37E077" w14:textId="77777777" w:rsidR="005D692C" w:rsidRPr="00992D99" w:rsidRDefault="005D692C" w:rsidP="005D692C">
      <w:pPr>
        <w:pStyle w:val="ListParagraph"/>
        <w:numPr>
          <w:ilvl w:val="1"/>
          <w:numId w:val="186"/>
        </w:numPr>
        <w:spacing w:after="0"/>
        <w:jc w:val="both"/>
        <w:rPr>
          <w:rFonts w:ascii="VIC" w:eastAsia="Times New Roman" w:hAnsi="VIC" w:cs="Times New Roman"/>
          <w:color w:val="011A3C"/>
          <w:sz w:val="24"/>
          <w:szCs w:val="24"/>
          <w:lang w:eastAsia="en-AU"/>
        </w:rPr>
      </w:pPr>
      <w:r w:rsidRPr="00992D99">
        <w:rPr>
          <w:rFonts w:ascii="VIC" w:eastAsia="Times New Roman" w:hAnsi="VIC" w:cs="Times New Roman"/>
          <w:color w:val="011A3C"/>
          <w:sz w:val="24"/>
          <w:szCs w:val="24"/>
          <w:lang w:eastAsia="en-AU"/>
        </w:rPr>
        <w:t>Other^: 600 students</w:t>
      </w:r>
    </w:p>
    <w:p w14:paraId="63AB3CB3" w14:textId="77777777" w:rsidR="005D692C" w:rsidRDefault="005D692C" w:rsidP="005D692C">
      <w:pPr>
        <w:spacing w:after="0"/>
        <w:jc w:val="both"/>
        <w:rPr>
          <w:rFonts w:ascii="Calibri" w:hAnsi="Calibri"/>
          <w:szCs w:val="21"/>
          <w:lang w:val="en-US"/>
        </w:rPr>
      </w:pPr>
    </w:p>
    <w:p w14:paraId="3B448874" w14:textId="77777777" w:rsidR="005D692C" w:rsidRPr="00992D99" w:rsidRDefault="005D692C" w:rsidP="00992D99">
      <w:pPr>
        <w:spacing w:before="100" w:beforeAutospacing="1" w:after="100" w:afterAutospacing="1" w:line="288" w:lineRule="atLeast"/>
        <w:outlineLvl w:val="2"/>
        <w:rPr>
          <w:rFonts w:ascii="VIC" w:hAnsi="VIC"/>
          <w:b/>
          <w:bCs/>
          <w:color w:val="011A3C"/>
          <w:sz w:val="27"/>
          <w:szCs w:val="27"/>
          <w:lang w:val="en" w:eastAsia="en-AU"/>
        </w:rPr>
      </w:pPr>
      <w:r w:rsidRPr="00992D99">
        <w:rPr>
          <w:rFonts w:ascii="VIC" w:hAnsi="VIC"/>
          <w:b/>
          <w:bCs/>
          <w:color w:val="011A3C"/>
          <w:sz w:val="27"/>
          <w:szCs w:val="27"/>
          <w:lang w:val="en" w:eastAsia="en-AU"/>
        </w:rPr>
        <w:t>Rate</w:t>
      </w:r>
    </w:p>
    <w:p w14:paraId="4F33936B" w14:textId="77777777" w:rsidR="005D692C" w:rsidRPr="00992D99" w:rsidRDefault="005D692C" w:rsidP="005D692C">
      <w:pPr>
        <w:pStyle w:val="ListParagraph"/>
        <w:numPr>
          <w:ilvl w:val="0"/>
          <w:numId w:val="182"/>
        </w:numPr>
        <w:spacing w:after="0" w:line="240" w:lineRule="auto"/>
        <w:jc w:val="both"/>
        <w:rPr>
          <w:rFonts w:ascii="VIC" w:eastAsia="Times New Roman" w:hAnsi="VIC" w:cs="Times New Roman"/>
          <w:color w:val="011A3C"/>
          <w:sz w:val="24"/>
          <w:szCs w:val="24"/>
          <w:lang w:eastAsia="en-AU"/>
        </w:rPr>
      </w:pPr>
      <w:r w:rsidRPr="00992D99">
        <w:rPr>
          <w:rFonts w:ascii="VIC" w:eastAsia="Times New Roman" w:hAnsi="VIC" w:cs="Times New Roman"/>
          <w:color w:val="011A3C"/>
          <w:sz w:val="24"/>
          <w:szCs w:val="24"/>
          <w:lang w:eastAsia="en-AU"/>
        </w:rPr>
        <w:t xml:space="preserve">Per student rate starts to apply above 200 students </w:t>
      </w:r>
    </w:p>
    <w:p w14:paraId="08AB6271" w14:textId="77777777" w:rsidR="005D692C" w:rsidRPr="00992D99" w:rsidRDefault="005D692C" w:rsidP="005D692C">
      <w:pPr>
        <w:pStyle w:val="ListParagraph"/>
        <w:numPr>
          <w:ilvl w:val="0"/>
          <w:numId w:val="182"/>
        </w:numPr>
        <w:spacing w:after="0" w:line="240" w:lineRule="auto"/>
        <w:jc w:val="both"/>
        <w:rPr>
          <w:rFonts w:ascii="VIC" w:eastAsia="Times New Roman" w:hAnsi="VIC" w:cs="Times New Roman"/>
          <w:color w:val="011A3C"/>
          <w:sz w:val="24"/>
          <w:szCs w:val="24"/>
          <w:lang w:eastAsia="en-AU"/>
        </w:rPr>
      </w:pPr>
      <w:r w:rsidRPr="00992D99">
        <w:rPr>
          <w:rFonts w:ascii="VIC" w:eastAsia="Times New Roman" w:hAnsi="VIC" w:cs="Times New Roman"/>
          <w:color w:val="011A3C"/>
          <w:sz w:val="24"/>
          <w:szCs w:val="24"/>
          <w:lang w:eastAsia="en-AU"/>
        </w:rPr>
        <w:t>Model has tailored rates for primary and secondary, responding to the Royal Commission’s call for more primary support</w:t>
      </w:r>
    </w:p>
    <w:p w14:paraId="31EC321D" w14:textId="77777777" w:rsidR="005D692C" w:rsidRPr="00992D99" w:rsidRDefault="005D692C" w:rsidP="00992D99">
      <w:pPr>
        <w:spacing w:after="0"/>
        <w:contextualSpacing/>
        <w:jc w:val="center"/>
        <w:rPr>
          <w:rFonts w:ascii="VIC" w:eastAsia="Times New Roman" w:hAnsi="VIC" w:cs="Times New Roman"/>
          <w:b/>
          <w:bCs/>
          <w:color w:val="011A3C"/>
          <w:sz w:val="24"/>
          <w:szCs w:val="24"/>
          <w:lang w:eastAsia="en-AU"/>
        </w:rPr>
      </w:pPr>
    </w:p>
    <w:tbl>
      <w:tblPr>
        <w:tblStyle w:val="TableGridLight"/>
        <w:tblW w:w="7591" w:type="dxa"/>
        <w:tblLook w:val="04A0" w:firstRow="1" w:lastRow="0" w:firstColumn="1" w:lastColumn="0" w:noHBand="0" w:noVBand="1"/>
      </w:tblPr>
      <w:tblGrid>
        <w:gridCol w:w="2740"/>
        <w:gridCol w:w="2935"/>
        <w:gridCol w:w="1916"/>
      </w:tblGrid>
      <w:tr w:rsidR="00991C9D" w:rsidRPr="005D692C" w14:paraId="2360B26D" w14:textId="77777777" w:rsidTr="00653360">
        <w:trPr>
          <w:trHeight w:val="312"/>
        </w:trPr>
        <w:tc>
          <w:tcPr>
            <w:tcW w:w="7591" w:type="dxa"/>
            <w:gridSpan w:val="3"/>
          </w:tcPr>
          <w:p w14:paraId="64B58949" w14:textId="04A2A327" w:rsidR="00991C9D" w:rsidRPr="00992D99" w:rsidRDefault="00991C9D" w:rsidP="00992D99">
            <w:pPr>
              <w:jc w:val="center"/>
              <w:rPr>
                <w:rFonts w:ascii="VIC" w:eastAsia="Times New Roman" w:hAnsi="VIC" w:cs="Times New Roman"/>
                <w:b/>
                <w:bCs/>
                <w:color w:val="011A3C"/>
                <w:lang w:eastAsia="en-AU"/>
              </w:rPr>
            </w:pPr>
            <w:r w:rsidRPr="00991C9D">
              <w:rPr>
                <w:rFonts w:ascii="VIC" w:eastAsia="Times New Roman" w:hAnsi="VIC" w:cs="Times New Roman"/>
                <w:b/>
                <w:bCs/>
                <w:color w:val="011A3C"/>
                <w:lang w:val="en-AU" w:eastAsia="en-AU"/>
              </w:rPr>
              <w:t>Outline of student rates for small and large schools 2024 (full rollout level)</w:t>
            </w:r>
          </w:p>
        </w:tc>
      </w:tr>
      <w:tr w:rsidR="005D692C" w:rsidRPr="005D692C" w14:paraId="502CF76E" w14:textId="77777777" w:rsidTr="00991C9D">
        <w:trPr>
          <w:trHeight w:val="312"/>
        </w:trPr>
        <w:tc>
          <w:tcPr>
            <w:tcW w:w="2740" w:type="dxa"/>
            <w:hideMark/>
          </w:tcPr>
          <w:p w14:paraId="2CBECDFE" w14:textId="1676FDB7" w:rsidR="005D692C" w:rsidRPr="00992D99" w:rsidRDefault="00991C9D" w:rsidP="00991C9D">
            <w:pPr>
              <w:jc w:val="center"/>
              <w:rPr>
                <w:rFonts w:ascii="VIC" w:eastAsia="Times New Roman" w:hAnsi="VIC" w:cs="Times New Roman"/>
                <w:color w:val="011A3C"/>
                <w:lang w:val="en-AU" w:eastAsia="en-AU"/>
              </w:rPr>
            </w:pPr>
            <w:r w:rsidRPr="00992D99">
              <w:rPr>
                <w:rFonts w:ascii="VIC" w:eastAsia="Times New Roman" w:hAnsi="VIC" w:cs="Times New Roman"/>
                <w:b/>
                <w:bCs/>
                <w:color w:val="011A3C"/>
                <w:lang w:val="en-AU" w:eastAsia="en-AU"/>
              </w:rPr>
              <w:t>Per student rates</w:t>
            </w:r>
          </w:p>
        </w:tc>
        <w:tc>
          <w:tcPr>
            <w:tcW w:w="2935" w:type="dxa"/>
            <w:hideMark/>
          </w:tcPr>
          <w:p w14:paraId="2EF14BF6" w14:textId="77777777" w:rsidR="005D692C" w:rsidRPr="00992D99" w:rsidRDefault="005D692C" w:rsidP="008C099B">
            <w:pPr>
              <w:rPr>
                <w:rFonts w:ascii="VIC" w:eastAsia="Times New Roman" w:hAnsi="VIC" w:cs="Times New Roman"/>
                <w:b/>
                <w:bCs/>
                <w:color w:val="011A3C"/>
                <w:lang w:val="en-AU" w:eastAsia="en-AU"/>
              </w:rPr>
            </w:pPr>
            <w:r w:rsidRPr="00992D99">
              <w:rPr>
                <w:rFonts w:ascii="VIC" w:eastAsia="Times New Roman" w:hAnsi="VIC" w:cs="Times New Roman"/>
                <w:b/>
                <w:bCs/>
                <w:color w:val="011A3C"/>
                <w:lang w:val="en-AU" w:eastAsia="en-AU"/>
              </w:rPr>
              <w:t>small</w:t>
            </w:r>
          </w:p>
        </w:tc>
        <w:tc>
          <w:tcPr>
            <w:tcW w:w="1916" w:type="dxa"/>
            <w:hideMark/>
          </w:tcPr>
          <w:p w14:paraId="79FBE92A" w14:textId="77777777" w:rsidR="005D692C" w:rsidRPr="00992D99" w:rsidRDefault="005D692C" w:rsidP="008C099B">
            <w:pPr>
              <w:rPr>
                <w:rFonts w:ascii="VIC" w:eastAsia="Times New Roman" w:hAnsi="VIC" w:cs="Times New Roman"/>
                <w:b/>
                <w:bCs/>
                <w:color w:val="011A3C"/>
                <w:lang w:val="en-AU" w:eastAsia="en-AU"/>
              </w:rPr>
            </w:pPr>
            <w:r w:rsidRPr="00992D99">
              <w:rPr>
                <w:rFonts w:ascii="VIC" w:eastAsia="Times New Roman" w:hAnsi="VIC" w:cs="Times New Roman"/>
                <w:b/>
                <w:bCs/>
                <w:color w:val="011A3C"/>
                <w:lang w:val="en-AU" w:eastAsia="en-AU"/>
              </w:rPr>
              <w:t>large</w:t>
            </w:r>
          </w:p>
        </w:tc>
      </w:tr>
      <w:tr w:rsidR="005D692C" w:rsidRPr="005D692C" w14:paraId="6BF25659" w14:textId="77777777" w:rsidTr="00991C9D">
        <w:trPr>
          <w:trHeight w:val="312"/>
        </w:trPr>
        <w:tc>
          <w:tcPr>
            <w:tcW w:w="2740" w:type="dxa"/>
            <w:hideMark/>
          </w:tcPr>
          <w:p w14:paraId="681D0482" w14:textId="77777777" w:rsidR="005D692C" w:rsidRPr="00992D99" w:rsidRDefault="005D692C" w:rsidP="008C099B">
            <w:pPr>
              <w:rPr>
                <w:rFonts w:ascii="VIC" w:eastAsia="Times New Roman" w:hAnsi="VIC" w:cs="Times New Roman"/>
                <w:color w:val="011A3C"/>
                <w:lang w:val="en-AU" w:eastAsia="en-AU"/>
              </w:rPr>
            </w:pPr>
            <w:r w:rsidRPr="00992D99">
              <w:rPr>
                <w:rFonts w:ascii="VIC" w:eastAsia="Times New Roman" w:hAnsi="VIC" w:cs="Times New Roman"/>
                <w:color w:val="011A3C"/>
                <w:lang w:val="en-AU" w:eastAsia="en-AU"/>
              </w:rPr>
              <w:t>Primary</w:t>
            </w:r>
          </w:p>
        </w:tc>
        <w:tc>
          <w:tcPr>
            <w:tcW w:w="2935" w:type="dxa"/>
            <w:hideMark/>
          </w:tcPr>
          <w:p w14:paraId="3C42EF5B" w14:textId="77777777" w:rsidR="005D692C" w:rsidRPr="00992D99" w:rsidRDefault="005D692C" w:rsidP="008C099B">
            <w:pPr>
              <w:rPr>
                <w:rFonts w:ascii="VIC" w:eastAsia="Times New Roman" w:hAnsi="VIC" w:cs="Times New Roman"/>
                <w:color w:val="011A3C"/>
                <w:lang w:val="en-AU" w:eastAsia="en-AU"/>
              </w:rPr>
            </w:pPr>
            <w:r w:rsidRPr="00992D99">
              <w:rPr>
                <w:rFonts w:ascii="VIC" w:eastAsia="Times New Roman" w:hAnsi="VIC" w:cs="Times New Roman"/>
                <w:color w:val="011A3C"/>
                <w:lang w:val="en-AU" w:eastAsia="en-AU"/>
              </w:rPr>
              <w:t>$97.00</w:t>
            </w:r>
          </w:p>
        </w:tc>
        <w:tc>
          <w:tcPr>
            <w:tcW w:w="1916" w:type="dxa"/>
            <w:hideMark/>
          </w:tcPr>
          <w:p w14:paraId="6EE540C2" w14:textId="77777777" w:rsidR="005D692C" w:rsidRPr="00992D99" w:rsidRDefault="005D692C" w:rsidP="008C099B">
            <w:pPr>
              <w:rPr>
                <w:rFonts w:ascii="VIC" w:eastAsia="Times New Roman" w:hAnsi="VIC" w:cs="Times New Roman"/>
                <w:color w:val="011A3C"/>
                <w:lang w:val="en-AU" w:eastAsia="en-AU"/>
              </w:rPr>
            </w:pPr>
            <w:r w:rsidRPr="00992D99">
              <w:rPr>
                <w:rFonts w:ascii="VIC" w:eastAsia="Times New Roman" w:hAnsi="VIC" w:cs="Times New Roman"/>
                <w:color w:val="011A3C"/>
                <w:lang w:val="en-AU" w:eastAsia="en-AU"/>
              </w:rPr>
              <w:t>$80.00</w:t>
            </w:r>
          </w:p>
        </w:tc>
      </w:tr>
      <w:tr w:rsidR="005D692C" w:rsidRPr="005D692C" w14:paraId="703D73B9" w14:textId="77777777" w:rsidTr="00991C9D">
        <w:trPr>
          <w:trHeight w:val="312"/>
        </w:trPr>
        <w:tc>
          <w:tcPr>
            <w:tcW w:w="2740" w:type="dxa"/>
            <w:hideMark/>
          </w:tcPr>
          <w:p w14:paraId="4AE7888C" w14:textId="77777777" w:rsidR="005D692C" w:rsidRPr="00992D99" w:rsidRDefault="005D692C" w:rsidP="008C099B">
            <w:pPr>
              <w:rPr>
                <w:rFonts w:ascii="VIC" w:eastAsia="Times New Roman" w:hAnsi="VIC" w:cs="Times New Roman"/>
                <w:color w:val="011A3C"/>
                <w:lang w:val="en-AU" w:eastAsia="en-AU"/>
              </w:rPr>
            </w:pPr>
            <w:r w:rsidRPr="00992D99">
              <w:rPr>
                <w:rFonts w:ascii="VIC" w:eastAsia="Times New Roman" w:hAnsi="VIC" w:cs="Times New Roman"/>
                <w:color w:val="011A3C"/>
                <w:lang w:val="en-AU" w:eastAsia="en-AU"/>
              </w:rPr>
              <w:t>Secondary</w:t>
            </w:r>
          </w:p>
        </w:tc>
        <w:tc>
          <w:tcPr>
            <w:tcW w:w="2935" w:type="dxa"/>
            <w:hideMark/>
          </w:tcPr>
          <w:p w14:paraId="2F6E3236" w14:textId="77777777" w:rsidR="005D692C" w:rsidRPr="00992D99" w:rsidRDefault="005D692C" w:rsidP="008C099B">
            <w:pPr>
              <w:rPr>
                <w:rFonts w:ascii="VIC" w:eastAsia="Times New Roman" w:hAnsi="VIC" w:cs="Times New Roman"/>
                <w:color w:val="011A3C"/>
                <w:lang w:val="en-AU" w:eastAsia="en-AU"/>
              </w:rPr>
            </w:pPr>
            <w:r w:rsidRPr="00992D99">
              <w:rPr>
                <w:rFonts w:ascii="VIC" w:eastAsia="Times New Roman" w:hAnsi="VIC" w:cs="Times New Roman"/>
                <w:color w:val="011A3C"/>
                <w:lang w:val="en-AU" w:eastAsia="en-AU"/>
              </w:rPr>
              <w:t>$87.00</w:t>
            </w:r>
          </w:p>
        </w:tc>
        <w:tc>
          <w:tcPr>
            <w:tcW w:w="1916" w:type="dxa"/>
            <w:hideMark/>
          </w:tcPr>
          <w:p w14:paraId="318902CE" w14:textId="77777777" w:rsidR="005D692C" w:rsidRPr="00992D99" w:rsidRDefault="005D692C" w:rsidP="008C099B">
            <w:pPr>
              <w:rPr>
                <w:rFonts w:ascii="VIC" w:eastAsia="Times New Roman" w:hAnsi="VIC" w:cs="Times New Roman"/>
                <w:color w:val="011A3C"/>
                <w:lang w:val="en-AU" w:eastAsia="en-AU"/>
              </w:rPr>
            </w:pPr>
            <w:r w:rsidRPr="00992D99">
              <w:rPr>
                <w:rFonts w:ascii="VIC" w:eastAsia="Times New Roman" w:hAnsi="VIC" w:cs="Times New Roman"/>
                <w:color w:val="011A3C"/>
                <w:lang w:val="en-AU" w:eastAsia="en-AU"/>
              </w:rPr>
              <w:t>$70.00</w:t>
            </w:r>
          </w:p>
        </w:tc>
      </w:tr>
      <w:tr w:rsidR="005D692C" w:rsidRPr="005D692C" w14:paraId="3C8E5B91" w14:textId="77777777" w:rsidTr="00991C9D">
        <w:trPr>
          <w:trHeight w:val="312"/>
        </w:trPr>
        <w:tc>
          <w:tcPr>
            <w:tcW w:w="2740" w:type="dxa"/>
            <w:hideMark/>
          </w:tcPr>
          <w:p w14:paraId="008D66B7" w14:textId="7D542E3A" w:rsidR="005D692C" w:rsidRPr="00992D99" w:rsidRDefault="005D692C" w:rsidP="008C099B">
            <w:pPr>
              <w:rPr>
                <w:rFonts w:ascii="VIC" w:eastAsia="Times New Roman" w:hAnsi="VIC" w:cs="Times New Roman"/>
                <w:color w:val="011A3C"/>
                <w:lang w:val="en-AU" w:eastAsia="en-AU"/>
              </w:rPr>
            </w:pPr>
            <w:r w:rsidRPr="00992D99">
              <w:rPr>
                <w:rFonts w:ascii="VIC" w:eastAsia="Times New Roman" w:hAnsi="VIC" w:cs="Times New Roman"/>
                <w:color w:val="011A3C"/>
                <w:lang w:val="en-AU" w:eastAsia="en-AU"/>
              </w:rPr>
              <w:t>Pri</w:t>
            </w:r>
            <w:r w:rsidR="00B27693">
              <w:rPr>
                <w:rFonts w:ascii="VIC" w:eastAsia="Times New Roman" w:hAnsi="VIC" w:cs="Times New Roman"/>
                <w:color w:val="011A3C"/>
                <w:lang w:val="en-AU" w:eastAsia="en-AU"/>
              </w:rPr>
              <w:t>mary</w:t>
            </w:r>
            <w:r w:rsidRPr="00992D99">
              <w:rPr>
                <w:rFonts w:ascii="VIC" w:eastAsia="Times New Roman" w:hAnsi="VIC" w:cs="Times New Roman"/>
                <w:color w:val="011A3C"/>
                <w:lang w:val="en-AU" w:eastAsia="en-AU"/>
              </w:rPr>
              <w:t>/Sec</w:t>
            </w:r>
            <w:r w:rsidR="00B27693">
              <w:rPr>
                <w:rFonts w:ascii="VIC" w:eastAsia="Times New Roman" w:hAnsi="VIC" w:cs="Times New Roman"/>
                <w:color w:val="011A3C"/>
                <w:lang w:val="en-AU" w:eastAsia="en-AU"/>
              </w:rPr>
              <w:t>ondary</w:t>
            </w:r>
          </w:p>
        </w:tc>
        <w:tc>
          <w:tcPr>
            <w:tcW w:w="2935" w:type="dxa"/>
            <w:hideMark/>
          </w:tcPr>
          <w:p w14:paraId="4BAA1A2D" w14:textId="77777777" w:rsidR="005D692C" w:rsidRPr="00992D99" w:rsidRDefault="005D692C" w:rsidP="008C099B">
            <w:pPr>
              <w:rPr>
                <w:rFonts w:ascii="VIC" w:eastAsia="Times New Roman" w:hAnsi="VIC" w:cs="Times New Roman"/>
                <w:color w:val="011A3C"/>
                <w:lang w:val="en-AU" w:eastAsia="en-AU"/>
              </w:rPr>
            </w:pPr>
            <w:r w:rsidRPr="00992D99">
              <w:rPr>
                <w:rFonts w:ascii="VIC" w:eastAsia="Times New Roman" w:hAnsi="VIC" w:cs="Times New Roman"/>
                <w:color w:val="011A3C"/>
                <w:lang w:val="en-AU" w:eastAsia="en-AU"/>
              </w:rPr>
              <w:t>$92.00</w:t>
            </w:r>
          </w:p>
        </w:tc>
        <w:tc>
          <w:tcPr>
            <w:tcW w:w="1916" w:type="dxa"/>
            <w:hideMark/>
          </w:tcPr>
          <w:p w14:paraId="57BB03D1" w14:textId="77777777" w:rsidR="005D692C" w:rsidRPr="00992D99" w:rsidRDefault="005D692C" w:rsidP="008C099B">
            <w:pPr>
              <w:rPr>
                <w:rFonts w:ascii="VIC" w:eastAsia="Times New Roman" w:hAnsi="VIC" w:cs="Times New Roman"/>
                <w:color w:val="011A3C"/>
                <w:lang w:val="en-AU" w:eastAsia="en-AU"/>
              </w:rPr>
            </w:pPr>
            <w:r w:rsidRPr="00992D99">
              <w:rPr>
                <w:rFonts w:ascii="VIC" w:eastAsia="Times New Roman" w:hAnsi="VIC" w:cs="Times New Roman"/>
                <w:color w:val="011A3C"/>
                <w:lang w:val="en-AU" w:eastAsia="en-AU"/>
              </w:rPr>
              <w:t>$75.00</w:t>
            </w:r>
          </w:p>
        </w:tc>
      </w:tr>
      <w:tr w:rsidR="005D692C" w:rsidRPr="005D692C" w14:paraId="79CC23D9" w14:textId="77777777" w:rsidTr="00991C9D">
        <w:trPr>
          <w:trHeight w:val="312"/>
        </w:trPr>
        <w:tc>
          <w:tcPr>
            <w:tcW w:w="2740" w:type="dxa"/>
            <w:hideMark/>
          </w:tcPr>
          <w:p w14:paraId="3C5BA012" w14:textId="77777777" w:rsidR="005D692C" w:rsidRPr="00992D99" w:rsidRDefault="005D692C" w:rsidP="008C099B">
            <w:pPr>
              <w:rPr>
                <w:rFonts w:ascii="VIC" w:eastAsia="Times New Roman" w:hAnsi="VIC" w:cs="Times New Roman"/>
                <w:color w:val="011A3C"/>
                <w:lang w:val="en-AU" w:eastAsia="en-AU"/>
              </w:rPr>
            </w:pPr>
            <w:r w:rsidRPr="00992D99">
              <w:rPr>
                <w:rFonts w:ascii="VIC" w:eastAsia="Times New Roman" w:hAnsi="VIC" w:cs="Times New Roman"/>
                <w:color w:val="011A3C"/>
                <w:lang w:val="en-AU" w:eastAsia="en-AU"/>
              </w:rPr>
              <w:t>Other</w:t>
            </w:r>
          </w:p>
        </w:tc>
        <w:tc>
          <w:tcPr>
            <w:tcW w:w="2935" w:type="dxa"/>
            <w:hideMark/>
          </w:tcPr>
          <w:p w14:paraId="22189693" w14:textId="77777777" w:rsidR="005D692C" w:rsidRPr="00992D99" w:rsidRDefault="005D692C" w:rsidP="008C099B">
            <w:pPr>
              <w:rPr>
                <w:rFonts w:ascii="VIC" w:eastAsia="Times New Roman" w:hAnsi="VIC" w:cs="Times New Roman"/>
                <w:color w:val="011A3C"/>
                <w:lang w:val="en-AU" w:eastAsia="en-AU"/>
              </w:rPr>
            </w:pPr>
            <w:r w:rsidRPr="00992D99">
              <w:rPr>
                <w:rFonts w:ascii="VIC" w:eastAsia="Times New Roman" w:hAnsi="VIC" w:cs="Times New Roman"/>
                <w:color w:val="011A3C"/>
                <w:lang w:val="en-AU" w:eastAsia="en-AU"/>
              </w:rPr>
              <w:t>$92.00</w:t>
            </w:r>
          </w:p>
        </w:tc>
        <w:tc>
          <w:tcPr>
            <w:tcW w:w="1916" w:type="dxa"/>
            <w:hideMark/>
          </w:tcPr>
          <w:p w14:paraId="24555C8C" w14:textId="77777777" w:rsidR="005D692C" w:rsidRPr="00992D99" w:rsidRDefault="005D692C" w:rsidP="008C099B">
            <w:pPr>
              <w:rPr>
                <w:rFonts w:ascii="VIC" w:eastAsia="Times New Roman" w:hAnsi="VIC" w:cs="Times New Roman"/>
                <w:color w:val="011A3C"/>
                <w:lang w:val="en-AU" w:eastAsia="en-AU"/>
              </w:rPr>
            </w:pPr>
            <w:r w:rsidRPr="00992D99">
              <w:rPr>
                <w:rFonts w:ascii="VIC" w:eastAsia="Times New Roman" w:hAnsi="VIC" w:cs="Times New Roman"/>
                <w:color w:val="011A3C"/>
                <w:lang w:val="en-AU" w:eastAsia="en-AU"/>
              </w:rPr>
              <w:t>$75.00</w:t>
            </w:r>
          </w:p>
        </w:tc>
      </w:tr>
    </w:tbl>
    <w:p w14:paraId="2788367E" w14:textId="77777777" w:rsidR="005D692C" w:rsidRDefault="005D692C" w:rsidP="005D692C">
      <w:pPr>
        <w:spacing w:after="0"/>
        <w:contextualSpacing/>
        <w:jc w:val="both"/>
        <w:rPr>
          <w:rFonts w:ascii="Calibri" w:hAnsi="Calibri"/>
          <w:sz w:val="21"/>
          <w:szCs w:val="21"/>
          <w:lang w:val="en-US"/>
        </w:rPr>
      </w:pPr>
    </w:p>
    <w:bookmarkEnd w:id="141"/>
    <w:p w14:paraId="64ED70B0" w14:textId="2E9925B0" w:rsidR="00117C15" w:rsidRPr="004D307F" w:rsidRDefault="00117C15" w:rsidP="00517905"/>
    <w:p w14:paraId="02E9862C" w14:textId="4FD2449C" w:rsidR="00F733D4" w:rsidRDefault="00F733D4">
      <w:r>
        <w:br w:type="page"/>
      </w:r>
    </w:p>
    <w:p w14:paraId="229A1D17" w14:textId="2EFBA868" w:rsidR="002B743A" w:rsidRPr="004D307F" w:rsidRDefault="002B743A">
      <w:pPr>
        <w:rPr>
          <w:rFonts w:asciiTheme="majorHAnsi" w:eastAsia="Times New Roman" w:hAnsiTheme="majorHAnsi" w:cs="Times New Roman"/>
          <w:b/>
          <w:bCs/>
          <w:color w:val="323E4F" w:themeColor="text2" w:themeShade="BF"/>
          <w:kern w:val="36"/>
          <w:sz w:val="48"/>
          <w:szCs w:val="48"/>
          <w:lang w:eastAsia="en-AU"/>
        </w:rPr>
      </w:pPr>
    </w:p>
    <w:p w14:paraId="4A54732A" w14:textId="4414EDB1" w:rsidR="00C53D64" w:rsidRPr="004D307F" w:rsidRDefault="00C53D64" w:rsidP="000F3581">
      <w:pPr>
        <w:pStyle w:val="Heading1"/>
      </w:pPr>
      <w:bookmarkStart w:id="142" w:name="_Toc106793816"/>
      <w:r w:rsidRPr="004D307F">
        <w:t>Managing the Budget</w:t>
      </w:r>
      <w:bookmarkEnd w:id="142"/>
    </w:p>
    <w:p w14:paraId="5399E2D7" w14:textId="77777777" w:rsidR="00C53D64" w:rsidRPr="004D307F" w:rsidRDefault="00C53D64" w:rsidP="004216E8">
      <w:pPr>
        <w:spacing w:before="100" w:beforeAutospacing="1" w:after="100" w:afterAutospacing="1" w:line="312" w:lineRule="atLeast"/>
        <w:outlineLvl w:val="1"/>
        <w:rPr>
          <w:rFonts w:ascii="VIC" w:eastAsia="Times New Roman" w:hAnsi="VIC" w:cs="Times New Roman"/>
          <w:color w:val="323E4F" w:themeColor="text2" w:themeShade="BF"/>
          <w:sz w:val="36"/>
          <w:szCs w:val="36"/>
          <w:lang w:val="en" w:eastAsia="en-AU"/>
        </w:rPr>
      </w:pPr>
      <w:r w:rsidRPr="004D307F">
        <w:rPr>
          <w:rFonts w:ascii="VIC" w:eastAsia="Times New Roman" w:hAnsi="VIC" w:cs="Times New Roman"/>
          <w:color w:val="323E4F" w:themeColor="text2" w:themeShade="BF"/>
          <w:sz w:val="36"/>
          <w:szCs w:val="36"/>
          <w:lang w:val="en" w:eastAsia="en-AU"/>
        </w:rPr>
        <w:t>Policy</w:t>
      </w:r>
    </w:p>
    <w:p w14:paraId="51A03BAE" w14:textId="77777777" w:rsidR="00C53D64" w:rsidRPr="004D307F" w:rsidRDefault="00C53D64" w:rsidP="00C53D64">
      <w:pPr>
        <w:pStyle w:val="NormalWeb"/>
        <w:spacing w:line="360" w:lineRule="atLeast"/>
        <w:rPr>
          <w:rFonts w:ascii="VIC" w:hAnsi="VIC"/>
          <w:color w:val="011A3C"/>
          <w:lang w:val="en"/>
        </w:rPr>
      </w:pPr>
      <w:r w:rsidRPr="004D307F">
        <w:rPr>
          <w:rFonts w:ascii="VIC" w:hAnsi="VIC"/>
          <w:color w:val="011A3C"/>
          <w:lang w:val="en"/>
        </w:rPr>
        <w:t>This policy provides schools with</w:t>
      </w:r>
      <w:r w:rsidRPr="004D307F">
        <w:rPr>
          <w:rFonts w:ascii="Calibri" w:hAnsi="Calibri" w:cs="Calibri" w:hint="eastAsia"/>
          <w:color w:val="011A3C"/>
          <w:lang w:val="en"/>
        </w:rPr>
        <w:t> </w:t>
      </w:r>
      <w:r w:rsidRPr="004D307F">
        <w:rPr>
          <w:rFonts w:ascii="VIC" w:hAnsi="VIC"/>
          <w:color w:val="011A3C"/>
          <w:lang w:val="en"/>
        </w:rPr>
        <w:t>information about managing their budgets.</w:t>
      </w:r>
    </w:p>
    <w:p w14:paraId="758812F8" w14:textId="77777777" w:rsidR="004216E8" w:rsidRPr="004D307F" w:rsidRDefault="00C53D64" w:rsidP="004216E8">
      <w:pPr>
        <w:spacing w:before="100" w:beforeAutospacing="1" w:after="100" w:afterAutospacing="1" w:line="312" w:lineRule="atLeast"/>
        <w:outlineLvl w:val="1"/>
        <w:rPr>
          <w:rFonts w:ascii="VIC" w:eastAsia="Times New Roman" w:hAnsi="VIC" w:cs="Times New Roman"/>
          <w:color w:val="323E4F" w:themeColor="text2" w:themeShade="BF"/>
          <w:sz w:val="36"/>
          <w:szCs w:val="36"/>
          <w:lang w:val="en" w:eastAsia="en-AU"/>
        </w:rPr>
      </w:pPr>
      <w:r w:rsidRPr="004D307F">
        <w:rPr>
          <w:rFonts w:ascii="VIC" w:eastAsia="Times New Roman" w:hAnsi="VIC" w:cs="Times New Roman"/>
          <w:color w:val="323E4F" w:themeColor="text2" w:themeShade="BF"/>
          <w:sz w:val="36"/>
          <w:szCs w:val="36"/>
          <w:lang w:val="en" w:eastAsia="en-AU"/>
        </w:rPr>
        <w:t>Details</w:t>
      </w:r>
    </w:p>
    <w:p w14:paraId="265994EC" w14:textId="5DFFC4BC" w:rsidR="00C53D64" w:rsidRPr="004D307F" w:rsidRDefault="00C53D64" w:rsidP="004216E8">
      <w:pPr>
        <w:spacing w:before="100" w:beforeAutospacing="1" w:after="100" w:afterAutospacing="1" w:line="312" w:lineRule="atLeast"/>
        <w:outlineLvl w:val="1"/>
        <w:rPr>
          <w:rFonts w:ascii="VIC" w:eastAsia="Times New Roman" w:hAnsi="VIC" w:cs="Times New Roman"/>
          <w:color w:val="323E4F" w:themeColor="text2" w:themeShade="BF"/>
          <w:sz w:val="36"/>
          <w:szCs w:val="36"/>
          <w:lang w:val="en" w:eastAsia="en-AU"/>
        </w:rPr>
      </w:pPr>
      <w:r w:rsidRPr="004D307F">
        <w:rPr>
          <w:rFonts w:ascii="VIC" w:hAnsi="VIC"/>
          <w:color w:val="011A3C"/>
          <w:lang w:val="en"/>
        </w:rPr>
        <w:t xml:space="preserve">This Managing the Budget information outlines some further requirements for schools in managing their budget and provides advice and further detail regarding specific aspects of the </w:t>
      </w:r>
      <w:r w:rsidR="000623AA" w:rsidRPr="004D307F">
        <w:rPr>
          <w:rFonts w:ascii="VIC" w:hAnsi="VIC"/>
          <w:color w:val="011A3C"/>
          <w:lang w:val="en"/>
        </w:rPr>
        <w:t>Student Resource Package (</w:t>
      </w:r>
      <w:r w:rsidRPr="004D307F">
        <w:rPr>
          <w:rFonts w:ascii="VIC" w:hAnsi="VIC"/>
          <w:color w:val="011A3C"/>
          <w:lang w:val="en"/>
        </w:rPr>
        <w:t>SRP</w:t>
      </w:r>
      <w:r w:rsidR="000623AA" w:rsidRPr="004D307F">
        <w:rPr>
          <w:rFonts w:ascii="VIC" w:hAnsi="VIC"/>
          <w:color w:val="011A3C"/>
          <w:lang w:val="en"/>
        </w:rPr>
        <w:t>)</w:t>
      </w:r>
      <w:r w:rsidRPr="004D307F">
        <w:rPr>
          <w:rFonts w:ascii="VIC" w:hAnsi="VIC"/>
          <w:color w:val="011A3C"/>
          <w:lang w:val="en"/>
        </w:rPr>
        <w:t xml:space="preserve"> and staffing costs.</w:t>
      </w:r>
    </w:p>
    <w:p w14:paraId="55B2F1E8" w14:textId="644E02E7" w:rsidR="00C53D64" w:rsidRPr="004D307F" w:rsidRDefault="00C53D64" w:rsidP="00C53D64">
      <w:pPr>
        <w:pStyle w:val="NormalWeb"/>
        <w:spacing w:line="360" w:lineRule="atLeast"/>
        <w:rPr>
          <w:rFonts w:ascii="VIC" w:hAnsi="VIC"/>
          <w:color w:val="011A3C"/>
          <w:lang w:val="en"/>
        </w:rPr>
      </w:pPr>
      <w:r w:rsidRPr="004D307F">
        <w:rPr>
          <w:rFonts w:ascii="VIC" w:hAnsi="VIC"/>
          <w:color w:val="011A3C"/>
          <w:lang w:val="en"/>
        </w:rPr>
        <w:t xml:space="preserve">The </w:t>
      </w:r>
      <w:r w:rsidR="00CA0A0C" w:rsidRPr="004D307F">
        <w:rPr>
          <w:rFonts w:ascii="VIC" w:hAnsi="VIC"/>
          <w:b/>
          <w:bCs/>
          <w:color w:val="011A3C"/>
          <w:lang w:val="en"/>
        </w:rPr>
        <w:t>Managing the budget</w:t>
      </w:r>
      <w:r w:rsidR="00CA0A0C" w:rsidRPr="004D307F">
        <w:rPr>
          <w:rFonts w:ascii="VIC" w:hAnsi="VIC"/>
          <w:color w:val="011A3C"/>
          <w:lang w:val="en"/>
        </w:rPr>
        <w:t xml:space="preserve"> section</w:t>
      </w:r>
      <w:r w:rsidRPr="004D307F">
        <w:rPr>
          <w:rFonts w:ascii="VIC" w:hAnsi="VIC"/>
          <w:color w:val="011A3C"/>
          <w:lang w:val="en"/>
        </w:rPr>
        <w:t xml:space="preserve"> provides information on the following categories:</w:t>
      </w:r>
    </w:p>
    <w:p w14:paraId="4CF738C2" w14:textId="77777777" w:rsidR="00C53D64" w:rsidRPr="004D307F" w:rsidRDefault="00901FCB" w:rsidP="00ED0863">
      <w:pPr>
        <w:numPr>
          <w:ilvl w:val="0"/>
          <w:numId w:val="125"/>
        </w:numPr>
        <w:spacing w:before="100" w:beforeAutospacing="1" w:after="100" w:afterAutospacing="1" w:line="360" w:lineRule="atLeast"/>
        <w:rPr>
          <w:rFonts w:ascii="VIC" w:hAnsi="VIC"/>
          <w:color w:val="011A3C"/>
          <w:lang w:val="en"/>
        </w:rPr>
      </w:pPr>
      <w:hyperlink r:id="rId190" w:history="1">
        <w:r w:rsidR="00C53D64" w:rsidRPr="004D307F">
          <w:rPr>
            <w:rStyle w:val="rpl-text-label2"/>
            <w:rFonts w:ascii="VIC" w:hAnsi="VIC"/>
            <w:lang w:val="en"/>
          </w:rPr>
          <w:t>Salary and Related Expenditure</w:t>
        </w:r>
      </w:hyperlink>
      <w:r w:rsidR="00C53D64" w:rsidRPr="004D307F">
        <w:rPr>
          <w:rFonts w:ascii="VIC" w:hAnsi="VIC"/>
          <w:color w:val="011A3C"/>
          <w:lang w:val="en"/>
        </w:rPr>
        <w:t xml:space="preserve"> </w:t>
      </w:r>
      <w:r w:rsidR="00C53D64" w:rsidRPr="004D307F">
        <w:rPr>
          <w:rFonts w:ascii="VIC" w:hAnsi="VIC" w:hint="eastAsia"/>
          <w:color w:val="011A3C"/>
          <w:lang w:val="en"/>
        </w:rPr>
        <w:t>—</w:t>
      </w:r>
      <w:r w:rsidR="00C53D64" w:rsidRPr="004D307F">
        <w:rPr>
          <w:rFonts w:ascii="VIC" w:hAnsi="VIC"/>
          <w:color w:val="011A3C"/>
          <w:lang w:val="en"/>
        </w:rPr>
        <w:t xml:space="preserve"> Reports and processes to assist schools with the SRP Budget Management</w:t>
      </w:r>
    </w:p>
    <w:p w14:paraId="43493E65" w14:textId="77777777" w:rsidR="00C53D64" w:rsidRPr="004D307F" w:rsidRDefault="00901FCB" w:rsidP="00ED0863">
      <w:pPr>
        <w:numPr>
          <w:ilvl w:val="0"/>
          <w:numId w:val="125"/>
        </w:numPr>
        <w:spacing w:before="100" w:beforeAutospacing="1" w:after="100" w:afterAutospacing="1" w:line="360" w:lineRule="atLeast"/>
        <w:rPr>
          <w:rFonts w:ascii="VIC" w:hAnsi="VIC"/>
          <w:color w:val="011A3C"/>
          <w:lang w:val="en"/>
        </w:rPr>
      </w:pPr>
      <w:hyperlink r:id="rId191" w:history="1">
        <w:r w:rsidR="00C53D64" w:rsidRPr="004D307F">
          <w:rPr>
            <w:rStyle w:val="rpl-text-label2"/>
            <w:rFonts w:ascii="VIC" w:hAnsi="VIC"/>
            <w:lang w:val="en"/>
          </w:rPr>
          <w:t>Relief Staffing</w:t>
        </w:r>
      </w:hyperlink>
      <w:r w:rsidR="00C53D64" w:rsidRPr="004D307F">
        <w:rPr>
          <w:rFonts w:ascii="VIC" w:hAnsi="VIC"/>
          <w:color w:val="011A3C"/>
          <w:lang w:val="en"/>
        </w:rPr>
        <w:t xml:space="preserve"> </w:t>
      </w:r>
      <w:r w:rsidR="00C53D64" w:rsidRPr="004D307F">
        <w:rPr>
          <w:rFonts w:ascii="VIC" w:hAnsi="VIC" w:hint="eastAsia"/>
          <w:color w:val="011A3C"/>
          <w:lang w:val="en"/>
        </w:rPr>
        <w:t>—</w:t>
      </w:r>
      <w:r w:rsidR="00C53D64" w:rsidRPr="004D307F">
        <w:rPr>
          <w:rFonts w:ascii="VIC" w:hAnsi="VIC"/>
          <w:color w:val="011A3C"/>
          <w:lang w:val="en"/>
        </w:rPr>
        <w:t xml:space="preserve"> Issues relating to teacher and other staff leave management</w:t>
      </w:r>
    </w:p>
    <w:p w14:paraId="6BEB9350" w14:textId="77777777" w:rsidR="00C53D64" w:rsidRPr="004D307F" w:rsidRDefault="00901FCB" w:rsidP="00ED0863">
      <w:pPr>
        <w:numPr>
          <w:ilvl w:val="0"/>
          <w:numId w:val="125"/>
        </w:numPr>
        <w:spacing w:before="100" w:beforeAutospacing="1" w:after="100" w:afterAutospacing="1" w:line="360" w:lineRule="atLeast"/>
        <w:rPr>
          <w:rFonts w:ascii="VIC" w:hAnsi="VIC"/>
          <w:color w:val="011A3C"/>
          <w:lang w:val="en"/>
        </w:rPr>
      </w:pPr>
      <w:hyperlink r:id="rId192" w:history="1">
        <w:r w:rsidR="00C53D64" w:rsidRPr="004D307F">
          <w:rPr>
            <w:rStyle w:val="rpl-text-label2"/>
            <w:rFonts w:ascii="VIC" w:hAnsi="VIC"/>
            <w:lang w:val="en"/>
          </w:rPr>
          <w:t>Surplus/Deficit</w:t>
        </w:r>
      </w:hyperlink>
      <w:r w:rsidR="00C53D64" w:rsidRPr="004D307F">
        <w:rPr>
          <w:rFonts w:ascii="VIC" w:hAnsi="VIC"/>
          <w:color w:val="011A3C"/>
          <w:lang w:val="en"/>
        </w:rPr>
        <w:t xml:space="preserve"> </w:t>
      </w:r>
      <w:r w:rsidR="00C53D64" w:rsidRPr="004D307F">
        <w:rPr>
          <w:rFonts w:ascii="VIC" w:hAnsi="VIC" w:hint="eastAsia"/>
          <w:color w:val="011A3C"/>
          <w:lang w:val="en"/>
        </w:rPr>
        <w:t>—</w:t>
      </w:r>
      <w:r w:rsidR="00C53D64" w:rsidRPr="004D307F">
        <w:rPr>
          <w:rFonts w:ascii="VIC" w:hAnsi="VIC"/>
          <w:color w:val="011A3C"/>
          <w:lang w:val="en"/>
        </w:rPr>
        <w:t xml:space="preserve"> Credit financial position of a school</w:t>
      </w:r>
    </w:p>
    <w:p w14:paraId="477F501C" w14:textId="77777777" w:rsidR="00C53D64" w:rsidRPr="004D307F" w:rsidRDefault="00901FCB" w:rsidP="00ED0863">
      <w:pPr>
        <w:numPr>
          <w:ilvl w:val="0"/>
          <w:numId w:val="125"/>
        </w:numPr>
        <w:spacing w:before="100" w:beforeAutospacing="1" w:after="100" w:afterAutospacing="1" w:line="360" w:lineRule="atLeast"/>
        <w:rPr>
          <w:rFonts w:ascii="VIC" w:hAnsi="VIC"/>
          <w:color w:val="011A3C"/>
          <w:lang w:val="en"/>
        </w:rPr>
      </w:pPr>
      <w:hyperlink r:id="rId193" w:history="1">
        <w:r w:rsidR="00C53D64" w:rsidRPr="004D307F">
          <w:rPr>
            <w:rStyle w:val="rpl-text-label2"/>
            <w:rFonts w:ascii="VIC" w:hAnsi="VIC"/>
            <w:lang w:val="en"/>
          </w:rPr>
          <w:t>Reports</w:t>
        </w:r>
      </w:hyperlink>
      <w:r w:rsidR="00C53D64" w:rsidRPr="004D307F">
        <w:rPr>
          <w:rFonts w:ascii="VIC" w:hAnsi="VIC"/>
          <w:color w:val="011A3C"/>
          <w:lang w:val="en"/>
        </w:rPr>
        <w:t xml:space="preserve"> </w:t>
      </w:r>
      <w:r w:rsidR="00C53D64" w:rsidRPr="004D307F">
        <w:rPr>
          <w:rFonts w:ascii="VIC" w:hAnsi="VIC" w:hint="eastAsia"/>
          <w:color w:val="011A3C"/>
          <w:lang w:val="en"/>
        </w:rPr>
        <w:t>—</w:t>
      </w:r>
      <w:r w:rsidR="00C53D64" w:rsidRPr="004D307F">
        <w:rPr>
          <w:rFonts w:ascii="VIC" w:hAnsi="VIC"/>
          <w:color w:val="011A3C"/>
          <w:lang w:val="en"/>
        </w:rPr>
        <w:t xml:space="preserve"> Some of the key SRP reports</w:t>
      </w:r>
    </w:p>
    <w:p w14:paraId="7A31194F" w14:textId="77777777" w:rsidR="00C53D64" w:rsidRPr="004D307F" w:rsidRDefault="00901FCB" w:rsidP="00ED0863">
      <w:pPr>
        <w:numPr>
          <w:ilvl w:val="0"/>
          <w:numId w:val="125"/>
        </w:numPr>
        <w:spacing w:before="100" w:beforeAutospacing="1" w:after="100" w:afterAutospacing="1" w:line="360" w:lineRule="atLeast"/>
        <w:rPr>
          <w:rFonts w:ascii="VIC" w:hAnsi="VIC"/>
          <w:color w:val="011A3C"/>
          <w:lang w:val="en"/>
        </w:rPr>
      </w:pPr>
      <w:hyperlink r:id="rId194" w:history="1">
        <w:r w:rsidR="00C53D64" w:rsidRPr="004D307F">
          <w:rPr>
            <w:rStyle w:val="rpl-text-label2"/>
            <w:rFonts w:ascii="VIC" w:hAnsi="VIC"/>
            <w:lang w:val="en"/>
          </w:rPr>
          <w:t>Planning</w:t>
        </w:r>
      </w:hyperlink>
      <w:r w:rsidR="00C53D64" w:rsidRPr="004D307F">
        <w:rPr>
          <w:rFonts w:ascii="VIC" w:hAnsi="VIC"/>
          <w:color w:val="011A3C"/>
          <w:lang w:val="en"/>
        </w:rPr>
        <w:t xml:space="preserve"> </w:t>
      </w:r>
      <w:r w:rsidR="00C53D64" w:rsidRPr="004D307F">
        <w:rPr>
          <w:rFonts w:ascii="VIC" w:hAnsi="VIC" w:hint="eastAsia"/>
          <w:color w:val="011A3C"/>
          <w:lang w:val="en"/>
        </w:rPr>
        <w:t>—</w:t>
      </w:r>
      <w:r w:rsidR="00C53D64" w:rsidRPr="004D307F">
        <w:rPr>
          <w:rFonts w:ascii="VIC" w:hAnsi="VIC"/>
          <w:color w:val="011A3C"/>
          <w:lang w:val="en"/>
        </w:rPr>
        <w:t xml:space="preserve"> SRP Modelling tool for school</w:t>
      </w:r>
    </w:p>
    <w:p w14:paraId="48A4F56B" w14:textId="77777777" w:rsidR="00C53D64" w:rsidRPr="004D307F" w:rsidRDefault="00901FCB" w:rsidP="00ED0863">
      <w:pPr>
        <w:numPr>
          <w:ilvl w:val="0"/>
          <w:numId w:val="125"/>
        </w:numPr>
        <w:spacing w:before="100" w:beforeAutospacing="1" w:after="100" w:afterAutospacing="1" w:line="360" w:lineRule="atLeast"/>
        <w:rPr>
          <w:rFonts w:ascii="VIC" w:hAnsi="VIC"/>
          <w:color w:val="011A3C"/>
          <w:lang w:val="en"/>
        </w:rPr>
      </w:pPr>
      <w:hyperlink r:id="rId195" w:history="1">
        <w:r w:rsidR="00C53D64" w:rsidRPr="004D307F">
          <w:rPr>
            <w:rStyle w:val="rpl-text-label2"/>
            <w:rFonts w:ascii="VIC" w:hAnsi="VIC"/>
            <w:lang w:val="en"/>
          </w:rPr>
          <w:t>Reconciliation</w:t>
        </w:r>
      </w:hyperlink>
      <w:r w:rsidR="00C53D64" w:rsidRPr="004D307F">
        <w:rPr>
          <w:rFonts w:ascii="VIC" w:hAnsi="VIC"/>
          <w:color w:val="011A3C"/>
          <w:lang w:val="en"/>
        </w:rPr>
        <w:t xml:space="preserve"> </w:t>
      </w:r>
      <w:r w:rsidR="00C53D64" w:rsidRPr="004D307F">
        <w:rPr>
          <w:rFonts w:ascii="VIC" w:hAnsi="VIC" w:hint="eastAsia"/>
          <w:color w:val="011A3C"/>
          <w:lang w:val="en"/>
        </w:rPr>
        <w:t>—</w:t>
      </w:r>
      <w:r w:rsidR="00C53D64" w:rsidRPr="004D307F">
        <w:rPr>
          <w:rFonts w:ascii="VIC" w:hAnsi="VIC"/>
          <w:color w:val="011A3C"/>
          <w:lang w:val="en"/>
        </w:rPr>
        <w:t xml:space="preserve"> The annual reconciliation cycle used to finalise the position of a school at the end of a budget year.</w:t>
      </w:r>
    </w:p>
    <w:p w14:paraId="7B67DE50" w14:textId="77777777" w:rsidR="00C53D64" w:rsidRPr="004D307F" w:rsidRDefault="00901FCB" w:rsidP="00ED0863">
      <w:pPr>
        <w:numPr>
          <w:ilvl w:val="0"/>
          <w:numId w:val="125"/>
        </w:numPr>
        <w:spacing w:before="100" w:beforeAutospacing="1" w:after="100" w:afterAutospacing="1" w:line="360" w:lineRule="atLeast"/>
        <w:rPr>
          <w:rFonts w:ascii="VIC" w:hAnsi="VIC"/>
          <w:color w:val="011A3C"/>
          <w:lang w:val="en"/>
        </w:rPr>
      </w:pPr>
      <w:hyperlink r:id="rId196" w:history="1">
        <w:r w:rsidR="00C53D64" w:rsidRPr="004D307F">
          <w:rPr>
            <w:rStyle w:val="rpl-text-label2"/>
            <w:rFonts w:ascii="VIC" w:hAnsi="VIC"/>
            <w:lang w:val="en"/>
          </w:rPr>
          <w:t>Cash</w:t>
        </w:r>
      </w:hyperlink>
      <w:r w:rsidR="00C53D64" w:rsidRPr="004D307F">
        <w:rPr>
          <w:rFonts w:ascii="Calibri" w:hAnsi="Calibri" w:cs="Calibri" w:hint="eastAsia"/>
          <w:color w:val="011A3C"/>
          <w:lang w:val="en"/>
        </w:rPr>
        <w:t> </w:t>
      </w:r>
      <w:r w:rsidR="00C53D64" w:rsidRPr="004D307F">
        <w:rPr>
          <w:rFonts w:ascii="VIC" w:hAnsi="VIC" w:cs="VIC" w:hint="eastAsia"/>
          <w:color w:val="011A3C"/>
          <w:lang w:val="en"/>
        </w:rPr>
        <w:t>—</w:t>
      </w:r>
      <w:r w:rsidR="00C53D64" w:rsidRPr="004D307F">
        <w:rPr>
          <w:rFonts w:ascii="VIC" w:hAnsi="VIC"/>
          <w:color w:val="011A3C"/>
          <w:lang w:val="en"/>
        </w:rPr>
        <w:t xml:space="preserve"> Quarterly Cash Grants, Offline Payments and other information about Cash Payments</w:t>
      </w:r>
    </w:p>
    <w:p w14:paraId="5AC89819" w14:textId="77777777" w:rsidR="00C53D64" w:rsidRPr="004D307F" w:rsidRDefault="00901FCB" w:rsidP="00ED0863">
      <w:pPr>
        <w:numPr>
          <w:ilvl w:val="0"/>
          <w:numId w:val="125"/>
        </w:numPr>
        <w:spacing w:before="100" w:beforeAutospacing="1" w:after="100" w:afterAutospacing="1" w:line="360" w:lineRule="atLeast"/>
        <w:rPr>
          <w:rFonts w:ascii="VIC" w:hAnsi="VIC"/>
          <w:color w:val="011A3C"/>
          <w:lang w:val="en"/>
        </w:rPr>
      </w:pPr>
      <w:hyperlink r:id="rId197" w:history="1">
        <w:r w:rsidR="00C53D64" w:rsidRPr="004D307F">
          <w:rPr>
            <w:rStyle w:val="rpl-text-label2"/>
            <w:rFonts w:ascii="VIC" w:hAnsi="VIC"/>
            <w:lang w:val="en"/>
          </w:rPr>
          <w:t>Deficit Management and Workforce Bridging</w:t>
        </w:r>
      </w:hyperlink>
      <w:r w:rsidR="00C53D64" w:rsidRPr="004D307F">
        <w:rPr>
          <w:rFonts w:ascii="VIC" w:hAnsi="VIC"/>
          <w:color w:val="011A3C"/>
          <w:lang w:val="en"/>
        </w:rPr>
        <w:t xml:space="preserve"> </w:t>
      </w:r>
      <w:r w:rsidR="00C53D64" w:rsidRPr="004D307F">
        <w:rPr>
          <w:rFonts w:ascii="VIC" w:hAnsi="VIC" w:hint="eastAsia"/>
          <w:color w:val="011A3C"/>
          <w:lang w:val="en"/>
        </w:rPr>
        <w:t>—</w:t>
      </w:r>
      <w:r w:rsidR="00C53D64" w:rsidRPr="004D307F">
        <w:rPr>
          <w:rFonts w:ascii="VIC" w:hAnsi="VIC"/>
          <w:color w:val="011A3C"/>
          <w:lang w:val="en"/>
        </w:rPr>
        <w:t xml:space="preserve"> Assistance provisions for schools with Deficit or Workforce Management Issues</w:t>
      </w:r>
    </w:p>
    <w:p w14:paraId="5C7FECCB" w14:textId="1FD250A1" w:rsidR="00C53D64" w:rsidRPr="004D307F" w:rsidRDefault="00901FCB" w:rsidP="00ED0863">
      <w:pPr>
        <w:numPr>
          <w:ilvl w:val="0"/>
          <w:numId w:val="125"/>
        </w:numPr>
        <w:spacing w:before="100" w:beforeAutospacing="1" w:after="100" w:afterAutospacing="1" w:line="360" w:lineRule="atLeast"/>
        <w:rPr>
          <w:rFonts w:ascii="VIC" w:hAnsi="VIC"/>
          <w:color w:val="011A3C"/>
          <w:lang w:val="en"/>
        </w:rPr>
      </w:pPr>
      <w:hyperlink r:id="rId198" w:history="1">
        <w:r w:rsidR="00C53D64" w:rsidRPr="004D307F">
          <w:rPr>
            <w:rStyle w:val="rpl-text-label2"/>
            <w:rFonts w:ascii="VIC" w:hAnsi="VIC"/>
            <w:lang w:val="en"/>
          </w:rPr>
          <w:t>Principal Classification Budget</w:t>
        </w:r>
      </w:hyperlink>
      <w:r w:rsidR="00C53D64" w:rsidRPr="004D307F">
        <w:rPr>
          <w:rFonts w:ascii="VIC" w:hAnsi="VIC"/>
          <w:color w:val="011A3C"/>
          <w:lang w:val="en"/>
        </w:rPr>
        <w:t xml:space="preserve"> </w:t>
      </w:r>
      <w:r w:rsidR="00C53D64" w:rsidRPr="004D307F">
        <w:rPr>
          <w:rFonts w:ascii="VIC" w:hAnsi="VIC" w:hint="eastAsia"/>
          <w:color w:val="011A3C"/>
          <w:lang w:val="en"/>
        </w:rPr>
        <w:t>—</w:t>
      </w:r>
      <w:r w:rsidR="00C53D64" w:rsidRPr="004D307F">
        <w:rPr>
          <w:rFonts w:ascii="VIC" w:hAnsi="VIC"/>
          <w:color w:val="011A3C"/>
          <w:lang w:val="en"/>
        </w:rPr>
        <w:t xml:space="preserve"> Remuneration range for each principal position</w:t>
      </w:r>
    </w:p>
    <w:p w14:paraId="626BFBDD" w14:textId="07D49DCE" w:rsidR="00CA0A0C" w:rsidRPr="004D307F" w:rsidRDefault="00CA0A0C" w:rsidP="00ED0863">
      <w:pPr>
        <w:numPr>
          <w:ilvl w:val="0"/>
          <w:numId w:val="125"/>
        </w:numPr>
        <w:spacing w:before="100" w:beforeAutospacing="1" w:after="100" w:afterAutospacing="1" w:line="360" w:lineRule="atLeast"/>
        <w:rPr>
          <w:rFonts w:ascii="VIC" w:hAnsi="VIC"/>
          <w:color w:val="011A3C"/>
          <w:lang w:val="en"/>
        </w:rPr>
      </w:pPr>
      <w:r w:rsidRPr="004D307F">
        <w:rPr>
          <w:rFonts w:ascii="VIC" w:hAnsi="VIC"/>
          <w:color w:val="011A3C"/>
          <w:lang w:val="en"/>
        </w:rPr>
        <w:t>Enrolment Variation Funding</w:t>
      </w:r>
    </w:p>
    <w:p w14:paraId="32AC0F4C" w14:textId="77777777" w:rsidR="00C53D64" w:rsidRPr="004D307F" w:rsidRDefault="00C53D64" w:rsidP="00C53D64">
      <w:pPr>
        <w:pStyle w:val="NormalWeb"/>
        <w:spacing w:line="360" w:lineRule="atLeast"/>
        <w:rPr>
          <w:rFonts w:ascii="VIC" w:hAnsi="VIC"/>
          <w:color w:val="011A3C"/>
          <w:lang w:val="en"/>
        </w:rPr>
      </w:pPr>
      <w:r w:rsidRPr="004D307F">
        <w:rPr>
          <w:rFonts w:ascii="VIC" w:hAnsi="VIC"/>
          <w:color w:val="011A3C"/>
          <w:lang w:val="en"/>
        </w:rPr>
        <w:t>In particular, the information in the guidance on how to manage the budget sets out the following requirements for schools.</w:t>
      </w:r>
    </w:p>
    <w:p w14:paraId="0DD3B180" w14:textId="77777777" w:rsidR="00C53D64" w:rsidRPr="004D307F" w:rsidRDefault="00C53D64" w:rsidP="00C53D64">
      <w:pPr>
        <w:pStyle w:val="Heading3"/>
        <w:rPr>
          <w:rStyle w:val="Strong"/>
          <w:rFonts w:ascii="VIC" w:hAnsi="VIC"/>
        </w:rPr>
      </w:pPr>
      <w:r w:rsidRPr="004D307F">
        <w:rPr>
          <w:rStyle w:val="Strong"/>
          <w:rFonts w:ascii="VIC" w:hAnsi="VIC"/>
        </w:rPr>
        <w:lastRenderedPageBreak/>
        <w:t>Workforce planning</w:t>
      </w:r>
    </w:p>
    <w:p w14:paraId="0D4D3BA4" w14:textId="77777777" w:rsidR="00C53D64" w:rsidRPr="004D307F" w:rsidRDefault="00C53D64" w:rsidP="00ED0863">
      <w:pPr>
        <w:numPr>
          <w:ilvl w:val="0"/>
          <w:numId w:val="126"/>
        </w:numPr>
        <w:spacing w:before="100" w:beforeAutospacing="1" w:after="100" w:afterAutospacing="1" w:line="360" w:lineRule="atLeast"/>
        <w:rPr>
          <w:rFonts w:ascii="VIC" w:hAnsi="VIC"/>
          <w:color w:val="011A3C"/>
          <w:lang w:val="en"/>
        </w:rPr>
      </w:pPr>
      <w:r w:rsidRPr="004D307F">
        <w:rPr>
          <w:rFonts w:ascii="VIC" w:hAnsi="VIC"/>
          <w:color w:val="011A3C"/>
          <w:lang w:val="en"/>
        </w:rPr>
        <w:t xml:space="preserve">All schools are expected to have planning strategies in place to manage their workforce requirements within available funds, including adequate provision for relief staffing. </w:t>
      </w:r>
    </w:p>
    <w:p w14:paraId="66F5C8A2" w14:textId="77777777" w:rsidR="00C53D64" w:rsidRPr="004D307F" w:rsidRDefault="00C53D64" w:rsidP="00ED0863">
      <w:pPr>
        <w:numPr>
          <w:ilvl w:val="1"/>
          <w:numId w:val="126"/>
        </w:numPr>
        <w:spacing w:before="100" w:beforeAutospacing="1" w:after="100" w:afterAutospacing="1" w:line="360" w:lineRule="atLeast"/>
        <w:rPr>
          <w:rFonts w:ascii="VIC" w:hAnsi="VIC"/>
          <w:color w:val="011A3C"/>
          <w:lang w:val="en"/>
        </w:rPr>
      </w:pPr>
      <w:r w:rsidRPr="004D307F">
        <w:rPr>
          <w:rFonts w:ascii="VIC" w:hAnsi="VIC"/>
          <w:color w:val="011A3C"/>
          <w:lang w:val="en"/>
        </w:rPr>
        <w:t>Casual relief teaching staff are to be provided only when face-to-face teaching is required and where no internal resource is available.</w:t>
      </w:r>
    </w:p>
    <w:p w14:paraId="7E1EE8AE" w14:textId="77777777" w:rsidR="00C53D64" w:rsidRPr="004D307F" w:rsidRDefault="00C53D64" w:rsidP="00ED0863">
      <w:pPr>
        <w:numPr>
          <w:ilvl w:val="1"/>
          <w:numId w:val="126"/>
        </w:numPr>
        <w:spacing w:before="100" w:beforeAutospacing="1" w:after="100" w:afterAutospacing="1" w:line="360" w:lineRule="atLeast"/>
        <w:rPr>
          <w:rFonts w:ascii="VIC" w:hAnsi="VIC"/>
          <w:color w:val="011A3C"/>
          <w:lang w:val="en"/>
        </w:rPr>
      </w:pPr>
      <w:r w:rsidRPr="004D307F">
        <w:rPr>
          <w:rFonts w:ascii="VIC" w:hAnsi="VIC"/>
          <w:color w:val="011A3C"/>
          <w:lang w:val="en"/>
        </w:rPr>
        <w:t>School workforce plans must include contingency planning to deal with changing circumstances, including factors such as enrolment variations and changing workforce commitments.</w:t>
      </w:r>
    </w:p>
    <w:p w14:paraId="02D168C1" w14:textId="77777777" w:rsidR="00C53D64" w:rsidRPr="004D307F" w:rsidRDefault="00C53D64" w:rsidP="00ED0863">
      <w:pPr>
        <w:numPr>
          <w:ilvl w:val="0"/>
          <w:numId w:val="126"/>
        </w:numPr>
        <w:spacing w:before="100" w:beforeAutospacing="1" w:after="100" w:afterAutospacing="1" w:line="360" w:lineRule="atLeast"/>
        <w:rPr>
          <w:rFonts w:ascii="VIC" w:hAnsi="VIC"/>
          <w:color w:val="011A3C"/>
          <w:lang w:val="en"/>
        </w:rPr>
      </w:pPr>
      <w:r w:rsidRPr="004D307F">
        <w:rPr>
          <w:rFonts w:ascii="VIC" w:hAnsi="VIC"/>
          <w:color w:val="011A3C"/>
          <w:lang w:val="en"/>
        </w:rPr>
        <w:t>Schools participating in reorganisations are expected to undertake workforce planning within their overall budget allocation while giving due consideration to clauses contained in the Department's</w:t>
      </w:r>
      <w:r w:rsidRPr="004D307F">
        <w:rPr>
          <w:rFonts w:ascii="Calibri" w:hAnsi="Calibri" w:cs="Calibri" w:hint="eastAsia"/>
          <w:color w:val="011A3C"/>
          <w:lang w:val="en"/>
        </w:rPr>
        <w:t> </w:t>
      </w:r>
      <w:hyperlink r:id="rId199" w:history="1">
        <w:r w:rsidRPr="004D307F">
          <w:rPr>
            <w:rStyle w:val="rpl-text-label2"/>
            <w:rFonts w:ascii="VIC" w:hAnsi="VIC"/>
            <w:lang w:val="en"/>
          </w:rPr>
          <w:t xml:space="preserve">Human Resources School Merger or Closure </w:t>
        </w:r>
        <w:r w:rsidRPr="004D307F">
          <w:rPr>
            <w:rStyle w:val="rpl-text-label2"/>
            <w:rFonts w:ascii="VIC" w:hAnsi="VIC" w:hint="eastAsia"/>
            <w:lang w:val="en"/>
          </w:rPr>
          <w:t>—</w:t>
        </w:r>
        <w:r w:rsidRPr="004D307F">
          <w:rPr>
            <w:rStyle w:val="rpl-text-label2"/>
            <w:rFonts w:ascii="VIC" w:hAnsi="VIC"/>
            <w:lang w:val="en"/>
          </w:rPr>
          <w:t xml:space="preserve"> </w:t>
        </w:r>
        <w:r w:rsidRPr="004D307F">
          <w:rPr>
            <w:rStyle w:val="rpl-text-icongroup1"/>
            <w:rFonts w:ascii="VIC" w:hAnsi="VIC"/>
            <w:color w:val="011A3C"/>
            <w:lang w:val="en"/>
          </w:rPr>
          <w:t>Staffing</w:t>
        </w:r>
        <w:r w:rsidRPr="004D307F">
          <w:rPr>
            <w:rStyle w:val="rpl-text-icongroup1"/>
            <w:rFonts w:ascii="Calibri" w:hAnsi="Calibri" w:cs="Calibri" w:hint="eastAsia"/>
            <w:color w:val="011A3C"/>
            <w:lang w:val="en"/>
          </w:rPr>
          <w:t> </w:t>
        </w:r>
        <w:r w:rsidRPr="004D307F">
          <w:rPr>
            <w:rStyle w:val="rpl-text-icongroup1"/>
            <w:rFonts w:ascii="VIC" w:hAnsi="VIC"/>
            <w:color w:val="011A3C"/>
            <w:lang w:val="en"/>
          </w:rPr>
          <w:t>Guide</w:t>
        </w:r>
      </w:hyperlink>
      <w:r w:rsidRPr="004D307F">
        <w:rPr>
          <w:rFonts w:ascii="VIC" w:hAnsi="VIC"/>
          <w:color w:val="011A3C"/>
          <w:lang w:val="en"/>
        </w:rPr>
        <w:t>.</w:t>
      </w:r>
    </w:p>
    <w:p w14:paraId="36AC6C3C" w14:textId="77777777" w:rsidR="00C53D64" w:rsidRPr="004D307F" w:rsidRDefault="00C53D64" w:rsidP="00ED0863">
      <w:pPr>
        <w:numPr>
          <w:ilvl w:val="0"/>
          <w:numId w:val="126"/>
        </w:numPr>
        <w:spacing w:before="100" w:beforeAutospacing="1" w:after="100" w:afterAutospacing="1" w:line="360" w:lineRule="atLeast"/>
        <w:rPr>
          <w:rFonts w:ascii="VIC" w:hAnsi="VIC"/>
          <w:color w:val="011A3C"/>
          <w:lang w:val="en"/>
        </w:rPr>
      </w:pPr>
      <w:r w:rsidRPr="004D307F">
        <w:rPr>
          <w:rFonts w:ascii="VIC" w:hAnsi="VIC"/>
          <w:color w:val="011A3C"/>
          <w:lang w:val="en"/>
        </w:rPr>
        <w:t>Teacher relief for periods in excess of 30 working days must be through fixed-term arrangements on eduPay. If a casual relief teacher is used initially because the absence is believed to be short-term, the employment must be converted, where the teacher is absent on personal leave, to fixed-term immediately when it is recognised that the absence will extend beyond 30 days. Refer to the Casual Relief policy.</w:t>
      </w:r>
    </w:p>
    <w:p w14:paraId="0FC11584" w14:textId="77777777" w:rsidR="00C53D64" w:rsidRPr="004D307F" w:rsidRDefault="00C53D64" w:rsidP="00ED0863">
      <w:pPr>
        <w:numPr>
          <w:ilvl w:val="0"/>
          <w:numId w:val="126"/>
        </w:numPr>
        <w:spacing w:before="100" w:beforeAutospacing="1" w:after="100" w:afterAutospacing="1" w:line="360" w:lineRule="atLeast"/>
        <w:rPr>
          <w:rFonts w:ascii="VIC" w:hAnsi="VIC"/>
          <w:color w:val="011A3C"/>
          <w:lang w:val="en"/>
        </w:rPr>
      </w:pPr>
      <w:r w:rsidRPr="004D307F">
        <w:rPr>
          <w:rFonts w:ascii="VIC" w:hAnsi="VIC"/>
          <w:color w:val="011A3C"/>
          <w:lang w:val="en"/>
        </w:rPr>
        <w:t>A school is responsible for administering pay and workplace entitlements for the period of employment, as recorded in eduPay, undertaken at that school.</w:t>
      </w:r>
    </w:p>
    <w:p w14:paraId="7D6319A7" w14:textId="77777777" w:rsidR="00C53D64" w:rsidRPr="004D307F" w:rsidRDefault="00C53D64" w:rsidP="00C53D64">
      <w:pPr>
        <w:pStyle w:val="Heading3"/>
        <w:rPr>
          <w:rFonts w:ascii="VIC" w:hAnsi="VIC"/>
          <w:b/>
          <w:bCs/>
          <w:color w:val="011A3C"/>
          <w:lang w:val="en"/>
        </w:rPr>
      </w:pPr>
      <w:r w:rsidRPr="004D307F">
        <w:rPr>
          <w:rFonts w:ascii="VIC" w:hAnsi="VIC"/>
          <w:b/>
          <w:bCs/>
          <w:color w:val="011A3C"/>
          <w:lang w:val="en"/>
        </w:rPr>
        <w:t>Budgeting requirements</w:t>
      </w:r>
    </w:p>
    <w:p w14:paraId="5DDC1E6B" w14:textId="77777777" w:rsidR="00C53D64" w:rsidRPr="004D307F" w:rsidRDefault="00C53D64" w:rsidP="00ED0863">
      <w:pPr>
        <w:numPr>
          <w:ilvl w:val="0"/>
          <w:numId w:val="127"/>
        </w:numPr>
        <w:spacing w:before="100" w:beforeAutospacing="1" w:after="100" w:afterAutospacing="1" w:line="360" w:lineRule="atLeast"/>
        <w:rPr>
          <w:rFonts w:ascii="VIC" w:hAnsi="VIC"/>
          <w:color w:val="011A3C"/>
          <w:lang w:val="en"/>
        </w:rPr>
      </w:pPr>
      <w:r w:rsidRPr="004D307F">
        <w:rPr>
          <w:rFonts w:ascii="VIC" w:hAnsi="VIC"/>
          <w:color w:val="011A3C"/>
          <w:lang w:val="en"/>
        </w:rPr>
        <w:t>Actual salary costs on eduPay are charged to schools each year according to the actual number of working days in the year. Schools must take into account the minor variations in working days as part of their normal budget planning.</w:t>
      </w:r>
    </w:p>
    <w:p w14:paraId="6087C75C" w14:textId="77777777" w:rsidR="00C53D64" w:rsidRPr="004D307F" w:rsidRDefault="00901FCB" w:rsidP="00ED0863">
      <w:pPr>
        <w:numPr>
          <w:ilvl w:val="0"/>
          <w:numId w:val="127"/>
        </w:numPr>
        <w:spacing w:before="100" w:beforeAutospacing="1" w:after="100" w:afterAutospacing="1" w:line="360" w:lineRule="atLeast"/>
        <w:rPr>
          <w:rFonts w:ascii="VIC" w:hAnsi="VIC"/>
          <w:color w:val="011A3C"/>
          <w:lang w:val="en"/>
        </w:rPr>
      </w:pPr>
      <w:hyperlink r:id="rId200" w:history="1">
        <w:r w:rsidR="00C53D64" w:rsidRPr="004D307F">
          <w:rPr>
            <w:rStyle w:val="rpl-text-label2"/>
            <w:rFonts w:ascii="VIC" w:hAnsi="VIC"/>
            <w:lang w:val="en"/>
          </w:rPr>
          <w:t>Credit/Cash Transfer</w:t>
        </w:r>
      </w:hyperlink>
      <w:r w:rsidR="00C53D64" w:rsidRPr="004D307F">
        <w:rPr>
          <w:rFonts w:ascii="VIC" w:hAnsi="VIC"/>
          <w:color w:val="011A3C"/>
          <w:lang w:val="en"/>
        </w:rPr>
        <w:t xml:space="preserve"> (CCT) requests must be based on the annual amount of the transfer (not monthly or quarterly) except where the transfer relates to a surplus brought forward from the previous year.</w:t>
      </w:r>
    </w:p>
    <w:p w14:paraId="53F8021E" w14:textId="77777777" w:rsidR="00C53D64" w:rsidRPr="004D307F" w:rsidRDefault="00C53D64" w:rsidP="00ED0863">
      <w:pPr>
        <w:numPr>
          <w:ilvl w:val="0"/>
          <w:numId w:val="127"/>
        </w:numPr>
        <w:spacing w:before="100" w:beforeAutospacing="1" w:after="100" w:afterAutospacing="1" w:line="360" w:lineRule="atLeast"/>
        <w:rPr>
          <w:rFonts w:ascii="VIC" w:hAnsi="VIC"/>
          <w:color w:val="011A3C"/>
          <w:lang w:val="en"/>
        </w:rPr>
      </w:pPr>
      <w:r w:rsidRPr="004D307F">
        <w:rPr>
          <w:rFonts w:ascii="VIC" w:hAnsi="VIC"/>
          <w:color w:val="011A3C"/>
          <w:lang w:val="en"/>
        </w:rPr>
        <w:t>All cash payments must be recorded appropriately in CASES21 Finance using the general ledger and sub-program codes provided in the EFT remittance advice descriptions.</w:t>
      </w:r>
    </w:p>
    <w:p w14:paraId="1BE577EE" w14:textId="210C7ADD" w:rsidR="002B7177" w:rsidRPr="004D307F" w:rsidRDefault="00C53D64" w:rsidP="00ED0863">
      <w:pPr>
        <w:numPr>
          <w:ilvl w:val="0"/>
          <w:numId w:val="127"/>
        </w:numPr>
        <w:spacing w:before="100" w:beforeAutospacing="1" w:after="100" w:afterAutospacing="1" w:line="360" w:lineRule="atLeast"/>
      </w:pPr>
      <w:r w:rsidRPr="004D307F">
        <w:rPr>
          <w:rFonts w:ascii="VIC" w:hAnsi="VIC"/>
          <w:color w:val="011A3C"/>
          <w:lang w:val="en"/>
        </w:rPr>
        <w:t>Where there is insufficient overall credit surplus in the SRP to employ relief, schools must have a deficit management strategy in place to reduce the deficit and to meet relief contingencies, having a view to using both the credit and cash components of the SRP.</w:t>
      </w:r>
      <w:r w:rsidR="002B7177" w:rsidRPr="004D307F">
        <w:rPr>
          <w:rFonts w:ascii="VIC" w:hAnsi="VIC"/>
        </w:rPr>
        <w:br w:type="page"/>
      </w:r>
    </w:p>
    <w:p w14:paraId="17B84AD2" w14:textId="41CA20FD" w:rsidR="0096466B" w:rsidRPr="004D307F" w:rsidRDefault="0096466B" w:rsidP="00B566E7">
      <w:pPr>
        <w:pStyle w:val="Heading2"/>
      </w:pPr>
      <w:bookmarkStart w:id="143" w:name="_Toc106793817"/>
      <w:r w:rsidRPr="004D307F">
        <w:lastRenderedPageBreak/>
        <w:t>Salary and Related Expenditure</w:t>
      </w:r>
      <w:bookmarkEnd w:id="143"/>
    </w:p>
    <w:p w14:paraId="141B07B3"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Salary and related expenditure and the Student Resource Package (SRP). Includes guidance on transfers between schools, resigning and fixed-term teaching staff, higher duties and travel allowances.</w:t>
      </w:r>
    </w:p>
    <w:p w14:paraId="6C032B5A" w14:textId="77777777" w:rsidR="0096466B" w:rsidRPr="004D307F" w:rsidRDefault="0096466B" w:rsidP="00ED0863">
      <w:pPr>
        <w:numPr>
          <w:ilvl w:val="0"/>
          <w:numId w:val="82"/>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Actuals</w:t>
      </w:r>
    </w:p>
    <w:p w14:paraId="50A306EB" w14:textId="77777777" w:rsidR="0096466B" w:rsidRPr="004D307F" w:rsidRDefault="0096466B" w:rsidP="00ED0863">
      <w:pPr>
        <w:numPr>
          <w:ilvl w:val="0"/>
          <w:numId w:val="82"/>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Projections</w:t>
      </w:r>
    </w:p>
    <w:p w14:paraId="194D3C84" w14:textId="77777777" w:rsidR="0096466B" w:rsidRPr="004D307F" w:rsidRDefault="0096466B" w:rsidP="00ED0863">
      <w:pPr>
        <w:numPr>
          <w:ilvl w:val="0"/>
          <w:numId w:val="82"/>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Transfers between schools (including transfers over vacation periods)</w:t>
      </w:r>
    </w:p>
    <w:p w14:paraId="431750F2" w14:textId="77777777" w:rsidR="0096466B" w:rsidRPr="004D307F" w:rsidRDefault="0096466B" w:rsidP="00ED0863">
      <w:pPr>
        <w:numPr>
          <w:ilvl w:val="0"/>
          <w:numId w:val="82"/>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Resigning teaching staff (including vacation periods)</w:t>
      </w:r>
    </w:p>
    <w:p w14:paraId="70892835" w14:textId="77777777" w:rsidR="0096466B" w:rsidRPr="004D307F" w:rsidRDefault="0096466B" w:rsidP="00ED0863">
      <w:pPr>
        <w:numPr>
          <w:ilvl w:val="0"/>
          <w:numId w:val="82"/>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Fixed-term teaching staff (including vacation periods)</w:t>
      </w:r>
    </w:p>
    <w:p w14:paraId="58D8605B" w14:textId="77777777" w:rsidR="0096466B" w:rsidRPr="004D307F" w:rsidRDefault="0096466B" w:rsidP="00ED0863">
      <w:pPr>
        <w:numPr>
          <w:ilvl w:val="0"/>
          <w:numId w:val="82"/>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Higher duties (including vacation periods)</w:t>
      </w:r>
    </w:p>
    <w:p w14:paraId="7FF55A7F" w14:textId="77777777" w:rsidR="0096466B" w:rsidRPr="004D307F" w:rsidRDefault="0096466B" w:rsidP="00ED0863">
      <w:pPr>
        <w:numPr>
          <w:ilvl w:val="0"/>
          <w:numId w:val="82"/>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Salary mischarges</w:t>
      </w:r>
    </w:p>
    <w:p w14:paraId="029DB95E" w14:textId="77777777" w:rsidR="0096466B" w:rsidRPr="004D307F" w:rsidRDefault="0096466B" w:rsidP="00ED0863">
      <w:pPr>
        <w:numPr>
          <w:ilvl w:val="0"/>
          <w:numId w:val="82"/>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On-costs: SRP and student support services</w:t>
      </w:r>
    </w:p>
    <w:p w14:paraId="77DD0F1B" w14:textId="77777777" w:rsidR="0096466B" w:rsidRPr="004D307F" w:rsidRDefault="0096466B" w:rsidP="00ED0863">
      <w:pPr>
        <w:numPr>
          <w:ilvl w:val="0"/>
          <w:numId w:val="82"/>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Travel allowance</w:t>
      </w:r>
    </w:p>
    <w:p w14:paraId="76997558" w14:textId="77777777" w:rsidR="0096466B" w:rsidRPr="004D307F" w:rsidRDefault="0096466B" w:rsidP="00ED0863">
      <w:pPr>
        <w:numPr>
          <w:ilvl w:val="0"/>
          <w:numId w:val="82"/>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Principal salary charge</w:t>
      </w:r>
    </w:p>
    <w:p w14:paraId="7837AF85"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Actuals</w:t>
      </w:r>
    </w:p>
    <w:p w14:paraId="0B557994"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Salary charges to schools are based on actual payroll debits for individual staff as reflected on eduPay. This includes the actual cost of annual leave loading and all allowances, such as higher duties and special payments.</w:t>
      </w:r>
    </w:p>
    <w:p w14:paraId="6925EAC5"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Staff may choose to package part of their salary in the form of non-cash benefits. Therefore, the charge to the school for an individual teacher may be a regular salary, or a combination of salary and non-cash benefits.</w:t>
      </w:r>
    </w:p>
    <w:p w14:paraId="6EAC76C2"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Schools are liable for the entire employment period of a staff member at that school, as defined in eduPay.</w:t>
      </w:r>
    </w:p>
    <w:p w14:paraId="6954DF98"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Projections</w:t>
      </w:r>
    </w:p>
    <w:p w14:paraId="7812B271" w14:textId="47BDC431"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The SRP </w:t>
      </w:r>
      <w:hyperlink r:id="rId201" w:history="1">
        <w:r w:rsidRPr="004D307F">
          <w:rPr>
            <w:rFonts w:ascii="VIC" w:eastAsia="Times New Roman" w:hAnsi="VIC" w:cs="Arial"/>
            <w:color w:val="011A3C"/>
            <w:sz w:val="24"/>
            <w:szCs w:val="24"/>
            <w:lang w:val="en" w:eastAsia="en-AU"/>
          </w:rPr>
          <w:t>School Budget Management Report</w:t>
        </w:r>
      </w:hyperlink>
      <w:r w:rsidRPr="004D307F">
        <w:rPr>
          <w:rFonts w:ascii="VIC" w:eastAsia="Times New Roman" w:hAnsi="VIC" w:cs="Arial"/>
          <w:color w:val="011A3C"/>
          <w:sz w:val="24"/>
          <w:szCs w:val="24"/>
          <w:lang w:val="en" w:eastAsia="en-AU"/>
        </w:rPr>
        <w:t xml:space="preserve"> includes an estimate of expenditure for the full year, using the total of year-to-date charges plus a projection to 31 December. To facilitate this, salary figures for future pay periods are generated for each employee based on the latest payroll data.</w:t>
      </w:r>
    </w:p>
    <w:p w14:paraId="00548C4B" w14:textId="77777777" w:rsidR="0096466B" w:rsidRPr="004D307F" w:rsidRDefault="0096466B" w:rsidP="004D1CF3">
      <w:pPr>
        <w:keepNext/>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lastRenderedPageBreak/>
        <w:t>Transfers between schools (including transfers over vacation periods)</w:t>
      </w:r>
    </w:p>
    <w:p w14:paraId="4696DACF"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Schools are liable for the charging of an ongoing staff member from the date of transfer until the return to base-school date in eduPay. The actual transfer date should be entered in accordance with eduPay guidelines and should be consistent with</w:t>
      </w:r>
      <w:r w:rsidRPr="004D307F">
        <w:rPr>
          <w:rFonts w:ascii="Calibri" w:eastAsia="Times New Roman" w:hAnsi="Calibri" w:cs="Calibri" w:hint="eastAsia"/>
          <w:color w:val="011A3C"/>
          <w:sz w:val="24"/>
          <w:szCs w:val="24"/>
          <w:lang w:val="en" w:eastAsia="en-AU"/>
        </w:rPr>
        <w:t> </w:t>
      </w:r>
      <w:hyperlink r:id="rId202" w:history="1">
        <w:r w:rsidRPr="004D307F">
          <w:rPr>
            <w:rFonts w:ascii="VIC" w:eastAsia="Times New Roman" w:hAnsi="VIC" w:cs="Arial"/>
            <w:color w:val="011A3C"/>
            <w:sz w:val="24"/>
            <w:szCs w:val="24"/>
            <w:lang w:val="en" w:eastAsia="en-AU"/>
          </w:rPr>
          <w:t>Recruitment in Schools</w:t>
        </w:r>
      </w:hyperlink>
      <w:r w:rsidRPr="004D307F">
        <w:rPr>
          <w:rFonts w:ascii="VIC" w:eastAsia="Times New Roman" w:hAnsi="VIC" w:cs="Arial"/>
          <w:color w:val="011A3C"/>
          <w:sz w:val="24"/>
          <w:szCs w:val="24"/>
          <w:lang w:val="en" w:eastAsia="en-AU"/>
        </w:rPr>
        <w:t>.</w:t>
      </w:r>
    </w:p>
    <w:p w14:paraId="24550E92"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b/>
          <w:bCs/>
          <w:color w:val="011A3C"/>
          <w:sz w:val="24"/>
          <w:szCs w:val="24"/>
          <w:lang w:val="en" w:eastAsia="en-AU"/>
        </w:rPr>
        <w:t>Note:</w:t>
      </w:r>
      <w:r w:rsidRPr="004D307F">
        <w:rPr>
          <w:rFonts w:ascii="VIC" w:eastAsia="Times New Roman" w:hAnsi="VIC" w:cs="Arial"/>
          <w:color w:val="011A3C"/>
          <w:sz w:val="24"/>
          <w:szCs w:val="24"/>
          <w:lang w:val="en" w:eastAsia="en-AU"/>
        </w:rPr>
        <w:t xml:space="preserve"> Principals of both schools are responsible for confirming the start and end date prior to the commencement of a transfer. In most cases this would be at the start of a term/school year and returning at the start of a term /school year to ensure that charging of vacation periods is against the correct school</w:t>
      </w:r>
    </w:p>
    <w:p w14:paraId="6E1CB0F5" w14:textId="77777777" w:rsidR="0096466B" w:rsidRPr="004D307F" w:rsidRDefault="0096466B" w:rsidP="009144B7">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 xml:space="preserve">Example 1 </w:t>
      </w:r>
      <w:r w:rsidRPr="004D307F">
        <w:rPr>
          <w:rFonts w:ascii="VIC" w:eastAsia="Times New Roman" w:hAnsi="VIC" w:cs="Arial" w:hint="eastAsia"/>
          <w:b/>
          <w:bCs/>
          <w:color w:val="011A3C"/>
          <w:sz w:val="27"/>
          <w:szCs w:val="27"/>
          <w:lang w:val="en" w:eastAsia="en-AU"/>
        </w:rPr>
        <w:t>—</w:t>
      </w:r>
      <w:r w:rsidRPr="004D307F">
        <w:rPr>
          <w:rFonts w:ascii="VIC" w:eastAsia="Times New Roman" w:hAnsi="VIC" w:cs="Arial"/>
          <w:b/>
          <w:bCs/>
          <w:color w:val="011A3C"/>
          <w:sz w:val="27"/>
          <w:szCs w:val="27"/>
          <w:lang w:val="en" w:eastAsia="en-AU"/>
        </w:rPr>
        <w:t xml:space="preserve"> End of year vacation</w:t>
      </w:r>
    </w:p>
    <w:p w14:paraId="5DBD9080"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Ongoing staff member John Teacher is transferring from Orange Primary School to Blue Primary School to fill a one year fixed-term contract. Start and end dates have been agreed by both principals and entered into eduPay. Based on the eduPay data, John</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is therefore charged as follows:</w:t>
      </w:r>
    </w:p>
    <w:p w14:paraId="4C5D751C" w14:textId="690124A6" w:rsidR="0096466B" w:rsidRPr="004D307F" w:rsidRDefault="0096466B" w:rsidP="00ED0863">
      <w:pPr>
        <w:numPr>
          <w:ilvl w:val="0"/>
          <w:numId w:val="83"/>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Blue Primary School (one</w:t>
      </w:r>
      <w:r w:rsidR="00F80BBD" w:rsidRPr="004D307F">
        <w:rPr>
          <w:rFonts w:ascii="VIC" w:eastAsia="Times New Roman" w:hAnsi="VIC" w:cs="Arial"/>
          <w:color w:val="011A3C"/>
          <w:sz w:val="24"/>
          <w:szCs w:val="24"/>
          <w:lang w:val="en" w:eastAsia="en-AU"/>
        </w:rPr>
        <w:t>-</w:t>
      </w:r>
      <w:r w:rsidRPr="004D307F">
        <w:rPr>
          <w:rFonts w:ascii="VIC" w:eastAsia="Times New Roman" w:hAnsi="VIC" w:cs="Arial"/>
          <w:color w:val="011A3C"/>
          <w:sz w:val="24"/>
          <w:szCs w:val="24"/>
          <w:lang w:val="en" w:eastAsia="en-AU"/>
        </w:rPr>
        <w:t>year fixed term position) will pay John</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from the first day of Term 1 to the day before term 1 starts in the next year.</w:t>
      </w:r>
    </w:p>
    <w:p w14:paraId="3862A19E" w14:textId="77777777" w:rsidR="0096466B" w:rsidRPr="004D307F" w:rsidRDefault="0096466B" w:rsidP="00ED0863">
      <w:pPr>
        <w:numPr>
          <w:ilvl w:val="0"/>
          <w:numId w:val="83"/>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Orange Primary School (John</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base school) will pay John</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from the first day of Term 1 (of the next year) on an ongoing basis.</w:t>
      </w:r>
    </w:p>
    <w:p w14:paraId="3ADEFA33"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 xml:space="preserve">Example 2 </w:t>
      </w:r>
      <w:r w:rsidRPr="004D307F">
        <w:rPr>
          <w:rFonts w:ascii="VIC" w:eastAsia="Times New Roman" w:hAnsi="VIC" w:cs="Arial" w:hint="eastAsia"/>
          <w:b/>
          <w:bCs/>
          <w:color w:val="011A3C"/>
          <w:sz w:val="27"/>
          <w:szCs w:val="27"/>
          <w:lang w:val="en" w:eastAsia="en-AU"/>
        </w:rPr>
        <w:t>—</w:t>
      </w:r>
      <w:r w:rsidRPr="004D307F">
        <w:rPr>
          <w:rFonts w:ascii="VIC" w:eastAsia="Times New Roman" w:hAnsi="VIC" w:cs="Arial"/>
          <w:b/>
          <w:bCs/>
          <w:color w:val="011A3C"/>
          <w:sz w:val="27"/>
          <w:szCs w:val="27"/>
          <w:lang w:val="en" w:eastAsia="en-AU"/>
        </w:rPr>
        <w:t xml:space="preserve"> Term 1 vacation</w:t>
      </w:r>
    </w:p>
    <w:p w14:paraId="17313B2A"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Ongoing staff member, Jane Support, is transferring from her base school, Red Secondary College, to Green Secondary College to fill a fixed-term contract for term 1. Start and end dates have been agreed by both principals and entered into eduPay. Based on the eduPay data, Jane</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is therefore charged as follows:</w:t>
      </w:r>
    </w:p>
    <w:p w14:paraId="56B77C6B" w14:textId="77777777" w:rsidR="0096466B" w:rsidRPr="004D307F" w:rsidRDefault="0096466B" w:rsidP="00ED0863">
      <w:pPr>
        <w:numPr>
          <w:ilvl w:val="0"/>
          <w:numId w:val="84"/>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Green Secondary College (fixed term for Term 1) will pay Jane</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from the first day of Term 1 to the last day of the school Term 1 school holidays.</w:t>
      </w:r>
    </w:p>
    <w:p w14:paraId="582CFD9F" w14:textId="77777777" w:rsidR="0096466B" w:rsidRPr="004D307F" w:rsidRDefault="0096466B" w:rsidP="00ED0863">
      <w:pPr>
        <w:numPr>
          <w:ilvl w:val="0"/>
          <w:numId w:val="84"/>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lastRenderedPageBreak/>
        <w:t>Red Secondary College (Jane</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base school) will pay Jane</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from the first day of Term 2 on an ongoing basis.</w:t>
      </w:r>
    </w:p>
    <w:p w14:paraId="510A940D"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 xml:space="preserve">Example 3 </w:t>
      </w:r>
      <w:r w:rsidRPr="004D307F">
        <w:rPr>
          <w:rFonts w:ascii="VIC" w:eastAsia="Times New Roman" w:hAnsi="VIC" w:cs="Arial" w:hint="eastAsia"/>
          <w:b/>
          <w:bCs/>
          <w:color w:val="011A3C"/>
          <w:sz w:val="27"/>
          <w:szCs w:val="27"/>
          <w:lang w:val="en" w:eastAsia="en-AU"/>
        </w:rPr>
        <w:t>—</w:t>
      </w:r>
      <w:r w:rsidRPr="004D307F">
        <w:rPr>
          <w:rFonts w:ascii="VIC" w:eastAsia="Times New Roman" w:hAnsi="VIC" w:cs="Arial"/>
          <w:b/>
          <w:bCs/>
          <w:color w:val="011A3C"/>
          <w:sz w:val="27"/>
          <w:szCs w:val="27"/>
          <w:lang w:val="en" w:eastAsia="en-AU"/>
        </w:rPr>
        <w:t xml:space="preserve"> Negotiated transfer date</w:t>
      </w:r>
    </w:p>
    <w:p w14:paraId="1DDEA804"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Ongoing staff member, Joseph Teacher, is transferring from Green Secondary College to Red Secondary College to fill a one year fixed-term contract.</w:t>
      </w:r>
    </w:p>
    <w:p w14:paraId="01E06D82"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The principal at Red Secondary College wants Joseph to start work at the school early to assist in preparing for a new program at the school. The start date is the 16 January and end date (return to base) is the 15 January the following year. Both principals have agreed to these dates and they have been entered into eduPay. Based on the dates entered into eduPay, Joseph</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is therefore charged as follows:</w:t>
      </w:r>
    </w:p>
    <w:p w14:paraId="19D5D5B7" w14:textId="77777777" w:rsidR="0096466B" w:rsidRPr="004D307F" w:rsidRDefault="0096466B" w:rsidP="00ED0863">
      <w:pPr>
        <w:numPr>
          <w:ilvl w:val="0"/>
          <w:numId w:val="85"/>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Red Secondary College will pay Joseph</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from 16 January until 15 January the following year.</w:t>
      </w:r>
    </w:p>
    <w:p w14:paraId="3B749DE2" w14:textId="77777777" w:rsidR="0096466B" w:rsidRPr="004D307F" w:rsidRDefault="0096466B" w:rsidP="00ED0863">
      <w:pPr>
        <w:numPr>
          <w:ilvl w:val="0"/>
          <w:numId w:val="85"/>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Green Secondary College (Joseph</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base school) will pay Joseph</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from 16 January in the following year on an ongoing basis.</w:t>
      </w:r>
    </w:p>
    <w:p w14:paraId="03D9ADC3"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Resigning teaching staff (including vacation periods)</w:t>
      </w:r>
    </w:p>
    <w:p w14:paraId="50EBD054" w14:textId="77777777" w:rsidR="0096466B" w:rsidRPr="004D307F" w:rsidRDefault="0096466B" w:rsidP="0096466B">
      <w:pPr>
        <w:spacing w:before="100" w:beforeAutospacing="1" w:after="100" w:afterAutospacing="1" w:line="288" w:lineRule="atLeast"/>
        <w:outlineLvl w:val="3"/>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Example 1 </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Staff member resigns on first day of term 1</w:t>
      </w:r>
    </w:p>
    <w:p w14:paraId="01A41317"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Staff member Lyn Teacher is resigning</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Arial"/>
          <w:color w:val="011A3C"/>
          <w:sz w:val="24"/>
          <w:szCs w:val="24"/>
          <w:lang w:val="en" w:eastAsia="en-AU"/>
        </w:rPr>
        <w:t>from Orange Primary School on the first day of Term 1 (further information can be found at</w:t>
      </w:r>
      <w:r w:rsidRPr="004D307F">
        <w:rPr>
          <w:rFonts w:ascii="Calibri" w:eastAsia="Times New Roman" w:hAnsi="Calibri" w:cs="Calibri" w:hint="eastAsia"/>
          <w:color w:val="011A3C"/>
          <w:sz w:val="24"/>
          <w:szCs w:val="24"/>
          <w:lang w:val="en" w:eastAsia="en-AU"/>
        </w:rPr>
        <w:t> </w:t>
      </w:r>
      <w:hyperlink r:id="rId203" w:history="1">
        <w:r w:rsidRPr="004D307F">
          <w:rPr>
            <w:rFonts w:ascii="VIC" w:eastAsia="Times New Roman" w:hAnsi="VIC" w:cs="Arial"/>
            <w:color w:val="011A3C"/>
            <w:sz w:val="24"/>
            <w:szCs w:val="24"/>
            <w:lang w:val="en" w:eastAsia="en-AU"/>
          </w:rPr>
          <w:t xml:space="preserve">Cessation of Employment </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Teaching Service</w:t>
        </w:r>
      </w:hyperlink>
      <w:r w:rsidRPr="004D307F">
        <w:rPr>
          <w:rFonts w:ascii="VIC" w:eastAsia="Times New Roman" w:hAnsi="VIC" w:cs="Arial"/>
          <w:color w:val="011A3C"/>
          <w:sz w:val="24"/>
          <w:szCs w:val="24"/>
          <w:lang w:val="en" w:eastAsia="en-AU"/>
        </w:rPr>
        <w:t>). Lyn is therefore charged as follows:</w:t>
      </w:r>
    </w:p>
    <w:p w14:paraId="0E7D1467" w14:textId="77777777" w:rsidR="0096466B" w:rsidRPr="004D307F" w:rsidRDefault="0096466B" w:rsidP="00ED0863">
      <w:pPr>
        <w:numPr>
          <w:ilvl w:val="0"/>
          <w:numId w:val="86"/>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Orange Primary School will pay Lyn</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from the first day of vacation to the last day of vacation.</w:t>
      </w:r>
    </w:p>
    <w:p w14:paraId="6F846BFD"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Fixed-term teaching staff (including vacation periods)</w:t>
      </w:r>
    </w:p>
    <w:p w14:paraId="462FB392" w14:textId="77777777" w:rsidR="0096466B" w:rsidRPr="004D307F" w:rsidRDefault="00901FCB" w:rsidP="0096466B">
      <w:pPr>
        <w:spacing w:before="100" w:beforeAutospacing="1" w:after="100" w:afterAutospacing="1" w:line="360" w:lineRule="atLeast"/>
        <w:rPr>
          <w:rFonts w:ascii="VIC" w:eastAsia="Times New Roman" w:hAnsi="VIC" w:cs="Arial"/>
          <w:color w:val="011A3C"/>
          <w:sz w:val="24"/>
          <w:szCs w:val="24"/>
          <w:lang w:val="en" w:eastAsia="en-AU"/>
        </w:rPr>
      </w:pPr>
      <w:hyperlink r:id="rId204" w:history="1">
        <w:r w:rsidR="0096466B" w:rsidRPr="004D307F">
          <w:rPr>
            <w:rFonts w:ascii="VIC" w:eastAsia="Times New Roman" w:hAnsi="VIC" w:cs="Arial"/>
            <w:color w:val="011A3C"/>
            <w:sz w:val="24"/>
            <w:szCs w:val="24"/>
            <w:lang w:val="en" w:eastAsia="en-AU"/>
          </w:rPr>
          <w:t>Recruitment in Schools</w:t>
        </w:r>
      </w:hyperlink>
      <w:r w:rsidR="0096466B" w:rsidRPr="004D307F">
        <w:rPr>
          <w:rFonts w:ascii="Calibri" w:eastAsia="Times New Roman" w:hAnsi="Calibri" w:cs="Calibri" w:hint="eastAsia"/>
          <w:color w:val="011A3C"/>
          <w:sz w:val="24"/>
          <w:szCs w:val="24"/>
          <w:lang w:val="en" w:eastAsia="en-AU"/>
        </w:rPr>
        <w:t> </w:t>
      </w:r>
      <w:r w:rsidR="0096466B" w:rsidRPr="004D307F">
        <w:rPr>
          <w:rFonts w:ascii="VIC" w:eastAsia="Times New Roman" w:hAnsi="VIC" w:cs="Arial"/>
          <w:color w:val="011A3C"/>
          <w:sz w:val="24"/>
          <w:szCs w:val="24"/>
          <w:lang w:val="en" w:eastAsia="en-AU"/>
        </w:rPr>
        <w:t>provides schools with clear guidelines on fixed-term teacher vacancies. The duration of the vacancy must include relevant school vacation periods. A Fixed term Teacher Vacancy Ready Reckoner</w:t>
      </w:r>
      <w:r w:rsidR="0096466B" w:rsidRPr="004D307F">
        <w:rPr>
          <w:rFonts w:ascii="Calibri" w:eastAsia="Times New Roman" w:hAnsi="Calibri" w:cs="Calibri" w:hint="eastAsia"/>
          <w:color w:val="011A3C"/>
          <w:sz w:val="24"/>
          <w:szCs w:val="24"/>
          <w:lang w:val="en" w:eastAsia="en-AU"/>
        </w:rPr>
        <w:t> </w:t>
      </w:r>
      <w:r w:rsidR="0096466B" w:rsidRPr="004D307F">
        <w:rPr>
          <w:rFonts w:ascii="VIC" w:eastAsia="Times New Roman" w:hAnsi="VIC" w:cs="Arial"/>
          <w:color w:val="011A3C"/>
          <w:sz w:val="24"/>
          <w:szCs w:val="24"/>
          <w:lang w:val="en" w:eastAsia="en-AU"/>
        </w:rPr>
        <w:t xml:space="preserve">is available at </w:t>
      </w:r>
      <w:hyperlink r:id="rId205" w:history="1">
        <w:r w:rsidR="0096466B" w:rsidRPr="004D307F">
          <w:rPr>
            <w:rFonts w:ascii="VIC" w:eastAsia="Times New Roman" w:hAnsi="VIC" w:cs="Arial"/>
            <w:color w:val="011A3C"/>
            <w:sz w:val="24"/>
            <w:szCs w:val="24"/>
            <w:lang w:val="en" w:eastAsia="en-AU"/>
          </w:rPr>
          <w:t>Recruitment in Schools</w:t>
        </w:r>
      </w:hyperlink>
      <w:r w:rsidR="0096466B" w:rsidRPr="004D307F">
        <w:rPr>
          <w:rFonts w:ascii="VIC" w:eastAsia="Times New Roman" w:hAnsi="VIC" w:cs="Arial"/>
          <w:color w:val="011A3C"/>
          <w:sz w:val="24"/>
          <w:szCs w:val="24"/>
          <w:lang w:val="en" w:eastAsia="en-AU"/>
        </w:rPr>
        <w:t xml:space="preserve"> to assist schools in establishing the appropriate employment end date. Dates are reflected in eduPay and used to determine how schools should be charged.</w:t>
      </w:r>
    </w:p>
    <w:p w14:paraId="2F08C46D"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lastRenderedPageBreak/>
        <w:t xml:space="preserve">Example 1 </w:t>
      </w:r>
      <w:r w:rsidRPr="004D307F">
        <w:rPr>
          <w:rFonts w:ascii="VIC" w:eastAsia="Times New Roman" w:hAnsi="VIC" w:cs="Arial" w:hint="eastAsia"/>
          <w:b/>
          <w:bCs/>
          <w:color w:val="011A3C"/>
          <w:sz w:val="27"/>
          <w:szCs w:val="27"/>
          <w:lang w:val="en" w:eastAsia="en-AU"/>
        </w:rPr>
        <w:t>—</w:t>
      </w:r>
      <w:r w:rsidRPr="004D307F">
        <w:rPr>
          <w:rFonts w:ascii="VIC" w:eastAsia="Times New Roman" w:hAnsi="VIC" w:cs="Arial"/>
          <w:b/>
          <w:bCs/>
          <w:color w:val="011A3C"/>
          <w:sz w:val="27"/>
          <w:szCs w:val="27"/>
          <w:lang w:val="en" w:eastAsia="en-AU"/>
        </w:rPr>
        <w:t xml:space="preserve"> End of year vacation (fixed-term staff member worked term 3 and term 4)</w:t>
      </w:r>
    </w:p>
    <w:p w14:paraId="7E646202"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Orange Primary School fixed-term staff member, Elizabeth Teacher, has a new fixed-term position at Blue Primary School. She has worked as a fixed-term staff member at Orange starting on the first day of Term 3 and had no other employment before that date. Using the fixed-term ready reckoner, it is determined that, as Elizabeth did not work for the entire year, she is only paid through the holiday period to the end of her leave entitlement. Based on the dates entered into eduPay, Elizabeth is therefore charged as follows:</w:t>
      </w:r>
    </w:p>
    <w:p w14:paraId="6C10F3D0" w14:textId="77777777" w:rsidR="0096466B" w:rsidRPr="004D307F" w:rsidRDefault="0096466B" w:rsidP="00ED0863">
      <w:pPr>
        <w:numPr>
          <w:ilvl w:val="0"/>
          <w:numId w:val="87"/>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Orange Primary School will be charged Elizabeth</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from the first day of vacation to the end of leave entitlement.</w:t>
      </w:r>
    </w:p>
    <w:p w14:paraId="616673F6" w14:textId="77777777" w:rsidR="0096466B" w:rsidRPr="004D307F" w:rsidRDefault="0096466B" w:rsidP="00ED0863">
      <w:pPr>
        <w:numPr>
          <w:ilvl w:val="0"/>
          <w:numId w:val="87"/>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Elizabeth will not be paid from the end of leave entitlement to the last day of vacation and therefore there is no cost for any school to incur.</w:t>
      </w:r>
    </w:p>
    <w:p w14:paraId="327B98E2" w14:textId="77777777" w:rsidR="0096466B" w:rsidRPr="004D307F" w:rsidRDefault="0096466B" w:rsidP="00ED0863">
      <w:pPr>
        <w:numPr>
          <w:ilvl w:val="0"/>
          <w:numId w:val="87"/>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Blue Primary school will be charged for Elizabeth</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from the first day of Term 1 until the end of her contract.</w:t>
      </w:r>
    </w:p>
    <w:p w14:paraId="4AA4DAE3"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 xml:space="preserve">Example 2 </w:t>
      </w:r>
      <w:r w:rsidRPr="004D307F">
        <w:rPr>
          <w:rFonts w:ascii="VIC" w:eastAsia="Times New Roman" w:hAnsi="VIC" w:cs="Arial" w:hint="eastAsia"/>
          <w:b/>
          <w:bCs/>
          <w:color w:val="011A3C"/>
          <w:sz w:val="27"/>
          <w:szCs w:val="27"/>
          <w:lang w:val="en" w:eastAsia="en-AU"/>
        </w:rPr>
        <w:t>—</w:t>
      </w:r>
      <w:r w:rsidRPr="004D307F">
        <w:rPr>
          <w:rFonts w:ascii="VIC" w:eastAsia="Times New Roman" w:hAnsi="VIC" w:cs="Arial"/>
          <w:b/>
          <w:bCs/>
          <w:color w:val="011A3C"/>
          <w:sz w:val="27"/>
          <w:szCs w:val="27"/>
          <w:lang w:val="en" w:eastAsia="en-AU"/>
        </w:rPr>
        <w:t xml:space="preserve"> Term 1 vacation</w:t>
      </w:r>
    </w:p>
    <w:p w14:paraId="316E0690"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Fixed-term staff member, Jane Support, has a new contract at Green Secondary College for Term 2. She currently has a contract with Red Secondary College for Term 1. Based on the dates entered into eduPay, Jane is therefore charged as follows:</w:t>
      </w:r>
    </w:p>
    <w:p w14:paraId="64FEA2D1" w14:textId="77777777" w:rsidR="0096466B" w:rsidRPr="004D307F" w:rsidRDefault="0096466B" w:rsidP="00ED0863">
      <w:pPr>
        <w:numPr>
          <w:ilvl w:val="0"/>
          <w:numId w:val="88"/>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Red Secondary College will be charged Jane</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from the first day of Term 1 to the last day of vacation.</w:t>
      </w:r>
    </w:p>
    <w:p w14:paraId="17B92A55" w14:textId="77777777" w:rsidR="0096466B" w:rsidRPr="004D307F" w:rsidRDefault="0096466B" w:rsidP="00ED0863">
      <w:pPr>
        <w:numPr>
          <w:ilvl w:val="0"/>
          <w:numId w:val="88"/>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From the first day of Term 2 onwards Green Secondary College will be charged Jane</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w:t>
      </w:r>
    </w:p>
    <w:p w14:paraId="3599C2C4"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Higher duties (including vacation periods)</w:t>
      </w:r>
    </w:p>
    <w:p w14:paraId="66D1A268"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An employee in the principal or teacher class, who is assigned higher duties for a period that includes a school vacation period, will continue to be paid the allowance during the school vacation period. Higher duties assignments commence from the date of taking up the duty and cease at the end of the assignment period, or the last day of the school year, whichever is the earlier. Where an employee is in receipt of a higher duties allowance for at least one month immediately prior to the last day of the school year, he/she shall be </w:t>
      </w:r>
      <w:r w:rsidRPr="004D307F">
        <w:rPr>
          <w:rFonts w:ascii="VIC" w:eastAsia="Times New Roman" w:hAnsi="VIC" w:cs="Arial"/>
          <w:color w:val="011A3C"/>
          <w:sz w:val="24"/>
          <w:szCs w:val="24"/>
          <w:lang w:val="en" w:eastAsia="en-AU"/>
        </w:rPr>
        <w:lastRenderedPageBreak/>
        <w:t>paid the allowance to 31 December of that year. For more information refer to</w:t>
      </w:r>
      <w:r w:rsidRPr="004D307F">
        <w:rPr>
          <w:rFonts w:ascii="Calibri" w:eastAsia="Times New Roman" w:hAnsi="Calibri" w:cs="Calibri" w:hint="eastAsia"/>
          <w:color w:val="011A3C"/>
          <w:sz w:val="24"/>
          <w:szCs w:val="24"/>
          <w:lang w:val="en" w:eastAsia="en-AU"/>
        </w:rPr>
        <w:t> </w:t>
      </w:r>
      <w:hyperlink r:id="rId206" w:history="1">
        <w:r w:rsidRPr="004D307F">
          <w:rPr>
            <w:rFonts w:ascii="VIC" w:eastAsia="Times New Roman" w:hAnsi="VIC" w:cs="Arial"/>
            <w:color w:val="011A3C"/>
            <w:sz w:val="24"/>
            <w:szCs w:val="24"/>
            <w:lang w:val="en" w:eastAsia="en-AU"/>
          </w:rPr>
          <w:t xml:space="preserve">Higher Duties </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Teaching Service</w:t>
        </w:r>
      </w:hyperlink>
      <w:r w:rsidRPr="004D307F">
        <w:rPr>
          <w:rFonts w:ascii="VIC" w:eastAsia="Times New Roman" w:hAnsi="VIC" w:cs="Arial"/>
          <w:color w:val="011A3C"/>
          <w:sz w:val="24"/>
          <w:szCs w:val="24"/>
          <w:lang w:val="en" w:eastAsia="en-AU"/>
        </w:rPr>
        <w:t>.</w:t>
      </w:r>
    </w:p>
    <w:p w14:paraId="13505B62"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 xml:space="preserve">Example 1 </w:t>
      </w:r>
      <w:r w:rsidRPr="004D307F">
        <w:rPr>
          <w:rFonts w:ascii="VIC" w:eastAsia="Times New Roman" w:hAnsi="VIC" w:cs="Arial" w:hint="eastAsia"/>
          <w:b/>
          <w:bCs/>
          <w:color w:val="011A3C"/>
          <w:sz w:val="27"/>
          <w:szCs w:val="27"/>
          <w:lang w:val="en" w:eastAsia="en-AU"/>
        </w:rPr>
        <w:t>—</w:t>
      </w:r>
      <w:r w:rsidRPr="004D307F">
        <w:rPr>
          <w:rFonts w:ascii="VIC" w:eastAsia="Times New Roman" w:hAnsi="VIC" w:cs="Arial"/>
          <w:b/>
          <w:bCs/>
          <w:color w:val="011A3C"/>
          <w:sz w:val="27"/>
          <w:szCs w:val="27"/>
          <w:lang w:val="en" w:eastAsia="en-AU"/>
        </w:rPr>
        <w:t xml:space="preserve"> Term vacation</w:t>
      </w:r>
    </w:p>
    <w:p w14:paraId="0CCE6BC9" w14:textId="5056C77B"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Ongoing staff member, Edward Teacher, has been given higher duties as an Assistant Principal at Green Secondary College for Term 2. He is currently an ongoing teacher at Red Secondary College. For more information refer to:</w:t>
      </w:r>
      <w:r w:rsidRPr="004D307F">
        <w:rPr>
          <w:rFonts w:ascii="Calibri" w:eastAsia="Times New Roman" w:hAnsi="Calibri" w:cs="Calibri" w:hint="eastAsia"/>
          <w:color w:val="011A3C"/>
          <w:sz w:val="24"/>
          <w:szCs w:val="24"/>
          <w:lang w:val="en" w:eastAsia="en-AU"/>
        </w:rPr>
        <w:t> </w:t>
      </w:r>
      <w:hyperlink r:id="rId207" w:history="1">
        <w:r w:rsidRPr="004D307F">
          <w:rPr>
            <w:rFonts w:ascii="VIC" w:eastAsia="Times New Roman" w:hAnsi="VIC" w:cs="Arial"/>
            <w:color w:val="011A3C"/>
            <w:sz w:val="24"/>
            <w:szCs w:val="24"/>
            <w:lang w:val="en" w:eastAsia="en-AU"/>
          </w:rPr>
          <w:t>Transfer and Promotion for Teaching Service</w:t>
        </w:r>
      </w:hyperlink>
      <w:r w:rsidRPr="004D307F">
        <w:rPr>
          <w:rFonts w:ascii="Calibri" w:eastAsia="Times New Roman" w:hAnsi="Calibri" w:cs="Calibri" w:hint="eastAsia"/>
          <w:color w:val="011A3C"/>
          <w:sz w:val="24"/>
          <w:szCs w:val="24"/>
          <w:lang w:val="en" w:eastAsia="en-AU"/>
        </w:rPr>
        <w:t> </w:t>
      </w:r>
      <w:r w:rsidRPr="004D307F">
        <w:rPr>
          <w:rFonts w:ascii="VIC" w:eastAsia="Times New Roman" w:hAnsi="VIC" w:cs="Arial"/>
          <w:color w:val="011A3C"/>
          <w:sz w:val="24"/>
          <w:szCs w:val="24"/>
          <w:lang w:val="en" w:eastAsia="en-AU"/>
        </w:rPr>
        <w:t>(including over vacation periods).</w:t>
      </w:r>
    </w:p>
    <w:p w14:paraId="6609C5CD"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Based on the dates entered into eduPay, Edward is therefore charged as follows:</w:t>
      </w:r>
    </w:p>
    <w:p w14:paraId="1FF623C3" w14:textId="3AECC44C" w:rsidR="0096466B" w:rsidRPr="004D307F" w:rsidRDefault="0096466B" w:rsidP="00ED0863">
      <w:pPr>
        <w:numPr>
          <w:ilvl w:val="0"/>
          <w:numId w:val="89"/>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Green Secondary College will be charged</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Arial"/>
          <w:color w:val="011A3C"/>
          <w:sz w:val="24"/>
          <w:szCs w:val="24"/>
          <w:lang w:val="en" w:eastAsia="en-AU"/>
        </w:rPr>
        <w:t>Edward</w:t>
      </w:r>
      <w:r w:rsidRPr="004D307F">
        <w:rPr>
          <w:rFonts w:ascii="VIC" w:eastAsia="Times New Roman" w:hAnsi="VIC" w:cs="VIC" w:hint="eastAsia"/>
          <w:color w:val="011A3C"/>
          <w:sz w:val="24"/>
          <w:szCs w:val="24"/>
          <w:lang w:val="en" w:eastAsia="en-AU"/>
        </w:rPr>
        <w:t>’</w:t>
      </w:r>
      <w:r w:rsidRPr="004D307F">
        <w:rPr>
          <w:rFonts w:ascii="VIC" w:eastAsia="Times New Roman" w:hAnsi="VIC" w:cs="Arial"/>
          <w:color w:val="011A3C"/>
          <w:sz w:val="24"/>
          <w:szCs w:val="24"/>
          <w:lang w:val="en" w:eastAsia="en-AU"/>
        </w:rPr>
        <w:t>s salary from the first day of Term 2 until the last day of vacation.</w:t>
      </w:r>
    </w:p>
    <w:p w14:paraId="40C6C4F5" w14:textId="77777777" w:rsidR="0096466B" w:rsidRPr="004D307F" w:rsidRDefault="0096466B" w:rsidP="00ED0863">
      <w:pPr>
        <w:numPr>
          <w:ilvl w:val="0"/>
          <w:numId w:val="89"/>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Red Secondary College will be charged from the first day of Term 3 onwards for Edward</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substantive salary.</w:t>
      </w:r>
    </w:p>
    <w:p w14:paraId="247ED208"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Salary mischarges</w:t>
      </w:r>
    </w:p>
    <w:p w14:paraId="304C4D61"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Salary mischarging amendments can be submitted by schools for situations such as staff charged to the incorrect budget category, for example Teaching Support to Integration Aide or to arrange split ledgers between schools.</w:t>
      </w:r>
    </w:p>
    <w:p w14:paraId="7A415F39"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For amendments related to leave, refer to:</w:t>
      </w:r>
      <w:r w:rsidRPr="004D307F">
        <w:rPr>
          <w:rFonts w:ascii="Calibri" w:eastAsia="Times New Roman" w:hAnsi="Calibri" w:cs="Calibri" w:hint="eastAsia"/>
          <w:color w:val="011A3C"/>
          <w:sz w:val="24"/>
          <w:szCs w:val="24"/>
          <w:lang w:val="en" w:eastAsia="en-AU"/>
        </w:rPr>
        <w:t> </w:t>
      </w:r>
      <w:hyperlink r:id="rId208" w:history="1">
        <w:r w:rsidRPr="004D307F">
          <w:rPr>
            <w:rFonts w:ascii="VIC" w:eastAsia="Times New Roman" w:hAnsi="VIC" w:cs="Arial"/>
            <w:color w:val="011A3C"/>
            <w:sz w:val="24"/>
            <w:szCs w:val="24"/>
            <w:lang w:val="en" w:eastAsia="en-AU"/>
          </w:rPr>
          <w:t>Relief Staffing</w:t>
        </w:r>
      </w:hyperlink>
      <w:r w:rsidRPr="004D307F">
        <w:rPr>
          <w:rFonts w:ascii="VIC" w:eastAsia="Times New Roman" w:hAnsi="VIC" w:cs="Arial"/>
          <w:color w:val="011A3C"/>
          <w:sz w:val="24"/>
          <w:szCs w:val="24"/>
          <w:lang w:val="en" w:eastAsia="en-AU"/>
        </w:rPr>
        <w:t>.</w:t>
      </w:r>
    </w:p>
    <w:p w14:paraId="38EEF782"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Salary amendments can be submitted by accessing the </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Salary mischarging amendment form</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(SMAF) tab, available on the </w:t>
      </w:r>
      <w:hyperlink r:id="rId209" w:history="1">
        <w:r w:rsidRPr="004D307F">
          <w:rPr>
            <w:rFonts w:ascii="VIC" w:eastAsia="Times New Roman" w:hAnsi="VIC" w:cs="Arial"/>
            <w:color w:val="011A3C"/>
            <w:sz w:val="24"/>
            <w:szCs w:val="24"/>
            <w:lang w:val="en" w:eastAsia="en-AU"/>
          </w:rPr>
          <w:t>SRP Portal</w:t>
        </w:r>
      </w:hyperlink>
      <w:r w:rsidRPr="004D307F">
        <w:rPr>
          <w:rFonts w:ascii="VIC" w:eastAsia="Times New Roman" w:hAnsi="VIC" w:cs="Arial"/>
          <w:color w:val="011A3C"/>
          <w:sz w:val="24"/>
          <w:szCs w:val="24"/>
          <w:lang w:val="en" w:eastAsia="en-AU"/>
        </w:rPr>
        <w:t>. Instructions are provided as part of the system and it is recommended you print these prior to undertaking an electronic mischarge correction.</w:t>
      </w:r>
    </w:p>
    <w:p w14:paraId="4299FBFC"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On-costs: SRP</w:t>
      </w:r>
    </w:p>
    <w:p w14:paraId="2864D082"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Funds are included in the budget to meet salary on-costs associated with the payment of salaries and allowances on eduPay. These on-costs comprise payroll tax and superannuation. This funding is not separately itemised within the budget. When hiring staff, it is important to factor in these on-costs.</w:t>
      </w:r>
    </w:p>
    <w:p w14:paraId="3E9FDC86"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lastRenderedPageBreak/>
        <w:t>Superannuation</w:t>
      </w:r>
    </w:p>
    <w:p w14:paraId="15DBDD98" w14:textId="58917BB3"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Superannuation is cost neutral as it is funded and charged at the same level based on the total credit allocation within the SRP. The rate at which superannuation is funded and charged each year can fluctuate. Superannuation expenditure is shown as a separate line in the </w:t>
      </w:r>
      <w:hyperlink r:id="rId210" w:history="1">
        <w:r w:rsidRPr="004D307F">
          <w:rPr>
            <w:rFonts w:ascii="VIC" w:eastAsia="Times New Roman" w:hAnsi="VIC" w:cs="Arial"/>
            <w:color w:val="011A3C"/>
            <w:sz w:val="24"/>
            <w:szCs w:val="24"/>
            <w:lang w:val="en" w:eastAsia="en-AU"/>
          </w:rPr>
          <w:t>School Budget Management Report</w:t>
        </w:r>
      </w:hyperlink>
      <w:r w:rsidRPr="004D307F">
        <w:rPr>
          <w:rFonts w:ascii="VIC" w:eastAsia="Times New Roman" w:hAnsi="VIC" w:cs="Arial"/>
          <w:color w:val="011A3C"/>
          <w:sz w:val="24"/>
          <w:szCs w:val="24"/>
          <w:lang w:val="en" w:eastAsia="en-AU"/>
        </w:rPr>
        <w:t xml:space="preserve">. If salary expenditure exceeds the credit </w:t>
      </w:r>
      <w:r w:rsidR="00F80BBD" w:rsidRPr="004D307F">
        <w:rPr>
          <w:rFonts w:ascii="VIC" w:eastAsia="Times New Roman" w:hAnsi="VIC" w:cs="Arial"/>
          <w:color w:val="011A3C"/>
          <w:sz w:val="24"/>
          <w:szCs w:val="24"/>
          <w:lang w:val="en" w:eastAsia="en-AU"/>
        </w:rPr>
        <w:t>allocation,</w:t>
      </w:r>
      <w:r w:rsidRPr="004D307F">
        <w:rPr>
          <w:rFonts w:ascii="VIC" w:eastAsia="Times New Roman" w:hAnsi="VIC" w:cs="Arial"/>
          <w:color w:val="011A3C"/>
          <w:sz w:val="24"/>
          <w:szCs w:val="24"/>
          <w:lang w:val="en" w:eastAsia="en-AU"/>
        </w:rPr>
        <w:t xml:space="preserve"> then additional superannuation may be charged (refer to the next section). The superannuation rate for 202</w:t>
      </w:r>
      <w:r w:rsidR="005A2BF2" w:rsidRPr="004D307F">
        <w:rPr>
          <w:rFonts w:ascii="VIC" w:eastAsia="Times New Roman" w:hAnsi="VIC" w:cs="Arial"/>
          <w:color w:val="011A3C"/>
          <w:sz w:val="24"/>
          <w:szCs w:val="24"/>
          <w:lang w:val="en" w:eastAsia="en-AU"/>
        </w:rPr>
        <w:t>2</w:t>
      </w:r>
      <w:r w:rsidRPr="004D307F">
        <w:rPr>
          <w:rFonts w:ascii="VIC" w:eastAsia="Times New Roman" w:hAnsi="VIC" w:cs="Arial"/>
          <w:color w:val="011A3C"/>
          <w:sz w:val="24"/>
          <w:szCs w:val="24"/>
          <w:lang w:val="en" w:eastAsia="en-AU"/>
        </w:rPr>
        <w:t xml:space="preserve"> is 8.5%.</w:t>
      </w:r>
    </w:p>
    <w:p w14:paraId="2ED0CCB0" w14:textId="5B25FFF2" w:rsidR="0096466B" w:rsidRPr="004D307F" w:rsidRDefault="002B743A"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C</w:t>
      </w:r>
      <w:r w:rsidR="0096466B" w:rsidRPr="004D307F">
        <w:rPr>
          <w:rFonts w:ascii="VIC" w:eastAsia="Times New Roman" w:hAnsi="VIC" w:cs="Arial"/>
          <w:b/>
          <w:bCs/>
          <w:color w:val="011A3C"/>
          <w:sz w:val="27"/>
          <w:szCs w:val="27"/>
          <w:lang w:val="en" w:eastAsia="en-AU"/>
        </w:rPr>
        <w:t>alculation:</w:t>
      </w:r>
    </w:p>
    <w:p w14:paraId="1B4945D2"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[Superannuation] = ( [Total Credit Budget] </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[Workers</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Compensation Budget] ) </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[Super Rate]</w:t>
      </w:r>
    </w:p>
    <w:p w14:paraId="65084082"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Additional super</w:t>
      </w:r>
    </w:p>
    <w:p w14:paraId="089FB66A"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If a school</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credit expenditure generates a superannuation charge in excess of the funded superannuation amount, then additional superannuation may be charged. Any carry forward surplus on which superannuation was charged, using previous year(s) prevailing rates, is excluded from the calculation. This adjustment cannot make the additional superannuation figure negative and additional super cannot be zero or less.</w:t>
      </w:r>
    </w:p>
    <w:p w14:paraId="7225A54B"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Calibri" w:eastAsia="Times New Roman" w:hAnsi="Calibri" w:cs="Calibri"/>
          <w:b/>
          <w:bCs/>
          <w:color w:val="011A3C"/>
          <w:sz w:val="27"/>
          <w:szCs w:val="27"/>
          <w:lang w:val="en" w:eastAsia="en-AU"/>
        </w:rPr>
        <w:t> </w:t>
      </w:r>
      <w:r w:rsidRPr="004D307F">
        <w:rPr>
          <w:rFonts w:ascii="VIC" w:eastAsia="Times New Roman" w:hAnsi="VIC" w:cs="Arial"/>
          <w:b/>
          <w:bCs/>
          <w:color w:val="011A3C"/>
          <w:sz w:val="27"/>
          <w:szCs w:val="27"/>
          <w:lang w:val="en" w:eastAsia="en-AU"/>
        </w:rPr>
        <w:t>Calculation:</w:t>
      </w:r>
    </w:p>
    <w:p w14:paraId="29433591"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Additional Super = (Credit Expenditure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VIC" w:hint="eastAsia"/>
          <w:color w:val="011A3C"/>
          <w:sz w:val="24"/>
          <w:szCs w:val="24"/>
          <w:lang w:val="en" w:eastAsia="en-AU"/>
        </w:rPr>
        <w:t>×</w:t>
      </w:r>
      <w:r w:rsidRPr="004D307F">
        <w:rPr>
          <w:rFonts w:ascii="VIC" w:eastAsia="Times New Roman" w:hAnsi="VIC" w:cs="Arial"/>
          <w:color w:val="011A3C"/>
          <w:sz w:val="24"/>
          <w:szCs w:val="24"/>
          <w:lang w:val="en" w:eastAsia="en-AU"/>
        </w:rPr>
        <w:t xml:space="preserve"> Super Rate) - Superannuation</w:t>
      </w:r>
    </w:p>
    <w:p w14:paraId="126AD751"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Additional Super (with a surplus carried forward) = (Credit Expenditure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VIC" w:hint="eastAsia"/>
          <w:color w:val="011A3C"/>
          <w:sz w:val="24"/>
          <w:szCs w:val="24"/>
          <w:lang w:val="en" w:eastAsia="en-AU"/>
        </w:rPr>
        <w:t>×</w:t>
      </w:r>
      <w:r w:rsidRPr="004D307F">
        <w:rPr>
          <w:rFonts w:ascii="VIC" w:eastAsia="Times New Roman" w:hAnsi="VIC" w:cs="Arial"/>
          <w:color w:val="011A3C"/>
          <w:sz w:val="24"/>
          <w:szCs w:val="24"/>
          <w:lang w:val="en" w:eastAsia="en-AU"/>
        </w:rPr>
        <w:t xml:space="preserve"> Super Rate) - Superannuation - (Surplus Carried Forward </w:t>
      </w:r>
      <w:r w:rsidRPr="004D307F">
        <w:rPr>
          <w:rFonts w:ascii="VIC" w:eastAsia="Times New Roman" w:hAnsi="VIC" w:cs="VIC" w:hint="eastAsia"/>
          <w:color w:val="011A3C"/>
          <w:sz w:val="24"/>
          <w:szCs w:val="24"/>
          <w:lang w:val="en" w:eastAsia="en-AU"/>
        </w:rPr>
        <w:t>×</w:t>
      </w:r>
      <w:r w:rsidRPr="004D307F">
        <w:rPr>
          <w:rFonts w:ascii="VIC" w:eastAsia="Times New Roman" w:hAnsi="VIC" w:cs="Arial"/>
          <w:color w:val="011A3C"/>
          <w:sz w:val="24"/>
          <w:szCs w:val="24"/>
          <w:lang w:val="en" w:eastAsia="en-AU"/>
        </w:rPr>
        <w:t xml:space="preserve"> Previous Year Super Rate)</w:t>
      </w:r>
    </w:p>
    <w:p w14:paraId="27D2F786"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Where:</w:t>
      </w:r>
    </w:p>
    <w:p w14:paraId="636E92E3" w14:textId="5C050E10" w:rsidR="0096466B" w:rsidRPr="004D307F" w:rsidRDefault="0096466B" w:rsidP="00ED0863">
      <w:pPr>
        <w:numPr>
          <w:ilvl w:val="0"/>
          <w:numId w:val="90"/>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Credit Expenditure = Total credit expenditure excluding Workers</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Compensation, </w:t>
      </w:r>
      <w:r w:rsidR="00F32009" w:rsidRPr="004D307F">
        <w:rPr>
          <w:rFonts w:ascii="VIC" w:eastAsia="Times New Roman" w:hAnsi="VIC" w:cs="Arial"/>
          <w:color w:val="011A3C"/>
          <w:sz w:val="24"/>
          <w:szCs w:val="24"/>
          <w:lang w:val="en" w:eastAsia="en-AU"/>
        </w:rPr>
        <w:t xml:space="preserve">Teaching Practice Supervision, </w:t>
      </w:r>
      <w:r w:rsidRPr="004D307F">
        <w:rPr>
          <w:rFonts w:ascii="VIC" w:eastAsia="Times New Roman" w:hAnsi="VIC" w:cs="Arial"/>
          <w:color w:val="011A3C"/>
          <w:sz w:val="24"/>
          <w:szCs w:val="24"/>
          <w:lang w:val="en" w:eastAsia="en-AU"/>
        </w:rPr>
        <w:t xml:space="preserve">Additional Super, </w:t>
      </w:r>
      <w:hyperlink r:id="rId211" w:history="1">
        <w:r w:rsidRPr="004D307F">
          <w:rPr>
            <w:rFonts w:ascii="VIC" w:eastAsia="Times New Roman" w:hAnsi="VIC" w:cs="Arial"/>
            <w:color w:val="011A3C"/>
            <w:sz w:val="24"/>
            <w:szCs w:val="24"/>
            <w:lang w:val="en" w:eastAsia="en-AU"/>
          </w:rPr>
          <w:t>Credit</w:t>
        </w:r>
        <w:r w:rsidR="00F32009" w:rsidRPr="004D307F">
          <w:rPr>
            <w:rFonts w:ascii="VIC" w:eastAsia="Times New Roman" w:hAnsi="VIC" w:cs="Arial"/>
            <w:color w:val="011A3C"/>
            <w:sz w:val="24"/>
            <w:szCs w:val="24"/>
            <w:lang w:val="en" w:eastAsia="en-AU"/>
          </w:rPr>
          <w:t>/</w:t>
        </w:r>
        <w:r w:rsidRPr="004D307F">
          <w:rPr>
            <w:rFonts w:ascii="VIC" w:eastAsia="Times New Roman" w:hAnsi="VIC" w:cs="Arial"/>
            <w:color w:val="011A3C"/>
            <w:sz w:val="24"/>
            <w:szCs w:val="24"/>
            <w:lang w:val="en" w:eastAsia="en-AU"/>
          </w:rPr>
          <w:t xml:space="preserve"> Cash Transfers</w:t>
        </w:r>
      </w:hyperlink>
      <w:r w:rsidRPr="004D307F">
        <w:rPr>
          <w:rFonts w:ascii="VIC" w:eastAsia="Times New Roman" w:hAnsi="VIC" w:cs="Arial"/>
          <w:color w:val="011A3C"/>
          <w:sz w:val="24"/>
          <w:szCs w:val="24"/>
          <w:lang w:val="en" w:eastAsia="en-AU"/>
        </w:rPr>
        <w:t xml:space="preserve"> or administrative adjustments.</w:t>
      </w:r>
    </w:p>
    <w:p w14:paraId="24060C0C" w14:textId="77777777" w:rsidR="0096466B" w:rsidRPr="004D307F" w:rsidRDefault="0096466B" w:rsidP="00ED0863">
      <w:pPr>
        <w:numPr>
          <w:ilvl w:val="0"/>
          <w:numId w:val="90"/>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Super Rate = Superannuation rate for the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Arial"/>
          <w:color w:val="011A3C"/>
          <w:sz w:val="24"/>
          <w:szCs w:val="24"/>
          <w:lang w:val="en" w:eastAsia="en-AU"/>
        </w:rPr>
        <w:t>current budget year.</w:t>
      </w:r>
    </w:p>
    <w:p w14:paraId="1708EC52" w14:textId="77777777" w:rsidR="0096466B" w:rsidRPr="004D307F" w:rsidRDefault="0096466B" w:rsidP="00ED0863">
      <w:pPr>
        <w:numPr>
          <w:ilvl w:val="0"/>
          <w:numId w:val="90"/>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Previous Year Super Rate = Superannuation rate for the previous budget year.</w:t>
      </w:r>
    </w:p>
    <w:p w14:paraId="4C5ED5F6" w14:textId="77777777" w:rsidR="0096466B" w:rsidRPr="004D307F" w:rsidRDefault="0096466B" w:rsidP="00ED0863">
      <w:pPr>
        <w:numPr>
          <w:ilvl w:val="0"/>
          <w:numId w:val="90"/>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Superannuation = Superannuation amount charged to the school.</w:t>
      </w:r>
    </w:p>
    <w:p w14:paraId="6D4325D7" w14:textId="77777777" w:rsidR="0096466B" w:rsidRPr="004D307F" w:rsidRDefault="0096466B" w:rsidP="00ED0863">
      <w:pPr>
        <w:numPr>
          <w:ilvl w:val="0"/>
          <w:numId w:val="90"/>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lastRenderedPageBreak/>
        <w:t>Surplus carried forward = Surplus figure carried forward from previous year.</w:t>
      </w:r>
    </w:p>
    <w:p w14:paraId="440FA363"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Payroll tax</w:t>
      </w:r>
    </w:p>
    <w:p w14:paraId="26FBF797" w14:textId="6043684E"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Funding for payroll tax is included within the budget and is based on the credit expenditure for a school. The payroll tax rate for 202</w:t>
      </w:r>
      <w:r w:rsidR="005A2BF2" w:rsidRPr="004D307F">
        <w:rPr>
          <w:rFonts w:ascii="VIC" w:eastAsia="Times New Roman" w:hAnsi="VIC" w:cs="Arial"/>
          <w:color w:val="011A3C"/>
          <w:sz w:val="24"/>
          <w:szCs w:val="24"/>
          <w:lang w:val="en" w:eastAsia="en-AU"/>
        </w:rPr>
        <w:t>2</w:t>
      </w:r>
      <w:r w:rsidRPr="004D307F">
        <w:rPr>
          <w:rFonts w:ascii="VIC" w:eastAsia="Times New Roman" w:hAnsi="VIC" w:cs="Arial"/>
          <w:color w:val="011A3C"/>
          <w:sz w:val="24"/>
          <w:szCs w:val="24"/>
          <w:lang w:val="en" w:eastAsia="en-AU"/>
        </w:rPr>
        <w:t xml:space="preserve"> is 4.85%.</w:t>
      </w:r>
    </w:p>
    <w:p w14:paraId="2B56218A"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Calculation:</w:t>
      </w:r>
    </w:p>
    <w:p w14:paraId="22518220"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Payroll Tax = (Credit Expenditure </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Teaching Practice) </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Payroll Tax Rate</w:t>
      </w:r>
    </w:p>
    <w:p w14:paraId="2BF9DB0B"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Where:</w:t>
      </w:r>
    </w:p>
    <w:p w14:paraId="2B551189" w14:textId="77777777" w:rsidR="0096466B" w:rsidRPr="004D307F" w:rsidRDefault="0096466B" w:rsidP="00ED0863">
      <w:pPr>
        <w:numPr>
          <w:ilvl w:val="0"/>
          <w:numId w:val="91"/>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Credit expenditure = Total credit expenditure excluding Workers</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Compensation, CCT</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on-costs (superannuation, payroll tax, additional superannuation and so on), and administrative adjustments.</w:t>
      </w:r>
    </w:p>
    <w:p w14:paraId="798E74C1" w14:textId="77777777" w:rsidR="0096466B" w:rsidRPr="004D307F" w:rsidRDefault="0096466B" w:rsidP="00ED0863">
      <w:pPr>
        <w:numPr>
          <w:ilvl w:val="0"/>
          <w:numId w:val="91"/>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Teaching practice = The teaching practice supervision credit expenditure line is excluded from the payroll tax calculation.</w:t>
      </w:r>
    </w:p>
    <w:p w14:paraId="692214F5" w14:textId="46BBD5F9" w:rsidR="0096466B" w:rsidRPr="004D307F" w:rsidRDefault="0096466B" w:rsidP="00ED0863">
      <w:pPr>
        <w:numPr>
          <w:ilvl w:val="0"/>
          <w:numId w:val="91"/>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Payroll tax rate = Payroll tax rate for the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Arial"/>
          <w:color w:val="011A3C"/>
          <w:sz w:val="24"/>
          <w:szCs w:val="24"/>
          <w:lang w:val="en" w:eastAsia="en-AU"/>
        </w:rPr>
        <w:t>current budget year.</w:t>
      </w:r>
    </w:p>
    <w:p w14:paraId="5B8AFD27"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Sabbatical</w:t>
      </w:r>
    </w:p>
    <w:p w14:paraId="7E1EAE8F"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The participation of teachers in the sabbatical leave scheme is cost neutral to the SRP over the period of the scheme. Teachers participating in the scheme are charged to the SRP at 100 per cent of their salary at their relevant classification. The charge represents the actual cost of the teacher to the school over this period. When the staff member is on sabbatical leave, or receives a pay-out of their sabbatical, no charge is made to the school.</w:t>
      </w:r>
    </w:p>
    <w:p w14:paraId="7A1BABA4"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On-costs</w:t>
      </w:r>
    </w:p>
    <w:p w14:paraId="1294B0FC"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On-costs are calculated as a single line which can be seen on your </w:t>
      </w:r>
      <w:hyperlink r:id="rId212" w:history="1">
        <w:r w:rsidRPr="004D307F">
          <w:rPr>
            <w:rFonts w:ascii="VIC" w:eastAsia="Times New Roman" w:hAnsi="VIC" w:cs="Arial"/>
            <w:color w:val="011A3C"/>
            <w:sz w:val="24"/>
            <w:szCs w:val="24"/>
            <w:lang w:val="en" w:eastAsia="en-AU"/>
          </w:rPr>
          <w:t>Budget Management Report</w:t>
        </w:r>
      </w:hyperlink>
      <w:r w:rsidRPr="004D307F">
        <w:rPr>
          <w:rFonts w:ascii="VIC" w:eastAsia="Times New Roman" w:hAnsi="VIC" w:cs="Arial"/>
          <w:color w:val="011A3C"/>
          <w:sz w:val="24"/>
          <w:szCs w:val="24"/>
          <w:lang w:val="en" w:eastAsia="en-AU"/>
        </w:rPr>
        <w:t>. When budgeting to hire staff, it is important to factor in these on-costs.</w:t>
      </w:r>
      <w:r w:rsidRPr="004D307F">
        <w:rPr>
          <w:rFonts w:ascii="Calibri" w:eastAsia="Times New Roman" w:hAnsi="Calibri" w:cs="Calibri" w:hint="eastAsia"/>
          <w:color w:val="011A3C"/>
          <w:sz w:val="24"/>
          <w:szCs w:val="24"/>
          <w:lang w:val="en" w:eastAsia="en-AU"/>
        </w:rPr>
        <w:t> </w:t>
      </w:r>
    </w:p>
    <w:p w14:paraId="6D567781"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The on-costs figure is based on actual salary expenditure and, as such, it may vary throughout the course of the year based on projected expenditure.</w:t>
      </w:r>
    </w:p>
    <w:p w14:paraId="29338667"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Travel allowance</w:t>
      </w:r>
    </w:p>
    <w:p w14:paraId="38B7DEAE"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lastRenderedPageBreak/>
        <w:t>Travel allowance will be charged as a deduction against the school</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s cash line for the impacted program. This can be reviewed throughout the year on the School Budget Management and Cash reports. For information on administration and processes relating to travel allowance in eduPay refer to </w:t>
      </w:r>
      <w:hyperlink r:id="rId213" w:history="1">
        <w:r w:rsidRPr="004D307F">
          <w:rPr>
            <w:rFonts w:ascii="VIC" w:eastAsia="Times New Roman" w:hAnsi="VIC" w:cs="Arial"/>
            <w:color w:val="011A3C"/>
            <w:sz w:val="24"/>
            <w:szCs w:val="24"/>
            <w:lang w:val="en" w:eastAsia="en-AU"/>
          </w:rPr>
          <w:t xml:space="preserve">Travel and Personal Expenses </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Teaching Service</w:t>
        </w:r>
      </w:hyperlink>
      <w:r w:rsidRPr="004D307F">
        <w:rPr>
          <w:rFonts w:ascii="VIC" w:eastAsia="Times New Roman" w:hAnsi="VIC" w:cs="Arial"/>
          <w:color w:val="011A3C"/>
          <w:sz w:val="24"/>
          <w:szCs w:val="24"/>
          <w:lang w:val="en" w:eastAsia="en-AU"/>
        </w:rPr>
        <w:t>.</w:t>
      </w:r>
    </w:p>
    <w:p w14:paraId="00E69B12"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Principal salary charge</w:t>
      </w:r>
    </w:p>
    <w:p w14:paraId="29D7BD8F"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Special charging arrangements apply for the principal position in the SRP to ensure that the cost of the movement of principals</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salaries within classification scales is not borne by schools.</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Arial"/>
          <w:color w:val="011A3C"/>
          <w:sz w:val="24"/>
          <w:szCs w:val="24"/>
          <w:lang w:val="en" w:eastAsia="en-AU"/>
        </w:rPr>
        <w:t>This is achieved by ensuring the principal salary charge is consistent with the system of funding. Funding for the principal</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position is incorporated into the SRP formulae through the per-student rates and the enrolment-linked base.</w:t>
      </w:r>
      <w:r w:rsidRPr="004D307F">
        <w:rPr>
          <w:rFonts w:ascii="Calibri" w:eastAsia="Times New Roman" w:hAnsi="Calibri" w:cs="Calibri" w:hint="eastAsia"/>
          <w:color w:val="011A3C"/>
          <w:sz w:val="24"/>
          <w:szCs w:val="24"/>
          <w:lang w:val="en" w:eastAsia="en-AU"/>
        </w:rPr>
        <w:t> </w:t>
      </w:r>
    </w:p>
    <w:p w14:paraId="548FDD62" w14:textId="379AFFDE"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The principal's salary will be charged to the school according to the formulae below for primary, secondary and pri</w:t>
      </w:r>
      <w:r w:rsidR="006E113F" w:rsidRPr="004D307F">
        <w:rPr>
          <w:rFonts w:ascii="VIC" w:eastAsia="Times New Roman" w:hAnsi="VIC" w:cs="Arial"/>
          <w:color w:val="011A3C"/>
          <w:sz w:val="24"/>
          <w:szCs w:val="24"/>
          <w:lang w:val="en" w:eastAsia="en-AU"/>
        </w:rPr>
        <w:t>mary/</w:t>
      </w:r>
      <w:r w:rsidR="008A6CE0" w:rsidRPr="004D307F">
        <w:rPr>
          <w:rFonts w:ascii="VIC" w:eastAsia="Times New Roman" w:hAnsi="VIC" w:cs="Arial"/>
          <w:color w:val="011A3C"/>
          <w:sz w:val="24"/>
          <w:szCs w:val="24"/>
          <w:lang w:val="en" w:eastAsia="en-AU"/>
        </w:rPr>
        <w:t>secondary schools</w:t>
      </w:r>
      <w:r w:rsidRPr="004D307F">
        <w:rPr>
          <w:rFonts w:ascii="VIC" w:eastAsia="Times New Roman" w:hAnsi="VIC" w:cs="Arial"/>
          <w:color w:val="011A3C"/>
          <w:sz w:val="24"/>
          <w:szCs w:val="24"/>
          <w:lang w:val="en" w:eastAsia="en-AU"/>
        </w:rPr>
        <w:t>. In this way, the charge for the principal's salary is aligned with the amount effectively funded into the overall SRP model.</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6"/>
        <w:gridCol w:w="1774"/>
        <w:gridCol w:w="1291"/>
        <w:gridCol w:w="1250"/>
        <w:gridCol w:w="2236"/>
        <w:gridCol w:w="1362"/>
      </w:tblGrid>
      <w:tr w:rsidR="0096466B" w:rsidRPr="004D307F" w14:paraId="08CFD7FC" w14:textId="77777777" w:rsidTr="005C36EC">
        <w:trPr>
          <w:tblHeader/>
        </w:trPr>
        <w:tc>
          <w:tcPr>
            <w:tcW w:w="5000" w:type="pct"/>
            <w:gridSpan w:val="6"/>
            <w:vAlign w:val="center"/>
            <w:hideMark/>
          </w:tcPr>
          <w:p w14:paraId="2E2CD40E" w14:textId="77777777" w:rsidR="0096466B" w:rsidRPr="004D307F" w:rsidRDefault="0096466B" w:rsidP="003243F4">
            <w:pPr>
              <w:spacing w:before="100" w:beforeAutospacing="1" w:after="100" w:afterAutospacing="1" w:line="288" w:lineRule="atLeast"/>
              <w:outlineLvl w:val="2"/>
              <w:rPr>
                <w:rFonts w:ascii="VIC" w:eastAsia="Times New Roman" w:hAnsi="VIC" w:cs="Arial"/>
                <w:sz w:val="24"/>
                <w:szCs w:val="24"/>
                <w:lang w:eastAsia="en-AU"/>
              </w:rPr>
            </w:pPr>
            <w:r w:rsidRPr="004D307F">
              <w:rPr>
                <w:rFonts w:ascii="VIC" w:eastAsia="Times New Roman" w:hAnsi="VIC" w:cs="Arial"/>
                <w:b/>
                <w:bCs/>
                <w:color w:val="011A3C"/>
                <w:sz w:val="27"/>
                <w:szCs w:val="27"/>
                <w:lang w:val="en" w:eastAsia="en-AU"/>
              </w:rPr>
              <w:t>Principal salary charge</w:t>
            </w:r>
          </w:p>
        </w:tc>
      </w:tr>
      <w:tr w:rsidR="005C36EC" w:rsidRPr="004D307F" w14:paraId="1368989C" w14:textId="77777777" w:rsidTr="005C36EC">
        <w:trPr>
          <w:tblHeader/>
        </w:trPr>
        <w:tc>
          <w:tcPr>
            <w:tcW w:w="0" w:type="auto"/>
            <w:hideMark/>
          </w:tcPr>
          <w:p w14:paraId="289D892F" w14:textId="77777777" w:rsidR="0096466B" w:rsidRPr="004D307F" w:rsidRDefault="0096466B" w:rsidP="00ED4312">
            <w:pPr>
              <w:spacing w:after="0" w:line="240" w:lineRule="atLeast"/>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School Type</w:t>
            </w:r>
          </w:p>
        </w:tc>
        <w:tc>
          <w:tcPr>
            <w:tcW w:w="1006" w:type="pct"/>
            <w:hideMark/>
          </w:tcPr>
          <w:p w14:paraId="3EA4911D" w14:textId="77777777" w:rsidR="0096466B" w:rsidRPr="004D307F" w:rsidRDefault="0096466B" w:rsidP="00F80BBD">
            <w:pPr>
              <w:spacing w:after="0" w:line="24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Base</w:t>
            </w:r>
          </w:p>
        </w:tc>
        <w:tc>
          <w:tcPr>
            <w:tcW w:w="743" w:type="pct"/>
            <w:hideMark/>
          </w:tcPr>
          <w:p w14:paraId="4A5FD27C" w14:textId="77777777" w:rsidR="0096466B" w:rsidRPr="004D307F" w:rsidRDefault="0096466B" w:rsidP="00F80BBD">
            <w:pPr>
              <w:spacing w:after="0" w:line="24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Per student</w:t>
            </w:r>
          </w:p>
        </w:tc>
        <w:tc>
          <w:tcPr>
            <w:tcW w:w="585" w:type="pct"/>
            <w:hideMark/>
          </w:tcPr>
          <w:p w14:paraId="591ACDCA" w14:textId="77777777" w:rsidR="0096466B" w:rsidRPr="004D307F" w:rsidRDefault="0096466B" w:rsidP="00F80BBD">
            <w:pPr>
              <w:spacing w:after="0" w:line="24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Enrolment cap</w:t>
            </w:r>
          </w:p>
        </w:tc>
        <w:tc>
          <w:tcPr>
            <w:tcW w:w="1256" w:type="pct"/>
            <w:hideMark/>
          </w:tcPr>
          <w:p w14:paraId="7455AA0D" w14:textId="0897A89B" w:rsidR="0096466B" w:rsidRPr="004D307F" w:rsidRDefault="0096466B" w:rsidP="00F80BBD">
            <w:pPr>
              <w:spacing w:after="0" w:line="24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Total per capita</w:t>
            </w:r>
          </w:p>
        </w:tc>
        <w:tc>
          <w:tcPr>
            <w:tcW w:w="781" w:type="pct"/>
            <w:hideMark/>
          </w:tcPr>
          <w:p w14:paraId="1569B59A" w14:textId="77777777" w:rsidR="0096466B" w:rsidRPr="004D307F" w:rsidRDefault="0096466B" w:rsidP="00F80BBD">
            <w:pPr>
              <w:spacing w:after="0" w:line="24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Total charge</w:t>
            </w:r>
          </w:p>
        </w:tc>
      </w:tr>
      <w:tr w:rsidR="005C36EC" w:rsidRPr="004D307F" w14:paraId="0AD6B0A9" w14:textId="77777777" w:rsidTr="005C36EC">
        <w:tc>
          <w:tcPr>
            <w:tcW w:w="0" w:type="auto"/>
            <w:hideMark/>
          </w:tcPr>
          <w:p w14:paraId="2EB34CF9" w14:textId="77777777" w:rsidR="005C36EC" w:rsidRPr="004D307F" w:rsidRDefault="005C36EC" w:rsidP="005C36EC">
            <w:pPr>
              <w:spacing w:after="0" w:line="360" w:lineRule="atLeast"/>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Primary</w:t>
            </w:r>
          </w:p>
        </w:tc>
        <w:tc>
          <w:tcPr>
            <w:tcW w:w="1006" w:type="pct"/>
            <w:hideMark/>
          </w:tcPr>
          <w:p w14:paraId="2F9CBE0E" w14:textId="61199563"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$128,564</w:t>
            </w:r>
          </w:p>
        </w:tc>
        <w:tc>
          <w:tcPr>
            <w:tcW w:w="743" w:type="pct"/>
            <w:hideMark/>
          </w:tcPr>
          <w:p w14:paraId="2B33F182" w14:textId="2D84F1C6"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$83.89</w:t>
            </w:r>
          </w:p>
        </w:tc>
        <w:tc>
          <w:tcPr>
            <w:tcW w:w="585" w:type="pct"/>
            <w:hideMark/>
          </w:tcPr>
          <w:p w14:paraId="02C4DA94" w14:textId="77777777"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536</w:t>
            </w:r>
          </w:p>
        </w:tc>
        <w:tc>
          <w:tcPr>
            <w:tcW w:w="1256" w:type="pct"/>
            <w:hideMark/>
          </w:tcPr>
          <w:p w14:paraId="550204C7" w14:textId="603C079A"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$44,965.04</w:t>
            </w:r>
          </w:p>
        </w:tc>
        <w:tc>
          <w:tcPr>
            <w:tcW w:w="781" w:type="pct"/>
            <w:hideMark/>
          </w:tcPr>
          <w:p w14:paraId="497E3C28" w14:textId="79FC9481"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$173,529.04</w:t>
            </w:r>
          </w:p>
        </w:tc>
      </w:tr>
      <w:tr w:rsidR="005C36EC" w:rsidRPr="004D307F" w14:paraId="76CFC196" w14:textId="77777777" w:rsidTr="005C36EC">
        <w:tc>
          <w:tcPr>
            <w:tcW w:w="0" w:type="auto"/>
            <w:hideMark/>
          </w:tcPr>
          <w:p w14:paraId="69440CF9" w14:textId="77777777" w:rsidR="005C36EC" w:rsidRPr="004D307F" w:rsidRDefault="005C36EC" w:rsidP="005C36EC">
            <w:pPr>
              <w:spacing w:after="0" w:line="360" w:lineRule="atLeast"/>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Secondary</w:t>
            </w:r>
          </w:p>
        </w:tc>
        <w:tc>
          <w:tcPr>
            <w:tcW w:w="1006" w:type="pct"/>
            <w:hideMark/>
          </w:tcPr>
          <w:p w14:paraId="72B29488" w14:textId="69DA18D7"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$148,104</w:t>
            </w:r>
          </w:p>
        </w:tc>
        <w:tc>
          <w:tcPr>
            <w:tcW w:w="743" w:type="pct"/>
            <w:hideMark/>
          </w:tcPr>
          <w:p w14:paraId="47F90AB6" w14:textId="6EF7D33C"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$33.24</w:t>
            </w:r>
          </w:p>
        </w:tc>
        <w:tc>
          <w:tcPr>
            <w:tcW w:w="585" w:type="pct"/>
            <w:hideMark/>
          </w:tcPr>
          <w:p w14:paraId="381CB1C6" w14:textId="77777777"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1148</w:t>
            </w:r>
          </w:p>
        </w:tc>
        <w:tc>
          <w:tcPr>
            <w:tcW w:w="1256" w:type="pct"/>
            <w:hideMark/>
          </w:tcPr>
          <w:p w14:paraId="3FDCC19C" w14:textId="346F8A8D"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$38,159.52</w:t>
            </w:r>
          </w:p>
        </w:tc>
        <w:tc>
          <w:tcPr>
            <w:tcW w:w="781" w:type="pct"/>
            <w:hideMark/>
          </w:tcPr>
          <w:p w14:paraId="12FC5EDB" w14:textId="3623107A"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$186,263.52</w:t>
            </w:r>
          </w:p>
        </w:tc>
      </w:tr>
      <w:tr w:rsidR="005C36EC" w:rsidRPr="004D307F" w14:paraId="2E1590E8" w14:textId="77777777" w:rsidTr="005C36EC">
        <w:tc>
          <w:tcPr>
            <w:tcW w:w="0" w:type="auto"/>
            <w:hideMark/>
          </w:tcPr>
          <w:p w14:paraId="1B428304" w14:textId="04B18600" w:rsidR="005C36EC" w:rsidRPr="004D307F" w:rsidRDefault="005C36EC" w:rsidP="005C36EC">
            <w:pPr>
              <w:spacing w:after="0" w:line="360" w:lineRule="atLeast"/>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Pri-Sec combined</w:t>
            </w:r>
          </w:p>
        </w:tc>
        <w:tc>
          <w:tcPr>
            <w:tcW w:w="1006" w:type="pct"/>
            <w:hideMark/>
          </w:tcPr>
          <w:p w14:paraId="61A8FD1A" w14:textId="7A3BD635"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$152,112</w:t>
            </w:r>
          </w:p>
        </w:tc>
        <w:tc>
          <w:tcPr>
            <w:tcW w:w="743" w:type="pct"/>
            <w:hideMark/>
          </w:tcPr>
          <w:p w14:paraId="2B02C7AE" w14:textId="6495B0CE"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$34.00</w:t>
            </w:r>
          </w:p>
        </w:tc>
        <w:tc>
          <w:tcPr>
            <w:tcW w:w="585" w:type="pct"/>
            <w:hideMark/>
          </w:tcPr>
          <w:p w14:paraId="24B33401" w14:textId="77777777"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631</w:t>
            </w:r>
          </w:p>
        </w:tc>
        <w:tc>
          <w:tcPr>
            <w:tcW w:w="1256" w:type="pct"/>
            <w:hideMark/>
          </w:tcPr>
          <w:p w14:paraId="09DEE362" w14:textId="5DACAAEC"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$21,454.00</w:t>
            </w:r>
          </w:p>
        </w:tc>
        <w:tc>
          <w:tcPr>
            <w:tcW w:w="781" w:type="pct"/>
            <w:hideMark/>
          </w:tcPr>
          <w:p w14:paraId="46C5D1FC" w14:textId="442602A4"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$173,566.00</w:t>
            </w:r>
          </w:p>
        </w:tc>
      </w:tr>
    </w:tbl>
    <w:p w14:paraId="0C64DE64" w14:textId="77777777" w:rsidR="0096466B" w:rsidRPr="004D307F" w:rsidRDefault="0096466B" w:rsidP="0096466B">
      <w:pPr>
        <w:rPr>
          <w:rFonts w:ascii="VIC" w:hAnsi="VIC"/>
        </w:rPr>
      </w:pPr>
    </w:p>
    <w:p w14:paraId="14B44818" w14:textId="77777777" w:rsidR="0096466B" w:rsidRPr="004D307F" w:rsidRDefault="0096466B" w:rsidP="0096466B">
      <w:pPr>
        <w:rPr>
          <w:rFonts w:ascii="VIC" w:hAnsi="VIC"/>
        </w:rPr>
      </w:pPr>
      <w:r w:rsidRPr="004D307F">
        <w:rPr>
          <w:rFonts w:ascii="VIC" w:hAnsi="VIC"/>
        </w:rPr>
        <w:br w:type="page"/>
      </w:r>
    </w:p>
    <w:p w14:paraId="633E892C" w14:textId="79759A30" w:rsidR="0096466B" w:rsidRPr="004D307F" w:rsidRDefault="0096466B" w:rsidP="00B566E7">
      <w:pPr>
        <w:pStyle w:val="Heading2"/>
      </w:pPr>
      <w:bookmarkStart w:id="144" w:name="_Toc106793818"/>
      <w:r w:rsidRPr="004D307F">
        <w:lastRenderedPageBreak/>
        <w:t>Relief staffing</w:t>
      </w:r>
      <w:bookmarkEnd w:id="144"/>
    </w:p>
    <w:p w14:paraId="71214F9F"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Funds are incorporated into the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Student Resource Package (SRP) to enable schools to manage all of their short and long-term relief teaching requirements.</w:t>
      </w:r>
    </w:p>
    <w:p w14:paraId="25F88385"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There are exceptions in the nominated leave items outlined below. Relief funds are incorporated throughout the SRP formulae and are not separately identified.</w:t>
      </w:r>
    </w:p>
    <w:p w14:paraId="49DA496D"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Long-term leave is defined as leave of greater than 30 consecutive school days.</w:t>
      </w:r>
    </w:p>
    <w:p w14:paraId="563FB8B5" w14:textId="77777777" w:rsidR="0096466B" w:rsidRPr="004D307F" w:rsidRDefault="0096466B" w:rsidP="00ED0863">
      <w:pPr>
        <w:numPr>
          <w:ilvl w:val="0"/>
          <w:numId w:val="9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relief planning</w:t>
      </w:r>
    </w:p>
    <w:p w14:paraId="659DD6FC" w14:textId="77777777" w:rsidR="0096466B" w:rsidRPr="004D307F" w:rsidRDefault="0096466B" w:rsidP="00ED0863">
      <w:pPr>
        <w:numPr>
          <w:ilvl w:val="0"/>
          <w:numId w:val="9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nominated leave items</w:t>
      </w:r>
    </w:p>
    <w:p w14:paraId="734D7C94" w14:textId="77777777" w:rsidR="0096466B" w:rsidRPr="004D307F" w:rsidRDefault="0096466B" w:rsidP="00ED0863">
      <w:pPr>
        <w:numPr>
          <w:ilvl w:val="0"/>
          <w:numId w:val="9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relief funding</w:t>
      </w:r>
    </w:p>
    <w:p w14:paraId="7EB11D58" w14:textId="77777777" w:rsidR="0096466B" w:rsidRPr="004D307F" w:rsidRDefault="0096466B" w:rsidP="00ED0863">
      <w:pPr>
        <w:numPr>
          <w:ilvl w:val="0"/>
          <w:numId w:val="9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Defence Force leave</w:t>
      </w:r>
    </w:p>
    <w:p w14:paraId="6BBFA23E" w14:textId="77777777" w:rsidR="0096466B" w:rsidRPr="004D307F" w:rsidRDefault="0096466B" w:rsidP="00ED0863">
      <w:pPr>
        <w:numPr>
          <w:ilvl w:val="0"/>
          <w:numId w:val="9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long-term leave</w:t>
      </w:r>
    </w:p>
    <w:p w14:paraId="31C0064E" w14:textId="77777777" w:rsidR="0096466B" w:rsidRPr="004D307F" w:rsidRDefault="0096466B" w:rsidP="00ED0863">
      <w:pPr>
        <w:numPr>
          <w:ilvl w:val="0"/>
          <w:numId w:val="9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identification of a replacement</w:t>
      </w:r>
    </w:p>
    <w:p w14:paraId="2EBEB9D3" w14:textId="77777777" w:rsidR="0096466B" w:rsidRPr="004D307F" w:rsidRDefault="0096466B" w:rsidP="00ED0863">
      <w:pPr>
        <w:numPr>
          <w:ilvl w:val="0"/>
          <w:numId w:val="9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trailing holidays</w:t>
      </w:r>
    </w:p>
    <w:p w14:paraId="65EBA52C" w14:textId="77777777" w:rsidR="0096466B" w:rsidRPr="004D307F" w:rsidRDefault="0096466B" w:rsidP="00ED0863">
      <w:pPr>
        <w:numPr>
          <w:ilvl w:val="0"/>
          <w:numId w:val="9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teaching scholarship scheme</w:t>
      </w:r>
    </w:p>
    <w:p w14:paraId="1C2C7ACE"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Relief planning</w:t>
      </w:r>
    </w:p>
    <w:p w14:paraId="716FE0F0"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As part of the relief planning process, principals should consider the duties and expertise of all staff and allocate tasks accordingly. A reallocation of duties may be required in order to provide or maintain the desired curriculum or support provision in the school.</w:t>
      </w:r>
    </w:p>
    <w:p w14:paraId="6C15488D"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Replacement teaching staff are to be provided only when face-to-face teaching is required and where no internal resource is available. Contingency plans should be in place to provide for temporary re-organisation of teaching programs and extras to maintain necessary face-to-face teaching.</w:t>
      </w:r>
    </w:p>
    <w:p w14:paraId="078D42AF"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It is expected that principals will develop a school-based staff replacement plan and make adequate provision for relief costs to be met from within the total credit component of their SRP. Special support arrangements operate in respect of long-term leave via the 'Long-term Leave Support Scheme</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detailed below.</w:t>
      </w:r>
    </w:p>
    <w:p w14:paraId="5143F7FC"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lastRenderedPageBreak/>
        <w:t>Nominated leave items</w:t>
      </w:r>
    </w:p>
    <w:p w14:paraId="378D522B"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will be reimbursed for the cost of relief for the following types of leave:</w:t>
      </w:r>
    </w:p>
    <w:p w14:paraId="43960A5F" w14:textId="77777777" w:rsidR="0096466B" w:rsidRPr="004D307F" w:rsidRDefault="0096466B" w:rsidP="00ED0863">
      <w:pPr>
        <w:numPr>
          <w:ilvl w:val="0"/>
          <w:numId w:val="93"/>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long service leave and paid parental absences, for example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maternity, partner, other paid parental leave (over and under 30 days)</w:t>
      </w:r>
    </w:p>
    <w:p w14:paraId="6E18B4AD" w14:textId="77777777" w:rsidR="0096466B" w:rsidRPr="004D307F" w:rsidRDefault="0096466B" w:rsidP="00ED0863">
      <w:pPr>
        <w:numPr>
          <w:ilvl w:val="0"/>
          <w:numId w:val="93"/>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Workers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Compensation absences after the first 10 days (Workcover threshold)</w:t>
      </w:r>
    </w:p>
    <w:p w14:paraId="44D84CB4" w14:textId="77777777" w:rsidR="0096466B" w:rsidRPr="004D307F" w:rsidRDefault="0096466B" w:rsidP="00ED0863">
      <w:pPr>
        <w:numPr>
          <w:ilvl w:val="0"/>
          <w:numId w:val="93"/>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Transport Accident Commission Leave</w:t>
      </w:r>
    </w:p>
    <w:p w14:paraId="390378F9" w14:textId="77777777" w:rsidR="0096466B" w:rsidRPr="004D307F" w:rsidRDefault="0096466B" w:rsidP="00ED0863">
      <w:pPr>
        <w:numPr>
          <w:ilvl w:val="0"/>
          <w:numId w:val="93"/>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major sporting competition leave</w:t>
      </w:r>
    </w:p>
    <w:p w14:paraId="5544AB4B" w14:textId="01401E6E"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Where leave is 30 working days or less the DET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Schools Finance and Resources Branch will approve reimbursement from contingency funds, providing that relief is required (where no internal resource can be available) and is employed. For leave over 30 days, funds will be allocated to cover the range of potential replacement costs, including fixed-term appointments and higher duties.</w:t>
      </w:r>
    </w:p>
    <w:p w14:paraId="466C36FC"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Where there is insufficient overall credit surplus in the SRP to employ relief, schools must have a deficit management strategy in place to reduce the deficit and to meet relief contingencies, having a view to using both the credit and cash components of the SRP. A summary of relief fund sources is provided in the table below.</w:t>
      </w:r>
    </w:p>
    <w:p w14:paraId="40863A1D" w14:textId="63DB375C"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 replacement can be a central or local/agency employee who meets the criteria below. Reimbursement will be cash</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or credit depending on the type of replacement nominated by the school. </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However, cash reimbursement can only be for periods up to 30 school days.</w:t>
      </w:r>
      <w:r w:rsidR="00745DC1"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 xml:space="preserve">Schools are required to process and submit nominated replacement details on a regular basis and need to be submitted </w:t>
      </w:r>
      <w:r w:rsidRPr="004D307F">
        <w:rPr>
          <w:rFonts w:ascii="VIC" w:eastAsia="Times New Roman" w:hAnsi="VIC" w:cs="Times New Roman"/>
          <w:b/>
          <w:bCs/>
          <w:color w:val="011A3C"/>
          <w:sz w:val="24"/>
          <w:szCs w:val="24"/>
          <w:lang w:val="en" w:eastAsia="en-AU"/>
        </w:rPr>
        <w:t>no later than by the end of the next term after the replacement took place</w:t>
      </w:r>
      <w:r w:rsidRPr="004D307F">
        <w:rPr>
          <w:rFonts w:ascii="VIC" w:eastAsia="Times New Roman" w:hAnsi="VIC" w:cs="Times New Roman"/>
          <w:color w:val="011A3C"/>
          <w:sz w:val="24"/>
          <w:szCs w:val="24"/>
          <w:lang w:val="en" w:eastAsia="en-AU"/>
        </w:rPr>
        <w:t>.</w:t>
      </w:r>
    </w:p>
    <w:p w14:paraId="31221154" w14:textId="77777777" w:rsidR="005A2BF2" w:rsidRPr="004D307F" w:rsidRDefault="005A2BF2" w:rsidP="005A2BF2">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Please Note: The SRP leave reimbursement will only be provided where a teacher replaced a teacher and where an Education Support staff member replaced an Education Support staff member.</w:t>
      </w:r>
    </w:p>
    <w:p w14:paraId="787038D5" w14:textId="70A50BDB"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Cash reimbursements are subject to investigation which will be undertaken continuously throughout the year. Periodic and random checks will be made at schools to ensure the integrity of the process is maintained and schools </w:t>
      </w:r>
      <w:r w:rsidRPr="004D307F">
        <w:rPr>
          <w:rFonts w:ascii="VIC" w:eastAsia="Times New Roman" w:hAnsi="VIC" w:cs="Times New Roman"/>
          <w:color w:val="011A3C"/>
          <w:sz w:val="24"/>
          <w:szCs w:val="24"/>
          <w:lang w:val="en" w:eastAsia="en-AU"/>
        </w:rPr>
        <w:lastRenderedPageBreak/>
        <w:t xml:space="preserve">maintain accountability for the submission process. Documentation will also be reviewed to ensure appropriate evidence is on file </w:t>
      </w:r>
      <w:r w:rsidR="00745DC1" w:rsidRPr="004D307F">
        <w:rPr>
          <w:rFonts w:ascii="VIC" w:eastAsia="Times New Roman" w:hAnsi="VIC" w:cs="Times New Roman"/>
          <w:color w:val="011A3C"/>
          <w:sz w:val="24"/>
          <w:szCs w:val="24"/>
          <w:lang w:val="en" w:eastAsia="en-AU"/>
        </w:rPr>
        <w:t xml:space="preserve">such as </w:t>
      </w:r>
      <w:r w:rsidRPr="004D307F">
        <w:rPr>
          <w:rFonts w:ascii="VIC" w:eastAsia="Times New Roman" w:hAnsi="VIC" w:cs="Times New Roman"/>
          <w:color w:val="011A3C"/>
          <w:sz w:val="24"/>
          <w:szCs w:val="24"/>
          <w:lang w:val="en" w:eastAsia="en-AU"/>
        </w:rPr>
        <w:t>time sheets and invoices.</w:t>
      </w:r>
    </w:p>
    <w:p w14:paraId="04413C78"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Relief funding</w:t>
      </w:r>
    </w:p>
    <w:p w14:paraId="55B96916"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following table summarises the funding source for each leave type for principals, teachers and education support officers: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79"/>
        <w:gridCol w:w="2135"/>
        <w:gridCol w:w="1641"/>
        <w:gridCol w:w="2461"/>
      </w:tblGrid>
      <w:tr w:rsidR="0096466B" w:rsidRPr="004D307F" w14:paraId="5EBD323F" w14:textId="77777777" w:rsidTr="003243F4">
        <w:trPr>
          <w:tblHeader/>
        </w:trPr>
        <w:tc>
          <w:tcPr>
            <w:tcW w:w="0" w:type="auto"/>
            <w:gridSpan w:val="4"/>
            <w:vAlign w:val="center"/>
            <w:hideMark/>
          </w:tcPr>
          <w:p w14:paraId="45015240" w14:textId="77777777" w:rsidR="0096466B" w:rsidRPr="004D307F" w:rsidRDefault="0096466B" w:rsidP="00ED4312">
            <w:pPr>
              <w:spacing w:before="100" w:beforeAutospacing="1" w:after="100" w:afterAutospacing="1" w:line="288" w:lineRule="atLeast"/>
              <w:textAlignment w:val="top"/>
              <w:outlineLvl w:val="3"/>
              <w:rPr>
                <w:rFonts w:ascii="VIC" w:eastAsia="Times New Roman" w:hAnsi="VIC" w:cs="Times New Roman"/>
                <w:b/>
                <w:bCs/>
                <w:color w:val="323E4F" w:themeColor="text2" w:themeShade="BF"/>
                <w:sz w:val="24"/>
                <w:szCs w:val="24"/>
                <w:lang w:eastAsia="en-AU"/>
              </w:rPr>
            </w:pPr>
            <w:r w:rsidRPr="004D307F">
              <w:rPr>
                <w:rFonts w:ascii="VIC" w:eastAsia="Times New Roman" w:hAnsi="VIC" w:cs="Times New Roman"/>
                <w:b/>
                <w:bCs/>
                <w:color w:val="323E4F" w:themeColor="text2" w:themeShade="BF"/>
                <w:sz w:val="24"/>
                <w:szCs w:val="24"/>
                <w:lang w:eastAsia="en-AU"/>
              </w:rPr>
              <w:t xml:space="preserve">Relief funding </w:t>
            </w:r>
            <w:r w:rsidRPr="004D307F">
              <w:rPr>
                <w:rFonts w:ascii="VIC" w:eastAsia="Times New Roman" w:hAnsi="VIC" w:cs="Times New Roman" w:hint="eastAsia"/>
                <w:b/>
                <w:bCs/>
                <w:color w:val="323E4F" w:themeColor="text2" w:themeShade="BF"/>
                <w:sz w:val="24"/>
                <w:szCs w:val="24"/>
                <w:lang w:eastAsia="en-AU"/>
              </w:rPr>
              <w:t>—</w:t>
            </w:r>
            <w:r w:rsidRPr="004D307F">
              <w:rPr>
                <w:rFonts w:ascii="VIC" w:eastAsia="Times New Roman" w:hAnsi="VIC" w:cs="Times New Roman"/>
                <w:b/>
                <w:bCs/>
                <w:color w:val="323E4F" w:themeColor="text2" w:themeShade="BF"/>
                <w:sz w:val="24"/>
                <w:szCs w:val="24"/>
                <w:lang w:eastAsia="en-AU"/>
              </w:rPr>
              <w:t xml:space="preserve"> Principals</w:t>
            </w:r>
          </w:p>
        </w:tc>
      </w:tr>
      <w:tr w:rsidR="0096466B" w:rsidRPr="004D307F" w14:paraId="2B6FB657" w14:textId="77777777" w:rsidTr="003243F4">
        <w:trPr>
          <w:tblHeader/>
        </w:trPr>
        <w:tc>
          <w:tcPr>
            <w:tcW w:w="0" w:type="auto"/>
            <w:hideMark/>
          </w:tcPr>
          <w:p w14:paraId="1B3D824A"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Principals</w:t>
            </w:r>
          </w:p>
        </w:tc>
        <w:tc>
          <w:tcPr>
            <w:tcW w:w="0" w:type="auto"/>
            <w:hideMark/>
          </w:tcPr>
          <w:p w14:paraId="21BC1DD6"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1-5 Days</w:t>
            </w:r>
          </w:p>
        </w:tc>
        <w:tc>
          <w:tcPr>
            <w:tcW w:w="0" w:type="auto"/>
            <w:hideMark/>
          </w:tcPr>
          <w:p w14:paraId="48D1631F"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6-30 Days</w:t>
            </w:r>
          </w:p>
        </w:tc>
        <w:tc>
          <w:tcPr>
            <w:tcW w:w="0" w:type="auto"/>
            <w:hideMark/>
          </w:tcPr>
          <w:p w14:paraId="23D487F0"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More than 30 days (31+)</w:t>
            </w:r>
          </w:p>
        </w:tc>
      </w:tr>
      <w:tr w:rsidR="0096466B" w:rsidRPr="004D307F" w14:paraId="28E12954" w14:textId="77777777" w:rsidTr="003243F4">
        <w:tc>
          <w:tcPr>
            <w:tcW w:w="0" w:type="auto"/>
            <w:hideMark/>
          </w:tcPr>
          <w:p w14:paraId="77B2EB43"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Sick leave</w:t>
            </w:r>
          </w:p>
        </w:tc>
        <w:tc>
          <w:tcPr>
            <w:tcW w:w="0" w:type="auto"/>
            <w:hideMark/>
          </w:tcPr>
          <w:p w14:paraId="25F86A5E"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No reimbursement*</w:t>
            </w:r>
          </w:p>
        </w:tc>
        <w:tc>
          <w:tcPr>
            <w:tcW w:w="0" w:type="auto"/>
            <w:hideMark/>
          </w:tcPr>
          <w:p w14:paraId="461569E5"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For periods of more than five days, higher duties must be entered on eduPay for an employee paid through central payroll</w:t>
            </w:r>
          </w:p>
        </w:tc>
        <w:tc>
          <w:tcPr>
            <w:tcW w:w="0" w:type="auto"/>
            <w:hideMark/>
          </w:tcPr>
          <w:p w14:paraId="3E8C568D"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Leave on central payroll is automatically reimbursed to SRP other than the holiday period **. For replacement to move to principal line Higher Duties must be entered on eduPay. Check </w:t>
            </w:r>
            <w:hyperlink r:id="rId214" w:history="1">
              <w:r w:rsidRPr="004D307F">
                <w:rPr>
                  <w:rFonts w:ascii="VIC" w:eastAsia="Times New Roman" w:hAnsi="VIC" w:cs="Times New Roman"/>
                  <w:color w:val="323E4F" w:themeColor="text2" w:themeShade="BF"/>
                  <w:sz w:val="24"/>
                  <w:szCs w:val="24"/>
                  <w:lang w:eastAsia="en-AU"/>
                </w:rPr>
                <w:t>Management Reports</w:t>
              </w:r>
            </w:hyperlink>
            <w:r w:rsidRPr="004D307F">
              <w:rPr>
                <w:rFonts w:ascii="VIC" w:eastAsia="Times New Roman" w:hAnsi="VIC" w:cs="Times New Roman"/>
                <w:color w:val="323E4F" w:themeColor="text2" w:themeShade="BF"/>
                <w:sz w:val="24"/>
                <w:szCs w:val="24"/>
                <w:lang w:eastAsia="en-AU"/>
              </w:rPr>
              <w:t>.</w:t>
            </w:r>
          </w:p>
        </w:tc>
      </w:tr>
      <w:tr w:rsidR="0096466B" w:rsidRPr="004D307F" w14:paraId="138EDF1D" w14:textId="77777777" w:rsidTr="003243F4">
        <w:tc>
          <w:tcPr>
            <w:tcW w:w="0" w:type="auto"/>
            <w:hideMark/>
          </w:tcPr>
          <w:p w14:paraId="60FB47A4"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Nominated leave </w:t>
            </w:r>
          </w:p>
          <w:p w14:paraId="22F84D66" w14:textId="77777777" w:rsidR="0096466B" w:rsidRPr="004D307F" w:rsidRDefault="0096466B" w:rsidP="00ED0863">
            <w:pPr>
              <w:numPr>
                <w:ilvl w:val="0"/>
                <w:numId w:val="94"/>
              </w:numPr>
              <w:spacing w:before="100" w:beforeAutospacing="1" w:after="100" w:afterAutospacing="1"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Long service leave</w:t>
            </w:r>
          </w:p>
          <w:p w14:paraId="2ABE0E55" w14:textId="77777777" w:rsidR="0096466B" w:rsidRPr="004D307F" w:rsidRDefault="0096466B" w:rsidP="00ED0863">
            <w:pPr>
              <w:numPr>
                <w:ilvl w:val="0"/>
                <w:numId w:val="94"/>
              </w:numPr>
              <w:spacing w:before="100" w:beforeAutospacing="1" w:after="100" w:afterAutospacing="1"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Family-Primary Carer/Partner-Secondary Carer Leave</w:t>
            </w:r>
          </w:p>
          <w:p w14:paraId="5838A945" w14:textId="77777777" w:rsidR="0096466B" w:rsidRPr="004D307F" w:rsidRDefault="0096466B" w:rsidP="00ED0863">
            <w:pPr>
              <w:numPr>
                <w:ilvl w:val="0"/>
                <w:numId w:val="94"/>
              </w:numPr>
              <w:spacing w:before="100" w:beforeAutospacing="1" w:after="100" w:afterAutospacing="1"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Workers</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Compensation absences after the first ten days (Workcover Threshold)</w:t>
            </w:r>
          </w:p>
          <w:p w14:paraId="10C2A678" w14:textId="77777777" w:rsidR="0096466B" w:rsidRPr="004D307F" w:rsidRDefault="0096466B" w:rsidP="00ED0863">
            <w:pPr>
              <w:numPr>
                <w:ilvl w:val="0"/>
                <w:numId w:val="94"/>
              </w:numPr>
              <w:spacing w:before="100" w:beforeAutospacing="1" w:after="100" w:afterAutospacing="1"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lastRenderedPageBreak/>
              <w:t>Transport Accident Commission Leave (after the first five days)</w:t>
            </w:r>
          </w:p>
          <w:p w14:paraId="1678FA60" w14:textId="77777777" w:rsidR="0096466B" w:rsidRPr="004D307F" w:rsidRDefault="0096466B" w:rsidP="00ED0863">
            <w:pPr>
              <w:numPr>
                <w:ilvl w:val="0"/>
                <w:numId w:val="94"/>
              </w:numPr>
              <w:spacing w:before="100" w:beforeAutospacing="1" w:after="100" w:afterAutospacing="1"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Major sporting competition leave</w:t>
            </w:r>
          </w:p>
        </w:tc>
        <w:tc>
          <w:tcPr>
            <w:tcW w:w="0" w:type="auto"/>
            <w:hideMark/>
          </w:tcPr>
          <w:p w14:paraId="3A29F1DE"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lastRenderedPageBreak/>
              <w:t xml:space="preserve">Identify replacement through the leave panel on the </w:t>
            </w:r>
            <w:hyperlink r:id="rId215" w:history="1">
              <w:r w:rsidRPr="004D307F">
                <w:rPr>
                  <w:rFonts w:ascii="VIC" w:eastAsia="Times New Roman" w:hAnsi="VIC" w:cs="Times New Roman"/>
                  <w:color w:val="323E4F" w:themeColor="text2" w:themeShade="BF"/>
                  <w:sz w:val="24"/>
                  <w:szCs w:val="24"/>
                  <w:lang w:eastAsia="en-AU"/>
                </w:rPr>
                <w:t>SRP Portal</w:t>
              </w:r>
            </w:hyperlink>
          </w:p>
        </w:tc>
        <w:tc>
          <w:tcPr>
            <w:tcW w:w="0" w:type="auto"/>
            <w:hideMark/>
          </w:tcPr>
          <w:p w14:paraId="7630A5F1"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For periods of more than five days, higher duties must be entered on eduPay for an employee paid through central payroll</w:t>
            </w:r>
          </w:p>
        </w:tc>
        <w:tc>
          <w:tcPr>
            <w:tcW w:w="0" w:type="auto"/>
            <w:hideMark/>
          </w:tcPr>
          <w:p w14:paraId="435AF5A7"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Leave on central payroll is automatically reimbursed to SRP other than the holiday period**. For replacement to move to principal line Higher Duties must be entered on eduPay. Check </w:t>
            </w:r>
            <w:hyperlink r:id="rId216" w:history="1">
              <w:r w:rsidRPr="004D307F">
                <w:rPr>
                  <w:rFonts w:ascii="VIC" w:eastAsia="Times New Roman" w:hAnsi="VIC" w:cs="Times New Roman"/>
                  <w:color w:val="323E4F" w:themeColor="text2" w:themeShade="BF"/>
                  <w:sz w:val="24"/>
                  <w:szCs w:val="24"/>
                  <w:lang w:eastAsia="en-AU"/>
                </w:rPr>
                <w:t>Management Reports</w:t>
              </w:r>
            </w:hyperlink>
            <w:r w:rsidRPr="004D307F">
              <w:rPr>
                <w:rFonts w:ascii="VIC" w:eastAsia="Times New Roman" w:hAnsi="VIC" w:cs="Times New Roman"/>
                <w:color w:val="323E4F" w:themeColor="text2" w:themeShade="BF"/>
                <w:sz w:val="24"/>
                <w:szCs w:val="24"/>
                <w:lang w:eastAsia="en-AU"/>
              </w:rPr>
              <w:t>.</w:t>
            </w:r>
          </w:p>
        </w:tc>
      </w:tr>
    </w:tbl>
    <w:p w14:paraId="6B120E09"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*Funding of up to 5 days already funded in SRP.</w:t>
      </w:r>
    </w:p>
    <w:p w14:paraId="2EB15972" w14:textId="47B79884"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Identify replacement through the leave portal on the SRP website to claim leave for the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holiday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0"/>
        <w:gridCol w:w="1940"/>
        <w:gridCol w:w="3576"/>
      </w:tblGrid>
      <w:tr w:rsidR="0096466B" w:rsidRPr="004D307F" w14:paraId="61DDABE4" w14:textId="77777777" w:rsidTr="003243F4">
        <w:trPr>
          <w:tblHeader/>
        </w:trPr>
        <w:tc>
          <w:tcPr>
            <w:tcW w:w="0" w:type="auto"/>
            <w:gridSpan w:val="3"/>
            <w:vAlign w:val="center"/>
            <w:hideMark/>
          </w:tcPr>
          <w:p w14:paraId="64C12CB9" w14:textId="77777777" w:rsidR="0096466B" w:rsidRPr="004D307F" w:rsidRDefault="0096466B" w:rsidP="00ED4312">
            <w:pPr>
              <w:spacing w:before="100" w:beforeAutospacing="1" w:after="100" w:afterAutospacing="1" w:line="288" w:lineRule="atLeast"/>
              <w:textAlignment w:val="top"/>
              <w:outlineLvl w:val="3"/>
              <w:rPr>
                <w:rFonts w:ascii="VIC" w:eastAsia="Times New Roman" w:hAnsi="VIC" w:cs="Times New Roman"/>
                <w:b/>
                <w:bCs/>
                <w:color w:val="323E4F" w:themeColor="text2" w:themeShade="BF"/>
                <w:sz w:val="24"/>
                <w:szCs w:val="24"/>
                <w:lang w:eastAsia="en-AU"/>
              </w:rPr>
            </w:pPr>
            <w:r w:rsidRPr="004D307F">
              <w:rPr>
                <w:rFonts w:ascii="VIC" w:eastAsia="Times New Roman" w:hAnsi="VIC" w:cs="Times New Roman"/>
                <w:b/>
                <w:bCs/>
                <w:color w:val="323E4F" w:themeColor="text2" w:themeShade="BF"/>
                <w:sz w:val="24"/>
                <w:szCs w:val="24"/>
                <w:lang w:eastAsia="en-AU"/>
              </w:rPr>
              <w:t xml:space="preserve">Relief funding </w:t>
            </w:r>
            <w:r w:rsidRPr="004D307F">
              <w:rPr>
                <w:rFonts w:ascii="VIC" w:eastAsia="Times New Roman" w:hAnsi="VIC" w:cs="Times New Roman" w:hint="eastAsia"/>
                <w:b/>
                <w:bCs/>
                <w:color w:val="323E4F" w:themeColor="text2" w:themeShade="BF"/>
                <w:sz w:val="24"/>
                <w:szCs w:val="24"/>
                <w:lang w:eastAsia="en-AU"/>
              </w:rPr>
              <w:t>—</w:t>
            </w:r>
            <w:r w:rsidRPr="004D307F">
              <w:rPr>
                <w:rFonts w:ascii="VIC" w:eastAsia="Times New Roman" w:hAnsi="VIC" w:cs="Times New Roman"/>
                <w:b/>
                <w:bCs/>
                <w:color w:val="323E4F" w:themeColor="text2" w:themeShade="BF"/>
                <w:sz w:val="24"/>
                <w:szCs w:val="24"/>
                <w:lang w:eastAsia="en-AU"/>
              </w:rPr>
              <w:t xml:space="preserve"> Assistant Principals, Teachers, Education Support Officers, Allied Health and Victorian Public Servants</w:t>
            </w:r>
          </w:p>
        </w:tc>
      </w:tr>
      <w:tr w:rsidR="0096466B" w:rsidRPr="004D307F" w14:paraId="2A27D08F" w14:textId="77777777" w:rsidTr="003243F4">
        <w:trPr>
          <w:tblHeader/>
        </w:trPr>
        <w:tc>
          <w:tcPr>
            <w:tcW w:w="2041" w:type="pct"/>
            <w:hideMark/>
          </w:tcPr>
          <w:p w14:paraId="10183F3E"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Assistant Principals, Teachers, Education Support Officers, Allied Health and Victorian Public Servants</w:t>
            </w:r>
          </w:p>
        </w:tc>
        <w:tc>
          <w:tcPr>
            <w:tcW w:w="876" w:type="pct"/>
            <w:hideMark/>
          </w:tcPr>
          <w:p w14:paraId="0D3EF934"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Up to 30 days</w:t>
            </w:r>
          </w:p>
        </w:tc>
        <w:tc>
          <w:tcPr>
            <w:tcW w:w="0" w:type="auto"/>
            <w:hideMark/>
          </w:tcPr>
          <w:p w14:paraId="43EB04E6"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More than 30 days (31+)</w:t>
            </w:r>
          </w:p>
        </w:tc>
      </w:tr>
      <w:tr w:rsidR="0096466B" w:rsidRPr="004D307F" w14:paraId="3DF57323" w14:textId="77777777" w:rsidTr="003243F4">
        <w:tc>
          <w:tcPr>
            <w:tcW w:w="2041" w:type="pct"/>
            <w:hideMark/>
          </w:tcPr>
          <w:p w14:paraId="5478D218"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Sick leave</w:t>
            </w:r>
          </w:p>
        </w:tc>
        <w:tc>
          <w:tcPr>
            <w:tcW w:w="876" w:type="pct"/>
            <w:hideMark/>
          </w:tcPr>
          <w:p w14:paraId="3A20BBE2"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No reimbursement*</w:t>
            </w:r>
          </w:p>
        </w:tc>
        <w:tc>
          <w:tcPr>
            <w:tcW w:w="0" w:type="auto"/>
            <w:hideMark/>
          </w:tcPr>
          <w:p w14:paraId="14D4ACCA" w14:textId="77777777" w:rsidR="0096466B" w:rsidRPr="004D307F" w:rsidRDefault="0096466B" w:rsidP="003243F4">
            <w:pPr>
              <w:spacing w:after="0"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Schools pay self-insurance premium under Long-term Leave Support Scheme (see below). Leave on payroll is automatically reimbursed to SRP other than the holiday period**. Leave Capping (see below) may apply. Check </w:t>
            </w:r>
            <w:hyperlink r:id="rId217" w:history="1">
              <w:r w:rsidRPr="004D307F">
                <w:rPr>
                  <w:rFonts w:ascii="VIC" w:eastAsia="Times New Roman" w:hAnsi="VIC" w:cs="Times New Roman"/>
                  <w:color w:val="323E4F" w:themeColor="text2" w:themeShade="BF"/>
                  <w:sz w:val="24"/>
                  <w:szCs w:val="24"/>
                  <w:lang w:eastAsia="en-AU"/>
                </w:rPr>
                <w:t>Management Reports</w:t>
              </w:r>
            </w:hyperlink>
            <w:r w:rsidRPr="004D307F">
              <w:rPr>
                <w:rFonts w:ascii="VIC" w:eastAsia="Times New Roman" w:hAnsi="VIC" w:cs="Times New Roman"/>
                <w:color w:val="323E4F" w:themeColor="text2" w:themeShade="BF"/>
                <w:sz w:val="24"/>
                <w:szCs w:val="24"/>
                <w:lang w:eastAsia="en-AU"/>
              </w:rPr>
              <w:t xml:space="preserve"> .</w:t>
            </w:r>
          </w:p>
        </w:tc>
      </w:tr>
      <w:tr w:rsidR="0096466B" w:rsidRPr="004D307F" w14:paraId="1A0FA52A" w14:textId="77777777" w:rsidTr="003243F4">
        <w:tc>
          <w:tcPr>
            <w:tcW w:w="2041" w:type="pct"/>
            <w:hideMark/>
          </w:tcPr>
          <w:p w14:paraId="0C4ED092"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Nominated leave </w:t>
            </w:r>
          </w:p>
          <w:p w14:paraId="46A4361F" w14:textId="77777777" w:rsidR="0096466B" w:rsidRPr="004D307F" w:rsidRDefault="0096466B" w:rsidP="00ED0863">
            <w:pPr>
              <w:numPr>
                <w:ilvl w:val="0"/>
                <w:numId w:val="95"/>
              </w:numPr>
              <w:spacing w:before="100" w:beforeAutospacing="1" w:after="100" w:afterAutospacing="1"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Long Service Leave</w:t>
            </w:r>
          </w:p>
          <w:p w14:paraId="24BD2F3C" w14:textId="77777777" w:rsidR="0096466B" w:rsidRPr="004D307F" w:rsidRDefault="0096466B" w:rsidP="00ED0863">
            <w:pPr>
              <w:numPr>
                <w:ilvl w:val="0"/>
                <w:numId w:val="95"/>
              </w:numPr>
              <w:spacing w:before="100" w:beforeAutospacing="1" w:after="100" w:afterAutospacing="1"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Family-Primary Carer/Partner-Secondary Carer Leave</w:t>
            </w:r>
          </w:p>
          <w:p w14:paraId="08C9E0D3" w14:textId="77777777" w:rsidR="0096466B" w:rsidRPr="004D307F" w:rsidRDefault="0096466B" w:rsidP="00ED0863">
            <w:pPr>
              <w:numPr>
                <w:ilvl w:val="0"/>
                <w:numId w:val="95"/>
              </w:numPr>
              <w:spacing w:before="100" w:beforeAutospacing="1" w:after="100" w:afterAutospacing="1"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Workers</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Compensation </w:t>
            </w:r>
            <w:r w:rsidRPr="004D307F">
              <w:rPr>
                <w:rFonts w:ascii="VIC" w:eastAsia="Times New Roman" w:hAnsi="VIC" w:cs="Times New Roman"/>
                <w:color w:val="323E4F" w:themeColor="text2" w:themeShade="BF"/>
                <w:sz w:val="24"/>
                <w:szCs w:val="24"/>
                <w:lang w:eastAsia="en-AU"/>
              </w:rPr>
              <w:lastRenderedPageBreak/>
              <w:t>absences after the first ten days</w:t>
            </w:r>
          </w:p>
          <w:p w14:paraId="43C2B1D4" w14:textId="77777777" w:rsidR="0096466B" w:rsidRPr="004D307F" w:rsidRDefault="0096466B" w:rsidP="00ED0863">
            <w:pPr>
              <w:numPr>
                <w:ilvl w:val="0"/>
                <w:numId w:val="95"/>
              </w:numPr>
              <w:spacing w:before="100" w:beforeAutospacing="1" w:after="100" w:afterAutospacing="1"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Transport Accident Commission Leave (after the first five days)</w:t>
            </w:r>
          </w:p>
          <w:p w14:paraId="1F2CEE2E" w14:textId="77777777" w:rsidR="0096466B" w:rsidRPr="004D307F" w:rsidRDefault="0096466B" w:rsidP="00ED0863">
            <w:pPr>
              <w:numPr>
                <w:ilvl w:val="0"/>
                <w:numId w:val="95"/>
              </w:numPr>
              <w:spacing w:before="100" w:beforeAutospacing="1" w:after="100" w:afterAutospacing="1"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Major sporting competition leave</w:t>
            </w:r>
          </w:p>
        </w:tc>
        <w:tc>
          <w:tcPr>
            <w:tcW w:w="876" w:type="pct"/>
            <w:hideMark/>
          </w:tcPr>
          <w:p w14:paraId="19BA1E39" w14:textId="77777777" w:rsidR="0096466B" w:rsidRPr="004D307F" w:rsidRDefault="0096466B" w:rsidP="003243F4">
            <w:pPr>
              <w:spacing w:after="0"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lastRenderedPageBreak/>
              <w:t>Identify replacement through the leave panel on the SRP Portal</w:t>
            </w:r>
          </w:p>
        </w:tc>
        <w:tc>
          <w:tcPr>
            <w:tcW w:w="0" w:type="auto"/>
            <w:hideMark/>
          </w:tcPr>
          <w:p w14:paraId="14263D70" w14:textId="5332B6A6" w:rsidR="0096466B" w:rsidRPr="004D307F" w:rsidRDefault="0096466B" w:rsidP="003243F4">
            <w:pPr>
              <w:spacing w:after="0"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Leave on central payroll is automatically reimbursed to SRP other than</w:t>
            </w:r>
            <w:r w:rsidR="00745DC1" w:rsidRPr="004D307F">
              <w:rPr>
                <w:rFonts w:ascii="VIC" w:eastAsia="Times New Roman" w:hAnsi="VIC" w:cs="Times New Roman"/>
                <w:color w:val="323E4F" w:themeColor="text2" w:themeShade="BF"/>
                <w:sz w:val="24"/>
                <w:szCs w:val="24"/>
                <w:lang w:eastAsia="en-AU"/>
              </w:rPr>
              <w:t xml:space="preserve"> </w:t>
            </w:r>
            <w:r w:rsidRPr="004D307F">
              <w:rPr>
                <w:rFonts w:ascii="VIC" w:eastAsia="Times New Roman" w:hAnsi="VIC" w:cs="Times New Roman"/>
                <w:color w:val="323E4F" w:themeColor="text2" w:themeShade="BF"/>
                <w:sz w:val="24"/>
                <w:szCs w:val="24"/>
                <w:lang w:eastAsia="en-AU"/>
              </w:rPr>
              <w:t xml:space="preserve">the holiday period**. Leave Capping (see below) may apply. Check </w:t>
            </w:r>
            <w:hyperlink r:id="rId218" w:history="1">
              <w:r w:rsidRPr="004D307F">
                <w:rPr>
                  <w:rFonts w:ascii="VIC" w:eastAsia="Times New Roman" w:hAnsi="VIC" w:cs="Times New Roman"/>
                  <w:color w:val="323E4F" w:themeColor="text2" w:themeShade="BF"/>
                  <w:sz w:val="24"/>
                  <w:szCs w:val="24"/>
                  <w:lang w:eastAsia="en-AU"/>
                </w:rPr>
                <w:t>Management Reports</w:t>
              </w:r>
            </w:hyperlink>
            <w:r w:rsidRPr="004D307F">
              <w:rPr>
                <w:rFonts w:ascii="VIC" w:eastAsia="Times New Roman" w:hAnsi="VIC" w:cs="Times New Roman"/>
                <w:color w:val="323E4F" w:themeColor="text2" w:themeShade="BF"/>
                <w:sz w:val="24"/>
                <w:szCs w:val="24"/>
                <w:lang w:eastAsia="en-AU"/>
              </w:rPr>
              <w:t xml:space="preserve"> .</w:t>
            </w:r>
          </w:p>
        </w:tc>
      </w:tr>
      <w:tr w:rsidR="0096466B" w:rsidRPr="004D307F" w14:paraId="5CCE0BFC" w14:textId="77777777" w:rsidTr="003243F4">
        <w:tc>
          <w:tcPr>
            <w:tcW w:w="2041" w:type="pct"/>
            <w:hideMark/>
          </w:tcPr>
          <w:p w14:paraId="65400DED"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Defence Force Leave</w:t>
            </w:r>
          </w:p>
        </w:tc>
        <w:tc>
          <w:tcPr>
            <w:tcW w:w="876" w:type="pct"/>
            <w:hideMark/>
          </w:tcPr>
          <w:p w14:paraId="65633CD9" w14:textId="77777777" w:rsidR="0096466B" w:rsidRPr="004D307F" w:rsidRDefault="0096466B" w:rsidP="003243F4">
            <w:pPr>
              <w:spacing w:after="0"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Leave is unpaid. If charged for make-up pay, claim reimbursement via </w:t>
            </w:r>
            <w:hyperlink r:id="rId219" w:history="1">
              <w:r w:rsidRPr="004D307F">
                <w:rPr>
                  <w:rFonts w:ascii="VIC" w:eastAsia="Times New Roman" w:hAnsi="VIC" w:cs="Times New Roman"/>
                  <w:color w:val="323E4F" w:themeColor="text2" w:themeShade="BF"/>
                  <w:sz w:val="24"/>
                  <w:szCs w:val="24"/>
                  <w:lang w:eastAsia="en-AU"/>
                </w:rPr>
                <w:t>Service Desk Request</w:t>
              </w:r>
            </w:hyperlink>
          </w:p>
        </w:tc>
        <w:tc>
          <w:tcPr>
            <w:tcW w:w="0" w:type="auto"/>
            <w:hideMark/>
          </w:tcPr>
          <w:p w14:paraId="2B22456C" w14:textId="77777777" w:rsidR="0096466B" w:rsidRPr="004D307F" w:rsidRDefault="0096466B" w:rsidP="003243F4">
            <w:pPr>
              <w:spacing w:after="0"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Leave is unpaid. If charged for make-up pay, claim reimbursement via </w:t>
            </w:r>
            <w:hyperlink r:id="rId220" w:history="1">
              <w:r w:rsidRPr="004D307F">
                <w:rPr>
                  <w:rFonts w:ascii="VIC" w:eastAsia="Times New Roman" w:hAnsi="VIC" w:cs="Times New Roman"/>
                  <w:color w:val="323E4F" w:themeColor="text2" w:themeShade="BF"/>
                  <w:sz w:val="24"/>
                  <w:szCs w:val="24"/>
                  <w:lang w:eastAsia="en-AU"/>
                </w:rPr>
                <w:t>Service Desk Request</w:t>
              </w:r>
            </w:hyperlink>
          </w:p>
        </w:tc>
      </w:tr>
      <w:tr w:rsidR="0096466B" w:rsidRPr="004D307F" w14:paraId="06D713D8" w14:textId="77777777" w:rsidTr="003243F4">
        <w:tc>
          <w:tcPr>
            <w:tcW w:w="2041" w:type="pct"/>
            <w:hideMark/>
          </w:tcPr>
          <w:p w14:paraId="67AEB4E3"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Annual Leave</w:t>
            </w:r>
          </w:p>
        </w:tc>
        <w:tc>
          <w:tcPr>
            <w:tcW w:w="876" w:type="pct"/>
            <w:hideMark/>
          </w:tcPr>
          <w:p w14:paraId="345E4959"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No reimbursement*</w:t>
            </w:r>
          </w:p>
        </w:tc>
        <w:tc>
          <w:tcPr>
            <w:tcW w:w="0" w:type="auto"/>
            <w:hideMark/>
          </w:tcPr>
          <w:p w14:paraId="2030AFDA"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No reimbursement*</w:t>
            </w:r>
          </w:p>
        </w:tc>
      </w:tr>
      <w:tr w:rsidR="0096466B" w:rsidRPr="004D307F" w14:paraId="2B0B7062" w14:textId="77777777" w:rsidTr="003243F4">
        <w:tc>
          <w:tcPr>
            <w:tcW w:w="2041" w:type="pct"/>
            <w:hideMark/>
          </w:tcPr>
          <w:p w14:paraId="0420EA30" w14:textId="77777777" w:rsidR="0096466B" w:rsidRPr="004D307F" w:rsidRDefault="0096466B" w:rsidP="003243F4">
            <w:pPr>
              <w:spacing w:after="0"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All other relief No reimbursement*</w:t>
            </w:r>
          </w:p>
        </w:tc>
        <w:tc>
          <w:tcPr>
            <w:tcW w:w="876" w:type="pct"/>
            <w:hideMark/>
          </w:tcPr>
          <w:p w14:paraId="7DC4E70F"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No reimbursement*</w:t>
            </w:r>
          </w:p>
        </w:tc>
        <w:tc>
          <w:tcPr>
            <w:tcW w:w="0" w:type="auto"/>
            <w:hideMark/>
          </w:tcPr>
          <w:p w14:paraId="05E1306D"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No reimbursement*</w:t>
            </w:r>
          </w:p>
        </w:tc>
      </w:tr>
    </w:tbl>
    <w:p w14:paraId="70E32E93"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*Funding of up to 30 days already funded in SRP.</w:t>
      </w:r>
    </w:p>
    <w:p w14:paraId="567EA879" w14:textId="6962EB19"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 Identify replacement through the leave portal on the SRP website to claim leave for </w:t>
      </w:r>
      <w:r w:rsidR="00745DC1" w:rsidRPr="004D307F">
        <w:rPr>
          <w:rFonts w:ascii="VIC" w:eastAsia="Times New Roman" w:hAnsi="VIC" w:cs="Times New Roman"/>
          <w:color w:val="011A3C"/>
          <w:sz w:val="24"/>
          <w:szCs w:val="24"/>
          <w:lang w:val="en" w:eastAsia="en-AU"/>
        </w:rPr>
        <w:t>the holiday</w:t>
      </w:r>
      <w:r w:rsidRPr="004D307F">
        <w:rPr>
          <w:rFonts w:ascii="VIC" w:eastAsia="Times New Roman" w:hAnsi="VIC" w:cs="Times New Roman"/>
          <w:color w:val="011A3C"/>
          <w:sz w:val="24"/>
          <w:szCs w:val="24"/>
          <w:lang w:val="en" w:eastAsia="en-AU"/>
        </w:rPr>
        <w:t xml:space="preserve"> period.</w:t>
      </w:r>
    </w:p>
    <w:p w14:paraId="54121986"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Defence Force leave</w:t>
      </w:r>
    </w:p>
    <w:p w14:paraId="556A1547"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Defence Force leave is unpaid; some teachers on Defence Force leave may receive make-up pay to cover the difference between their Defence Force and the Department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salary. Schools are to be fully reimbursed for this amount. To claim reimbursement, a </w:t>
      </w:r>
      <w:hyperlink r:id="rId221" w:history="1">
        <w:r w:rsidRPr="004D307F">
          <w:rPr>
            <w:rFonts w:ascii="VIC" w:eastAsia="Times New Roman" w:hAnsi="VIC" w:cs="Times New Roman"/>
            <w:color w:val="011A3C"/>
            <w:sz w:val="24"/>
            <w:szCs w:val="24"/>
            <w:lang w:val="en" w:eastAsia="en-AU"/>
          </w:rPr>
          <w:t>Service Desk Request</w:t>
        </w:r>
      </w:hyperlink>
      <w:r w:rsidRPr="004D307F">
        <w:rPr>
          <w:rFonts w:ascii="VIC" w:eastAsia="Times New Roman" w:hAnsi="VIC" w:cs="Times New Roman"/>
          <w:color w:val="011A3C"/>
          <w:sz w:val="24"/>
          <w:szCs w:val="24"/>
          <w:lang w:val="en" w:eastAsia="en-AU"/>
        </w:rPr>
        <w:t xml:space="preserve"> should be submitted to the Schools Finance and Resources Branch.</w:t>
      </w:r>
    </w:p>
    <w:p w14:paraId="61BF1856"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For more information on Defence Force Leave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refer to</w:t>
      </w:r>
      <w:r w:rsidRPr="004D307F">
        <w:rPr>
          <w:rFonts w:ascii="Calibri" w:eastAsia="Times New Roman" w:hAnsi="Calibri" w:cs="Calibri" w:hint="eastAsia"/>
          <w:color w:val="011A3C"/>
          <w:sz w:val="24"/>
          <w:szCs w:val="24"/>
          <w:lang w:val="en" w:eastAsia="en-AU"/>
        </w:rPr>
        <w:t> </w:t>
      </w:r>
      <w:hyperlink r:id="rId222" w:history="1">
        <w:r w:rsidRPr="004D307F">
          <w:rPr>
            <w:rFonts w:ascii="VIC" w:eastAsia="Times New Roman" w:hAnsi="VIC" w:cs="Times New Roman"/>
            <w:color w:val="011A3C"/>
            <w:sz w:val="24"/>
            <w:szCs w:val="24"/>
            <w:lang w:val="en" w:eastAsia="en-AU"/>
          </w:rPr>
          <w:t>Leave for Defence Reserve Service</w:t>
        </w:r>
      </w:hyperlink>
      <w:r w:rsidRPr="004D307F">
        <w:rPr>
          <w:rFonts w:ascii="VIC" w:eastAsia="Times New Roman" w:hAnsi="VIC" w:cs="Times New Roman"/>
          <w:color w:val="011A3C"/>
          <w:sz w:val="24"/>
          <w:szCs w:val="24"/>
          <w:lang w:val="en" w:eastAsia="en-AU"/>
        </w:rPr>
        <w:t>.</w:t>
      </w:r>
    </w:p>
    <w:p w14:paraId="7B158962"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Long-term leave</w:t>
      </w:r>
    </w:p>
    <w:p w14:paraId="04447542"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During periods of extended paid leave for teachers, such as long service leave, there is normally an additional salary cost against eduPay. In addition to the salary of the teacher on leave, replacement costs arise from the appointment of fixed-term staff, payment of higher duties, time fraction increases or special payments.</w:t>
      </w:r>
    </w:p>
    <w:p w14:paraId="515313CE" w14:textId="12E2148C"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Funds to meet these extra costs are not included in the SRP due to the highly variable impact of extended leave on individual schools. In these instances, separate administrative arrangements are in place for funding to be provided for replacement costs when the </w:t>
      </w:r>
      <w:r w:rsidR="00745DC1" w:rsidRPr="004D307F">
        <w:rPr>
          <w:rFonts w:ascii="VIC" w:eastAsia="Times New Roman" w:hAnsi="VIC" w:cs="Times New Roman"/>
          <w:color w:val="011A3C"/>
          <w:sz w:val="24"/>
          <w:szCs w:val="24"/>
          <w:lang w:val="en" w:eastAsia="en-AU"/>
        </w:rPr>
        <w:t xml:space="preserve">actual </w:t>
      </w:r>
      <w:r w:rsidRPr="004D307F">
        <w:rPr>
          <w:rFonts w:ascii="VIC" w:eastAsia="Times New Roman" w:hAnsi="VIC" w:cs="Times New Roman"/>
          <w:color w:val="011A3C"/>
          <w:sz w:val="24"/>
          <w:szCs w:val="24"/>
          <w:lang w:val="en" w:eastAsia="en-AU"/>
        </w:rPr>
        <w:t>leave occurs.</w:t>
      </w:r>
    </w:p>
    <w:p w14:paraId="7B2BB3D4"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For more information on Short Term and Long Term vacancies, please refer to </w:t>
      </w:r>
      <w:hyperlink r:id="rId223" w:history="1">
        <w:r w:rsidRPr="004D307F">
          <w:rPr>
            <w:rFonts w:ascii="VIC" w:eastAsia="Times New Roman" w:hAnsi="VIC" w:cs="Times New Roman"/>
            <w:color w:val="011A3C"/>
            <w:sz w:val="24"/>
            <w:szCs w:val="24"/>
            <w:lang w:val="en" w:eastAsia="en-AU"/>
          </w:rPr>
          <w:t>Recruitment in Schools</w:t>
        </w:r>
      </w:hyperlink>
      <w:r w:rsidRPr="004D307F">
        <w:rPr>
          <w:rFonts w:ascii="VIC" w:eastAsia="Times New Roman" w:hAnsi="VIC" w:cs="Times New Roman"/>
          <w:color w:val="011A3C"/>
          <w:sz w:val="24"/>
          <w:szCs w:val="24"/>
          <w:lang w:val="en" w:eastAsia="en-AU"/>
        </w:rPr>
        <w:t xml:space="preserve"> guidelines.</w:t>
      </w:r>
    </w:p>
    <w:p w14:paraId="569EBEBB"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Teacher relief for periods in excess of 30 working days must be through fixed-term arrangements on eduPay. If a casual relief teacher is used initially because the absence is believed to be short-term, the employment must be converted, where the teacher is absent on personal leave, to fixed-term immediately when it is recognised that the absence will extend beyond 30 days. Refer to the </w:t>
      </w:r>
      <w:hyperlink r:id="rId224" w:history="1">
        <w:r w:rsidRPr="004D307F">
          <w:rPr>
            <w:rFonts w:ascii="VIC" w:eastAsia="Times New Roman" w:hAnsi="VIC" w:cs="Times New Roman"/>
            <w:color w:val="011A3C"/>
            <w:sz w:val="24"/>
            <w:szCs w:val="24"/>
            <w:lang w:val="en" w:eastAsia="en-AU"/>
          </w:rPr>
          <w:t>Casual Relief Teachers</w:t>
        </w:r>
      </w:hyperlink>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policy.</w:t>
      </w:r>
    </w:p>
    <w:p w14:paraId="2307E95F"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following funding arrangements operate for long-term leave over 30 days, including long-service leave, paid parental absences e.g. maternity leave, partner, other paid parental, Workers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Compensation leave, Transport Accident Commission Leave and long-term sick leave:</w:t>
      </w:r>
    </w:p>
    <w:p w14:paraId="0190A866" w14:textId="77777777" w:rsidR="0096466B" w:rsidRPr="004D307F" w:rsidRDefault="0096466B" w:rsidP="00ED0863">
      <w:pPr>
        <w:numPr>
          <w:ilvl w:val="0"/>
          <w:numId w:val="9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Classroom teachers on long-term leave are charged outside the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SRP during the period of their leave, up to a salary equivalent of a classroom teacher CT1-3.</w:t>
      </w:r>
    </w:p>
    <w:p w14:paraId="2598FE17" w14:textId="77777777" w:rsidR="0096466B" w:rsidRPr="004D307F" w:rsidRDefault="0096466B" w:rsidP="00ED0863">
      <w:pPr>
        <w:numPr>
          <w:ilvl w:val="0"/>
          <w:numId w:val="9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In the case of promotion level staff, the amount charged outside the SRP will equate to a classroom teacher CT1-3 plus the higher duties replacement cost.</w:t>
      </w:r>
    </w:p>
    <w:p w14:paraId="79587233" w14:textId="125F1062" w:rsidR="0096466B" w:rsidRPr="004D307F" w:rsidRDefault="0096466B" w:rsidP="00ED0863">
      <w:pPr>
        <w:numPr>
          <w:ilvl w:val="0"/>
          <w:numId w:val="9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In the case of the principal and education support staff, the whole of the salary will be charged outside the SRP during the period of leave.</w:t>
      </w:r>
    </w:p>
    <w:p w14:paraId="64043878" w14:textId="0E06F2D2" w:rsidR="005A2BF2" w:rsidRPr="004D307F" w:rsidRDefault="005A2BF2" w:rsidP="00ED0863">
      <w:pPr>
        <w:pStyle w:val="ListParagraph"/>
        <w:numPr>
          <w:ilvl w:val="0"/>
          <w:numId w:val="96"/>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 xml:space="preserve">The salary leave loading (SLL) of the absent staff member or the replacement (smaller amount of two) will be only charged outside if the employee is on leave in the pay period SLL is paid. </w:t>
      </w:r>
    </w:p>
    <w:p w14:paraId="5121FC8F"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Under this arrangement, long-term leave will be charged outside the budget automatically when the leave occurs. The model allows budget flexibility for schools that may choose not to replace directly, who replace at lower cost, or who replace using a combination of means such as special payments and time fraction changes.</w:t>
      </w:r>
    </w:p>
    <w:p w14:paraId="1FE2DD15"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Long term leave support scheme premium</w:t>
      </w:r>
    </w:p>
    <w:p w14:paraId="5D482E04"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 long-term leave support scheme operates to support schools in the management of leave costs for both teachers and Education Support Officers. The scheme effectively provides for schools to contribute a fixed annual premium towards the state-wide cost, rather than deal individually with potentially significant unplanned leave costs. The annual premium is displayed as a deduction in the cash section of a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w:t>
      </w:r>
      <w:hyperlink r:id="rId225" w:history="1">
        <w:r w:rsidRPr="004D307F">
          <w:rPr>
            <w:rFonts w:ascii="VIC" w:eastAsia="Times New Roman" w:hAnsi="VIC" w:cs="Times New Roman"/>
            <w:color w:val="011A3C"/>
            <w:sz w:val="24"/>
            <w:szCs w:val="24"/>
            <w:lang w:val="en" w:eastAsia="en-AU"/>
          </w:rPr>
          <w:t>SRP management report</w:t>
        </w:r>
      </w:hyperlink>
      <w:r w:rsidRPr="004D307F">
        <w:rPr>
          <w:rFonts w:ascii="VIC" w:eastAsia="Times New Roman" w:hAnsi="VIC" w:cs="Times New Roman"/>
          <w:color w:val="011A3C"/>
          <w:sz w:val="24"/>
          <w:szCs w:val="24"/>
          <w:lang w:val="en" w:eastAsia="en-AU"/>
        </w:rPr>
        <w:t>.</w:t>
      </w:r>
    </w:p>
    <w:p w14:paraId="351A42EB" w14:textId="15054FDB" w:rsidR="0096466B" w:rsidRPr="004D307F" w:rsidRDefault="0096466B" w:rsidP="0096466B">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Long term leave support scheme rates 202</w:t>
      </w:r>
      <w:r w:rsidR="005A2BF2" w:rsidRPr="004D307F">
        <w:rPr>
          <w:rFonts w:ascii="VIC" w:eastAsia="Times New Roman" w:hAnsi="VIC" w:cs="Times New Roman"/>
          <w:b/>
          <w:bCs/>
          <w:color w:val="011A3C"/>
          <w:sz w:val="24"/>
          <w:szCs w:val="24"/>
          <w:lang w:val="en" w:eastAsia="en-AU"/>
        </w:rPr>
        <w:t>2</w:t>
      </w:r>
    </w:p>
    <w:p w14:paraId="4B8607B0" w14:textId="1AB97899" w:rsidR="0096466B" w:rsidRPr="004D307F" w:rsidRDefault="0096466B" w:rsidP="00ED0863">
      <w:pPr>
        <w:numPr>
          <w:ilvl w:val="0"/>
          <w:numId w:val="9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Index-model specialist schools: $ per student (included in index): </w:t>
      </w:r>
      <w:r w:rsidR="00745DC1" w:rsidRPr="004D307F">
        <w:rPr>
          <w:rFonts w:ascii="VIC" w:eastAsia="Times New Roman" w:hAnsi="VIC" w:cs="Times New Roman"/>
          <w:color w:val="011A3C"/>
          <w:sz w:val="24"/>
          <w:szCs w:val="24"/>
          <w:lang w:val="en" w:eastAsia="en-AU"/>
        </w:rPr>
        <w:t>$</w:t>
      </w:r>
      <w:r w:rsidR="007653AF" w:rsidRPr="004D307F">
        <w:rPr>
          <w:rFonts w:ascii="VIC" w:eastAsia="Times New Roman" w:hAnsi="VIC" w:cs="Times New Roman"/>
          <w:color w:val="011A3C"/>
          <w:sz w:val="24"/>
          <w:szCs w:val="24"/>
          <w:lang w:val="en" w:eastAsia="en-AU"/>
        </w:rPr>
        <w:t>159.45</w:t>
      </w:r>
    </w:p>
    <w:p w14:paraId="6FE1CE5D" w14:textId="558061D8" w:rsidR="0096466B" w:rsidRPr="004D307F" w:rsidRDefault="0096466B" w:rsidP="00ED0863">
      <w:pPr>
        <w:numPr>
          <w:ilvl w:val="0"/>
          <w:numId w:val="9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All other schools: % of the total credit component in the SRP: </w:t>
      </w:r>
      <w:r w:rsidR="00745DC1" w:rsidRPr="004D307F">
        <w:rPr>
          <w:rFonts w:ascii="VIC" w:eastAsia="Times New Roman" w:hAnsi="VIC" w:cs="Times New Roman"/>
          <w:color w:val="011A3C"/>
          <w:sz w:val="24"/>
          <w:szCs w:val="24"/>
          <w:lang w:val="en" w:eastAsia="en-AU"/>
        </w:rPr>
        <w:t xml:space="preserve"> 1.3</w:t>
      </w:r>
      <w:r w:rsidR="007653AF" w:rsidRPr="004D307F">
        <w:rPr>
          <w:rFonts w:ascii="VIC" w:eastAsia="Times New Roman" w:hAnsi="VIC" w:cs="Times New Roman"/>
          <w:color w:val="011A3C"/>
          <w:sz w:val="24"/>
          <w:szCs w:val="24"/>
          <w:lang w:val="en" w:eastAsia="en-AU"/>
        </w:rPr>
        <w:t>8</w:t>
      </w:r>
      <w:r w:rsidR="00745DC1" w:rsidRPr="004D307F">
        <w:rPr>
          <w:rFonts w:ascii="VIC" w:eastAsia="Times New Roman" w:hAnsi="VIC" w:cs="Times New Roman"/>
          <w:color w:val="011A3C"/>
          <w:sz w:val="24"/>
          <w:szCs w:val="24"/>
          <w:lang w:val="en" w:eastAsia="en-AU"/>
        </w:rPr>
        <w:t>4%</w:t>
      </w:r>
    </w:p>
    <w:p w14:paraId="44B6C769"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Leave capping</w:t>
      </w:r>
    </w:p>
    <w:p w14:paraId="330CEA47"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following funding arrangements operate for leave where a credit reimbursement is made to the school.</w:t>
      </w:r>
    </w:p>
    <w:p w14:paraId="1184652F"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Classroom teachers on long-term leave are charged outside the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SRP during the period of their leave, up to a salary equivalent of a Classroom Teacher 1-3.</w:t>
      </w:r>
    </w:p>
    <w:p w14:paraId="1F2A892E"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In the case of promotion level staff, the amount charged outside the SRP will equate to a Classroom Teacher 1-3 plus the higher duties replacement cost. In the case of the school principal, education support staff, and allied health staff based in schools, the whole of the salary will be charged outside the SRP during the period of leave.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4"/>
        <w:gridCol w:w="3037"/>
        <w:gridCol w:w="2865"/>
      </w:tblGrid>
      <w:tr w:rsidR="0096466B" w:rsidRPr="004D307F" w14:paraId="6FC5B22F" w14:textId="77777777" w:rsidTr="003243F4">
        <w:tc>
          <w:tcPr>
            <w:tcW w:w="0" w:type="auto"/>
            <w:gridSpan w:val="3"/>
            <w:vAlign w:val="center"/>
            <w:hideMark/>
          </w:tcPr>
          <w:p w14:paraId="3DDD59AA" w14:textId="77777777" w:rsidR="0096466B" w:rsidRPr="004D307F" w:rsidRDefault="0096466B" w:rsidP="003243F4">
            <w:pPr>
              <w:spacing w:before="100" w:beforeAutospacing="1" w:after="100" w:afterAutospacing="1" w:line="360" w:lineRule="atLeast"/>
              <w:rPr>
                <w:rFonts w:ascii="VIC" w:eastAsia="Times New Roman" w:hAnsi="VIC" w:cs="Times New Roman"/>
                <w:sz w:val="24"/>
                <w:szCs w:val="24"/>
                <w:lang w:eastAsia="en-AU"/>
              </w:rPr>
            </w:pPr>
            <w:r w:rsidRPr="004D307F">
              <w:rPr>
                <w:rFonts w:ascii="VIC" w:eastAsia="Times New Roman" w:hAnsi="VIC" w:cs="Times New Roman"/>
                <w:b/>
                <w:bCs/>
                <w:color w:val="011A3C"/>
                <w:sz w:val="24"/>
                <w:szCs w:val="24"/>
                <w:lang w:val="en" w:eastAsia="en-AU"/>
              </w:rPr>
              <w:lastRenderedPageBreak/>
              <w:t>Leave capping</w:t>
            </w:r>
          </w:p>
        </w:tc>
      </w:tr>
      <w:tr w:rsidR="000B1FF1" w:rsidRPr="004D307F" w14:paraId="3909E849" w14:textId="77777777" w:rsidTr="003243F4">
        <w:tc>
          <w:tcPr>
            <w:tcW w:w="1727" w:type="pct"/>
            <w:hideMark/>
          </w:tcPr>
          <w:p w14:paraId="0E51B6B4"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Salary of person on leave</w:t>
            </w:r>
          </w:p>
        </w:tc>
        <w:tc>
          <w:tcPr>
            <w:tcW w:w="3273" w:type="pct"/>
            <w:gridSpan w:val="2"/>
            <w:hideMark/>
          </w:tcPr>
          <w:p w14:paraId="6FDAD428" w14:textId="77777777" w:rsidR="0096466B" w:rsidRPr="004D307F" w:rsidRDefault="0096466B" w:rsidP="003243F4">
            <w:pPr>
              <w:spacing w:after="0"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Equivalent value of a person's salary charged outside the SRP</w:t>
            </w:r>
          </w:p>
        </w:tc>
      </w:tr>
      <w:tr w:rsidR="000B1FF1" w:rsidRPr="004D307F" w14:paraId="26C8657B" w14:textId="77777777" w:rsidTr="003243F4">
        <w:tc>
          <w:tcPr>
            <w:tcW w:w="1727" w:type="pct"/>
            <w:hideMark/>
          </w:tcPr>
          <w:p w14:paraId="4C2105C5"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Principal</w:t>
            </w:r>
          </w:p>
        </w:tc>
        <w:tc>
          <w:tcPr>
            <w:tcW w:w="3273" w:type="pct"/>
            <w:gridSpan w:val="2"/>
            <w:hideMark/>
          </w:tcPr>
          <w:p w14:paraId="29E73AD2" w14:textId="77777777" w:rsidR="0096466B" w:rsidRPr="004D307F" w:rsidRDefault="0096466B" w:rsidP="003243F4">
            <w:pPr>
              <w:spacing w:after="0"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Full salary</w:t>
            </w:r>
          </w:p>
        </w:tc>
      </w:tr>
      <w:tr w:rsidR="000B1FF1" w:rsidRPr="004D307F" w14:paraId="74E19BF7" w14:textId="77777777" w:rsidTr="003243F4">
        <w:tc>
          <w:tcPr>
            <w:tcW w:w="1727" w:type="pct"/>
            <w:hideMark/>
          </w:tcPr>
          <w:p w14:paraId="70E9D554"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Assistant Principal</w:t>
            </w:r>
          </w:p>
        </w:tc>
        <w:tc>
          <w:tcPr>
            <w:tcW w:w="3273" w:type="pct"/>
            <w:gridSpan w:val="2"/>
            <w:hideMark/>
          </w:tcPr>
          <w:p w14:paraId="55A9F9D1" w14:textId="77777777" w:rsidR="0096466B" w:rsidRPr="004D307F" w:rsidRDefault="0096466B" w:rsidP="003243F4">
            <w:pPr>
              <w:spacing w:after="0"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Classroom Teacher 1-3 + HD gap (base of Assistant Principal range minus Classroom Teacher 2-6)</w:t>
            </w:r>
          </w:p>
        </w:tc>
      </w:tr>
      <w:tr w:rsidR="000B1FF1" w:rsidRPr="004D307F" w14:paraId="42AC3231" w14:textId="77777777" w:rsidTr="003243F4">
        <w:tc>
          <w:tcPr>
            <w:tcW w:w="1727" w:type="pct"/>
            <w:hideMark/>
          </w:tcPr>
          <w:p w14:paraId="0E295928"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Leading Teacher or Learning Specialist</w:t>
            </w:r>
          </w:p>
        </w:tc>
        <w:tc>
          <w:tcPr>
            <w:tcW w:w="3273" w:type="pct"/>
            <w:gridSpan w:val="2"/>
            <w:hideMark/>
          </w:tcPr>
          <w:p w14:paraId="634E01E9" w14:textId="77777777" w:rsidR="0096466B" w:rsidRPr="004D307F" w:rsidRDefault="0096466B" w:rsidP="003243F4">
            <w:pPr>
              <w:spacing w:after="0"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Classroom Teacher 1-3 + HD gap (base of Leading Teacher range minus Classroom Teacher 2-6)</w:t>
            </w:r>
          </w:p>
        </w:tc>
      </w:tr>
      <w:tr w:rsidR="000B1FF1" w:rsidRPr="004D307F" w14:paraId="6660A03D" w14:textId="77777777" w:rsidTr="003243F4">
        <w:tc>
          <w:tcPr>
            <w:tcW w:w="1727" w:type="pct"/>
            <w:hideMark/>
          </w:tcPr>
          <w:p w14:paraId="630E66E1" w14:textId="77777777" w:rsidR="0096466B" w:rsidRPr="004D307F" w:rsidRDefault="0096466B" w:rsidP="003243F4">
            <w:pPr>
              <w:spacing w:after="0"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Classroom Teacher 1 Levels 3-5</w:t>
            </w:r>
            <w:r w:rsidRPr="004D307F">
              <w:rPr>
                <w:rFonts w:ascii="VIC" w:eastAsia="Times New Roman" w:hAnsi="VIC" w:cs="Times New Roman"/>
                <w:color w:val="323E4F" w:themeColor="text2" w:themeShade="BF"/>
                <w:sz w:val="24"/>
                <w:szCs w:val="24"/>
                <w:lang w:eastAsia="en-AU"/>
              </w:rPr>
              <w:br/>
              <w:t>Classroom Teacher 2 Levels 1-6</w:t>
            </w:r>
          </w:p>
        </w:tc>
        <w:tc>
          <w:tcPr>
            <w:tcW w:w="3273" w:type="pct"/>
            <w:gridSpan w:val="2"/>
            <w:hideMark/>
          </w:tcPr>
          <w:p w14:paraId="3A8DA0DA"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Classroom Teacher 1 Level 3</w:t>
            </w:r>
          </w:p>
        </w:tc>
      </w:tr>
      <w:tr w:rsidR="000B1FF1" w:rsidRPr="004D307F" w14:paraId="76566FCC" w14:textId="77777777" w:rsidTr="003243F4">
        <w:tc>
          <w:tcPr>
            <w:tcW w:w="1727" w:type="pct"/>
            <w:hideMark/>
          </w:tcPr>
          <w:p w14:paraId="23F02438"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Classroom Teacher 1 Level 2</w:t>
            </w:r>
          </w:p>
        </w:tc>
        <w:tc>
          <w:tcPr>
            <w:tcW w:w="3273" w:type="pct"/>
            <w:gridSpan w:val="2"/>
            <w:hideMark/>
          </w:tcPr>
          <w:p w14:paraId="4EAA4CF0"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Classroom Teacher 1-2</w:t>
            </w:r>
          </w:p>
        </w:tc>
      </w:tr>
      <w:tr w:rsidR="000B1FF1" w:rsidRPr="004D307F" w14:paraId="55DA4C2F" w14:textId="77777777" w:rsidTr="003243F4">
        <w:tc>
          <w:tcPr>
            <w:tcW w:w="1727" w:type="pct"/>
            <w:hideMark/>
          </w:tcPr>
          <w:p w14:paraId="6D0BD26D"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Classroom Teacher 1 Level 1</w:t>
            </w:r>
          </w:p>
        </w:tc>
        <w:tc>
          <w:tcPr>
            <w:tcW w:w="3273" w:type="pct"/>
            <w:gridSpan w:val="2"/>
            <w:hideMark/>
          </w:tcPr>
          <w:p w14:paraId="7994A065"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Classroom Teacher 1-1</w:t>
            </w:r>
          </w:p>
        </w:tc>
      </w:tr>
      <w:tr w:rsidR="000B1FF1" w:rsidRPr="004D307F" w14:paraId="6DAFB51B" w14:textId="77777777" w:rsidTr="003243F4">
        <w:tc>
          <w:tcPr>
            <w:tcW w:w="1727" w:type="pct"/>
            <w:hideMark/>
          </w:tcPr>
          <w:p w14:paraId="32A98CE7"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Education Support Officers</w:t>
            </w:r>
          </w:p>
        </w:tc>
        <w:tc>
          <w:tcPr>
            <w:tcW w:w="3273" w:type="pct"/>
            <w:gridSpan w:val="2"/>
            <w:hideMark/>
          </w:tcPr>
          <w:p w14:paraId="2D8F4DFD"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Full salary</w:t>
            </w:r>
          </w:p>
        </w:tc>
      </w:tr>
      <w:tr w:rsidR="000B1FF1" w:rsidRPr="004D307F" w14:paraId="07E9F6AC" w14:textId="77777777" w:rsidTr="003243F4">
        <w:tc>
          <w:tcPr>
            <w:tcW w:w="1727" w:type="pct"/>
            <w:hideMark/>
          </w:tcPr>
          <w:p w14:paraId="08C3B09E"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VPS and Allied Health</w:t>
            </w:r>
          </w:p>
        </w:tc>
        <w:tc>
          <w:tcPr>
            <w:tcW w:w="3273" w:type="pct"/>
            <w:gridSpan w:val="2"/>
            <w:hideMark/>
          </w:tcPr>
          <w:p w14:paraId="565B4EC6"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Full Salary</w:t>
            </w:r>
          </w:p>
        </w:tc>
      </w:tr>
      <w:tr w:rsidR="000B1FF1" w:rsidRPr="004D307F" w14:paraId="296C0A4D" w14:textId="77777777" w:rsidTr="003243F4">
        <w:tc>
          <w:tcPr>
            <w:tcW w:w="0" w:type="auto"/>
            <w:gridSpan w:val="3"/>
            <w:vAlign w:val="center"/>
            <w:hideMark/>
          </w:tcPr>
          <w:p w14:paraId="35A8D7D0" w14:textId="77777777" w:rsidR="0096466B" w:rsidRPr="004D307F" w:rsidRDefault="0096466B" w:rsidP="00ED4312">
            <w:pPr>
              <w:spacing w:before="100" w:beforeAutospacing="1" w:after="100" w:afterAutospacing="1" w:line="288" w:lineRule="atLeast"/>
              <w:textAlignment w:val="top"/>
              <w:outlineLvl w:val="3"/>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Example: Funding for a Leading Teacher 3.1 on long-service leave more than 30 days</w:t>
            </w:r>
          </w:p>
        </w:tc>
      </w:tr>
      <w:tr w:rsidR="000B1FF1" w:rsidRPr="004D307F" w14:paraId="37AC05EF" w14:textId="77777777" w:rsidTr="003243F4">
        <w:tc>
          <w:tcPr>
            <w:tcW w:w="1727" w:type="pct"/>
            <w:hideMark/>
          </w:tcPr>
          <w:p w14:paraId="30D3E73E"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Regular Fortnightly Charge</w:t>
            </w:r>
          </w:p>
        </w:tc>
        <w:tc>
          <w:tcPr>
            <w:tcW w:w="1684" w:type="pct"/>
            <w:hideMark/>
          </w:tcPr>
          <w:p w14:paraId="4C5B0300" w14:textId="6D110953"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$4,334.31</w:t>
            </w:r>
          </w:p>
        </w:tc>
        <w:tc>
          <w:tcPr>
            <w:tcW w:w="0" w:type="auto"/>
            <w:hideMark/>
          </w:tcPr>
          <w:p w14:paraId="5A8EE9CB"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p>
        </w:tc>
      </w:tr>
      <w:tr w:rsidR="000B1FF1" w:rsidRPr="004D307F" w14:paraId="60243ED7" w14:textId="77777777" w:rsidTr="003243F4">
        <w:tc>
          <w:tcPr>
            <w:tcW w:w="1727" w:type="pct"/>
            <w:hideMark/>
          </w:tcPr>
          <w:p w14:paraId="5D6C7EF5" w14:textId="77777777" w:rsidR="0096466B" w:rsidRPr="004D307F" w:rsidRDefault="0096466B" w:rsidP="00ED4312">
            <w:pPr>
              <w:spacing w:after="0" w:line="360" w:lineRule="atLeast"/>
              <w:rPr>
                <w:rFonts w:ascii="VIC" w:eastAsia="Times New Roman" w:hAnsi="VIC" w:cs="Times New Roman"/>
                <w:color w:val="323E4F" w:themeColor="text2" w:themeShade="BF"/>
                <w:sz w:val="20"/>
                <w:szCs w:val="20"/>
                <w:lang w:eastAsia="en-AU"/>
              </w:rPr>
            </w:pPr>
          </w:p>
        </w:tc>
        <w:tc>
          <w:tcPr>
            <w:tcW w:w="1684" w:type="pct"/>
            <w:hideMark/>
          </w:tcPr>
          <w:p w14:paraId="264F74BE"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Salary Charge</w:t>
            </w:r>
          </w:p>
        </w:tc>
        <w:tc>
          <w:tcPr>
            <w:tcW w:w="0" w:type="auto"/>
            <w:hideMark/>
          </w:tcPr>
          <w:p w14:paraId="513E5A8A"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SRP Saving</w:t>
            </w:r>
          </w:p>
        </w:tc>
      </w:tr>
      <w:tr w:rsidR="000B1FF1" w:rsidRPr="004D307F" w14:paraId="73B180F7" w14:textId="77777777" w:rsidTr="003243F4">
        <w:tc>
          <w:tcPr>
            <w:tcW w:w="1727" w:type="pct"/>
            <w:hideMark/>
          </w:tcPr>
          <w:p w14:paraId="698BAEB8"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Outside Budget</w:t>
            </w:r>
          </w:p>
        </w:tc>
        <w:tc>
          <w:tcPr>
            <w:tcW w:w="1684" w:type="pct"/>
            <w:hideMark/>
          </w:tcPr>
          <w:p w14:paraId="2EBAC946" w14:textId="419FA0C0"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$3,164.13</w:t>
            </w:r>
          </w:p>
        </w:tc>
        <w:tc>
          <w:tcPr>
            <w:tcW w:w="0" w:type="auto"/>
            <w:hideMark/>
          </w:tcPr>
          <w:p w14:paraId="4EC842A5" w14:textId="23E6B94C"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$4,334.31</w:t>
            </w:r>
          </w:p>
        </w:tc>
      </w:tr>
      <w:tr w:rsidR="000B1FF1" w:rsidRPr="004D307F" w14:paraId="622DF4A4" w14:textId="77777777" w:rsidTr="003243F4">
        <w:tc>
          <w:tcPr>
            <w:tcW w:w="1727" w:type="pct"/>
            <w:hideMark/>
          </w:tcPr>
          <w:p w14:paraId="7BAD7971"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Inside Budget</w:t>
            </w:r>
          </w:p>
        </w:tc>
        <w:tc>
          <w:tcPr>
            <w:tcW w:w="1684" w:type="pct"/>
            <w:hideMark/>
          </w:tcPr>
          <w:p w14:paraId="4918CBAD" w14:textId="655F6064"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$1,170.17</w:t>
            </w:r>
          </w:p>
        </w:tc>
        <w:tc>
          <w:tcPr>
            <w:tcW w:w="0" w:type="auto"/>
            <w:hideMark/>
          </w:tcPr>
          <w:p w14:paraId="574A8DC7"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p>
        </w:tc>
      </w:tr>
      <w:tr w:rsidR="0096466B" w:rsidRPr="004D307F" w14:paraId="004B32D8" w14:textId="77777777" w:rsidTr="003243F4">
        <w:tc>
          <w:tcPr>
            <w:tcW w:w="1727" w:type="pct"/>
            <w:hideMark/>
          </w:tcPr>
          <w:p w14:paraId="180F2041"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TOTAL</w:t>
            </w:r>
          </w:p>
        </w:tc>
        <w:tc>
          <w:tcPr>
            <w:tcW w:w="1684" w:type="pct"/>
            <w:hideMark/>
          </w:tcPr>
          <w:p w14:paraId="17552DF0" w14:textId="1701B69F"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$4,334.31</w:t>
            </w:r>
          </w:p>
        </w:tc>
        <w:tc>
          <w:tcPr>
            <w:tcW w:w="0" w:type="auto"/>
            <w:hideMark/>
          </w:tcPr>
          <w:p w14:paraId="39D01F3D" w14:textId="37C7A085"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$3,164.13</w:t>
            </w:r>
          </w:p>
        </w:tc>
      </w:tr>
    </w:tbl>
    <w:p w14:paraId="5FEA271D" w14:textId="77777777" w:rsidR="0096466B" w:rsidRPr="004D307F" w:rsidRDefault="0096466B" w:rsidP="0096466B">
      <w:pPr>
        <w:spacing w:after="0" w:line="360" w:lineRule="atLeast"/>
        <w:rPr>
          <w:rFonts w:ascii="VIC" w:eastAsia="Times New Roman" w:hAnsi="VIC" w:cs="Times New Roman"/>
          <w:vanish/>
          <w:color w:val="323E4F" w:themeColor="text2" w:themeShade="BF"/>
          <w:sz w:val="24"/>
          <w:szCs w:val="24"/>
          <w:lang w:val="en"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1"/>
        <w:gridCol w:w="2695"/>
        <w:gridCol w:w="1660"/>
      </w:tblGrid>
      <w:tr w:rsidR="000B1FF1" w:rsidRPr="004D307F" w14:paraId="461658AA" w14:textId="77777777" w:rsidTr="003243F4">
        <w:tc>
          <w:tcPr>
            <w:tcW w:w="0" w:type="auto"/>
            <w:gridSpan w:val="3"/>
            <w:tcBorders>
              <w:top w:val="nil"/>
              <w:left w:val="nil"/>
              <w:bottom w:val="single" w:sz="4" w:space="0" w:color="auto"/>
              <w:right w:val="nil"/>
            </w:tcBorders>
            <w:vAlign w:val="center"/>
            <w:hideMark/>
          </w:tcPr>
          <w:p w14:paraId="6A1D8ECD" w14:textId="77777777" w:rsidR="00E72D67" w:rsidRPr="004D307F" w:rsidRDefault="00E72D67" w:rsidP="00ED4312">
            <w:pPr>
              <w:spacing w:before="100" w:beforeAutospacing="1" w:after="100" w:afterAutospacing="1" w:line="288" w:lineRule="atLeast"/>
              <w:textAlignment w:val="top"/>
              <w:outlineLvl w:val="3"/>
              <w:rPr>
                <w:rFonts w:ascii="VIC" w:eastAsia="Times New Roman" w:hAnsi="VIC" w:cs="Times New Roman"/>
                <w:b/>
                <w:bCs/>
                <w:color w:val="323E4F" w:themeColor="text2" w:themeShade="BF"/>
                <w:sz w:val="24"/>
                <w:szCs w:val="24"/>
                <w:lang w:eastAsia="en-AU"/>
              </w:rPr>
            </w:pPr>
          </w:p>
          <w:p w14:paraId="34EB688A" w14:textId="5CBD6D78" w:rsidR="0096466B" w:rsidRPr="004D307F" w:rsidRDefault="0096466B" w:rsidP="00ED4312">
            <w:pPr>
              <w:spacing w:before="100" w:beforeAutospacing="1" w:after="100" w:afterAutospacing="1" w:line="288" w:lineRule="atLeast"/>
              <w:textAlignment w:val="top"/>
              <w:outlineLvl w:val="3"/>
              <w:rPr>
                <w:rFonts w:ascii="VIC" w:eastAsia="Times New Roman" w:hAnsi="VIC" w:cs="Times New Roman"/>
                <w:b/>
                <w:bCs/>
                <w:color w:val="323E4F" w:themeColor="text2" w:themeShade="BF"/>
                <w:sz w:val="24"/>
                <w:szCs w:val="24"/>
                <w:lang w:eastAsia="en-AU"/>
              </w:rPr>
            </w:pPr>
            <w:r w:rsidRPr="004D307F">
              <w:rPr>
                <w:rFonts w:ascii="VIC" w:eastAsia="Times New Roman" w:hAnsi="VIC" w:cs="Times New Roman"/>
                <w:b/>
                <w:bCs/>
                <w:color w:val="323E4F" w:themeColor="text2" w:themeShade="BF"/>
                <w:sz w:val="24"/>
                <w:szCs w:val="24"/>
                <w:lang w:eastAsia="en-AU"/>
              </w:rPr>
              <w:t>Example: Funding for a Leading Teacher 3.1 on half pay long-service leave more than 30 days</w:t>
            </w:r>
          </w:p>
        </w:tc>
      </w:tr>
      <w:tr w:rsidR="000B1FF1" w:rsidRPr="004D307F" w14:paraId="273A5ECA" w14:textId="77777777" w:rsidTr="003243F4">
        <w:trPr>
          <w:trHeight w:val="547"/>
        </w:trPr>
        <w:tc>
          <w:tcPr>
            <w:tcW w:w="0" w:type="auto"/>
            <w:tcBorders>
              <w:top w:val="single" w:sz="4" w:space="0" w:color="auto"/>
            </w:tcBorders>
            <w:hideMark/>
          </w:tcPr>
          <w:p w14:paraId="62544620"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Regular Fortnightly Charge</w:t>
            </w:r>
          </w:p>
        </w:tc>
        <w:tc>
          <w:tcPr>
            <w:tcW w:w="0" w:type="auto"/>
            <w:tcBorders>
              <w:top w:val="single" w:sz="4" w:space="0" w:color="auto"/>
            </w:tcBorders>
            <w:hideMark/>
          </w:tcPr>
          <w:p w14:paraId="561327B2" w14:textId="0065CEFC"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$4,334.31</w:t>
            </w:r>
          </w:p>
        </w:tc>
        <w:tc>
          <w:tcPr>
            <w:tcW w:w="0" w:type="auto"/>
            <w:tcBorders>
              <w:top w:val="single" w:sz="4" w:space="0" w:color="auto"/>
            </w:tcBorders>
            <w:hideMark/>
          </w:tcPr>
          <w:p w14:paraId="37E6AAFC"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p>
        </w:tc>
      </w:tr>
      <w:tr w:rsidR="000B1FF1" w:rsidRPr="004D307F" w14:paraId="54364892" w14:textId="77777777" w:rsidTr="003243F4">
        <w:tc>
          <w:tcPr>
            <w:tcW w:w="0" w:type="auto"/>
            <w:hideMark/>
          </w:tcPr>
          <w:p w14:paraId="05532BAD" w14:textId="77777777" w:rsidR="0096466B" w:rsidRPr="004D307F" w:rsidRDefault="0096466B" w:rsidP="00ED4312">
            <w:pPr>
              <w:spacing w:after="0" w:line="360" w:lineRule="atLeast"/>
              <w:rPr>
                <w:rFonts w:ascii="VIC" w:eastAsia="Times New Roman" w:hAnsi="VIC" w:cs="Times New Roman"/>
                <w:color w:val="323E4F" w:themeColor="text2" w:themeShade="BF"/>
                <w:sz w:val="20"/>
                <w:szCs w:val="20"/>
                <w:lang w:eastAsia="en-AU"/>
              </w:rPr>
            </w:pPr>
          </w:p>
        </w:tc>
        <w:tc>
          <w:tcPr>
            <w:tcW w:w="0" w:type="auto"/>
            <w:hideMark/>
          </w:tcPr>
          <w:p w14:paraId="62BF397A"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Salary Charge</w:t>
            </w:r>
          </w:p>
        </w:tc>
        <w:tc>
          <w:tcPr>
            <w:tcW w:w="0" w:type="auto"/>
            <w:hideMark/>
          </w:tcPr>
          <w:p w14:paraId="5D0CEEE9"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SRP Saving</w:t>
            </w:r>
          </w:p>
        </w:tc>
      </w:tr>
      <w:tr w:rsidR="000B1FF1" w:rsidRPr="004D307F" w14:paraId="3DC01B4E" w14:textId="77777777" w:rsidTr="003243F4">
        <w:tc>
          <w:tcPr>
            <w:tcW w:w="0" w:type="auto"/>
            <w:hideMark/>
          </w:tcPr>
          <w:p w14:paraId="418AE068"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Regular Charge @ Half Pay</w:t>
            </w:r>
          </w:p>
        </w:tc>
        <w:tc>
          <w:tcPr>
            <w:tcW w:w="0" w:type="auto"/>
            <w:hideMark/>
          </w:tcPr>
          <w:p w14:paraId="07CFC7AE" w14:textId="5CC243A8"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$2,167.15</w:t>
            </w:r>
          </w:p>
        </w:tc>
        <w:tc>
          <w:tcPr>
            <w:tcW w:w="0" w:type="auto"/>
            <w:hideMark/>
          </w:tcPr>
          <w:p w14:paraId="492C2624" w14:textId="23AA6105"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$2,167.15</w:t>
            </w:r>
          </w:p>
        </w:tc>
      </w:tr>
      <w:tr w:rsidR="000B1FF1" w:rsidRPr="004D307F" w14:paraId="62D2EE66" w14:textId="77777777" w:rsidTr="003243F4">
        <w:tc>
          <w:tcPr>
            <w:tcW w:w="0" w:type="auto"/>
            <w:hideMark/>
          </w:tcPr>
          <w:p w14:paraId="0DE44C37"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Outside Budget</w:t>
            </w:r>
          </w:p>
        </w:tc>
        <w:tc>
          <w:tcPr>
            <w:tcW w:w="0" w:type="auto"/>
            <w:hideMark/>
          </w:tcPr>
          <w:p w14:paraId="0A4C9B65" w14:textId="5A58CEA3"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$996.98</w:t>
            </w:r>
          </w:p>
        </w:tc>
        <w:tc>
          <w:tcPr>
            <w:tcW w:w="0" w:type="auto"/>
            <w:hideMark/>
          </w:tcPr>
          <w:p w14:paraId="37F23B1F" w14:textId="1BFC2A8B"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$996.98</w:t>
            </w:r>
          </w:p>
        </w:tc>
      </w:tr>
      <w:tr w:rsidR="000B1FF1" w:rsidRPr="004D307F" w14:paraId="07188567" w14:textId="77777777" w:rsidTr="003243F4">
        <w:tc>
          <w:tcPr>
            <w:tcW w:w="0" w:type="auto"/>
            <w:hideMark/>
          </w:tcPr>
          <w:p w14:paraId="5110AC99"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Inside Budget</w:t>
            </w:r>
          </w:p>
        </w:tc>
        <w:tc>
          <w:tcPr>
            <w:tcW w:w="0" w:type="auto"/>
            <w:hideMark/>
          </w:tcPr>
          <w:p w14:paraId="07BA58DB" w14:textId="33F8DC7B"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$1,170.17</w:t>
            </w:r>
          </w:p>
        </w:tc>
        <w:tc>
          <w:tcPr>
            <w:tcW w:w="0" w:type="auto"/>
            <w:hideMark/>
          </w:tcPr>
          <w:p w14:paraId="12EF72EC"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p>
        </w:tc>
      </w:tr>
      <w:tr w:rsidR="000B1FF1" w:rsidRPr="004D307F" w14:paraId="5C1609F7" w14:textId="77777777" w:rsidTr="003243F4">
        <w:tc>
          <w:tcPr>
            <w:tcW w:w="0" w:type="auto"/>
            <w:hideMark/>
          </w:tcPr>
          <w:p w14:paraId="52C286B3"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lastRenderedPageBreak/>
              <w:t>TOTAL</w:t>
            </w:r>
          </w:p>
        </w:tc>
        <w:tc>
          <w:tcPr>
            <w:tcW w:w="0" w:type="auto"/>
            <w:hideMark/>
          </w:tcPr>
          <w:p w14:paraId="0BB66968" w14:textId="6D2F272F"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$4,334.31</w:t>
            </w:r>
          </w:p>
        </w:tc>
        <w:tc>
          <w:tcPr>
            <w:tcW w:w="0" w:type="auto"/>
            <w:hideMark/>
          </w:tcPr>
          <w:p w14:paraId="6FF66F3A" w14:textId="44FF215F"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$3,164.13</w:t>
            </w:r>
          </w:p>
        </w:tc>
      </w:tr>
      <w:tr w:rsidR="000B1FF1" w:rsidRPr="004D307F" w14:paraId="2F69E566" w14:textId="77777777" w:rsidTr="003243F4">
        <w:tc>
          <w:tcPr>
            <w:tcW w:w="0" w:type="auto"/>
            <w:gridSpan w:val="3"/>
            <w:vAlign w:val="center"/>
            <w:hideMark/>
          </w:tcPr>
          <w:p w14:paraId="54893959" w14:textId="77777777" w:rsidR="0096466B" w:rsidRPr="004D307F" w:rsidRDefault="0096466B" w:rsidP="00ED4312">
            <w:pPr>
              <w:spacing w:before="100" w:beforeAutospacing="1" w:after="100" w:afterAutospacing="1" w:line="288" w:lineRule="atLeast"/>
              <w:textAlignment w:val="top"/>
              <w:outlineLvl w:val="3"/>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Calculation of saving</w:t>
            </w:r>
          </w:p>
        </w:tc>
      </w:tr>
      <w:tr w:rsidR="000B1FF1" w:rsidRPr="004D307F" w14:paraId="7B720611" w14:textId="77777777" w:rsidTr="003243F4">
        <w:tc>
          <w:tcPr>
            <w:tcW w:w="0" w:type="auto"/>
            <w:gridSpan w:val="2"/>
            <w:hideMark/>
          </w:tcPr>
          <w:p w14:paraId="0C923A46" w14:textId="0AB0178D"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Classroom Teacher 1-3: </w:t>
            </w:r>
            <w:r w:rsidR="00745DC1" w:rsidRPr="004D307F">
              <w:rPr>
                <w:rFonts w:ascii="VIC" w:eastAsia="Times New Roman" w:hAnsi="VIC" w:cs="Times New Roman"/>
                <w:color w:val="323E4F" w:themeColor="text2" w:themeShade="BF"/>
                <w:sz w:val="24"/>
                <w:szCs w:val="24"/>
                <w:lang w:eastAsia="en-AU"/>
              </w:rPr>
              <w:t xml:space="preserve">$77,474 / </w:t>
            </w:r>
            <w:r w:rsidRPr="004D307F">
              <w:rPr>
                <w:rFonts w:ascii="VIC" w:eastAsia="Times New Roman" w:hAnsi="VIC" w:cs="Times New Roman"/>
                <w:color w:val="323E4F" w:themeColor="text2" w:themeShade="BF"/>
                <w:sz w:val="24"/>
                <w:szCs w:val="24"/>
                <w:lang w:eastAsia="en-AU"/>
              </w:rPr>
              <w:t>/ 26.0893 fortnights</w:t>
            </w:r>
          </w:p>
        </w:tc>
        <w:tc>
          <w:tcPr>
            <w:tcW w:w="0" w:type="auto"/>
            <w:hideMark/>
          </w:tcPr>
          <w:p w14:paraId="60D23617" w14:textId="20842E21"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$2,969.57</w:t>
            </w:r>
          </w:p>
        </w:tc>
      </w:tr>
      <w:tr w:rsidR="000B1FF1" w:rsidRPr="004D307F" w14:paraId="687E29BF" w14:textId="77777777" w:rsidTr="003243F4">
        <w:tc>
          <w:tcPr>
            <w:tcW w:w="0" w:type="auto"/>
            <w:gridSpan w:val="2"/>
            <w:hideMark/>
          </w:tcPr>
          <w:p w14:paraId="605FA1BA" w14:textId="7E9B77B6"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Higher duties gap Classroom Teacher 2.6 </w:t>
            </w:r>
            <w:r w:rsidR="00745DC1" w:rsidRPr="004D307F">
              <w:rPr>
                <w:rFonts w:ascii="VIC" w:eastAsia="Times New Roman" w:hAnsi="VIC" w:cs="Times New Roman"/>
                <w:color w:val="323E4F" w:themeColor="text2" w:themeShade="BF"/>
                <w:sz w:val="24"/>
                <w:szCs w:val="24"/>
                <w:lang w:eastAsia="en-AU"/>
              </w:rPr>
              <w:t xml:space="preserve">($108,003) </w:t>
            </w:r>
            <w:r w:rsidRPr="004D307F">
              <w:rPr>
                <w:rFonts w:ascii="VIC" w:eastAsia="Times New Roman" w:hAnsi="VIC" w:cs="Times New Roman"/>
                <w:color w:val="323E4F" w:themeColor="text2" w:themeShade="BF"/>
                <w:sz w:val="24"/>
                <w:szCs w:val="24"/>
                <w:lang w:eastAsia="en-AU"/>
              </w:rPr>
              <w:t xml:space="preserve">to Leading Teacher 3.1 </w:t>
            </w:r>
            <w:r w:rsidR="00745DC1" w:rsidRPr="004D307F">
              <w:rPr>
                <w:rFonts w:ascii="VIC" w:eastAsia="Times New Roman" w:hAnsi="VIC" w:cs="Times New Roman"/>
                <w:color w:val="323E4F" w:themeColor="text2" w:themeShade="BF"/>
                <w:sz w:val="24"/>
                <w:szCs w:val="24"/>
                <w:lang w:eastAsia="en-AU"/>
              </w:rPr>
              <w:t xml:space="preserve">($113,079) = $4,334.31 </w:t>
            </w:r>
            <w:r w:rsidRPr="004D307F">
              <w:rPr>
                <w:rFonts w:ascii="VIC" w:eastAsia="Times New Roman" w:hAnsi="VIC" w:cs="Times New Roman"/>
                <w:color w:val="323E4F" w:themeColor="text2" w:themeShade="BF"/>
                <w:sz w:val="24"/>
                <w:szCs w:val="24"/>
                <w:lang w:eastAsia="en-AU"/>
              </w:rPr>
              <w:t>/ 26.0893 fortnights</w:t>
            </w:r>
          </w:p>
        </w:tc>
        <w:tc>
          <w:tcPr>
            <w:tcW w:w="0" w:type="auto"/>
            <w:hideMark/>
          </w:tcPr>
          <w:p w14:paraId="4FCC379C" w14:textId="2D4C6DD7"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$194.56</w:t>
            </w:r>
          </w:p>
        </w:tc>
      </w:tr>
      <w:tr w:rsidR="000B1FF1" w:rsidRPr="004D307F" w14:paraId="339E6F53" w14:textId="77777777" w:rsidTr="003243F4">
        <w:tc>
          <w:tcPr>
            <w:tcW w:w="0" w:type="auto"/>
            <w:gridSpan w:val="2"/>
            <w:hideMark/>
          </w:tcPr>
          <w:p w14:paraId="4B146891"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Saving to school for relief</w:t>
            </w:r>
          </w:p>
        </w:tc>
        <w:tc>
          <w:tcPr>
            <w:tcW w:w="0" w:type="auto"/>
            <w:hideMark/>
          </w:tcPr>
          <w:p w14:paraId="68FC56E5" w14:textId="681E9A29"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$3,164.13</w:t>
            </w:r>
          </w:p>
        </w:tc>
      </w:tr>
    </w:tbl>
    <w:p w14:paraId="60219EB7" w14:textId="790CF48D"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rates quoted above are relevant to salaries paid as at 1 </w:t>
      </w:r>
      <w:r w:rsidR="00745DC1" w:rsidRPr="004D307F">
        <w:rPr>
          <w:rFonts w:ascii="VIC" w:eastAsia="Times New Roman" w:hAnsi="VIC" w:cs="Times New Roman"/>
          <w:color w:val="011A3C"/>
          <w:sz w:val="24"/>
          <w:szCs w:val="24"/>
          <w:lang w:val="en" w:eastAsia="en-AU"/>
        </w:rPr>
        <w:t>October</w:t>
      </w:r>
      <w:r w:rsidR="00745DC1" w:rsidRPr="004D307F" w:rsidDel="00745DC1">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2020.</w:t>
      </w:r>
    </w:p>
    <w:p w14:paraId="04D2AAFA" w14:textId="77777777" w:rsidR="0096466B" w:rsidRPr="004D307F" w:rsidRDefault="00901FCB" w:rsidP="0096466B">
      <w:pPr>
        <w:spacing w:before="100" w:beforeAutospacing="1" w:after="100" w:afterAutospacing="1" w:line="360" w:lineRule="atLeast"/>
        <w:rPr>
          <w:rFonts w:ascii="VIC" w:eastAsia="Times New Roman" w:hAnsi="VIC" w:cs="Times New Roman"/>
          <w:color w:val="011A3C"/>
          <w:sz w:val="24"/>
          <w:szCs w:val="24"/>
          <w:lang w:val="en" w:eastAsia="en-AU"/>
        </w:rPr>
      </w:pPr>
      <w:hyperlink r:id="rId226" w:history="1">
        <w:r w:rsidR="0096466B" w:rsidRPr="004D307F">
          <w:rPr>
            <w:rFonts w:ascii="VIC" w:eastAsia="Times New Roman" w:hAnsi="VIC" w:cs="Times New Roman"/>
            <w:color w:val="011A3C"/>
            <w:sz w:val="24"/>
            <w:szCs w:val="24"/>
            <w:lang w:val="en" w:eastAsia="en-AU"/>
          </w:rPr>
          <w:t>Excel Calculator for Leave (Excel)</w:t>
        </w:r>
      </w:hyperlink>
    </w:p>
    <w:p w14:paraId="20F5D9CA"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Note: This calculator assists with estimating the inside budget amounts for teaching staff who are on leave.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It is a guideline only and some classifications, like assistant principal class who have </w:t>
      </w:r>
      <w:hyperlink r:id="rId227" w:history="1">
        <w:r w:rsidRPr="004D307F">
          <w:rPr>
            <w:rFonts w:ascii="VIC" w:eastAsia="Times New Roman" w:hAnsi="VIC" w:cs="Times New Roman"/>
            <w:color w:val="011A3C"/>
            <w:sz w:val="24"/>
            <w:szCs w:val="24"/>
            <w:lang w:val="en" w:eastAsia="en-AU"/>
          </w:rPr>
          <w:t>SmartSalary</w:t>
        </w:r>
      </w:hyperlink>
      <w:r w:rsidRPr="004D307F">
        <w:rPr>
          <w:rFonts w:ascii="VIC" w:eastAsia="Times New Roman" w:hAnsi="VIC" w:cs="Times New Roman"/>
          <w:color w:val="011A3C"/>
          <w:sz w:val="24"/>
          <w:szCs w:val="24"/>
          <w:lang w:val="en" w:eastAsia="en-AU"/>
        </w:rPr>
        <w:t xml:space="preserve"> packaging can vary.</w:t>
      </w:r>
    </w:p>
    <w:p w14:paraId="12B0F13A"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Leave reimbursement cash (short term leave)</w:t>
      </w:r>
    </w:p>
    <w:p w14:paraId="2923058E"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Leave Reimbursement Cash (short term leave) is a process whereby schools can apply for reimbursement for nominated leave items less than 30 continuous working days.</w:t>
      </w:r>
    </w:p>
    <w:p w14:paraId="3F98D700" w14:textId="23D890FE"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If schools experience extraordinary periods of short term paid leave they should discuss alternative support with the Schools Finance and Resources Branch at </w:t>
      </w:r>
      <w:hyperlink r:id="rId228" w:history="1">
        <w:r w:rsidR="00C64A4E" w:rsidRPr="004D307F">
          <w:rPr>
            <w:rStyle w:val="Hyperlink"/>
            <w:rFonts w:ascii="VIC" w:eastAsia="Times New Roman" w:hAnsi="VIC" w:cs="Times New Roman"/>
            <w:sz w:val="24"/>
            <w:szCs w:val="24"/>
            <w:lang w:val="en" w:eastAsia="en-AU"/>
          </w:rPr>
          <w:t>studentresourcepackage@education.vic.gov.au</w:t>
        </w:r>
      </w:hyperlink>
      <w:r w:rsidRPr="004D307F">
        <w:rPr>
          <w:rFonts w:ascii="VIC" w:eastAsia="Times New Roman" w:hAnsi="VIC" w:cs="Times New Roman"/>
          <w:color w:val="011A3C"/>
          <w:sz w:val="24"/>
          <w:szCs w:val="24"/>
          <w:lang w:val="en" w:eastAsia="en-AU"/>
        </w:rPr>
        <w:t xml:space="preserve"> or on </w:t>
      </w:r>
      <w:hyperlink r:id="rId229" w:history="1">
        <w:r w:rsidRPr="004D307F">
          <w:rPr>
            <w:rFonts w:ascii="VIC" w:eastAsia="Times New Roman" w:hAnsi="VIC" w:cs="Times New Roman"/>
            <w:color w:val="011A3C"/>
            <w:sz w:val="24"/>
            <w:szCs w:val="24"/>
            <w:lang w:val="en" w:eastAsia="en-AU"/>
          </w:rPr>
          <w:t>1800 641 943</w:t>
        </w:r>
      </w:hyperlink>
      <w:r w:rsidRPr="004D307F">
        <w:rPr>
          <w:rFonts w:ascii="VIC" w:eastAsia="Times New Roman" w:hAnsi="VIC" w:cs="Times New Roman"/>
          <w:color w:val="011A3C"/>
          <w:sz w:val="24"/>
          <w:szCs w:val="24"/>
          <w:lang w:val="en" w:eastAsia="en-AU"/>
        </w:rPr>
        <w:t>.</w:t>
      </w:r>
    </w:p>
    <w:p w14:paraId="657D009A" w14:textId="2F1BF1AF"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 xml:space="preserve">Leave </w:t>
      </w:r>
      <w:r w:rsidR="0059622D">
        <w:rPr>
          <w:rFonts w:ascii="VIC" w:eastAsia="Times New Roman" w:hAnsi="VIC" w:cs="Times New Roman"/>
          <w:b/>
          <w:bCs/>
          <w:color w:val="011A3C"/>
          <w:sz w:val="24"/>
          <w:szCs w:val="24"/>
          <w:lang w:val="en" w:eastAsia="en-AU"/>
        </w:rPr>
        <w:t>r</w:t>
      </w:r>
      <w:r w:rsidRPr="004D307F">
        <w:rPr>
          <w:rFonts w:ascii="VIC" w:eastAsia="Times New Roman" w:hAnsi="VIC" w:cs="Times New Roman"/>
          <w:b/>
          <w:bCs/>
          <w:color w:val="011A3C"/>
          <w:sz w:val="24"/>
          <w:szCs w:val="24"/>
          <w:lang w:val="en" w:eastAsia="en-AU"/>
        </w:rPr>
        <w:t xml:space="preserve">eimbursement </w:t>
      </w:r>
      <w:r w:rsidR="0059622D">
        <w:rPr>
          <w:rFonts w:ascii="VIC" w:eastAsia="Times New Roman" w:hAnsi="VIC" w:cs="Times New Roman"/>
          <w:b/>
          <w:bCs/>
          <w:color w:val="011A3C"/>
          <w:sz w:val="24"/>
          <w:szCs w:val="24"/>
          <w:lang w:val="en" w:eastAsia="en-AU"/>
        </w:rPr>
        <w:t>c</w:t>
      </w:r>
      <w:r w:rsidRPr="004D307F">
        <w:rPr>
          <w:rFonts w:ascii="VIC" w:eastAsia="Times New Roman" w:hAnsi="VIC" w:cs="Times New Roman"/>
          <w:b/>
          <w:bCs/>
          <w:color w:val="011A3C"/>
          <w:sz w:val="24"/>
          <w:szCs w:val="24"/>
          <w:lang w:val="en" w:eastAsia="en-AU"/>
        </w:rPr>
        <w:t xml:space="preserve">ash </w:t>
      </w:r>
      <w:r w:rsidR="0059622D">
        <w:rPr>
          <w:rFonts w:ascii="VIC" w:eastAsia="Times New Roman" w:hAnsi="VIC" w:cs="Times New Roman"/>
          <w:b/>
          <w:bCs/>
          <w:color w:val="011A3C"/>
          <w:sz w:val="24"/>
          <w:szCs w:val="24"/>
          <w:lang w:val="en" w:eastAsia="en-AU"/>
        </w:rPr>
        <w:t>r</w:t>
      </w:r>
      <w:r w:rsidRPr="004D307F">
        <w:rPr>
          <w:rFonts w:ascii="VIC" w:eastAsia="Times New Roman" w:hAnsi="VIC" w:cs="Times New Roman"/>
          <w:b/>
          <w:bCs/>
          <w:color w:val="011A3C"/>
          <w:sz w:val="24"/>
          <w:szCs w:val="24"/>
          <w:lang w:val="en" w:eastAsia="en-AU"/>
        </w:rPr>
        <w:t>ates</w:t>
      </w:r>
    </w:p>
    <w:p w14:paraId="078CF97A"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following table contains the rates at which schools will be reimbursed for relief staff; these figures include superannuation and other on-costs.</w:t>
      </w:r>
    </w:p>
    <w:p w14:paraId="464B7584" w14:textId="6BFDC076" w:rsidR="0096466B" w:rsidRDefault="0096466B" w:rsidP="00F87843">
      <w:pPr>
        <w:spacing w:after="0" w:line="240" w:lineRule="atLeast"/>
        <w:rPr>
          <w:rFonts w:ascii="VIC" w:eastAsia="Times New Roman" w:hAnsi="VIC" w:cs="Times New Roman"/>
          <w:color w:val="323E4F" w:themeColor="text2" w:themeShade="BF"/>
          <w:sz w:val="24"/>
          <w:szCs w:val="24"/>
          <w:lang w:eastAsia="en-AU"/>
        </w:rPr>
      </w:pPr>
      <w:r w:rsidRPr="00992D99">
        <w:rPr>
          <w:rFonts w:ascii="VIC" w:eastAsia="Times New Roman" w:hAnsi="VIC" w:cs="Times New Roman"/>
          <w:color w:val="323E4F" w:themeColor="text2" w:themeShade="BF"/>
          <w:sz w:val="24"/>
          <w:szCs w:val="24"/>
          <w:lang w:eastAsia="en-AU"/>
        </w:rPr>
        <w:t>For information on payment rates for relief staff, please refer to</w:t>
      </w:r>
      <w:r w:rsidRPr="00992D99">
        <w:rPr>
          <w:rFonts w:ascii="Cambria" w:eastAsia="Times New Roman" w:hAnsi="Cambria" w:cs="Cambria" w:hint="eastAsia"/>
          <w:color w:val="323E4F" w:themeColor="text2" w:themeShade="BF"/>
          <w:sz w:val="24"/>
          <w:szCs w:val="24"/>
          <w:lang w:eastAsia="en-AU"/>
        </w:rPr>
        <w:t> </w:t>
      </w:r>
      <w:hyperlink r:id="rId230" w:history="1">
        <w:r w:rsidRPr="00992D99">
          <w:rPr>
            <w:rFonts w:ascii="VIC" w:eastAsia="Times New Roman" w:hAnsi="VIC" w:cs="Times New Roman"/>
            <w:color w:val="323E4F" w:themeColor="text2" w:themeShade="BF"/>
            <w:sz w:val="24"/>
            <w:szCs w:val="24"/>
            <w:lang w:eastAsia="en-AU"/>
          </w:rPr>
          <w:t>Salary Rates</w:t>
        </w:r>
      </w:hyperlink>
      <w:r w:rsidRPr="00992D99">
        <w:rPr>
          <w:rFonts w:ascii="VIC" w:eastAsia="Times New Roman" w:hAnsi="VIC" w:cs="Times New Roman"/>
          <w:color w:val="323E4F" w:themeColor="text2" w:themeShade="BF"/>
          <w:sz w:val="24"/>
          <w:szCs w:val="24"/>
          <w:lang w:eastAsia="en-AU"/>
        </w:rPr>
        <w:t>.</w:t>
      </w:r>
    </w:p>
    <w:p w14:paraId="00CD6B5D" w14:textId="77777777" w:rsidR="00F87843" w:rsidRPr="00992D99" w:rsidRDefault="00F87843" w:rsidP="00992D99">
      <w:pPr>
        <w:spacing w:after="0" w:line="240" w:lineRule="atLeast"/>
        <w:rPr>
          <w:rFonts w:ascii="VIC" w:eastAsia="Times New Roman" w:hAnsi="VIC" w:cs="Times New Roman"/>
          <w:color w:val="323E4F" w:themeColor="text2" w:themeShade="BF"/>
          <w:sz w:val="24"/>
          <w:szCs w:val="24"/>
          <w:lang w:eastAsia="en-AU"/>
        </w:rPr>
      </w:pPr>
    </w:p>
    <w:tbl>
      <w:tblPr>
        <w:tblW w:w="9903" w:type="dxa"/>
        <w:tblInd w:w="-5" w:type="dxa"/>
        <w:tblCellMar>
          <w:left w:w="0" w:type="dxa"/>
          <w:right w:w="0" w:type="dxa"/>
        </w:tblCellMar>
        <w:tblLook w:val="04A0" w:firstRow="1" w:lastRow="0" w:firstColumn="1" w:lastColumn="0" w:noHBand="0" w:noVBand="1"/>
      </w:tblPr>
      <w:tblGrid>
        <w:gridCol w:w="3550"/>
        <w:gridCol w:w="2723"/>
        <w:gridCol w:w="3630"/>
      </w:tblGrid>
      <w:tr w:rsidR="00F87843" w:rsidRPr="00F87843" w14:paraId="70AA5454" w14:textId="77777777" w:rsidTr="00992D99">
        <w:trPr>
          <w:trHeight w:val="133"/>
          <w:tblHeader/>
        </w:trPr>
        <w:tc>
          <w:tcPr>
            <w:tcW w:w="9903" w:type="dxa"/>
            <w:gridSpan w:val="3"/>
            <w:tcBorders>
              <w:top w:val="single" w:sz="8" w:space="0" w:color="auto"/>
              <w:left w:val="single" w:sz="8" w:space="0" w:color="auto"/>
              <w:bottom w:val="single" w:sz="8" w:space="0" w:color="auto"/>
              <w:right w:val="single" w:sz="8" w:space="0" w:color="auto"/>
            </w:tcBorders>
            <w:shd w:val="clear" w:color="auto" w:fill="F6F6F9"/>
            <w:tcMar>
              <w:top w:w="15" w:type="dxa"/>
              <w:left w:w="15" w:type="dxa"/>
              <w:bottom w:w="15" w:type="dxa"/>
              <w:right w:w="15" w:type="dxa"/>
            </w:tcMar>
            <w:vAlign w:val="center"/>
            <w:hideMark/>
          </w:tcPr>
          <w:p w14:paraId="34350269" w14:textId="77777777" w:rsidR="00F87843" w:rsidRPr="00992D99" w:rsidRDefault="00F87843" w:rsidP="00992D99">
            <w:pPr>
              <w:spacing w:after="0" w:line="240" w:lineRule="atLeast"/>
              <w:rPr>
                <w:rFonts w:ascii="VIC" w:eastAsia="Times New Roman" w:hAnsi="VIC" w:cs="Times New Roman"/>
                <w:color w:val="323E4F" w:themeColor="text2" w:themeShade="BF"/>
                <w:sz w:val="24"/>
                <w:szCs w:val="24"/>
                <w:lang w:eastAsia="en-AU"/>
              </w:rPr>
            </w:pPr>
            <w:r w:rsidRPr="00992D99">
              <w:rPr>
                <w:rFonts w:ascii="VIC" w:eastAsia="Times New Roman" w:hAnsi="VIC" w:cs="Times New Roman"/>
                <w:color w:val="323E4F" w:themeColor="text2" w:themeShade="BF"/>
                <w:sz w:val="24"/>
                <w:szCs w:val="24"/>
                <w:lang w:eastAsia="en-AU"/>
              </w:rPr>
              <w:t>Reimbursement Rates for 2022</w:t>
            </w:r>
          </w:p>
        </w:tc>
      </w:tr>
      <w:tr w:rsidR="00F87843" w:rsidRPr="00F87843" w14:paraId="1A42043B" w14:textId="77777777" w:rsidTr="00992D99">
        <w:trPr>
          <w:trHeight w:val="404"/>
          <w:tblHeader/>
        </w:trPr>
        <w:tc>
          <w:tcPr>
            <w:tcW w:w="3550" w:type="dxa"/>
            <w:tcBorders>
              <w:top w:val="nil"/>
              <w:left w:val="single" w:sz="8" w:space="0" w:color="auto"/>
              <w:bottom w:val="single" w:sz="8" w:space="0" w:color="auto"/>
              <w:right w:val="single" w:sz="8" w:space="0" w:color="auto"/>
            </w:tcBorders>
            <w:shd w:val="clear" w:color="auto" w:fill="F6F6F9"/>
            <w:tcMar>
              <w:top w:w="15" w:type="dxa"/>
              <w:left w:w="15" w:type="dxa"/>
              <w:bottom w:w="15" w:type="dxa"/>
              <w:right w:w="15" w:type="dxa"/>
            </w:tcMar>
            <w:hideMark/>
          </w:tcPr>
          <w:p w14:paraId="517200B8" w14:textId="77777777" w:rsidR="00F87843" w:rsidRPr="00992D99" w:rsidRDefault="00F87843" w:rsidP="00992D99">
            <w:pPr>
              <w:spacing w:after="0" w:line="240" w:lineRule="atLeast"/>
              <w:rPr>
                <w:rFonts w:ascii="VIC" w:eastAsia="Times New Roman" w:hAnsi="VIC" w:cs="Times New Roman"/>
                <w:color w:val="323E4F" w:themeColor="text2" w:themeShade="BF"/>
                <w:sz w:val="24"/>
                <w:szCs w:val="24"/>
                <w:lang w:eastAsia="en-AU"/>
              </w:rPr>
            </w:pPr>
            <w:r w:rsidRPr="00992D99">
              <w:rPr>
                <w:rFonts w:ascii="VIC" w:eastAsia="Times New Roman" w:hAnsi="VIC" w:cs="Times New Roman"/>
                <w:color w:val="323E4F" w:themeColor="text2" w:themeShade="BF"/>
                <w:sz w:val="24"/>
                <w:szCs w:val="24"/>
                <w:lang w:eastAsia="en-AU"/>
              </w:rPr>
              <w:t>Effective dates</w:t>
            </w:r>
          </w:p>
        </w:tc>
        <w:tc>
          <w:tcPr>
            <w:tcW w:w="2723" w:type="dxa"/>
            <w:tcBorders>
              <w:top w:val="nil"/>
              <w:left w:val="nil"/>
              <w:bottom w:val="single" w:sz="8" w:space="0" w:color="auto"/>
              <w:right w:val="single" w:sz="8" w:space="0" w:color="auto"/>
            </w:tcBorders>
            <w:shd w:val="clear" w:color="auto" w:fill="F6F6F9"/>
            <w:tcMar>
              <w:top w:w="15" w:type="dxa"/>
              <w:left w:w="15" w:type="dxa"/>
              <w:bottom w:w="15" w:type="dxa"/>
              <w:right w:w="15" w:type="dxa"/>
            </w:tcMar>
            <w:hideMark/>
          </w:tcPr>
          <w:p w14:paraId="1D926365" w14:textId="77777777" w:rsidR="00F87843" w:rsidRPr="00992D99" w:rsidRDefault="00F87843" w:rsidP="00992D99">
            <w:pPr>
              <w:spacing w:after="0" w:line="240" w:lineRule="atLeast"/>
              <w:rPr>
                <w:rFonts w:ascii="VIC" w:eastAsia="Times New Roman" w:hAnsi="VIC" w:cs="Times New Roman"/>
                <w:color w:val="323E4F" w:themeColor="text2" w:themeShade="BF"/>
                <w:sz w:val="24"/>
                <w:szCs w:val="24"/>
                <w:lang w:eastAsia="en-AU"/>
              </w:rPr>
            </w:pPr>
            <w:r w:rsidRPr="00992D99">
              <w:rPr>
                <w:rFonts w:ascii="VIC" w:eastAsia="Times New Roman" w:hAnsi="VIC" w:cs="Times New Roman"/>
                <w:color w:val="323E4F" w:themeColor="text2" w:themeShade="BF"/>
                <w:sz w:val="24"/>
                <w:szCs w:val="24"/>
                <w:lang w:eastAsia="en-AU"/>
              </w:rPr>
              <w:t>Education Support Officer Relief (Hourly Rate)</w:t>
            </w:r>
          </w:p>
        </w:tc>
        <w:tc>
          <w:tcPr>
            <w:tcW w:w="3630" w:type="dxa"/>
            <w:tcBorders>
              <w:top w:val="nil"/>
              <w:left w:val="nil"/>
              <w:bottom w:val="single" w:sz="8" w:space="0" w:color="auto"/>
              <w:right w:val="single" w:sz="8" w:space="0" w:color="auto"/>
            </w:tcBorders>
            <w:shd w:val="clear" w:color="auto" w:fill="F6F6F9"/>
            <w:tcMar>
              <w:top w:w="15" w:type="dxa"/>
              <w:left w:w="15" w:type="dxa"/>
              <w:bottom w:w="15" w:type="dxa"/>
              <w:right w:w="15" w:type="dxa"/>
            </w:tcMar>
            <w:hideMark/>
          </w:tcPr>
          <w:p w14:paraId="13FBD749" w14:textId="77777777" w:rsidR="00F87843" w:rsidRPr="00992D99" w:rsidRDefault="00F87843" w:rsidP="00992D99">
            <w:pPr>
              <w:spacing w:after="0" w:line="240" w:lineRule="atLeast"/>
              <w:rPr>
                <w:rFonts w:ascii="VIC" w:eastAsia="Times New Roman" w:hAnsi="VIC" w:cs="Times New Roman"/>
                <w:color w:val="323E4F" w:themeColor="text2" w:themeShade="BF"/>
                <w:sz w:val="24"/>
                <w:szCs w:val="24"/>
                <w:lang w:eastAsia="en-AU"/>
              </w:rPr>
            </w:pPr>
            <w:r w:rsidRPr="00992D99">
              <w:rPr>
                <w:rFonts w:ascii="VIC" w:eastAsia="Times New Roman" w:hAnsi="VIC" w:cs="Times New Roman"/>
                <w:color w:val="323E4F" w:themeColor="text2" w:themeShade="BF"/>
                <w:sz w:val="24"/>
                <w:szCs w:val="24"/>
                <w:lang w:eastAsia="en-AU"/>
              </w:rPr>
              <w:t>Casual Relief Teacher (Maximum Daily Rate)</w:t>
            </w:r>
          </w:p>
        </w:tc>
      </w:tr>
      <w:tr w:rsidR="00F87843" w:rsidRPr="00F87843" w14:paraId="62FF729C" w14:textId="77777777" w:rsidTr="00992D99">
        <w:trPr>
          <w:trHeight w:val="207"/>
        </w:trPr>
        <w:tc>
          <w:tcPr>
            <w:tcW w:w="355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7E3839DF" w14:textId="6FD7464A" w:rsidR="00F87843" w:rsidRPr="00992D99" w:rsidRDefault="00F87843" w:rsidP="00992D99">
            <w:pPr>
              <w:spacing w:after="0" w:line="240" w:lineRule="atLeast"/>
              <w:rPr>
                <w:rFonts w:ascii="VIC" w:eastAsia="Times New Roman" w:hAnsi="VIC" w:cs="Times New Roman"/>
                <w:color w:val="323E4F" w:themeColor="text2" w:themeShade="BF"/>
                <w:sz w:val="24"/>
                <w:szCs w:val="24"/>
                <w:lang w:eastAsia="en-AU"/>
              </w:rPr>
            </w:pPr>
            <w:r w:rsidRPr="00992D99">
              <w:rPr>
                <w:rFonts w:ascii="VIC" w:eastAsia="Times New Roman" w:hAnsi="VIC" w:cs="Times New Roman"/>
                <w:color w:val="323E4F" w:themeColor="text2" w:themeShade="BF"/>
                <w:sz w:val="24"/>
                <w:szCs w:val="24"/>
                <w:lang w:eastAsia="en-AU"/>
              </w:rPr>
              <w:t xml:space="preserve">1 February 2022 </w:t>
            </w:r>
            <w:r w:rsidR="004C220A">
              <w:rPr>
                <w:rFonts w:ascii="VIC" w:eastAsia="Times New Roman" w:hAnsi="VIC" w:cs="Times New Roman"/>
                <w:color w:val="323E4F" w:themeColor="text2" w:themeShade="BF"/>
                <w:sz w:val="24"/>
                <w:szCs w:val="24"/>
                <w:lang w:eastAsia="en-AU"/>
              </w:rPr>
              <w:t>to</w:t>
            </w:r>
            <w:r w:rsidRPr="00992D99">
              <w:rPr>
                <w:rFonts w:ascii="VIC" w:eastAsia="Times New Roman" w:hAnsi="VIC" w:cs="Times New Roman"/>
                <w:color w:val="323E4F" w:themeColor="text2" w:themeShade="BF"/>
                <w:sz w:val="24"/>
                <w:szCs w:val="24"/>
                <w:lang w:eastAsia="en-AU"/>
              </w:rPr>
              <w:t xml:space="preserve"> 30 June 2022 </w:t>
            </w:r>
          </w:p>
        </w:tc>
        <w:tc>
          <w:tcPr>
            <w:tcW w:w="27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14:paraId="4E1120D0" w14:textId="77777777" w:rsidR="00F87843" w:rsidRPr="00992D99" w:rsidRDefault="00F87843" w:rsidP="00992D99">
            <w:pPr>
              <w:spacing w:after="0" w:line="240" w:lineRule="atLeast"/>
              <w:rPr>
                <w:rFonts w:ascii="VIC" w:eastAsia="Times New Roman" w:hAnsi="VIC" w:cs="Times New Roman"/>
                <w:color w:val="323E4F" w:themeColor="text2" w:themeShade="BF"/>
                <w:sz w:val="24"/>
                <w:szCs w:val="24"/>
                <w:lang w:eastAsia="en-AU"/>
              </w:rPr>
            </w:pPr>
            <w:r w:rsidRPr="00992D99">
              <w:rPr>
                <w:rFonts w:ascii="VIC" w:eastAsia="Times New Roman" w:hAnsi="VIC" w:cs="Times New Roman"/>
                <w:color w:val="323E4F" w:themeColor="text2" w:themeShade="BF"/>
                <w:sz w:val="24"/>
                <w:szCs w:val="24"/>
                <w:lang w:eastAsia="en-AU"/>
              </w:rPr>
              <w:t>TBA</w:t>
            </w:r>
          </w:p>
        </w:tc>
        <w:tc>
          <w:tcPr>
            <w:tcW w:w="363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14:paraId="0224AEB2" w14:textId="77777777" w:rsidR="00F87843" w:rsidRPr="00992D99" w:rsidRDefault="00F87843" w:rsidP="00992D99">
            <w:pPr>
              <w:spacing w:after="0" w:line="240" w:lineRule="atLeast"/>
              <w:rPr>
                <w:rFonts w:ascii="VIC" w:eastAsia="Times New Roman" w:hAnsi="VIC" w:cs="Times New Roman"/>
                <w:color w:val="323E4F" w:themeColor="text2" w:themeShade="BF"/>
                <w:sz w:val="24"/>
                <w:szCs w:val="24"/>
                <w:lang w:eastAsia="en-AU"/>
              </w:rPr>
            </w:pPr>
            <w:r w:rsidRPr="00992D99">
              <w:rPr>
                <w:rFonts w:ascii="VIC" w:eastAsia="Times New Roman" w:hAnsi="VIC" w:cs="Times New Roman"/>
                <w:color w:val="323E4F" w:themeColor="text2" w:themeShade="BF"/>
                <w:sz w:val="24"/>
                <w:szCs w:val="24"/>
                <w:lang w:eastAsia="en-AU"/>
              </w:rPr>
              <w:t>$443.42</w:t>
            </w:r>
          </w:p>
        </w:tc>
      </w:tr>
      <w:tr w:rsidR="00F87843" w:rsidRPr="00F87843" w14:paraId="484896F3" w14:textId="77777777" w:rsidTr="00992D99">
        <w:trPr>
          <w:trHeight w:val="284"/>
        </w:trPr>
        <w:tc>
          <w:tcPr>
            <w:tcW w:w="355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67ABC030" w14:textId="23D8B641" w:rsidR="00F87843" w:rsidRPr="00992D99" w:rsidRDefault="00F87843" w:rsidP="00992D99">
            <w:pPr>
              <w:spacing w:after="0" w:line="240" w:lineRule="atLeast"/>
              <w:rPr>
                <w:rFonts w:ascii="VIC" w:eastAsia="Times New Roman" w:hAnsi="VIC" w:cs="Times New Roman"/>
                <w:color w:val="323E4F" w:themeColor="text2" w:themeShade="BF"/>
                <w:sz w:val="24"/>
                <w:szCs w:val="24"/>
                <w:lang w:eastAsia="en-AU"/>
              </w:rPr>
            </w:pPr>
            <w:r w:rsidRPr="00992D99">
              <w:rPr>
                <w:rFonts w:ascii="VIC" w:eastAsia="Times New Roman" w:hAnsi="VIC" w:cs="Times New Roman"/>
                <w:color w:val="323E4F" w:themeColor="text2" w:themeShade="BF"/>
                <w:sz w:val="24"/>
                <w:szCs w:val="24"/>
                <w:lang w:eastAsia="en-AU"/>
              </w:rPr>
              <w:lastRenderedPageBreak/>
              <w:t xml:space="preserve">1 July 2022 </w:t>
            </w:r>
            <w:r w:rsidR="004C220A">
              <w:rPr>
                <w:rFonts w:ascii="VIC" w:eastAsia="Times New Roman" w:hAnsi="VIC" w:cs="Times New Roman"/>
                <w:color w:val="323E4F" w:themeColor="text2" w:themeShade="BF"/>
                <w:sz w:val="24"/>
                <w:szCs w:val="24"/>
                <w:lang w:eastAsia="en-AU"/>
              </w:rPr>
              <w:t>to</w:t>
            </w:r>
            <w:r w:rsidRPr="00992D99">
              <w:rPr>
                <w:rFonts w:ascii="VIC" w:eastAsia="Times New Roman" w:hAnsi="VIC" w:cs="Times New Roman"/>
                <w:color w:val="323E4F" w:themeColor="text2" w:themeShade="BF"/>
                <w:sz w:val="24"/>
                <w:szCs w:val="24"/>
                <w:lang w:eastAsia="en-AU"/>
              </w:rPr>
              <w:t xml:space="preserve"> 31 December 2022</w:t>
            </w:r>
          </w:p>
        </w:tc>
        <w:tc>
          <w:tcPr>
            <w:tcW w:w="27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14:paraId="42F8DEC2" w14:textId="77777777" w:rsidR="00F87843" w:rsidRPr="00992D99" w:rsidRDefault="00F87843" w:rsidP="00992D99">
            <w:pPr>
              <w:spacing w:after="0" w:line="240" w:lineRule="atLeast"/>
              <w:rPr>
                <w:rFonts w:ascii="VIC" w:eastAsia="Times New Roman" w:hAnsi="VIC" w:cs="Times New Roman"/>
                <w:color w:val="323E4F" w:themeColor="text2" w:themeShade="BF"/>
                <w:sz w:val="24"/>
                <w:szCs w:val="24"/>
                <w:lang w:eastAsia="en-AU"/>
              </w:rPr>
            </w:pPr>
            <w:r w:rsidRPr="00992D99">
              <w:rPr>
                <w:rFonts w:ascii="VIC" w:eastAsia="Times New Roman" w:hAnsi="VIC" w:cs="Times New Roman"/>
                <w:color w:val="323E4F" w:themeColor="text2" w:themeShade="BF"/>
                <w:sz w:val="24"/>
                <w:szCs w:val="24"/>
                <w:lang w:eastAsia="en-AU"/>
              </w:rPr>
              <w:t>TBA</w:t>
            </w:r>
          </w:p>
        </w:tc>
        <w:tc>
          <w:tcPr>
            <w:tcW w:w="363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14:paraId="608692D7" w14:textId="77777777" w:rsidR="00F87843" w:rsidRPr="00992D99" w:rsidRDefault="00F87843" w:rsidP="00992D99">
            <w:pPr>
              <w:spacing w:after="0" w:line="240" w:lineRule="atLeast"/>
              <w:rPr>
                <w:rFonts w:ascii="VIC" w:eastAsia="Times New Roman" w:hAnsi="VIC" w:cs="Times New Roman"/>
                <w:color w:val="323E4F" w:themeColor="text2" w:themeShade="BF"/>
                <w:sz w:val="24"/>
                <w:szCs w:val="24"/>
                <w:lang w:eastAsia="en-AU"/>
              </w:rPr>
            </w:pPr>
            <w:r w:rsidRPr="00992D99">
              <w:rPr>
                <w:rFonts w:ascii="VIC" w:eastAsia="Times New Roman" w:hAnsi="VIC" w:cs="Times New Roman"/>
                <w:color w:val="323E4F" w:themeColor="text2" w:themeShade="BF"/>
                <w:sz w:val="24"/>
                <w:szCs w:val="24"/>
                <w:lang w:eastAsia="en-AU"/>
              </w:rPr>
              <w:t>$449.86</w:t>
            </w:r>
          </w:p>
        </w:tc>
      </w:tr>
    </w:tbl>
    <w:p w14:paraId="486AADE2" w14:textId="2BBC2E2D" w:rsidR="0096466B" w:rsidRPr="004D307F" w:rsidRDefault="0096466B" w:rsidP="00A9180D">
      <w:pPr>
        <w:keepNext/>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Identification of a replacement</w:t>
      </w:r>
    </w:p>
    <w:p w14:paraId="3F9DA386"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Central (credit) replacements are identified by any of the following methods using data from eduPay:</w:t>
      </w:r>
    </w:p>
    <w:p w14:paraId="1D971F27" w14:textId="77777777" w:rsidR="0096466B" w:rsidRPr="004D307F" w:rsidRDefault="0096466B" w:rsidP="00ED0863">
      <w:pPr>
        <w:numPr>
          <w:ilvl w:val="0"/>
          <w:numId w:val="9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increase in time fraction</w:t>
      </w:r>
    </w:p>
    <w:p w14:paraId="4992DBFB" w14:textId="77777777" w:rsidR="0096466B" w:rsidRPr="004D307F" w:rsidRDefault="0096466B" w:rsidP="00ED0863">
      <w:pPr>
        <w:numPr>
          <w:ilvl w:val="0"/>
          <w:numId w:val="9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transfer from another school</w:t>
      </w:r>
    </w:p>
    <w:p w14:paraId="220E0A98" w14:textId="77777777" w:rsidR="0096466B" w:rsidRPr="004D307F" w:rsidRDefault="0096466B" w:rsidP="00ED0863">
      <w:pPr>
        <w:numPr>
          <w:ilvl w:val="0"/>
          <w:numId w:val="9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temporary resumption from unpaid leave</w:t>
      </w:r>
    </w:p>
    <w:p w14:paraId="0FB93DF7" w14:textId="77777777" w:rsidR="0096466B" w:rsidRPr="004D307F" w:rsidRDefault="0096466B" w:rsidP="00ED0863">
      <w:pPr>
        <w:numPr>
          <w:ilvl w:val="0"/>
          <w:numId w:val="9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fixed-term contract</w:t>
      </w:r>
    </w:p>
    <w:p w14:paraId="508AF0EA"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Local (cash) replacements are identified by any of the following methods using data from CASES21:</w:t>
      </w:r>
    </w:p>
    <w:p w14:paraId="7D492615" w14:textId="77777777" w:rsidR="0096466B" w:rsidRPr="004D307F" w:rsidRDefault="0096466B" w:rsidP="00ED0863">
      <w:pPr>
        <w:numPr>
          <w:ilvl w:val="0"/>
          <w:numId w:val="9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local payroll payment (eduPay school local payroll)</w:t>
      </w:r>
    </w:p>
    <w:p w14:paraId="7A46F51A" w14:textId="77777777" w:rsidR="0096466B" w:rsidRPr="004D307F" w:rsidRDefault="0096466B" w:rsidP="00ED0863">
      <w:pPr>
        <w:numPr>
          <w:ilvl w:val="0"/>
          <w:numId w:val="9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creditor invoice payment (agency)</w:t>
      </w:r>
    </w:p>
    <w:p w14:paraId="0F35E1DB"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Supporting documentation</w:t>
      </w:r>
    </w:p>
    <w:p w14:paraId="21264855" w14:textId="77777777" w:rsidR="0096466B" w:rsidRPr="004D307F" w:rsidRDefault="00901FCB" w:rsidP="00ED0863">
      <w:pPr>
        <w:numPr>
          <w:ilvl w:val="0"/>
          <w:numId w:val="100"/>
        </w:numPr>
        <w:spacing w:before="100" w:beforeAutospacing="1" w:after="100" w:afterAutospacing="1" w:line="360" w:lineRule="atLeast"/>
        <w:rPr>
          <w:rFonts w:ascii="VIC" w:eastAsia="Times New Roman" w:hAnsi="VIC" w:cs="Times New Roman"/>
          <w:color w:val="011A3C"/>
          <w:sz w:val="24"/>
          <w:szCs w:val="24"/>
          <w:lang w:val="en" w:eastAsia="en-AU"/>
        </w:rPr>
      </w:pPr>
      <w:hyperlink r:id="rId231" w:history="1">
        <w:r w:rsidR="0096466B" w:rsidRPr="004D307F">
          <w:rPr>
            <w:rFonts w:ascii="VIC" w:eastAsia="Times New Roman" w:hAnsi="VIC" w:cs="Times New Roman"/>
            <w:color w:val="011A3C"/>
            <w:sz w:val="24"/>
            <w:szCs w:val="24"/>
            <w:lang w:val="en" w:eastAsia="en-AU"/>
          </w:rPr>
          <w:t>SRP Leave Portal User Guide (PDF)</w:t>
        </w:r>
      </w:hyperlink>
    </w:p>
    <w:p w14:paraId="54B19A14" w14:textId="77777777" w:rsidR="0096466B" w:rsidRPr="004D307F" w:rsidRDefault="00901FCB" w:rsidP="00ED0863">
      <w:pPr>
        <w:numPr>
          <w:ilvl w:val="0"/>
          <w:numId w:val="100"/>
        </w:numPr>
        <w:spacing w:before="100" w:beforeAutospacing="1" w:after="100" w:afterAutospacing="1" w:line="360" w:lineRule="atLeast"/>
        <w:rPr>
          <w:rFonts w:ascii="VIC" w:eastAsia="Times New Roman" w:hAnsi="VIC" w:cs="Times New Roman"/>
          <w:color w:val="011A3C"/>
          <w:sz w:val="24"/>
          <w:szCs w:val="24"/>
          <w:lang w:val="en" w:eastAsia="en-AU"/>
        </w:rPr>
      </w:pPr>
      <w:hyperlink r:id="rId232" w:history="1">
        <w:r w:rsidR="0096466B" w:rsidRPr="004D307F">
          <w:rPr>
            <w:rFonts w:ascii="VIC" w:eastAsia="Times New Roman" w:hAnsi="VIC" w:cs="Times New Roman"/>
            <w:color w:val="011A3C"/>
            <w:sz w:val="24"/>
            <w:szCs w:val="24"/>
            <w:lang w:val="en" w:eastAsia="en-AU"/>
          </w:rPr>
          <w:t>SRP Leave Portal User Guide (Word)</w:t>
        </w:r>
      </w:hyperlink>
    </w:p>
    <w:p w14:paraId="3C70C9C2" w14:textId="0BE06B5A" w:rsidR="0096466B" w:rsidRPr="004D307F" w:rsidRDefault="00901FCB" w:rsidP="00ED0863">
      <w:pPr>
        <w:numPr>
          <w:ilvl w:val="0"/>
          <w:numId w:val="100"/>
        </w:numPr>
        <w:spacing w:before="100" w:beforeAutospacing="1" w:after="100" w:afterAutospacing="1" w:line="360" w:lineRule="atLeast"/>
        <w:rPr>
          <w:rFonts w:ascii="VIC" w:eastAsia="Times New Roman" w:hAnsi="VIC" w:cs="Times New Roman"/>
          <w:color w:val="011A3C"/>
          <w:sz w:val="24"/>
          <w:szCs w:val="24"/>
          <w:lang w:val="en" w:eastAsia="en-AU"/>
        </w:rPr>
      </w:pPr>
      <w:hyperlink r:id="rId233" w:history="1">
        <w:r w:rsidR="0096466B" w:rsidRPr="004D307F">
          <w:rPr>
            <w:rFonts w:ascii="VIC" w:eastAsia="Times New Roman" w:hAnsi="VIC" w:cs="Times New Roman"/>
            <w:color w:val="011A3C"/>
            <w:sz w:val="24"/>
            <w:szCs w:val="24"/>
            <w:lang w:val="en" w:eastAsia="en-AU"/>
          </w:rPr>
          <w:t>Sample Spread sheet for Leave Replacements (Excel)</w:t>
        </w:r>
      </w:hyperlink>
    </w:p>
    <w:p w14:paraId="3B830488" w14:textId="77777777" w:rsidR="000B1FF1" w:rsidRPr="004D307F" w:rsidRDefault="000B1FF1" w:rsidP="000B1FF1">
      <w:pPr>
        <w:spacing w:before="100" w:beforeAutospacing="1" w:after="100" w:afterAutospacing="1" w:line="360" w:lineRule="atLeast"/>
        <w:ind w:left="720"/>
        <w:rPr>
          <w:rFonts w:ascii="VIC" w:eastAsia="Times New Roman" w:hAnsi="VIC" w:cs="Times New Roman"/>
          <w:color w:val="011A3C"/>
          <w:sz w:val="24"/>
          <w:szCs w:val="24"/>
          <w:lang w:val="en" w:eastAsia="en-AU"/>
        </w:rPr>
      </w:pPr>
    </w:p>
    <w:p w14:paraId="4DF8DECF"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Trailing holidays</w:t>
      </w:r>
    </w:p>
    <w:p w14:paraId="5F88820A"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Where a staff member is absent during the term and vacation period, and the replacement staff member is employed throughout that term and into the following vacation period, this is referred to in the SRP system as a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trailing holiday</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w:t>
      </w:r>
    </w:p>
    <w:p w14:paraId="12F1A77B"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This leave type is only applicable to replacements for absences of 30 days or more of continuous leave, where the replacement is a centrally paid staff </w:t>
      </w:r>
      <w:r w:rsidRPr="004D307F">
        <w:rPr>
          <w:rFonts w:ascii="VIC" w:eastAsia="Times New Roman" w:hAnsi="VIC" w:cs="Times New Roman"/>
          <w:color w:val="011A3C"/>
          <w:sz w:val="24"/>
          <w:szCs w:val="24"/>
          <w:lang w:val="en" w:eastAsia="en-AU"/>
        </w:rPr>
        <w:lastRenderedPageBreak/>
        <w:t>member, and where the leave covers the last day of term. This option can be selected from the SRP leave replacement portal.</w:t>
      </w:r>
    </w:p>
    <w:p w14:paraId="5BB2D819"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 xml:space="preserve">Example 1 </w:t>
      </w:r>
      <w:r w:rsidRPr="004D307F">
        <w:rPr>
          <w:rFonts w:ascii="VIC" w:eastAsia="Times New Roman" w:hAnsi="VIC" w:cs="Times New Roman" w:hint="eastAsia"/>
          <w:b/>
          <w:bCs/>
          <w:color w:val="011A3C"/>
          <w:sz w:val="24"/>
          <w:szCs w:val="24"/>
          <w:lang w:val="en" w:eastAsia="en-AU"/>
        </w:rPr>
        <w:t>—</w:t>
      </w:r>
      <w:r w:rsidRPr="004D307F">
        <w:rPr>
          <w:rFonts w:ascii="VIC" w:eastAsia="Times New Roman" w:hAnsi="VIC" w:cs="Times New Roman"/>
          <w:b/>
          <w:bCs/>
          <w:color w:val="011A3C"/>
          <w:sz w:val="24"/>
          <w:szCs w:val="24"/>
          <w:lang w:val="en" w:eastAsia="en-AU"/>
        </w:rPr>
        <w:t xml:space="preserve"> Term 2 Break:</w:t>
      </w:r>
    </w:p>
    <w:p w14:paraId="77191CAF"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John Teacher is an ongoing staff member at Blue Primary School who took long service leave for the whole of Term 2. During his absence Elizabeth Teacher was hired into a fixed-term position. Although John</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leave ended on the last day of term, he will not actually return to the school until the first day of Term 3. At the same time, Elizabeth is entitled to be paid for the Term 2 vacation period.</w:t>
      </w:r>
    </w:p>
    <w:p w14:paraId="196E4B1B"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Charging both staff to the school would result in a double charge. Blue Primary School recorded Elizabeth as the central replacement for the full period of leave including the vacation period (trailing holidays). The school was charged as follows:</w:t>
      </w:r>
    </w:p>
    <w:p w14:paraId="37440315" w14:textId="77777777" w:rsidR="0096466B" w:rsidRPr="004D307F" w:rsidRDefault="0096466B" w:rsidP="00ED0863">
      <w:pPr>
        <w:numPr>
          <w:ilvl w:val="0"/>
          <w:numId w:val="10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From the first day of Term 2 to the last day of Term 2 John</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salary will be charged outside the Blue Primary School's budget. Elizabeth's salary in the same period will be charged to Blue Primary School.</w:t>
      </w:r>
    </w:p>
    <w:p w14:paraId="4736FFEA" w14:textId="77777777" w:rsidR="0096466B" w:rsidRPr="004D307F" w:rsidRDefault="0096466B" w:rsidP="00ED0863">
      <w:pPr>
        <w:numPr>
          <w:ilvl w:val="0"/>
          <w:numId w:val="10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John's salary will continue to be charged outside Blue Primary School's budget between the first day of Term 2 vacation until the last day of Term 2 vacation. Elizabeth's salary in the same period will be charged to Blue Primary School.</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w:t>
      </w:r>
      <w:r w:rsidRPr="004D307F">
        <w:rPr>
          <w:rFonts w:ascii="Calibri" w:eastAsia="Times New Roman" w:hAnsi="Calibri" w:cs="Calibri" w:hint="eastAsia"/>
          <w:color w:val="011A3C"/>
          <w:sz w:val="24"/>
          <w:szCs w:val="24"/>
          <w:lang w:val="en" w:eastAsia="en-AU"/>
        </w:rPr>
        <w:t> </w:t>
      </w:r>
    </w:p>
    <w:p w14:paraId="24049232"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Note: leave charging rules apply, refer to</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Leave Capping (above).</w:t>
      </w:r>
    </w:p>
    <w:p w14:paraId="5E694800"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 xml:space="preserve">Example 2 </w:t>
      </w:r>
      <w:r w:rsidRPr="004D307F">
        <w:rPr>
          <w:rFonts w:ascii="VIC" w:eastAsia="Times New Roman" w:hAnsi="VIC" w:cs="Times New Roman" w:hint="eastAsia"/>
          <w:b/>
          <w:bCs/>
          <w:color w:val="011A3C"/>
          <w:sz w:val="24"/>
          <w:szCs w:val="24"/>
          <w:lang w:val="en" w:eastAsia="en-AU"/>
        </w:rPr>
        <w:t>—</w:t>
      </w:r>
      <w:r w:rsidRPr="004D307F">
        <w:rPr>
          <w:rFonts w:ascii="VIC" w:eastAsia="Times New Roman" w:hAnsi="VIC" w:cs="Times New Roman"/>
          <w:b/>
          <w:bCs/>
          <w:color w:val="011A3C"/>
          <w:sz w:val="24"/>
          <w:szCs w:val="24"/>
          <w:lang w:val="en" w:eastAsia="en-AU"/>
        </w:rPr>
        <w:t xml:space="preserve"> End of year break:</w:t>
      </w:r>
    </w:p>
    <w:p w14:paraId="07FC1EEA"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Jane Teacher is an ongoing staff member at Orange Primary School who was absent on long service leave for the last 7 weeks of Term 4 (greater than 30 continuous working days). During her absence she was replaced by Fred Teacher, a fixed-term teacher who was employed at Orange in a different capacity to the end of Term 3. He was retained at the school through Term 4 to cover the absence of Jane.</w:t>
      </w:r>
    </w:p>
    <w:p w14:paraId="6E3AB499"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Jane</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leave ended on the last day of term, but she will not actually return to the school until the first day of Term 1. Fred is entitled to be paid for the end of year vacation. Charging both staff to the school would result in a double charge. Orange Primary recorded Fred as the central replacement for the </w:t>
      </w:r>
      <w:r w:rsidRPr="004D307F">
        <w:rPr>
          <w:rFonts w:ascii="VIC" w:eastAsia="Times New Roman" w:hAnsi="VIC" w:cs="Times New Roman"/>
          <w:color w:val="011A3C"/>
          <w:sz w:val="24"/>
          <w:szCs w:val="24"/>
          <w:lang w:val="en" w:eastAsia="en-AU"/>
        </w:rPr>
        <w:lastRenderedPageBreak/>
        <w:t>full period of leave including the vacation period (trailing holidays). The school was charged as follows:</w:t>
      </w:r>
    </w:p>
    <w:p w14:paraId="5D2F3742" w14:textId="54479E32" w:rsidR="0096466B" w:rsidRPr="004D307F" w:rsidRDefault="0096466B" w:rsidP="00ED0863">
      <w:pPr>
        <w:numPr>
          <w:ilvl w:val="0"/>
          <w:numId w:val="10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From the first day of Term 4 to the day before Jane goes on leave, Orange Primary School will </w:t>
      </w:r>
      <w:r w:rsidR="002E5AC9" w:rsidRPr="004D307F">
        <w:rPr>
          <w:rFonts w:ascii="VIC" w:eastAsia="Times New Roman" w:hAnsi="VIC" w:cs="Times New Roman"/>
          <w:color w:val="011A3C"/>
          <w:sz w:val="24"/>
          <w:szCs w:val="24"/>
          <w:lang w:val="en" w:eastAsia="en-AU"/>
        </w:rPr>
        <w:t xml:space="preserve">be </w:t>
      </w:r>
      <w:r w:rsidRPr="004D307F">
        <w:rPr>
          <w:rFonts w:ascii="VIC" w:eastAsia="Times New Roman" w:hAnsi="VIC" w:cs="Times New Roman"/>
          <w:color w:val="011A3C"/>
          <w:sz w:val="24"/>
          <w:szCs w:val="24"/>
          <w:lang w:val="en" w:eastAsia="en-AU"/>
        </w:rPr>
        <w:t>charged for her salary. Fred</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salary will also be charged to Orange Primary School during this time.</w:t>
      </w:r>
    </w:p>
    <w:p w14:paraId="7767CB8B" w14:textId="77777777" w:rsidR="0096466B" w:rsidRPr="004D307F" w:rsidRDefault="0096466B" w:rsidP="00ED0863">
      <w:pPr>
        <w:numPr>
          <w:ilvl w:val="0"/>
          <w:numId w:val="10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From the first day Jane is on leave to the last day in Term 4, her salary will be charged outside of Orange Primary School's budget. During this time, Fred</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salary will be charged to Orange Primary School.</w:t>
      </w:r>
    </w:p>
    <w:p w14:paraId="63F89B44" w14:textId="12459DFF" w:rsidR="0096466B" w:rsidRPr="004D307F" w:rsidRDefault="0096466B" w:rsidP="00ED0863">
      <w:pPr>
        <w:numPr>
          <w:ilvl w:val="0"/>
          <w:numId w:val="10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Additionally, from the first day of </w:t>
      </w:r>
      <w:r w:rsidR="002E5AC9" w:rsidRPr="004D307F">
        <w:rPr>
          <w:rFonts w:ascii="VIC" w:eastAsia="Times New Roman" w:hAnsi="VIC" w:cs="Times New Roman"/>
          <w:color w:val="011A3C"/>
          <w:sz w:val="24"/>
          <w:szCs w:val="24"/>
          <w:lang w:val="en" w:eastAsia="en-AU"/>
        </w:rPr>
        <w:t xml:space="preserve">the </w:t>
      </w:r>
      <w:r w:rsidRPr="004D307F">
        <w:rPr>
          <w:rFonts w:ascii="VIC" w:eastAsia="Times New Roman" w:hAnsi="VIC" w:cs="Times New Roman"/>
          <w:color w:val="011A3C"/>
          <w:sz w:val="24"/>
          <w:szCs w:val="24"/>
          <w:lang w:val="en" w:eastAsia="en-AU"/>
        </w:rPr>
        <w:t>end of year vacation to the last day of end of year vacation, Jane's salary will continue to be charged outside Orange Primary School's budget. Fred's salary during this period</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will continue to be charged to Orange Primary School.</w:t>
      </w:r>
    </w:p>
    <w:p w14:paraId="0C607261" w14:textId="3F65B772" w:rsidR="0096466B" w:rsidRPr="004D307F" w:rsidRDefault="0096466B" w:rsidP="00A9180D">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Note: leave charging rules apply, refer to Leave Capping (above).</w:t>
      </w:r>
    </w:p>
    <w:p w14:paraId="6B109A93" w14:textId="77777777" w:rsidR="0096466B" w:rsidRPr="004D307F" w:rsidRDefault="0096466B" w:rsidP="0096466B">
      <w:pPr>
        <w:rPr>
          <w:rFonts w:ascii="VIC" w:hAnsi="VIC"/>
        </w:rPr>
      </w:pPr>
      <w:r w:rsidRPr="004D307F">
        <w:rPr>
          <w:rFonts w:ascii="VIC" w:hAnsi="VIC"/>
        </w:rPr>
        <w:br w:type="page"/>
      </w:r>
    </w:p>
    <w:p w14:paraId="7706E11A" w14:textId="2AFDB698" w:rsidR="0096466B" w:rsidRPr="004D307F" w:rsidRDefault="0096466B" w:rsidP="00B566E7">
      <w:pPr>
        <w:pStyle w:val="Heading2"/>
      </w:pPr>
      <w:bookmarkStart w:id="145" w:name="_Toc106793819"/>
      <w:r w:rsidRPr="004D307F">
        <w:lastRenderedPageBreak/>
        <w:t>Surplus or deficit</w:t>
      </w:r>
      <w:bookmarkEnd w:id="145"/>
    </w:p>
    <w:p w14:paraId="5DF68B45"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annual pay cycle and rollover of surplus / deficit from one year to the next for the Student Resource Package (SRP).</w:t>
      </w:r>
    </w:p>
    <w:p w14:paraId="5649B466"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Annual pay cycle</w:t>
      </w:r>
    </w:p>
    <w:p w14:paraId="649AA131"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Allocations in the SRP for salaries are based on a full calendar year, which is 260.893 working days per year. This equates to 365.25 calendar days, taking account of the leap-year cycle.</w:t>
      </w:r>
    </w:p>
    <w:p w14:paraId="1B26C379"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Actual salary costs on eduPay are charged to schools each year according to the actual number of working days in the year. This may be 260, 261 or 262 working days in any given year.</w:t>
      </w:r>
    </w:p>
    <w:p w14:paraId="3925B74C"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must take account of these minor variations as part of their normal budget planning. SRP financial reports, including the </w:t>
      </w:r>
      <w:hyperlink r:id="rId234" w:history="1">
        <w:r w:rsidRPr="004D307F">
          <w:rPr>
            <w:rFonts w:ascii="VIC" w:eastAsia="Times New Roman" w:hAnsi="VIC" w:cs="Times New Roman"/>
            <w:color w:val="011A3C"/>
            <w:sz w:val="24"/>
            <w:szCs w:val="24"/>
            <w:lang w:val="en" w:eastAsia="en-AU"/>
          </w:rPr>
          <w:t>SRP Management Report</w:t>
        </w:r>
      </w:hyperlink>
      <w:r w:rsidRPr="004D307F">
        <w:rPr>
          <w:rFonts w:ascii="VIC" w:eastAsia="Times New Roman" w:hAnsi="VIC" w:cs="Times New Roman"/>
          <w:color w:val="011A3C"/>
          <w:sz w:val="24"/>
          <w:szCs w:val="24"/>
          <w:lang w:val="en" w:eastAsia="en-AU"/>
        </w:rPr>
        <w:t xml:space="preserve"> and</w:t>
      </w:r>
      <w:r w:rsidRPr="004D307F">
        <w:rPr>
          <w:rFonts w:ascii="Calibri" w:eastAsia="Times New Roman" w:hAnsi="Calibri" w:cs="Calibri" w:hint="eastAsia"/>
          <w:color w:val="011A3C"/>
          <w:sz w:val="24"/>
          <w:szCs w:val="24"/>
          <w:lang w:val="en" w:eastAsia="en-AU"/>
        </w:rPr>
        <w:t> </w:t>
      </w:r>
      <w:hyperlink r:id="rId235" w:history="1">
        <w:r w:rsidRPr="004D307F">
          <w:rPr>
            <w:rFonts w:ascii="VIC" w:eastAsia="Times New Roman" w:hAnsi="VIC" w:cs="Times New Roman"/>
            <w:color w:val="011A3C"/>
            <w:sz w:val="24"/>
            <w:szCs w:val="24"/>
            <w:lang w:val="en" w:eastAsia="en-AU"/>
          </w:rPr>
          <w:t>Salaries Fortnightly Transaction Report</w:t>
        </w:r>
      </w:hyperlink>
      <w:r w:rsidRPr="004D307F">
        <w:rPr>
          <w:rFonts w:ascii="VIC" w:eastAsia="Times New Roman" w:hAnsi="VIC" w:cs="Times New Roman"/>
          <w:color w:val="011A3C"/>
          <w:sz w:val="24"/>
          <w:szCs w:val="24"/>
          <w:lang w:val="en" w:eastAsia="en-AU"/>
        </w:rPr>
        <w:t xml:space="preserve"> (both available from the </w:t>
      </w:r>
      <w:hyperlink r:id="rId236" w:history="1">
        <w:r w:rsidRPr="004D307F">
          <w:rPr>
            <w:rFonts w:ascii="VIC" w:eastAsia="Times New Roman" w:hAnsi="VIC" w:cs="Times New Roman"/>
            <w:color w:val="011A3C"/>
            <w:sz w:val="24"/>
            <w:szCs w:val="24"/>
            <w:lang w:val="en" w:eastAsia="en-AU"/>
          </w:rPr>
          <w:t>SRP Portal</w:t>
        </w:r>
      </w:hyperlink>
      <w:r w:rsidRPr="004D307F">
        <w:rPr>
          <w:rFonts w:ascii="VIC" w:eastAsia="Times New Roman" w:hAnsi="VIC" w:cs="Times New Roman"/>
          <w:color w:val="011A3C"/>
          <w:sz w:val="24"/>
          <w:szCs w:val="24"/>
          <w:lang w:val="en" w:eastAsia="en-AU"/>
        </w:rPr>
        <w:t xml:space="preserve">), and the SRP Planner (accessible from the </w:t>
      </w:r>
      <w:hyperlink r:id="rId237" w:history="1">
        <w:r w:rsidRPr="004D307F">
          <w:rPr>
            <w:rFonts w:ascii="VIC" w:eastAsia="Times New Roman" w:hAnsi="VIC" w:cs="Times New Roman"/>
            <w:color w:val="011A3C"/>
            <w:sz w:val="24"/>
            <w:szCs w:val="24"/>
            <w:lang w:val="en" w:eastAsia="en-AU"/>
          </w:rPr>
          <w:t>SRP Portal</w:t>
        </w:r>
      </w:hyperlink>
      <w:r w:rsidRPr="004D307F">
        <w:rPr>
          <w:rFonts w:ascii="VIC" w:eastAsia="Times New Roman" w:hAnsi="VIC" w:cs="Times New Roman"/>
          <w:color w:val="011A3C"/>
          <w:sz w:val="24"/>
          <w:szCs w:val="24"/>
          <w:lang w:val="en" w:eastAsia="en-AU"/>
        </w:rPr>
        <w:t>) are programmed to take account of these annual variations.</w:t>
      </w:r>
    </w:p>
    <w:p w14:paraId="76F5BD3E"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Rollover of surplus or</w:t>
      </w:r>
      <w:r w:rsidRPr="004D307F">
        <w:rPr>
          <w:rFonts w:ascii="Calibri" w:eastAsia="Times New Roman" w:hAnsi="Calibri" w:cs="Calibri" w:hint="eastAsia"/>
          <w:b/>
          <w:bCs/>
          <w:color w:val="011A3C"/>
          <w:sz w:val="24"/>
          <w:szCs w:val="24"/>
          <w:lang w:val="en" w:eastAsia="en-AU"/>
        </w:rPr>
        <w:t> </w:t>
      </w:r>
      <w:r w:rsidRPr="004D307F">
        <w:rPr>
          <w:rFonts w:ascii="VIC" w:eastAsia="Times New Roman" w:hAnsi="VIC" w:cs="Times New Roman"/>
          <w:b/>
          <w:bCs/>
          <w:color w:val="011A3C"/>
          <w:sz w:val="24"/>
          <w:szCs w:val="24"/>
          <w:lang w:val="en" w:eastAsia="en-AU"/>
        </w:rPr>
        <w:t>deficit from one year to the next</w:t>
      </w:r>
    </w:p>
    <w:p w14:paraId="4C69DD2C"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Any credit surplus remaining against the school after the reconciliation process is completed is carried forward to the following year. Schools then have the option of either retaining the funds as credit, or submitting a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credit to cash against previous year surplus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request to gain immediate access to the funds as cash (refer to Credit / Cash Transfers below)</w:t>
      </w:r>
    </w:p>
    <w:p w14:paraId="1456BF52"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Note: Not all programs have the option of requesting funds for immediate access.</w:t>
      </w:r>
    </w:p>
    <w:p w14:paraId="5EF67A90"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End of year deficit</w:t>
      </w:r>
    </w:p>
    <w:p w14:paraId="30C8D4FC" w14:textId="13CB0CBE"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Any credit deficit remaining against the school will be recovered from the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cash component in the following year. This recovery will occur against the first quarterly cash grant (QCG)</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following the finalisation of reconciliation for all schools. If there are insufficient funds available in the first QCG to cover the outstanding deficit amount, the balance will be recovered from the next QCG(s). If there remains an outstanding deficit amount after the Term 4 QCG, the school will be </w:t>
      </w:r>
      <w:r w:rsidR="002E5AC9" w:rsidRPr="004D307F">
        <w:rPr>
          <w:rFonts w:ascii="VIC" w:eastAsia="Times New Roman" w:hAnsi="VIC" w:cs="Times New Roman"/>
          <w:color w:val="011A3C"/>
          <w:sz w:val="24"/>
          <w:szCs w:val="24"/>
          <w:lang w:val="en" w:eastAsia="en-AU"/>
        </w:rPr>
        <w:t>contacted,</w:t>
      </w:r>
      <w:r w:rsidRPr="004D307F">
        <w:rPr>
          <w:rFonts w:ascii="VIC" w:eastAsia="Times New Roman" w:hAnsi="VIC" w:cs="Times New Roman"/>
          <w:color w:val="011A3C"/>
          <w:sz w:val="24"/>
          <w:szCs w:val="24"/>
          <w:lang w:val="en" w:eastAsia="en-AU"/>
        </w:rPr>
        <w:t xml:space="preserve"> and </w:t>
      </w:r>
      <w:r w:rsidRPr="004D307F">
        <w:rPr>
          <w:rFonts w:ascii="VIC" w:eastAsia="Times New Roman" w:hAnsi="VIC" w:cs="Times New Roman"/>
          <w:color w:val="011A3C"/>
          <w:sz w:val="24"/>
          <w:szCs w:val="24"/>
          <w:lang w:val="en" w:eastAsia="en-AU"/>
        </w:rPr>
        <w:lastRenderedPageBreak/>
        <w:t>arrangements made for the balance to be paid</w:t>
      </w:r>
      <w:r w:rsidR="002E5AC9" w:rsidRPr="004D307F">
        <w:rPr>
          <w:rFonts w:ascii="VIC" w:eastAsia="Times New Roman" w:hAnsi="VIC" w:cs="Times New Roman"/>
          <w:color w:val="011A3C"/>
          <w:sz w:val="24"/>
          <w:szCs w:val="24"/>
          <w:lang w:val="en" w:eastAsia="en-AU"/>
        </w:rPr>
        <w:t xml:space="preserve">, </w:t>
      </w:r>
      <w:r w:rsidR="002E5AC9" w:rsidRPr="004D307F">
        <w:rPr>
          <w:rFonts w:ascii="VIC" w:eastAsia="Times New Roman" w:hAnsi="VIC" w:cs="Times New Roman"/>
          <w:color w:val="011A3C"/>
          <w:sz w:val="24"/>
          <w:szCs w:val="24"/>
          <w:lang w:eastAsia="en-AU"/>
        </w:rPr>
        <w:t>preferably</w:t>
      </w:r>
      <w:r w:rsidR="002E5AC9" w:rsidRPr="004D307F">
        <w:rPr>
          <w:rFonts w:ascii="VIC" w:eastAsia="Times New Roman" w:hAnsi="VIC" w:cs="Times New Roman"/>
          <w:color w:val="011A3C"/>
          <w:sz w:val="24"/>
          <w:szCs w:val="24"/>
          <w:lang w:val="en" w:eastAsia="en-AU"/>
        </w:rPr>
        <w:t xml:space="preserve"> via Electronic Funds Transfer (EFT)</w:t>
      </w:r>
      <w:r w:rsidRPr="004D307F">
        <w:rPr>
          <w:rFonts w:ascii="VIC" w:eastAsia="Times New Roman" w:hAnsi="VIC" w:cs="Times New Roman"/>
          <w:color w:val="011A3C"/>
          <w:sz w:val="24"/>
          <w:szCs w:val="24"/>
          <w:lang w:val="en" w:eastAsia="en-A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3"/>
        <w:gridCol w:w="1259"/>
        <w:gridCol w:w="1839"/>
        <w:gridCol w:w="1848"/>
        <w:gridCol w:w="1847"/>
      </w:tblGrid>
      <w:tr w:rsidR="000B1FF1" w:rsidRPr="004D307F" w14:paraId="39E0341A" w14:textId="77777777" w:rsidTr="003243F4">
        <w:trPr>
          <w:tblHeader/>
        </w:trPr>
        <w:tc>
          <w:tcPr>
            <w:tcW w:w="0" w:type="auto"/>
            <w:gridSpan w:val="5"/>
            <w:vAlign w:val="center"/>
            <w:hideMark/>
          </w:tcPr>
          <w:p w14:paraId="239F85E4" w14:textId="77777777" w:rsidR="0096466B" w:rsidRPr="004D307F" w:rsidRDefault="0096466B" w:rsidP="003243F4">
            <w:pPr>
              <w:spacing w:before="100" w:beforeAutospacing="1" w:after="100" w:afterAutospacing="1"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b/>
                <w:bCs/>
                <w:color w:val="323E4F" w:themeColor="text2" w:themeShade="BF"/>
                <w:sz w:val="24"/>
                <w:szCs w:val="24"/>
                <w:lang w:val="en" w:eastAsia="en-AU"/>
              </w:rPr>
              <w:t>Example 1: Recovery from Term 3 QCG</w:t>
            </w:r>
          </w:p>
        </w:tc>
      </w:tr>
      <w:tr w:rsidR="000B1FF1" w:rsidRPr="004D307F" w14:paraId="79DD10BF" w14:textId="77777777" w:rsidTr="003243F4">
        <w:trPr>
          <w:tblHeader/>
        </w:trPr>
        <w:tc>
          <w:tcPr>
            <w:tcW w:w="0" w:type="auto"/>
            <w:hideMark/>
          </w:tcPr>
          <w:p w14:paraId="693B8CBB" w14:textId="77777777" w:rsidR="0096466B" w:rsidRPr="004D307F" w:rsidRDefault="0096466B" w:rsidP="00ED4312">
            <w:pPr>
              <w:spacing w:after="0" w:line="240" w:lineRule="auto"/>
              <w:rPr>
                <w:rFonts w:ascii="VIC" w:eastAsia="Times New Roman" w:hAnsi="VIC" w:cs="Times New Roman"/>
                <w:color w:val="323E4F" w:themeColor="text2" w:themeShade="BF"/>
                <w:sz w:val="24"/>
                <w:szCs w:val="24"/>
                <w:lang w:eastAsia="en-AU"/>
              </w:rPr>
            </w:pPr>
          </w:p>
        </w:tc>
        <w:tc>
          <w:tcPr>
            <w:tcW w:w="0" w:type="auto"/>
            <w:hideMark/>
          </w:tcPr>
          <w:p w14:paraId="2C92C01F" w14:textId="77777777" w:rsidR="0096466B" w:rsidRPr="004D307F" w:rsidRDefault="0096466B" w:rsidP="00ED4312">
            <w:pPr>
              <w:spacing w:after="0" w:line="240" w:lineRule="atLeast"/>
              <w:rPr>
                <w:rFonts w:ascii="VIC" w:eastAsia="Times New Roman" w:hAnsi="VIC" w:cs="Times New Roman"/>
                <w:color w:val="323E4F" w:themeColor="text2" w:themeShade="BF"/>
                <w:sz w:val="20"/>
                <w:szCs w:val="20"/>
                <w:lang w:eastAsia="en-AU"/>
              </w:rPr>
            </w:pPr>
          </w:p>
        </w:tc>
        <w:tc>
          <w:tcPr>
            <w:tcW w:w="0" w:type="auto"/>
            <w:hideMark/>
          </w:tcPr>
          <w:p w14:paraId="14E1251B" w14:textId="77777777" w:rsidR="0096466B" w:rsidRPr="004D307F" w:rsidRDefault="0096466B" w:rsidP="002E5AC9">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Term 3 QCG</w:t>
            </w:r>
          </w:p>
        </w:tc>
        <w:tc>
          <w:tcPr>
            <w:tcW w:w="0" w:type="auto"/>
            <w:hideMark/>
          </w:tcPr>
          <w:p w14:paraId="1C5926FF" w14:textId="77777777" w:rsidR="0096466B" w:rsidRPr="004D307F" w:rsidRDefault="0096466B" w:rsidP="002E5AC9">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Term 4 QCG</w:t>
            </w:r>
          </w:p>
        </w:tc>
        <w:tc>
          <w:tcPr>
            <w:tcW w:w="0" w:type="auto"/>
            <w:hideMark/>
          </w:tcPr>
          <w:p w14:paraId="2339C23B" w14:textId="6FC2829C" w:rsidR="0096466B" w:rsidRPr="004D307F" w:rsidRDefault="002E5AC9" w:rsidP="002E5AC9">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EFT/</w:t>
            </w:r>
            <w:r w:rsidR="0096466B" w:rsidRPr="004D307F">
              <w:rPr>
                <w:rFonts w:ascii="VIC" w:eastAsia="Times New Roman" w:hAnsi="VIC" w:cs="Times New Roman"/>
                <w:color w:val="323E4F" w:themeColor="text2" w:themeShade="BF"/>
                <w:sz w:val="24"/>
                <w:szCs w:val="24"/>
                <w:lang w:eastAsia="en-AU"/>
              </w:rPr>
              <w:t>Cheque</w:t>
            </w:r>
          </w:p>
        </w:tc>
      </w:tr>
      <w:tr w:rsidR="000B1FF1" w:rsidRPr="004D307F" w14:paraId="32CE3F30" w14:textId="77777777" w:rsidTr="002E5AC9">
        <w:tc>
          <w:tcPr>
            <w:tcW w:w="0" w:type="auto"/>
            <w:tcBorders>
              <w:bottom w:val="single" w:sz="4" w:space="0" w:color="auto"/>
            </w:tcBorders>
            <w:hideMark/>
          </w:tcPr>
          <w:p w14:paraId="30D85BE2"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QCG Amount</w:t>
            </w:r>
          </w:p>
        </w:tc>
        <w:tc>
          <w:tcPr>
            <w:tcW w:w="0" w:type="auto"/>
            <w:tcBorders>
              <w:bottom w:val="single" w:sz="4" w:space="0" w:color="auto"/>
            </w:tcBorders>
            <w:hideMark/>
          </w:tcPr>
          <w:p w14:paraId="7749C789"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p>
        </w:tc>
        <w:tc>
          <w:tcPr>
            <w:tcW w:w="0" w:type="auto"/>
            <w:hideMark/>
          </w:tcPr>
          <w:p w14:paraId="6478DC30" w14:textId="41758F44"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50,000</w:t>
            </w:r>
          </w:p>
        </w:tc>
        <w:tc>
          <w:tcPr>
            <w:tcW w:w="0" w:type="auto"/>
            <w:hideMark/>
          </w:tcPr>
          <w:p w14:paraId="0BA3FC60" w14:textId="56060CFA"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50,000</w:t>
            </w:r>
          </w:p>
        </w:tc>
        <w:tc>
          <w:tcPr>
            <w:tcW w:w="0" w:type="auto"/>
            <w:hideMark/>
          </w:tcPr>
          <w:p w14:paraId="2D15A7AC" w14:textId="77777777" w:rsidR="0096466B" w:rsidRPr="004D307F" w:rsidRDefault="0096466B" w:rsidP="002E5AC9">
            <w:pPr>
              <w:spacing w:after="0" w:line="360" w:lineRule="atLeast"/>
              <w:jc w:val="center"/>
              <w:rPr>
                <w:rFonts w:ascii="VIC" w:eastAsia="Times New Roman" w:hAnsi="VIC" w:cs="Times New Roman"/>
                <w:color w:val="323E4F" w:themeColor="text2" w:themeShade="BF"/>
                <w:sz w:val="24"/>
                <w:szCs w:val="24"/>
                <w:lang w:eastAsia="en-AU"/>
              </w:rPr>
            </w:pPr>
          </w:p>
        </w:tc>
      </w:tr>
      <w:tr w:rsidR="000B1FF1" w:rsidRPr="004D307F" w14:paraId="22293A55" w14:textId="77777777" w:rsidTr="002E5AC9">
        <w:tc>
          <w:tcPr>
            <w:tcW w:w="0" w:type="auto"/>
            <w:tcBorders>
              <w:right w:val="nil"/>
            </w:tcBorders>
            <w:hideMark/>
          </w:tcPr>
          <w:p w14:paraId="2D5AD5C7"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Deficit Amount</w:t>
            </w:r>
          </w:p>
        </w:tc>
        <w:tc>
          <w:tcPr>
            <w:tcW w:w="0" w:type="auto"/>
            <w:tcBorders>
              <w:left w:val="nil"/>
            </w:tcBorders>
            <w:hideMark/>
          </w:tcPr>
          <w:p w14:paraId="10C7F5C2" w14:textId="57595115" w:rsidR="0096466B" w:rsidRPr="004D307F" w:rsidRDefault="002E5AC9"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10,000</w:t>
            </w:r>
          </w:p>
        </w:tc>
        <w:tc>
          <w:tcPr>
            <w:tcW w:w="0" w:type="auto"/>
            <w:hideMark/>
          </w:tcPr>
          <w:p w14:paraId="622BCB5F" w14:textId="6B16737C"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10,000</w:t>
            </w:r>
          </w:p>
        </w:tc>
        <w:tc>
          <w:tcPr>
            <w:tcW w:w="0" w:type="auto"/>
            <w:hideMark/>
          </w:tcPr>
          <w:p w14:paraId="4525E8AF" w14:textId="412CB487"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0</w:t>
            </w:r>
          </w:p>
        </w:tc>
        <w:tc>
          <w:tcPr>
            <w:tcW w:w="0" w:type="auto"/>
            <w:hideMark/>
          </w:tcPr>
          <w:p w14:paraId="5A5C4E00" w14:textId="18888858"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0</w:t>
            </w:r>
          </w:p>
        </w:tc>
      </w:tr>
      <w:tr w:rsidR="000B1FF1" w:rsidRPr="004D307F" w14:paraId="4367C060" w14:textId="77777777" w:rsidTr="003243F4">
        <w:trPr>
          <w:tblHeader/>
        </w:trPr>
        <w:tc>
          <w:tcPr>
            <w:tcW w:w="0" w:type="auto"/>
            <w:gridSpan w:val="5"/>
            <w:vAlign w:val="center"/>
            <w:hideMark/>
          </w:tcPr>
          <w:p w14:paraId="22AF8AAC" w14:textId="77777777" w:rsidR="0096466B" w:rsidRPr="004D307F" w:rsidRDefault="0096466B" w:rsidP="00ED4312">
            <w:pPr>
              <w:spacing w:before="100" w:beforeAutospacing="1" w:after="100" w:afterAutospacing="1" w:line="288" w:lineRule="atLeast"/>
              <w:textAlignment w:val="top"/>
              <w:outlineLvl w:val="3"/>
              <w:rPr>
                <w:rFonts w:ascii="VIC" w:eastAsia="Times New Roman" w:hAnsi="VIC" w:cs="Times New Roman"/>
                <w:b/>
                <w:bCs/>
                <w:color w:val="323E4F" w:themeColor="text2" w:themeShade="BF"/>
                <w:sz w:val="24"/>
                <w:szCs w:val="24"/>
                <w:lang w:eastAsia="en-AU"/>
              </w:rPr>
            </w:pPr>
            <w:r w:rsidRPr="004D307F">
              <w:rPr>
                <w:rFonts w:ascii="VIC" w:eastAsia="Times New Roman" w:hAnsi="VIC" w:cs="Times New Roman"/>
                <w:b/>
                <w:bCs/>
                <w:color w:val="323E4F" w:themeColor="text2" w:themeShade="BF"/>
                <w:sz w:val="24"/>
                <w:szCs w:val="24"/>
                <w:lang w:eastAsia="en-AU"/>
              </w:rPr>
              <w:t>Example 2: Recovery starting in Term 3 and finishing Term 4 QCG</w:t>
            </w:r>
          </w:p>
        </w:tc>
      </w:tr>
      <w:tr w:rsidR="000B1FF1" w:rsidRPr="004D307F" w14:paraId="2B2DFE5B" w14:textId="77777777" w:rsidTr="003243F4">
        <w:trPr>
          <w:tblHeader/>
        </w:trPr>
        <w:tc>
          <w:tcPr>
            <w:tcW w:w="0" w:type="auto"/>
            <w:hideMark/>
          </w:tcPr>
          <w:p w14:paraId="7E4BFF2F" w14:textId="77777777" w:rsidR="0096466B" w:rsidRPr="004D307F" w:rsidRDefault="0096466B" w:rsidP="00ED4312">
            <w:pPr>
              <w:spacing w:after="0" w:line="240" w:lineRule="auto"/>
              <w:rPr>
                <w:rFonts w:ascii="VIC" w:eastAsia="Times New Roman" w:hAnsi="VIC" w:cs="Times New Roman"/>
                <w:color w:val="323E4F" w:themeColor="text2" w:themeShade="BF"/>
                <w:sz w:val="24"/>
                <w:szCs w:val="24"/>
                <w:lang w:eastAsia="en-AU"/>
              </w:rPr>
            </w:pPr>
          </w:p>
        </w:tc>
        <w:tc>
          <w:tcPr>
            <w:tcW w:w="0" w:type="auto"/>
            <w:hideMark/>
          </w:tcPr>
          <w:p w14:paraId="4489A5E2" w14:textId="77777777" w:rsidR="0096466B" w:rsidRPr="004D307F" w:rsidRDefault="0096466B" w:rsidP="00ED4312">
            <w:pPr>
              <w:spacing w:after="0" w:line="240" w:lineRule="atLeast"/>
              <w:rPr>
                <w:rFonts w:ascii="VIC" w:eastAsia="Times New Roman" w:hAnsi="VIC" w:cs="Times New Roman"/>
                <w:b/>
                <w:bCs/>
                <w:color w:val="323E4F" w:themeColor="text2" w:themeShade="BF"/>
                <w:sz w:val="20"/>
                <w:szCs w:val="20"/>
                <w:lang w:eastAsia="en-AU"/>
              </w:rPr>
            </w:pPr>
          </w:p>
        </w:tc>
        <w:tc>
          <w:tcPr>
            <w:tcW w:w="0" w:type="auto"/>
            <w:hideMark/>
          </w:tcPr>
          <w:p w14:paraId="6FADBA06" w14:textId="77777777" w:rsidR="0096466B" w:rsidRPr="004D307F" w:rsidRDefault="0096466B" w:rsidP="002E5AC9">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Term 3 QCG</w:t>
            </w:r>
          </w:p>
        </w:tc>
        <w:tc>
          <w:tcPr>
            <w:tcW w:w="0" w:type="auto"/>
            <w:hideMark/>
          </w:tcPr>
          <w:p w14:paraId="76C659BC" w14:textId="77777777" w:rsidR="0096466B" w:rsidRPr="004D307F" w:rsidRDefault="0096466B" w:rsidP="002E5AC9">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Term 4 QCG</w:t>
            </w:r>
          </w:p>
        </w:tc>
        <w:tc>
          <w:tcPr>
            <w:tcW w:w="0" w:type="auto"/>
            <w:hideMark/>
          </w:tcPr>
          <w:p w14:paraId="326D6E52" w14:textId="74F17CCD" w:rsidR="0096466B" w:rsidRPr="004D307F" w:rsidRDefault="002E5AC9" w:rsidP="002E5AC9">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EFT/</w:t>
            </w:r>
            <w:r w:rsidR="0096466B" w:rsidRPr="004D307F">
              <w:rPr>
                <w:rFonts w:ascii="VIC" w:eastAsia="Times New Roman" w:hAnsi="VIC" w:cs="Times New Roman"/>
                <w:color w:val="323E4F" w:themeColor="text2" w:themeShade="BF"/>
                <w:sz w:val="24"/>
                <w:szCs w:val="24"/>
                <w:lang w:eastAsia="en-AU"/>
              </w:rPr>
              <w:t>Cheque</w:t>
            </w:r>
          </w:p>
        </w:tc>
      </w:tr>
      <w:tr w:rsidR="000B1FF1" w:rsidRPr="004D307F" w14:paraId="734A20BE" w14:textId="77777777" w:rsidTr="002E5AC9">
        <w:tc>
          <w:tcPr>
            <w:tcW w:w="0" w:type="auto"/>
            <w:tcBorders>
              <w:bottom w:val="single" w:sz="4" w:space="0" w:color="auto"/>
            </w:tcBorders>
            <w:hideMark/>
          </w:tcPr>
          <w:p w14:paraId="1E83B63D"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QCG Amount</w:t>
            </w:r>
          </w:p>
        </w:tc>
        <w:tc>
          <w:tcPr>
            <w:tcW w:w="0" w:type="auto"/>
            <w:tcBorders>
              <w:bottom w:val="single" w:sz="4" w:space="0" w:color="auto"/>
            </w:tcBorders>
            <w:hideMark/>
          </w:tcPr>
          <w:p w14:paraId="3DF2F915"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p>
        </w:tc>
        <w:tc>
          <w:tcPr>
            <w:tcW w:w="0" w:type="auto"/>
            <w:hideMark/>
          </w:tcPr>
          <w:p w14:paraId="2D4A79F0" w14:textId="02E4B893"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50,000</w:t>
            </w:r>
          </w:p>
        </w:tc>
        <w:tc>
          <w:tcPr>
            <w:tcW w:w="0" w:type="auto"/>
            <w:hideMark/>
          </w:tcPr>
          <w:p w14:paraId="1D34C7D4" w14:textId="3CB90E2A"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50,000</w:t>
            </w:r>
          </w:p>
        </w:tc>
        <w:tc>
          <w:tcPr>
            <w:tcW w:w="0" w:type="auto"/>
            <w:hideMark/>
          </w:tcPr>
          <w:p w14:paraId="0CE2C91D" w14:textId="77777777" w:rsidR="0096466B" w:rsidRPr="004D307F" w:rsidRDefault="0096466B" w:rsidP="002E5AC9">
            <w:pPr>
              <w:spacing w:after="0" w:line="360" w:lineRule="atLeast"/>
              <w:jc w:val="center"/>
              <w:rPr>
                <w:rFonts w:ascii="VIC" w:eastAsia="Times New Roman" w:hAnsi="VIC" w:cs="Times New Roman"/>
                <w:color w:val="323E4F" w:themeColor="text2" w:themeShade="BF"/>
                <w:sz w:val="24"/>
                <w:szCs w:val="24"/>
                <w:lang w:eastAsia="en-AU"/>
              </w:rPr>
            </w:pPr>
          </w:p>
        </w:tc>
      </w:tr>
      <w:tr w:rsidR="000B1FF1" w:rsidRPr="004D307F" w14:paraId="50C2122D" w14:textId="77777777" w:rsidTr="002E5AC9">
        <w:tc>
          <w:tcPr>
            <w:tcW w:w="0" w:type="auto"/>
            <w:tcBorders>
              <w:right w:val="nil"/>
            </w:tcBorders>
            <w:hideMark/>
          </w:tcPr>
          <w:p w14:paraId="7DD7169A"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Deficit Amount</w:t>
            </w:r>
          </w:p>
        </w:tc>
        <w:tc>
          <w:tcPr>
            <w:tcW w:w="0" w:type="auto"/>
            <w:tcBorders>
              <w:left w:val="nil"/>
            </w:tcBorders>
            <w:hideMark/>
          </w:tcPr>
          <w:p w14:paraId="3F8AFC45" w14:textId="0F246934" w:rsidR="0096466B" w:rsidRPr="004D307F" w:rsidRDefault="002E5AC9"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60,000</w:t>
            </w:r>
          </w:p>
        </w:tc>
        <w:tc>
          <w:tcPr>
            <w:tcW w:w="0" w:type="auto"/>
            <w:hideMark/>
          </w:tcPr>
          <w:p w14:paraId="51FCB350" w14:textId="1B899A39"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50,000</w:t>
            </w:r>
          </w:p>
        </w:tc>
        <w:tc>
          <w:tcPr>
            <w:tcW w:w="0" w:type="auto"/>
            <w:hideMark/>
          </w:tcPr>
          <w:p w14:paraId="6677F281" w14:textId="22612DFD"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10,000</w:t>
            </w:r>
          </w:p>
        </w:tc>
        <w:tc>
          <w:tcPr>
            <w:tcW w:w="0" w:type="auto"/>
            <w:hideMark/>
          </w:tcPr>
          <w:p w14:paraId="229F3507" w14:textId="052DF664"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0</w:t>
            </w:r>
          </w:p>
        </w:tc>
      </w:tr>
    </w:tbl>
    <w:p w14:paraId="404030DF" w14:textId="77777777" w:rsidR="0096466B" w:rsidRPr="004D307F" w:rsidRDefault="0096466B" w:rsidP="0096466B">
      <w:pPr>
        <w:spacing w:after="0" w:line="360" w:lineRule="atLeast"/>
        <w:rPr>
          <w:rFonts w:ascii="VIC" w:eastAsia="Times New Roman" w:hAnsi="VIC" w:cs="Times New Roman"/>
          <w:vanish/>
          <w:color w:val="323E4F" w:themeColor="text2" w:themeShade="BF"/>
          <w:sz w:val="24"/>
          <w:szCs w:val="24"/>
          <w:lang w:val="en"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4"/>
        <w:gridCol w:w="1319"/>
        <w:gridCol w:w="1817"/>
        <w:gridCol w:w="1826"/>
        <w:gridCol w:w="1890"/>
      </w:tblGrid>
      <w:tr w:rsidR="000B1FF1" w:rsidRPr="004D307F" w14:paraId="0125E723" w14:textId="77777777" w:rsidTr="003243F4">
        <w:trPr>
          <w:tblHeader/>
        </w:trPr>
        <w:tc>
          <w:tcPr>
            <w:tcW w:w="0" w:type="auto"/>
            <w:gridSpan w:val="5"/>
            <w:vAlign w:val="center"/>
            <w:hideMark/>
          </w:tcPr>
          <w:p w14:paraId="799FC3C2" w14:textId="77777777" w:rsidR="0096466B" w:rsidRPr="004D307F" w:rsidRDefault="0096466B" w:rsidP="00ED4312">
            <w:pPr>
              <w:spacing w:before="100" w:beforeAutospacing="1" w:after="100" w:afterAutospacing="1" w:line="288" w:lineRule="atLeast"/>
              <w:textAlignment w:val="top"/>
              <w:outlineLvl w:val="3"/>
              <w:rPr>
                <w:rFonts w:ascii="VIC" w:eastAsia="Times New Roman" w:hAnsi="VIC" w:cs="Times New Roman"/>
                <w:b/>
                <w:bCs/>
                <w:color w:val="323E4F" w:themeColor="text2" w:themeShade="BF"/>
                <w:sz w:val="24"/>
                <w:szCs w:val="24"/>
                <w:lang w:eastAsia="en-AU"/>
              </w:rPr>
            </w:pPr>
            <w:r w:rsidRPr="004D307F">
              <w:rPr>
                <w:rFonts w:ascii="VIC" w:eastAsia="Times New Roman" w:hAnsi="VIC" w:cs="Times New Roman"/>
                <w:b/>
                <w:bCs/>
                <w:color w:val="323E4F" w:themeColor="text2" w:themeShade="BF"/>
                <w:sz w:val="24"/>
                <w:szCs w:val="24"/>
                <w:lang w:eastAsia="en-AU"/>
              </w:rPr>
              <w:t>Example 3: Recovery starting in Term 3 QCG and requiring repayment by cheque</w:t>
            </w:r>
          </w:p>
        </w:tc>
      </w:tr>
      <w:tr w:rsidR="000B1FF1" w:rsidRPr="004D307F" w14:paraId="06D443F7" w14:textId="77777777" w:rsidTr="003243F4">
        <w:trPr>
          <w:tblHeader/>
        </w:trPr>
        <w:tc>
          <w:tcPr>
            <w:tcW w:w="0" w:type="auto"/>
            <w:hideMark/>
          </w:tcPr>
          <w:p w14:paraId="2620CE5B" w14:textId="77777777" w:rsidR="0096466B" w:rsidRPr="004D307F" w:rsidRDefault="0096466B" w:rsidP="00ED4312">
            <w:pPr>
              <w:spacing w:after="0" w:line="240" w:lineRule="auto"/>
              <w:rPr>
                <w:rFonts w:ascii="VIC" w:eastAsia="Times New Roman" w:hAnsi="VIC" w:cs="Times New Roman"/>
                <w:color w:val="323E4F" w:themeColor="text2" w:themeShade="BF"/>
                <w:sz w:val="24"/>
                <w:szCs w:val="24"/>
                <w:lang w:eastAsia="en-AU"/>
              </w:rPr>
            </w:pPr>
          </w:p>
        </w:tc>
        <w:tc>
          <w:tcPr>
            <w:tcW w:w="0" w:type="auto"/>
            <w:hideMark/>
          </w:tcPr>
          <w:p w14:paraId="53994C14" w14:textId="77777777" w:rsidR="0096466B" w:rsidRPr="004D307F" w:rsidRDefault="0096466B" w:rsidP="00ED4312">
            <w:pPr>
              <w:spacing w:after="0" w:line="240" w:lineRule="atLeast"/>
              <w:rPr>
                <w:rFonts w:ascii="VIC" w:eastAsia="Times New Roman" w:hAnsi="VIC" w:cs="Times New Roman"/>
                <w:color w:val="323E4F" w:themeColor="text2" w:themeShade="BF"/>
                <w:sz w:val="20"/>
                <w:szCs w:val="20"/>
                <w:lang w:eastAsia="en-AU"/>
              </w:rPr>
            </w:pPr>
          </w:p>
        </w:tc>
        <w:tc>
          <w:tcPr>
            <w:tcW w:w="0" w:type="auto"/>
            <w:hideMark/>
          </w:tcPr>
          <w:p w14:paraId="3B088A7F" w14:textId="77777777" w:rsidR="0096466B" w:rsidRPr="004D307F" w:rsidRDefault="0096466B" w:rsidP="002E5AC9">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Term 3 QCG</w:t>
            </w:r>
          </w:p>
        </w:tc>
        <w:tc>
          <w:tcPr>
            <w:tcW w:w="0" w:type="auto"/>
            <w:hideMark/>
          </w:tcPr>
          <w:p w14:paraId="51B60998" w14:textId="77777777" w:rsidR="0096466B" w:rsidRPr="004D307F" w:rsidRDefault="0096466B" w:rsidP="002E5AC9">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Term 4 QCG</w:t>
            </w:r>
          </w:p>
        </w:tc>
        <w:tc>
          <w:tcPr>
            <w:tcW w:w="0" w:type="auto"/>
            <w:hideMark/>
          </w:tcPr>
          <w:p w14:paraId="4F9AF5CB" w14:textId="36E2F6CB" w:rsidR="0096466B" w:rsidRPr="004D307F" w:rsidRDefault="002E5AC9" w:rsidP="002E5AC9">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EFT/</w:t>
            </w:r>
            <w:r w:rsidR="0096466B" w:rsidRPr="004D307F">
              <w:rPr>
                <w:rFonts w:ascii="VIC" w:eastAsia="Times New Roman" w:hAnsi="VIC" w:cs="Times New Roman"/>
                <w:color w:val="323E4F" w:themeColor="text2" w:themeShade="BF"/>
                <w:sz w:val="24"/>
                <w:szCs w:val="24"/>
                <w:lang w:eastAsia="en-AU"/>
              </w:rPr>
              <w:t>Cheque</w:t>
            </w:r>
          </w:p>
        </w:tc>
      </w:tr>
      <w:tr w:rsidR="000B1FF1" w:rsidRPr="004D307F" w14:paraId="1E45F162" w14:textId="77777777" w:rsidTr="002E5AC9">
        <w:tc>
          <w:tcPr>
            <w:tcW w:w="0" w:type="auto"/>
            <w:tcBorders>
              <w:bottom w:val="single" w:sz="4" w:space="0" w:color="auto"/>
            </w:tcBorders>
            <w:hideMark/>
          </w:tcPr>
          <w:p w14:paraId="18401EB1"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QCG Amount</w:t>
            </w:r>
          </w:p>
        </w:tc>
        <w:tc>
          <w:tcPr>
            <w:tcW w:w="0" w:type="auto"/>
            <w:tcBorders>
              <w:bottom w:val="single" w:sz="4" w:space="0" w:color="auto"/>
            </w:tcBorders>
            <w:hideMark/>
          </w:tcPr>
          <w:p w14:paraId="6EE63C79"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p>
        </w:tc>
        <w:tc>
          <w:tcPr>
            <w:tcW w:w="0" w:type="auto"/>
            <w:hideMark/>
          </w:tcPr>
          <w:p w14:paraId="11AAD570" w14:textId="1EDC4A86"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50,000</w:t>
            </w:r>
          </w:p>
        </w:tc>
        <w:tc>
          <w:tcPr>
            <w:tcW w:w="0" w:type="auto"/>
            <w:hideMark/>
          </w:tcPr>
          <w:p w14:paraId="61CAD751" w14:textId="023DF088"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50,000</w:t>
            </w:r>
          </w:p>
        </w:tc>
        <w:tc>
          <w:tcPr>
            <w:tcW w:w="0" w:type="auto"/>
            <w:hideMark/>
          </w:tcPr>
          <w:p w14:paraId="3DB33004" w14:textId="77777777" w:rsidR="0096466B" w:rsidRPr="004D307F" w:rsidRDefault="0096466B" w:rsidP="002E5AC9">
            <w:pPr>
              <w:spacing w:after="0" w:line="360" w:lineRule="atLeast"/>
              <w:jc w:val="center"/>
              <w:rPr>
                <w:rFonts w:ascii="VIC" w:eastAsia="Times New Roman" w:hAnsi="VIC" w:cs="Times New Roman"/>
                <w:color w:val="323E4F" w:themeColor="text2" w:themeShade="BF"/>
                <w:sz w:val="24"/>
                <w:szCs w:val="24"/>
                <w:lang w:eastAsia="en-AU"/>
              </w:rPr>
            </w:pPr>
          </w:p>
        </w:tc>
      </w:tr>
      <w:tr w:rsidR="000B1FF1" w:rsidRPr="004D307F" w14:paraId="29D397E3" w14:textId="77777777" w:rsidTr="002E5AC9">
        <w:tc>
          <w:tcPr>
            <w:tcW w:w="0" w:type="auto"/>
            <w:tcBorders>
              <w:right w:val="nil"/>
            </w:tcBorders>
            <w:hideMark/>
          </w:tcPr>
          <w:p w14:paraId="7C49ED9A"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Deficit Amount</w:t>
            </w:r>
          </w:p>
        </w:tc>
        <w:tc>
          <w:tcPr>
            <w:tcW w:w="0" w:type="auto"/>
            <w:tcBorders>
              <w:left w:val="nil"/>
            </w:tcBorders>
            <w:hideMark/>
          </w:tcPr>
          <w:p w14:paraId="3B2D2535" w14:textId="10296389" w:rsidR="0096466B" w:rsidRPr="004D307F" w:rsidRDefault="002E5AC9"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110,000</w:t>
            </w:r>
          </w:p>
        </w:tc>
        <w:tc>
          <w:tcPr>
            <w:tcW w:w="0" w:type="auto"/>
            <w:hideMark/>
          </w:tcPr>
          <w:p w14:paraId="4DF92A42" w14:textId="0423C2A9"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50,000</w:t>
            </w:r>
          </w:p>
        </w:tc>
        <w:tc>
          <w:tcPr>
            <w:tcW w:w="0" w:type="auto"/>
            <w:hideMark/>
          </w:tcPr>
          <w:p w14:paraId="6AD7152B" w14:textId="6AEF87E9"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50,000</w:t>
            </w:r>
          </w:p>
        </w:tc>
        <w:tc>
          <w:tcPr>
            <w:tcW w:w="0" w:type="auto"/>
            <w:hideMark/>
          </w:tcPr>
          <w:p w14:paraId="585401BD" w14:textId="1D4140B0"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10,000</w:t>
            </w:r>
          </w:p>
        </w:tc>
      </w:tr>
    </w:tbl>
    <w:p w14:paraId="3576AC58" w14:textId="77777777" w:rsidR="0096466B" w:rsidRPr="004D307F" w:rsidRDefault="0096466B" w:rsidP="0096466B">
      <w:pPr>
        <w:rPr>
          <w:rFonts w:ascii="VIC" w:hAnsi="VIC"/>
        </w:rPr>
      </w:pPr>
    </w:p>
    <w:p w14:paraId="24BE6D62" w14:textId="77777777" w:rsidR="0096466B" w:rsidRPr="004D307F" w:rsidRDefault="0096466B" w:rsidP="0096466B">
      <w:pPr>
        <w:rPr>
          <w:rFonts w:ascii="VIC" w:hAnsi="VIC"/>
        </w:rPr>
      </w:pPr>
      <w:r w:rsidRPr="004D307F">
        <w:rPr>
          <w:rFonts w:ascii="VIC" w:hAnsi="VIC"/>
        </w:rPr>
        <w:br w:type="page"/>
      </w:r>
    </w:p>
    <w:p w14:paraId="38771208" w14:textId="55A77E54" w:rsidR="0096466B" w:rsidRPr="004D307F" w:rsidRDefault="0096466B" w:rsidP="00B566E7">
      <w:pPr>
        <w:pStyle w:val="Heading2"/>
      </w:pPr>
      <w:bookmarkStart w:id="146" w:name="_Toc106793820"/>
      <w:r w:rsidRPr="004D307F">
        <w:lastRenderedPageBreak/>
        <w:t>Reports</w:t>
      </w:r>
      <w:bookmarkEnd w:id="146"/>
    </w:p>
    <w:p w14:paraId="4AFB970B"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Some of the SRP reports are listed and described below.</w:t>
      </w:r>
    </w:p>
    <w:p w14:paraId="30DE6E8B"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School Budget Management Report</w:t>
      </w:r>
    </w:p>
    <w:p w14:paraId="60439366"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Summary</w:t>
      </w:r>
    </w:p>
    <w:p w14:paraId="1B7AA625" w14:textId="6FB484FA"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School Budget Management Report is a </w:t>
      </w:r>
      <w:r w:rsidR="0091293B" w:rsidRPr="004D307F">
        <w:rPr>
          <w:rFonts w:ascii="VIC" w:eastAsia="Times New Roman" w:hAnsi="VIC" w:cs="Times New Roman"/>
          <w:color w:val="011A3C"/>
          <w:sz w:val="24"/>
          <w:szCs w:val="24"/>
          <w:lang w:val="en" w:eastAsia="en-AU"/>
        </w:rPr>
        <w:t>one-page</w:t>
      </w:r>
      <w:r w:rsidRPr="004D307F">
        <w:rPr>
          <w:rFonts w:ascii="VIC" w:eastAsia="Times New Roman" w:hAnsi="VIC" w:cs="Times New Roman"/>
          <w:color w:val="011A3C"/>
          <w:sz w:val="24"/>
          <w:szCs w:val="24"/>
          <w:lang w:val="en" w:eastAsia="en-AU"/>
        </w:rPr>
        <w:t xml:space="preserve"> summary of budget allocations and projected expenditure for your school relating to the current calendar year. It shows the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financial position including the projected surplus, or deficit, as at 31 December based on current salary commitments.</w:t>
      </w:r>
    </w:p>
    <w:p w14:paraId="4B44971B"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report also provides information on:</w:t>
      </w:r>
    </w:p>
    <w:p w14:paraId="2165D375" w14:textId="77777777" w:rsidR="0096466B" w:rsidRPr="004D307F" w:rsidRDefault="0096466B" w:rsidP="00ED0863">
      <w:pPr>
        <w:numPr>
          <w:ilvl w:val="0"/>
          <w:numId w:val="103"/>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surplus from previous year</w:t>
      </w:r>
    </w:p>
    <w:p w14:paraId="5A6DF184" w14:textId="77777777" w:rsidR="0096466B" w:rsidRPr="004D307F" w:rsidRDefault="0096466B" w:rsidP="00ED0863">
      <w:pPr>
        <w:numPr>
          <w:ilvl w:val="0"/>
          <w:numId w:val="103"/>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total credit to cash transfers</w:t>
      </w:r>
    </w:p>
    <w:p w14:paraId="46D72FC4" w14:textId="77777777" w:rsidR="0096466B" w:rsidRPr="004D307F" w:rsidRDefault="0096466B" w:rsidP="00ED0863">
      <w:pPr>
        <w:numPr>
          <w:ilvl w:val="0"/>
          <w:numId w:val="103"/>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total cash to credit transfers</w:t>
      </w:r>
    </w:p>
    <w:p w14:paraId="485051BD"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Credit Items</w:t>
      </w:r>
    </w:p>
    <w:p w14:paraId="4C5C89D7"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is a</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report for analysis of expenditure against budget. The report provides:</w:t>
      </w:r>
    </w:p>
    <w:p w14:paraId="1520D034" w14:textId="77777777" w:rsidR="0096466B" w:rsidRPr="004D307F" w:rsidRDefault="0096466B" w:rsidP="00ED0863">
      <w:pPr>
        <w:numPr>
          <w:ilvl w:val="0"/>
          <w:numId w:val="104"/>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year-to-date expenditure broken down into staffing</w:t>
      </w:r>
    </w:p>
    <w:p w14:paraId="26E01F3A" w14:textId="77777777" w:rsidR="0096466B" w:rsidRPr="004D307F" w:rsidRDefault="0096466B" w:rsidP="00ED0863">
      <w:pPr>
        <w:numPr>
          <w:ilvl w:val="0"/>
          <w:numId w:val="104"/>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classifications and on-costs</w:t>
      </w:r>
    </w:p>
    <w:p w14:paraId="7F1AC0B8" w14:textId="77777777" w:rsidR="0096466B" w:rsidRPr="004D307F" w:rsidRDefault="0096466B" w:rsidP="00ED0863">
      <w:pPr>
        <w:numPr>
          <w:ilvl w:val="0"/>
          <w:numId w:val="104"/>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projected credit budget position by offsetting projected salary commitments</w:t>
      </w:r>
    </w:p>
    <w:p w14:paraId="40604C14" w14:textId="77777777" w:rsidR="0096466B" w:rsidRPr="004D307F" w:rsidRDefault="0096466B" w:rsidP="00ED0863">
      <w:pPr>
        <w:numPr>
          <w:ilvl w:val="0"/>
          <w:numId w:val="104"/>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previous year surplus brought forward</w:t>
      </w:r>
    </w:p>
    <w:p w14:paraId="49537135" w14:textId="77777777" w:rsidR="0096466B" w:rsidRPr="004D307F" w:rsidRDefault="0096466B" w:rsidP="00ED0863">
      <w:pPr>
        <w:numPr>
          <w:ilvl w:val="0"/>
          <w:numId w:val="104"/>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credit to cash and/or cash to credit transfers undertaken</w:t>
      </w:r>
    </w:p>
    <w:p w14:paraId="212AE535" w14:textId="6BECC896"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that finish the year in a deficit will have </w:t>
      </w:r>
      <w:r w:rsidR="0091293B" w:rsidRPr="004D307F">
        <w:rPr>
          <w:rFonts w:ascii="VIC" w:eastAsia="Times New Roman" w:hAnsi="VIC" w:cs="Times New Roman"/>
          <w:color w:val="011A3C"/>
          <w:sz w:val="24"/>
          <w:szCs w:val="24"/>
          <w:lang w:val="en" w:eastAsia="en-AU"/>
        </w:rPr>
        <w:t xml:space="preserve">that </w:t>
      </w:r>
      <w:r w:rsidRPr="004D307F">
        <w:rPr>
          <w:rFonts w:ascii="VIC" w:eastAsia="Times New Roman" w:hAnsi="VIC" w:cs="Times New Roman"/>
          <w:color w:val="011A3C"/>
          <w:sz w:val="24"/>
          <w:szCs w:val="24"/>
          <w:lang w:val="en" w:eastAsia="en-AU"/>
        </w:rPr>
        <w:t xml:space="preserve">amount deducted from </w:t>
      </w:r>
      <w:r w:rsidR="0091293B" w:rsidRPr="004D307F">
        <w:rPr>
          <w:rFonts w:ascii="VIC" w:eastAsia="Times New Roman" w:hAnsi="VIC" w:cs="Times New Roman"/>
          <w:color w:val="011A3C"/>
          <w:sz w:val="24"/>
          <w:szCs w:val="24"/>
          <w:lang w:val="en" w:eastAsia="en-AU"/>
        </w:rPr>
        <w:t xml:space="preserve">the next </w:t>
      </w:r>
      <w:r w:rsidRPr="004D307F">
        <w:rPr>
          <w:rFonts w:ascii="VIC" w:eastAsia="Times New Roman" w:hAnsi="VIC" w:cs="Times New Roman"/>
          <w:color w:val="011A3C"/>
          <w:sz w:val="24"/>
          <w:szCs w:val="24"/>
          <w:lang w:val="en" w:eastAsia="en-AU"/>
        </w:rPr>
        <w:t>cash grant after the annual reconciliation.</w:t>
      </w:r>
    </w:p>
    <w:p w14:paraId="05A7EBC3"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Cash Items</w:t>
      </w:r>
    </w:p>
    <w:p w14:paraId="4F0BD90E" w14:textId="61D96D6F" w:rsidR="00F85311"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This report details the annual cash grant budget items provided to the school. It also includes processed credit to cash, cash to credit transfers and the long-term leave premium deduction.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Outside Global Budget Items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Section 3</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is included in this report and provides information relating to staff </w:t>
      </w:r>
      <w:r w:rsidRPr="004D307F">
        <w:rPr>
          <w:rFonts w:ascii="VIC" w:eastAsia="Times New Roman" w:hAnsi="VIC" w:cs="Times New Roman"/>
          <w:color w:val="011A3C"/>
          <w:sz w:val="24"/>
          <w:szCs w:val="24"/>
          <w:lang w:val="en" w:eastAsia="en-AU"/>
        </w:rPr>
        <w:lastRenderedPageBreak/>
        <w:t>on long term leave or pay in lieu of long service leave. Outside global budget items are not charged to the school.</w:t>
      </w:r>
    </w:p>
    <w:p w14:paraId="71C9078D"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Salaries Fortnightly Transaction Report</w:t>
      </w:r>
    </w:p>
    <w:p w14:paraId="48339BDE"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w:t>
      </w:r>
      <w:hyperlink r:id="rId238" w:history="1">
        <w:r w:rsidRPr="004D307F">
          <w:rPr>
            <w:rFonts w:ascii="VIC" w:eastAsia="Times New Roman" w:hAnsi="VIC" w:cs="Times New Roman"/>
            <w:color w:val="011A3C"/>
            <w:sz w:val="24"/>
            <w:szCs w:val="24"/>
            <w:lang w:val="en" w:eastAsia="en-AU"/>
          </w:rPr>
          <w:t>Salaries Fortnightly Transaction Report</w:t>
        </w:r>
      </w:hyperlink>
      <w:r w:rsidRPr="004D307F">
        <w:rPr>
          <w:rFonts w:ascii="VIC" w:eastAsia="Times New Roman" w:hAnsi="VIC" w:cs="Times New Roman"/>
          <w:color w:val="011A3C"/>
          <w:sz w:val="24"/>
          <w:szCs w:val="24"/>
          <w:lang w:val="en" w:eastAsia="en-AU"/>
        </w:rPr>
        <w:t xml:space="preserve"> (available through the </w:t>
      </w:r>
      <w:hyperlink r:id="rId239" w:history="1">
        <w:r w:rsidRPr="004D307F">
          <w:rPr>
            <w:rFonts w:ascii="VIC" w:eastAsia="Times New Roman" w:hAnsi="VIC" w:cs="Times New Roman"/>
            <w:color w:val="011A3C"/>
            <w:sz w:val="24"/>
            <w:szCs w:val="24"/>
            <w:lang w:val="en" w:eastAsia="en-AU"/>
          </w:rPr>
          <w:t>SRP Portal</w:t>
        </w:r>
      </w:hyperlink>
      <w:r w:rsidRPr="004D307F">
        <w:rPr>
          <w:rFonts w:ascii="VIC" w:eastAsia="Times New Roman" w:hAnsi="VIC" w:cs="Times New Roman"/>
          <w:color w:val="011A3C"/>
          <w:sz w:val="24"/>
          <w:szCs w:val="24"/>
          <w:lang w:val="en" w:eastAsia="en-AU"/>
        </w:rPr>
        <w:t>) displays the salary transactions for each staff member and the year-to-date salary expenditure and payroll liability projected to the end of the calendar year. The payroll liability is based on current information recorded in eduPay. Included at the end of the report are items that have been charged outside SRP, that is not charged to the school.</w:t>
      </w:r>
    </w:p>
    <w:p w14:paraId="7EEF5FFF"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Employee Charging History Report</w:t>
      </w:r>
    </w:p>
    <w:p w14:paraId="5B6758D9" w14:textId="4D00C173" w:rsidR="0096466B" w:rsidRPr="004D307F" w:rsidRDefault="0096466B" w:rsidP="00A9180D">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w:t>
      </w:r>
      <w:hyperlink r:id="rId240" w:history="1">
        <w:r w:rsidRPr="004D307F">
          <w:rPr>
            <w:rFonts w:ascii="VIC" w:eastAsia="Times New Roman" w:hAnsi="VIC" w:cs="Times New Roman"/>
            <w:color w:val="011A3C"/>
            <w:sz w:val="24"/>
            <w:szCs w:val="24"/>
            <w:lang w:val="en" w:eastAsia="en-AU"/>
          </w:rPr>
          <w:t>Employee Charging History Report</w:t>
        </w:r>
      </w:hyperlink>
      <w:r w:rsidRPr="004D307F">
        <w:rPr>
          <w:rFonts w:ascii="VIC" w:eastAsia="Times New Roman" w:hAnsi="VIC" w:cs="Times New Roman"/>
          <w:color w:val="011A3C"/>
          <w:sz w:val="24"/>
          <w:szCs w:val="24"/>
          <w:lang w:val="en" w:eastAsia="en-AU"/>
        </w:rPr>
        <w:t xml:space="preserve"> (available through the </w:t>
      </w:r>
      <w:hyperlink r:id="rId241" w:history="1">
        <w:r w:rsidRPr="004D307F">
          <w:rPr>
            <w:rFonts w:ascii="VIC" w:eastAsia="Times New Roman" w:hAnsi="VIC" w:cs="Times New Roman"/>
            <w:color w:val="011A3C"/>
            <w:sz w:val="24"/>
            <w:szCs w:val="24"/>
            <w:lang w:val="en" w:eastAsia="en-AU"/>
          </w:rPr>
          <w:t>SRP Portal</w:t>
        </w:r>
      </w:hyperlink>
      <w:r w:rsidRPr="004D307F">
        <w:rPr>
          <w:rFonts w:ascii="VIC" w:eastAsia="Times New Roman" w:hAnsi="VIC" w:cs="Times New Roman"/>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itemises the history of salary charges for individual employees, for each fortnight, expenditure year to date and a projection to the end of the year. The report is based on current eduPay information.</w:t>
      </w:r>
    </w:p>
    <w:p w14:paraId="26C86249" w14:textId="77777777" w:rsidR="0096466B" w:rsidRPr="004D307F" w:rsidRDefault="0096466B" w:rsidP="0096466B">
      <w:pPr>
        <w:rPr>
          <w:rFonts w:ascii="VIC" w:hAnsi="VIC"/>
        </w:rPr>
      </w:pPr>
      <w:r w:rsidRPr="004D307F">
        <w:rPr>
          <w:rFonts w:ascii="VIC" w:hAnsi="VIC"/>
        </w:rPr>
        <w:br w:type="page"/>
      </w:r>
    </w:p>
    <w:p w14:paraId="706F621C" w14:textId="776C58BB" w:rsidR="0096466B" w:rsidRPr="004D307F" w:rsidRDefault="0096466B" w:rsidP="00B566E7">
      <w:pPr>
        <w:pStyle w:val="Heading2"/>
      </w:pPr>
      <w:bookmarkStart w:id="147" w:name="_Toc106793821"/>
      <w:r w:rsidRPr="004D307F">
        <w:lastRenderedPageBreak/>
        <w:t>Planning</w:t>
      </w:r>
      <w:bookmarkEnd w:id="147"/>
    </w:p>
    <w:p w14:paraId="7C13B2F8"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SRP budget planner</w:t>
      </w:r>
    </w:p>
    <w:p w14:paraId="1AC5DC64"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SRP budget planner (available through the </w:t>
      </w:r>
      <w:hyperlink r:id="rId242" w:history="1">
        <w:r w:rsidRPr="004D307F">
          <w:rPr>
            <w:rFonts w:ascii="VIC" w:eastAsia="Times New Roman" w:hAnsi="VIC" w:cs="Times New Roman"/>
            <w:color w:val="011A3C"/>
            <w:sz w:val="24"/>
            <w:szCs w:val="24"/>
            <w:lang w:val="en" w:eastAsia="en-AU"/>
          </w:rPr>
          <w:t>SRP Portal</w:t>
        </w:r>
      </w:hyperlink>
      <w:r w:rsidRPr="004D307F">
        <w:rPr>
          <w:rFonts w:ascii="VIC" w:eastAsia="Times New Roman" w:hAnsi="VIC" w:cs="Times New Roman"/>
          <w:color w:val="011A3C"/>
          <w:sz w:val="24"/>
          <w:szCs w:val="24"/>
          <w:lang w:val="en" w:eastAsia="en-AU"/>
        </w:rPr>
        <w:t>) is a modelling tool to allow principals and other school planners to model the impact of enrolment variations and other changes impacting the Student Resource Package (SRP), and build an overall workforce plan that acknowledges current salary commitments for staff and considers the affordability of planned changes. The planner allows schools to develop three-year plans. It includes useful analytical tools and graphical information.</w:t>
      </w:r>
    </w:p>
    <w:p w14:paraId="33A4AB64"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It is important to remember that the SRP budget planner is a modelling tool, not a personnel or payroll system. It can model a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planning scenarios, but it does not interact with the eduPay payroll to amend personnel and payroll data. Actual payroll amendments need to be made directly onto eduPay.</w:t>
      </w:r>
    </w:p>
    <w:p w14:paraId="4F4FE49B"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planner provides salary projections and estimates using current payroll parameters, such as classifications, time fractions, increment dates and appointment dates. Certain eduPay entries may not be reflected in the cost projections, particularly those relating to salary reassessments, arrears, or other payments that are independent of these payroll parameters. For this reason, the 'current'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year-to-date figures shown in the planner may, on occasion, vary slightly from the actual expenditure shown in the School Budget Management Report.</w:t>
      </w:r>
    </w:p>
    <w:p w14:paraId="32E860CD" w14:textId="310A4294" w:rsidR="0096466B" w:rsidRPr="004D307F" w:rsidRDefault="0096466B" w:rsidP="00A9180D">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For more information refer to</w:t>
      </w:r>
      <w:r w:rsidRPr="004D307F">
        <w:rPr>
          <w:rFonts w:ascii="Calibri" w:eastAsia="Times New Roman" w:hAnsi="Calibri" w:cs="Calibri" w:hint="eastAsia"/>
          <w:color w:val="011A3C"/>
          <w:sz w:val="24"/>
          <w:szCs w:val="24"/>
          <w:lang w:val="en" w:eastAsia="en-AU"/>
        </w:rPr>
        <w:t> </w:t>
      </w:r>
      <w:hyperlink r:id="rId243" w:history="1">
        <w:r w:rsidRPr="004D307F">
          <w:rPr>
            <w:rFonts w:ascii="VIC" w:eastAsia="Times New Roman" w:hAnsi="VIC" w:cs="Times New Roman"/>
            <w:color w:val="011A3C"/>
            <w:sz w:val="24"/>
            <w:szCs w:val="24"/>
            <w:lang w:val="en" w:eastAsia="en-AU"/>
          </w:rPr>
          <w:t>Planner Overview</w:t>
        </w:r>
      </w:hyperlink>
    </w:p>
    <w:p w14:paraId="17D660A2" w14:textId="77777777" w:rsidR="0096466B" w:rsidRPr="004D307F" w:rsidRDefault="0096466B" w:rsidP="0096466B">
      <w:pPr>
        <w:rPr>
          <w:rFonts w:ascii="VIC" w:hAnsi="VIC"/>
        </w:rPr>
      </w:pPr>
      <w:r w:rsidRPr="004D307F">
        <w:rPr>
          <w:rFonts w:ascii="VIC" w:hAnsi="VIC"/>
        </w:rPr>
        <w:br w:type="page"/>
      </w:r>
    </w:p>
    <w:p w14:paraId="1645D742" w14:textId="07293AB1" w:rsidR="0096466B" w:rsidRPr="004D307F" w:rsidRDefault="0096466B" w:rsidP="00B566E7">
      <w:pPr>
        <w:pStyle w:val="Heading2"/>
      </w:pPr>
      <w:bookmarkStart w:id="148" w:name="_Toc106793822"/>
      <w:r w:rsidRPr="004D307F">
        <w:lastRenderedPageBreak/>
        <w:t>Reconciliation</w:t>
      </w:r>
      <w:bookmarkEnd w:id="148"/>
    </w:p>
    <w:p w14:paraId="105FBF7E"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 reconciliation process is undertaken at the end of the calendar year to verify each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Student Resource Package (SRP) budget and expenditure position. This process is completed in order to finalise any surplus amount to be carried forward, or deficit amount to be recovered.</w:t>
      </w:r>
    </w:p>
    <w:p w14:paraId="4442074F"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that do not sign off their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position hold up the process statewide, as the reconciliation requires every school in the state to finalise the process before surpluses and deficits can be confirmed.</w:t>
      </w:r>
    </w:p>
    <w:p w14:paraId="341F46EE" w14:textId="77777777" w:rsidR="0096466B" w:rsidRPr="004D307F" w:rsidRDefault="0096466B" w:rsidP="00ED0863">
      <w:pPr>
        <w:numPr>
          <w:ilvl w:val="0"/>
          <w:numId w:val="105"/>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What to check</w:t>
      </w:r>
    </w:p>
    <w:p w14:paraId="2EF0DB26" w14:textId="77777777" w:rsidR="0096466B" w:rsidRPr="004D307F" w:rsidRDefault="0096466B" w:rsidP="00ED0863">
      <w:pPr>
        <w:numPr>
          <w:ilvl w:val="0"/>
          <w:numId w:val="105"/>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Attestation</w:t>
      </w:r>
    </w:p>
    <w:p w14:paraId="69140D9B"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What to check</w:t>
      </w:r>
    </w:p>
    <w:p w14:paraId="415AD41E"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Budget</w:t>
      </w:r>
    </w:p>
    <w:p w14:paraId="54885073"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should review their budget details report after any change and forward</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enquiries to the relevant contact in the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policy unit or region.</w:t>
      </w:r>
    </w:p>
    <w:p w14:paraId="0C83258B"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Program for students with disabilities</w:t>
      </w:r>
    </w:p>
    <w:p w14:paraId="1E441034" w14:textId="324E059B"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may be provided with funding through the </w:t>
      </w:r>
      <w:hyperlink r:id="rId244" w:history="1">
        <w:r w:rsidRPr="004D307F">
          <w:rPr>
            <w:rFonts w:ascii="VIC" w:eastAsia="Times New Roman" w:hAnsi="VIC" w:cs="Times New Roman"/>
            <w:color w:val="011A3C"/>
            <w:sz w:val="24"/>
            <w:szCs w:val="24"/>
            <w:lang w:val="en" w:eastAsia="en-AU"/>
          </w:rPr>
          <w:t>Program for Students with Disabilities (PSD)</w:t>
        </w:r>
      </w:hyperlink>
      <w:r w:rsidRPr="004D307F">
        <w:rPr>
          <w:rFonts w:ascii="VIC" w:eastAsia="Times New Roman" w:hAnsi="VIC" w:cs="Times New Roman"/>
          <w:color w:val="011A3C"/>
          <w:sz w:val="24"/>
          <w:szCs w:val="24"/>
          <w:lang w:val="en" w:eastAsia="en-AU"/>
        </w:rPr>
        <w:t xml:space="preserve">. This information should be reviewed in the </w:t>
      </w:r>
      <w:hyperlink r:id="rId245" w:history="1">
        <w:r w:rsidRPr="004D307F">
          <w:rPr>
            <w:rFonts w:ascii="VIC" w:eastAsia="Times New Roman" w:hAnsi="VIC" w:cs="Times New Roman"/>
            <w:color w:val="011A3C"/>
            <w:sz w:val="24"/>
            <w:szCs w:val="24"/>
            <w:lang w:val="en" w:eastAsia="en-AU"/>
          </w:rPr>
          <w:t>Program for Students with Disabilities Management System (PSDMS)</w:t>
        </w:r>
      </w:hyperlink>
      <w:r w:rsidRPr="004D307F">
        <w:rPr>
          <w:rFonts w:ascii="VIC" w:eastAsia="Times New Roman" w:hAnsi="VIC" w:cs="Times New Roman"/>
          <w:color w:val="011A3C"/>
          <w:sz w:val="24"/>
          <w:szCs w:val="24"/>
          <w:lang w:val="en" w:eastAsia="en-AU"/>
        </w:rPr>
        <w:t>. All PSD funding queries can be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submitted via the </w:t>
      </w:r>
      <w:hyperlink r:id="rId246" w:history="1">
        <w:r w:rsidRPr="004D307F">
          <w:rPr>
            <w:rFonts w:ascii="VIC" w:eastAsia="Times New Roman" w:hAnsi="VIC" w:cs="Times New Roman"/>
            <w:color w:val="011A3C"/>
            <w:sz w:val="24"/>
            <w:szCs w:val="24"/>
            <w:lang w:val="en" w:eastAsia="en-AU"/>
          </w:rPr>
          <w:t>DET Service</w:t>
        </w:r>
        <w:r w:rsidR="00557B7E" w:rsidRPr="004D307F">
          <w:rPr>
            <w:rFonts w:ascii="VIC" w:eastAsia="Times New Roman" w:hAnsi="VIC" w:cs="Times New Roman"/>
            <w:color w:val="011A3C"/>
            <w:sz w:val="24"/>
            <w:szCs w:val="24"/>
            <w:lang w:val="en" w:eastAsia="en-AU"/>
          </w:rPr>
          <w:t>s</w:t>
        </w:r>
        <w:r w:rsidRPr="004D307F">
          <w:rPr>
            <w:rFonts w:ascii="VIC" w:eastAsia="Times New Roman" w:hAnsi="VIC" w:cs="Times New Roman"/>
            <w:color w:val="011A3C"/>
            <w:sz w:val="24"/>
            <w:szCs w:val="24"/>
            <w:lang w:val="en" w:eastAsia="en-AU"/>
          </w:rPr>
          <w:t xml:space="preserve"> </w:t>
        </w:r>
        <w:r w:rsidR="00557B7E" w:rsidRPr="004D307F">
          <w:rPr>
            <w:rFonts w:ascii="VIC" w:eastAsia="Times New Roman" w:hAnsi="VIC" w:cs="Times New Roman"/>
            <w:color w:val="011A3C"/>
            <w:sz w:val="24"/>
            <w:szCs w:val="24"/>
            <w:lang w:val="en" w:eastAsia="en-AU"/>
          </w:rPr>
          <w:t>Portal</w:t>
        </w:r>
      </w:hyperlink>
      <w:r w:rsidRPr="004D307F">
        <w:rPr>
          <w:rFonts w:ascii="VIC" w:eastAsia="Times New Roman" w:hAnsi="VIC" w:cs="Times New Roman"/>
          <w:color w:val="011A3C"/>
          <w:sz w:val="24"/>
          <w:szCs w:val="24"/>
          <w:lang w:val="en" w:eastAsia="en-AU"/>
        </w:rPr>
        <w:t xml:space="preserve"> (select 'log a request' and choose 'PSDMS').</w:t>
      </w:r>
    </w:p>
    <w:p w14:paraId="342E520A"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Cleaning</w:t>
      </w:r>
    </w:p>
    <w:p w14:paraId="700E177B"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cleaning allocation for a school is based on the physical dimensions of the buildings and the schools enrolments (visit </w:t>
      </w:r>
      <w:hyperlink r:id="rId247" w:history="1">
        <w:r w:rsidRPr="004D307F">
          <w:rPr>
            <w:rFonts w:ascii="VIC" w:eastAsia="Times New Roman" w:hAnsi="VIC" w:cs="Times New Roman"/>
            <w:color w:val="011A3C"/>
            <w:sz w:val="24"/>
            <w:szCs w:val="24"/>
            <w:lang w:val="en" w:eastAsia="en-AU"/>
          </w:rPr>
          <w:t>Contract Cleaning</w:t>
        </w:r>
      </w:hyperlink>
      <w:r w:rsidRPr="004D307F">
        <w:rPr>
          <w:rFonts w:ascii="VIC" w:eastAsia="Times New Roman" w:hAnsi="VIC" w:cs="Times New Roman"/>
          <w:color w:val="011A3C"/>
          <w:sz w:val="24"/>
          <w:szCs w:val="24"/>
          <w:lang w:val="en" w:eastAsia="en-AU"/>
        </w:rPr>
        <w:t>). Schools should ensure that their school information in the Atrium system is correct to ensure that they are receiving the correct cleaning budget.</w:t>
      </w:r>
      <w:r w:rsidRPr="004D307F">
        <w:rPr>
          <w:rFonts w:ascii="Calibri" w:eastAsia="Times New Roman" w:hAnsi="Calibri" w:cs="Calibri" w:hint="eastAsia"/>
          <w:color w:val="011A3C"/>
          <w:sz w:val="24"/>
          <w:szCs w:val="24"/>
          <w:lang w:val="en" w:eastAsia="en-AU"/>
        </w:rPr>
        <w:t> </w:t>
      </w:r>
    </w:p>
    <w:p w14:paraId="67A7BF52"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Salary expenditure</w:t>
      </w:r>
    </w:p>
    <w:p w14:paraId="29638D86" w14:textId="75D80C83"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should ensure that they have been charged correctly for all staff at their school in their SRP</w:t>
      </w:r>
      <w:r w:rsidR="0091293B" w:rsidRPr="004D307F">
        <w:rPr>
          <w:rFonts w:ascii="VIC" w:eastAsia="Times New Roman" w:hAnsi="VIC" w:cs="Times New Roman"/>
          <w:color w:val="011A3C"/>
          <w:sz w:val="24"/>
          <w:szCs w:val="24"/>
          <w:lang w:val="en" w:eastAsia="en-AU"/>
        </w:rPr>
        <w:t xml:space="preserve"> by monitoring fortnightly reports when they are published.</w:t>
      </w:r>
    </w:p>
    <w:p w14:paraId="6B391443"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lastRenderedPageBreak/>
        <w:t>Credit to cash</w:t>
      </w:r>
      <w:r w:rsidRPr="004D307F">
        <w:rPr>
          <w:rFonts w:ascii="Calibri" w:eastAsia="Times New Roman" w:hAnsi="Calibri" w:cs="Calibri" w:hint="eastAsia"/>
          <w:b/>
          <w:bCs/>
          <w:color w:val="011A3C"/>
          <w:sz w:val="24"/>
          <w:szCs w:val="24"/>
          <w:lang w:val="en" w:eastAsia="en-AU"/>
        </w:rPr>
        <w:t> </w:t>
      </w:r>
      <w:r w:rsidRPr="004D307F">
        <w:rPr>
          <w:rFonts w:ascii="VIC" w:eastAsia="Times New Roman" w:hAnsi="VIC" w:cs="Times New Roman"/>
          <w:b/>
          <w:bCs/>
          <w:color w:val="011A3C"/>
          <w:sz w:val="24"/>
          <w:szCs w:val="24"/>
          <w:lang w:val="en" w:eastAsia="en-AU"/>
        </w:rPr>
        <w:t>or Cash to credit</w:t>
      </w:r>
    </w:p>
    <w:p w14:paraId="07CB2C3B"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should ensure that there are no outstanding cash to credit or credit to cash amounts remaining at the end of the year. This can be done by checking the Credit and Cash Transfer Status report for your school. If there are outstanding requests, a correction should be made during the reconciliation attestation process to cancel the outstanding amount of the request.</w:t>
      </w:r>
    </w:p>
    <w:p w14:paraId="186C777A"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Attestation</w:t>
      </w:r>
    </w:p>
    <w:p w14:paraId="143044F6"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end of year attestation process represents recognition by the school principal that the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SRP position is correctly shown in the reports or that the position will be represented correctly factoring in nominated corrections and amendments.</w:t>
      </w:r>
      <w:r w:rsidRPr="004D307F">
        <w:rPr>
          <w:rFonts w:ascii="Calibri" w:eastAsia="Times New Roman" w:hAnsi="Calibri" w:cs="Calibri" w:hint="eastAsia"/>
          <w:color w:val="011A3C"/>
          <w:sz w:val="24"/>
          <w:szCs w:val="24"/>
          <w:lang w:val="en" w:eastAsia="en-AU"/>
        </w:rPr>
        <w:t> </w:t>
      </w:r>
    </w:p>
    <w:p w14:paraId="1AD24957"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During the reconciliation period, only adjustments submitted via the reconciliation attestation process will be investigated, and no adjustments will be made to the school reports until after the reconciliation is submitted. When completing the attestation process, a principal has two options:</w:t>
      </w:r>
    </w:p>
    <w:p w14:paraId="10545C62" w14:textId="77777777" w:rsidR="0096466B" w:rsidRPr="004D307F" w:rsidRDefault="0096466B" w:rsidP="00ED0863">
      <w:pPr>
        <w:numPr>
          <w:ilvl w:val="0"/>
          <w:numId w:val="10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b/>
          <w:bCs/>
          <w:color w:val="011A3C"/>
          <w:sz w:val="24"/>
          <w:szCs w:val="24"/>
          <w:lang w:val="en" w:eastAsia="en-AU"/>
        </w:rPr>
        <w:t>Attest</w:t>
      </w:r>
      <w:r w:rsidRPr="004D307F">
        <w:rPr>
          <w:rFonts w:ascii="Calibri" w:eastAsia="Times New Roman" w:hAnsi="Calibri" w:cs="Calibri" w:hint="eastAsia"/>
          <w:b/>
          <w:bCs/>
          <w:color w:val="011A3C"/>
          <w:sz w:val="24"/>
          <w:szCs w:val="24"/>
          <w:lang w:val="en" w:eastAsia="en-AU"/>
        </w:rPr>
        <w:t> </w:t>
      </w:r>
      <w:r w:rsidRPr="004D307F">
        <w:rPr>
          <w:rFonts w:ascii="VIC" w:eastAsia="Times New Roman" w:hAnsi="VIC" w:cs="Times New Roman"/>
          <w:color w:val="011A3C"/>
          <w:sz w:val="24"/>
          <w:szCs w:val="24"/>
          <w:lang w:val="en" w:eastAsia="en-AU"/>
        </w:rPr>
        <w:br/>
        <w:t>The SRP reports, as shown, accurately reflect the end of year position for the school and no amendments need to be made.</w:t>
      </w:r>
    </w:p>
    <w:p w14:paraId="45FC1FFC" w14:textId="502B44DF" w:rsidR="0096466B" w:rsidRPr="004D307F" w:rsidRDefault="0096466B" w:rsidP="00ED0863">
      <w:pPr>
        <w:numPr>
          <w:ilvl w:val="0"/>
          <w:numId w:val="10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b/>
          <w:bCs/>
          <w:color w:val="011A3C"/>
          <w:sz w:val="24"/>
          <w:szCs w:val="24"/>
          <w:lang w:val="en" w:eastAsia="en-AU"/>
        </w:rPr>
        <w:t>Attest with corrections and</w:t>
      </w:r>
      <w:r w:rsidRPr="004D307F">
        <w:rPr>
          <w:rFonts w:ascii="Calibri" w:eastAsia="Times New Roman" w:hAnsi="Calibri" w:cs="Calibri" w:hint="eastAsia"/>
          <w:b/>
          <w:bCs/>
          <w:color w:val="011A3C"/>
          <w:sz w:val="24"/>
          <w:szCs w:val="24"/>
          <w:lang w:val="en" w:eastAsia="en-AU"/>
        </w:rPr>
        <w:t> </w:t>
      </w:r>
      <w:r w:rsidRPr="004D307F">
        <w:rPr>
          <w:rFonts w:ascii="VIC" w:eastAsia="Times New Roman" w:hAnsi="VIC" w:cs="Times New Roman"/>
          <w:b/>
          <w:bCs/>
          <w:color w:val="011A3C"/>
          <w:sz w:val="24"/>
          <w:szCs w:val="24"/>
          <w:lang w:val="en" w:eastAsia="en-AU"/>
        </w:rPr>
        <w:t>amendments</w:t>
      </w:r>
      <w:r w:rsidRPr="004D307F">
        <w:rPr>
          <w:rFonts w:ascii="VIC" w:eastAsia="Times New Roman" w:hAnsi="VIC" w:cs="Times New Roman"/>
          <w:color w:val="011A3C"/>
          <w:sz w:val="24"/>
          <w:szCs w:val="24"/>
          <w:lang w:val="en" w:eastAsia="en-AU"/>
        </w:rPr>
        <w:br/>
        <w:t>If corrections or amendments need to be made, you can submit your attestation with corrections or amendments attached. These corrections or amendments will then be investigated by Schools Finance and Resources Branch staff and appropriate action taken.</w:t>
      </w:r>
    </w:p>
    <w:p w14:paraId="7463E52E" w14:textId="77777777" w:rsidR="0096466B" w:rsidRPr="004D307F" w:rsidRDefault="0096466B" w:rsidP="0096466B">
      <w:pPr>
        <w:rPr>
          <w:rFonts w:ascii="VIC" w:hAnsi="VIC"/>
        </w:rPr>
      </w:pPr>
      <w:r w:rsidRPr="004D307F">
        <w:rPr>
          <w:rFonts w:ascii="VIC" w:hAnsi="VIC"/>
        </w:rPr>
        <w:br w:type="page"/>
      </w:r>
    </w:p>
    <w:p w14:paraId="375BFF5C" w14:textId="3B370038" w:rsidR="0096466B" w:rsidRPr="004D307F" w:rsidRDefault="0096466B" w:rsidP="00B566E7">
      <w:pPr>
        <w:pStyle w:val="Heading2"/>
      </w:pPr>
      <w:bookmarkStart w:id="149" w:name="_Toc106793823"/>
      <w:r w:rsidRPr="004D307F">
        <w:lastRenderedPageBreak/>
        <w:t>Cash</w:t>
      </w:r>
      <w:bookmarkEnd w:id="149"/>
    </w:p>
    <w:p w14:paraId="5F604AC1"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Quarterly cash grant</w:t>
      </w:r>
    </w:p>
    <w:p w14:paraId="0C20C241"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cash component of the Student Resource Package (SRP) is paid over four quarterly cash grant (QCG) payments on the first day of each term. These payments are based on:</w:t>
      </w:r>
    </w:p>
    <w:p w14:paraId="5FC8FFEB" w14:textId="77777777" w:rsidR="0096466B" w:rsidRPr="004D307F" w:rsidRDefault="0096466B" w:rsidP="00ED0863">
      <w:pPr>
        <w:numPr>
          <w:ilvl w:val="0"/>
          <w:numId w:val="10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Term</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1</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grant </w:t>
      </w:r>
      <w:r w:rsidRPr="004D307F">
        <w:rPr>
          <w:rFonts w:ascii="VIC" w:eastAsia="Times New Roman" w:hAnsi="VIC" w:cs="VIC"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Indicative SRP using projected enrolments</w:t>
      </w:r>
    </w:p>
    <w:p w14:paraId="3D0EBF13" w14:textId="77777777" w:rsidR="0096466B" w:rsidRPr="004D307F" w:rsidRDefault="0096466B" w:rsidP="00ED0863">
      <w:pPr>
        <w:numPr>
          <w:ilvl w:val="0"/>
          <w:numId w:val="10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Term</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2</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grant </w:t>
      </w:r>
      <w:r w:rsidRPr="004D307F">
        <w:rPr>
          <w:rFonts w:ascii="VIC" w:eastAsia="Times New Roman" w:hAnsi="VIC" w:cs="VIC"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Confirmed SRP using February census enrolments, with a retrospective adjustment (increase or decrease) for Term 1</w:t>
      </w:r>
    </w:p>
    <w:p w14:paraId="79C51A89" w14:textId="77777777" w:rsidR="0096466B" w:rsidRPr="004D307F" w:rsidRDefault="0096466B" w:rsidP="00ED0863">
      <w:pPr>
        <w:numPr>
          <w:ilvl w:val="0"/>
          <w:numId w:val="10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Term</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3</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grant </w:t>
      </w:r>
      <w:r w:rsidRPr="004D307F">
        <w:rPr>
          <w:rFonts w:ascii="VIC" w:eastAsia="Times New Roman" w:hAnsi="VIC" w:cs="VIC"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Revised SRP using audit corrections to the February enrolments</w:t>
      </w:r>
    </w:p>
    <w:p w14:paraId="1997E36C" w14:textId="77777777" w:rsidR="0096466B" w:rsidRPr="004D307F" w:rsidRDefault="0096466B" w:rsidP="00ED0863">
      <w:pPr>
        <w:numPr>
          <w:ilvl w:val="0"/>
          <w:numId w:val="10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Term</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4</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grant </w:t>
      </w:r>
      <w:r w:rsidRPr="004D307F">
        <w:rPr>
          <w:rFonts w:ascii="VIC" w:eastAsia="Times New Roman" w:hAnsi="VIC" w:cs="VIC"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Revised SRP using audit corrections to the February enrolments</w:t>
      </w:r>
    </w:p>
    <w:p w14:paraId="72FC5E34"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Note: Census enrolments are subject to audit corrections. In this event both credit allocations and cash grants are adjusted.</w:t>
      </w:r>
    </w:p>
    <w:p w14:paraId="56B6E507"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QCG can include:</w:t>
      </w:r>
    </w:p>
    <w:p w14:paraId="417D2C5D" w14:textId="77777777" w:rsidR="0096466B" w:rsidRPr="004D307F" w:rsidRDefault="0096466B" w:rsidP="00ED0863">
      <w:pPr>
        <w:numPr>
          <w:ilvl w:val="0"/>
          <w:numId w:val="10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Cash allocations from the SRP</w:t>
      </w:r>
    </w:p>
    <w:p w14:paraId="7A1BB80F" w14:textId="77777777" w:rsidR="0096466B" w:rsidRPr="004D307F" w:rsidRDefault="0096466B" w:rsidP="00ED0863">
      <w:pPr>
        <w:numPr>
          <w:ilvl w:val="0"/>
          <w:numId w:val="10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Credit to cash transfer amounts from SRP</w:t>
      </w:r>
    </w:p>
    <w:p w14:paraId="14711435" w14:textId="77777777" w:rsidR="0096466B" w:rsidRPr="004D307F" w:rsidRDefault="0096466B" w:rsidP="00ED0863">
      <w:pPr>
        <w:numPr>
          <w:ilvl w:val="0"/>
          <w:numId w:val="10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Other cash grant amounts such as school support</w:t>
      </w:r>
    </w:p>
    <w:p w14:paraId="5120F95D" w14:textId="77777777" w:rsidR="0096466B" w:rsidRPr="004D307F" w:rsidRDefault="0096466B" w:rsidP="00ED0863">
      <w:pPr>
        <w:numPr>
          <w:ilvl w:val="0"/>
          <w:numId w:val="10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Deductions for long term sick leave premium</w:t>
      </w:r>
    </w:p>
    <w:p w14:paraId="790B42E4" w14:textId="6BABA22B" w:rsidR="0096466B" w:rsidRPr="004D307F" w:rsidRDefault="0096466B" w:rsidP="00ED0863">
      <w:pPr>
        <w:numPr>
          <w:ilvl w:val="0"/>
          <w:numId w:val="10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Other departmental deductions</w:t>
      </w:r>
    </w:p>
    <w:p w14:paraId="40122A6D"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color w:val="011A3C"/>
          <w:sz w:val="27"/>
          <w:szCs w:val="27"/>
          <w:lang w:val="en" w:eastAsia="en-AU"/>
        </w:rPr>
      </w:pPr>
      <w:r w:rsidRPr="004D307F">
        <w:rPr>
          <w:rFonts w:ascii="VIC" w:eastAsia="Times New Roman" w:hAnsi="VIC" w:cs="Times New Roman"/>
          <w:color w:val="011A3C"/>
          <w:sz w:val="27"/>
          <w:szCs w:val="27"/>
          <w:lang w:val="en" w:eastAsia="en-AU"/>
        </w:rPr>
        <w:t>Electronic Funds Transfer (EFT) remittance advice (how SRP cash appears)</w:t>
      </w:r>
    </w:p>
    <w:p w14:paraId="13F26C58" w14:textId="463F25E2"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Accounts Payable area, in DET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Financial Services Division, provides schools with a remittance advice for every payment that is made to the school. Schools should email Cash Management Unit </w:t>
      </w:r>
      <w:hyperlink r:id="rId248" w:history="1">
        <w:r w:rsidR="00C64A4E" w:rsidRPr="004D307F">
          <w:rPr>
            <w:rStyle w:val="Hyperlink"/>
            <w:rFonts w:ascii="VIC" w:eastAsia="Times New Roman" w:hAnsi="VIC" w:cs="Times New Roman"/>
            <w:sz w:val="24"/>
            <w:szCs w:val="24"/>
            <w:lang w:val="en" w:eastAsia="en-AU"/>
          </w:rPr>
          <w:t>cashmanagement@eduction.vic.gov.au</w:t>
        </w:r>
      </w:hyperlink>
      <w:r w:rsidRPr="004D307F">
        <w:rPr>
          <w:rFonts w:ascii="VIC" w:eastAsia="Times New Roman" w:hAnsi="VIC" w:cs="Times New Roman"/>
          <w:color w:val="011A3C"/>
          <w:sz w:val="24"/>
          <w:szCs w:val="24"/>
          <w:lang w:val="en" w:eastAsia="en-AU"/>
        </w:rPr>
        <w:t xml:space="preserve"> for assistance with EFT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queries.</w:t>
      </w:r>
    </w:p>
    <w:p w14:paraId="56333027"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remittance advice provides a breakdown and a description for each component of the payment. Payments made from the SRP or strategic programs will appear on this remittance advice. There are three different types of descriptions that may appear on the remittance advice for a QCG payment:</w:t>
      </w:r>
    </w:p>
    <w:p w14:paraId="04CB2D40"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lastRenderedPageBreak/>
        <w:t>1. SRP</w:t>
      </w:r>
      <w:r w:rsidRPr="004D307F">
        <w:rPr>
          <w:rFonts w:ascii="Calibri" w:eastAsia="Times New Roman" w:hAnsi="Calibri" w:cs="Calibri" w:hint="eastAsia"/>
          <w:b/>
          <w:bCs/>
          <w:color w:val="011A3C"/>
          <w:sz w:val="24"/>
          <w:szCs w:val="24"/>
          <w:lang w:val="en" w:eastAsia="en-AU"/>
        </w:rPr>
        <w:t> </w:t>
      </w:r>
      <w:r w:rsidRPr="004D307F">
        <w:rPr>
          <w:rFonts w:ascii="VIC" w:eastAsia="Times New Roman" w:hAnsi="VIC" w:cs="Times New Roman"/>
          <w:b/>
          <w:bCs/>
          <w:color w:val="011A3C"/>
          <w:sz w:val="24"/>
          <w:szCs w:val="24"/>
          <w:lang w:val="en" w:eastAsia="en-AU"/>
        </w:rPr>
        <w:t>quarterly cash grant payment</w:t>
      </w:r>
    </w:p>
    <w:p w14:paraId="0193A501"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payment includes SRP budget allocations, credit and cash transfers and any deductions:</w:t>
      </w:r>
    </w:p>
    <w:p w14:paraId="182DC60C" w14:textId="77777777" w:rsidR="0096466B" w:rsidRPr="004D307F" w:rsidRDefault="0096466B" w:rsidP="00ED0863">
      <w:pPr>
        <w:numPr>
          <w:ilvl w:val="0"/>
          <w:numId w:val="10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STUDENT RESOURCE PACKAGE (SRP) - BATCH &lt;batch number&gt; - &lt;term 1-4&gt; QUARTERLY CASH GRANT - CASES21 Finance General Ledger &lt;GL Code&gt;: Sub Program &lt;Sub Program Code&gt;</w:t>
      </w:r>
    </w:p>
    <w:p w14:paraId="2F13740F"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2. Other payments</w:t>
      </w:r>
    </w:p>
    <w:p w14:paraId="18581D2F"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Some schools will receive other forms of payment through the SRP payments system at the same time as the QCG:</w:t>
      </w:r>
    </w:p>
    <w:p w14:paraId="076458F9" w14:textId="77777777" w:rsidR="0096466B" w:rsidRPr="004D307F" w:rsidRDefault="0096466B" w:rsidP="00ED0863">
      <w:pPr>
        <w:numPr>
          <w:ilvl w:val="0"/>
          <w:numId w:val="110"/>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STUDENT RESOURCE PACKAGE (SRP) - BATCH &lt;batch number&gt; - &lt;term 1-4&gt; QUARTERLY CASH GRANT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Other Cash Grants - &lt;Other Cash Grants - CASES21 Finance General Ledger &lt;GL Code&gt;: Sub Program &lt;Sub Program Code&gt;</w:t>
      </w:r>
    </w:p>
    <w:p w14:paraId="2FB60FD4"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Definitions</w:t>
      </w:r>
    </w:p>
    <w:p w14:paraId="7689FF28"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In the samples above, some placeholders were left using &lt;&gt;, please see the below table for definitions:</w:t>
      </w:r>
    </w:p>
    <w:tbl>
      <w:tblPr>
        <w:tblW w:w="5000" w:type="pct"/>
        <w:tblCellMar>
          <w:top w:w="15" w:type="dxa"/>
          <w:left w:w="15" w:type="dxa"/>
          <w:bottom w:w="15" w:type="dxa"/>
          <w:right w:w="15" w:type="dxa"/>
        </w:tblCellMar>
        <w:tblLook w:val="04A0" w:firstRow="1" w:lastRow="0" w:firstColumn="1" w:lastColumn="0" w:noHBand="0" w:noVBand="1"/>
      </w:tblPr>
      <w:tblGrid>
        <w:gridCol w:w="1953"/>
        <w:gridCol w:w="7073"/>
      </w:tblGrid>
      <w:tr w:rsidR="0096466B" w:rsidRPr="004D307F" w14:paraId="0977D219" w14:textId="77777777" w:rsidTr="00ED4312">
        <w:trPr>
          <w:tblHeader/>
        </w:trPr>
        <w:tc>
          <w:tcPr>
            <w:tcW w:w="0" w:type="auto"/>
            <w:hideMark/>
          </w:tcPr>
          <w:p w14:paraId="270EA080"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Placeholder</w:t>
            </w:r>
          </w:p>
        </w:tc>
        <w:tc>
          <w:tcPr>
            <w:tcW w:w="0" w:type="auto"/>
            <w:hideMark/>
          </w:tcPr>
          <w:p w14:paraId="77300D36"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Definition</w:t>
            </w:r>
          </w:p>
        </w:tc>
      </w:tr>
      <w:tr w:rsidR="0096466B" w:rsidRPr="004D307F" w14:paraId="4DCFB326" w14:textId="77777777" w:rsidTr="00ED4312">
        <w:tc>
          <w:tcPr>
            <w:tcW w:w="0" w:type="auto"/>
            <w:hideMark/>
          </w:tcPr>
          <w:p w14:paraId="54C3B7C3"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&lt;batch number&gt;</w:t>
            </w:r>
          </w:p>
        </w:tc>
        <w:tc>
          <w:tcPr>
            <w:tcW w:w="0" w:type="auto"/>
            <w:hideMark/>
          </w:tcPr>
          <w:p w14:paraId="736D93E5" w14:textId="7C64FEB0"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A </w:t>
            </w:r>
            <w:r w:rsidR="0091293B" w:rsidRPr="004D307F">
              <w:rPr>
                <w:rFonts w:ascii="VIC" w:eastAsia="Times New Roman" w:hAnsi="VIC" w:cs="Times New Roman"/>
                <w:color w:val="323E4F" w:themeColor="text2" w:themeShade="BF"/>
                <w:sz w:val="24"/>
                <w:szCs w:val="24"/>
                <w:lang w:eastAsia="en-AU"/>
              </w:rPr>
              <w:t>6-digit</w:t>
            </w:r>
            <w:r w:rsidRPr="004D307F">
              <w:rPr>
                <w:rFonts w:ascii="VIC" w:eastAsia="Times New Roman" w:hAnsi="VIC" w:cs="Times New Roman"/>
                <w:color w:val="323E4F" w:themeColor="text2" w:themeShade="BF"/>
                <w:sz w:val="24"/>
                <w:szCs w:val="24"/>
                <w:lang w:eastAsia="en-AU"/>
              </w:rPr>
              <w:t xml:space="preserve"> number, for example: 000999 The SRP identifier of the payment, this can be used to look up a payment within the SRP reports, or can be quoted to SRP support staff when you are making an enquiry regarding your payment.</w:t>
            </w:r>
          </w:p>
        </w:tc>
      </w:tr>
      <w:tr w:rsidR="0096466B" w:rsidRPr="004D307F" w14:paraId="2A2CF03B" w14:textId="77777777" w:rsidTr="00ED4312">
        <w:tc>
          <w:tcPr>
            <w:tcW w:w="0" w:type="auto"/>
            <w:hideMark/>
          </w:tcPr>
          <w:p w14:paraId="3418957E"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&lt;Term1-4&gt;</w:t>
            </w:r>
          </w:p>
        </w:tc>
        <w:tc>
          <w:tcPr>
            <w:tcW w:w="0" w:type="auto"/>
            <w:hideMark/>
          </w:tcPr>
          <w:p w14:paraId="2E2BD0B3"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Indicates the Term for the QCG payment, possible values are: </w:t>
            </w:r>
          </w:p>
          <w:p w14:paraId="61F23945" w14:textId="77777777" w:rsidR="0096466B" w:rsidRPr="004D307F" w:rsidRDefault="0096466B" w:rsidP="00ED0863">
            <w:pPr>
              <w:numPr>
                <w:ilvl w:val="0"/>
                <w:numId w:val="111"/>
              </w:numPr>
              <w:spacing w:before="100" w:beforeAutospacing="1" w:after="100" w:afterAutospacing="1"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TERM 1</w:t>
            </w:r>
          </w:p>
          <w:p w14:paraId="248BE888" w14:textId="77777777" w:rsidR="0096466B" w:rsidRPr="004D307F" w:rsidRDefault="0096466B" w:rsidP="00ED0863">
            <w:pPr>
              <w:numPr>
                <w:ilvl w:val="0"/>
                <w:numId w:val="111"/>
              </w:numPr>
              <w:spacing w:before="100" w:beforeAutospacing="1" w:after="100" w:afterAutospacing="1"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TERM 2</w:t>
            </w:r>
          </w:p>
          <w:p w14:paraId="2664626E" w14:textId="77777777" w:rsidR="0096466B" w:rsidRPr="004D307F" w:rsidRDefault="0096466B" w:rsidP="00ED0863">
            <w:pPr>
              <w:numPr>
                <w:ilvl w:val="0"/>
                <w:numId w:val="111"/>
              </w:numPr>
              <w:spacing w:before="100" w:beforeAutospacing="1" w:after="100" w:afterAutospacing="1"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TERM 3</w:t>
            </w:r>
          </w:p>
          <w:p w14:paraId="7420D233" w14:textId="77777777" w:rsidR="0096466B" w:rsidRPr="004D307F" w:rsidRDefault="0096466B" w:rsidP="00ED0863">
            <w:pPr>
              <w:numPr>
                <w:ilvl w:val="0"/>
                <w:numId w:val="111"/>
              </w:numPr>
              <w:spacing w:before="100" w:beforeAutospacing="1" w:after="100" w:afterAutospacing="1"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TERM 4</w:t>
            </w:r>
          </w:p>
        </w:tc>
      </w:tr>
      <w:tr w:rsidR="0096466B" w:rsidRPr="004D307F" w14:paraId="7BEDAB32" w14:textId="77777777" w:rsidTr="00ED4312">
        <w:tc>
          <w:tcPr>
            <w:tcW w:w="0" w:type="auto"/>
            <w:hideMark/>
          </w:tcPr>
          <w:p w14:paraId="1908CB19"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&lt;GST Status&gt;</w:t>
            </w:r>
          </w:p>
        </w:tc>
        <w:tc>
          <w:tcPr>
            <w:tcW w:w="0" w:type="auto"/>
            <w:hideMark/>
          </w:tcPr>
          <w:p w14:paraId="01643263" w14:textId="0D4386E6"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Indicates if the payment is subject to </w:t>
            </w:r>
            <w:r w:rsidR="0091293B" w:rsidRPr="004D307F">
              <w:rPr>
                <w:rFonts w:ascii="VIC" w:eastAsia="Times New Roman" w:hAnsi="VIC" w:cs="Times New Roman"/>
                <w:color w:val="323E4F" w:themeColor="text2" w:themeShade="BF"/>
                <w:sz w:val="24"/>
                <w:szCs w:val="24"/>
                <w:lang w:eastAsia="en-AU"/>
              </w:rPr>
              <w:t>GST and</w:t>
            </w:r>
            <w:r w:rsidRPr="004D307F">
              <w:rPr>
                <w:rFonts w:ascii="VIC" w:eastAsia="Times New Roman" w:hAnsi="VIC" w:cs="Times New Roman"/>
                <w:color w:val="323E4F" w:themeColor="text2" w:themeShade="BF"/>
                <w:sz w:val="24"/>
                <w:szCs w:val="24"/>
                <w:lang w:eastAsia="en-AU"/>
              </w:rPr>
              <w:t xml:space="preserve"> provides the appropriate code for use in CASES21 Finance. </w:t>
            </w:r>
            <w:r w:rsidR="0091293B" w:rsidRPr="004D307F">
              <w:rPr>
                <w:rFonts w:ascii="VIC" w:eastAsia="Times New Roman" w:hAnsi="VIC" w:cs="Times New Roman"/>
                <w:color w:val="323E4F" w:themeColor="text2" w:themeShade="BF"/>
                <w:sz w:val="24"/>
                <w:szCs w:val="24"/>
                <w:lang w:eastAsia="en-AU"/>
              </w:rPr>
              <w:t>Most</w:t>
            </w:r>
            <w:r w:rsidRPr="004D307F">
              <w:rPr>
                <w:rFonts w:ascii="VIC" w:eastAsia="Times New Roman" w:hAnsi="VIC" w:cs="Times New Roman"/>
                <w:color w:val="323E4F" w:themeColor="text2" w:themeShade="BF"/>
                <w:sz w:val="24"/>
                <w:szCs w:val="24"/>
                <w:lang w:eastAsia="en-AU"/>
              </w:rPr>
              <w:t xml:space="preserve"> payments occurring through the SRP payment system will </w:t>
            </w:r>
            <w:r w:rsidRPr="004D307F">
              <w:rPr>
                <w:rFonts w:ascii="VIC" w:eastAsia="Times New Roman" w:hAnsi="VIC" w:cs="Times New Roman"/>
                <w:color w:val="323E4F" w:themeColor="text2" w:themeShade="BF"/>
                <w:sz w:val="24"/>
                <w:szCs w:val="24"/>
                <w:lang w:eastAsia="en-AU"/>
              </w:rPr>
              <w:lastRenderedPageBreak/>
              <w:t>not be subject to GST and therefore this will be set to 'Not Subject to GST (Code NS6)'.</w:t>
            </w:r>
          </w:p>
        </w:tc>
      </w:tr>
      <w:tr w:rsidR="0096466B" w:rsidRPr="004D307F" w14:paraId="3F153A96" w14:textId="77777777" w:rsidTr="00ED4312">
        <w:tc>
          <w:tcPr>
            <w:tcW w:w="0" w:type="auto"/>
            <w:hideMark/>
          </w:tcPr>
          <w:p w14:paraId="67CD95F3"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lastRenderedPageBreak/>
              <w:t>&lt;GL Code&gt;</w:t>
            </w:r>
          </w:p>
        </w:tc>
        <w:tc>
          <w:tcPr>
            <w:tcW w:w="0" w:type="auto"/>
            <w:hideMark/>
          </w:tcPr>
          <w:p w14:paraId="54FE6929"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The CASES21 Finance General Ledger code against which to record the payment.</w:t>
            </w:r>
          </w:p>
        </w:tc>
      </w:tr>
      <w:tr w:rsidR="0096466B" w:rsidRPr="004D307F" w14:paraId="47615C1E" w14:textId="77777777" w:rsidTr="00ED4312">
        <w:tc>
          <w:tcPr>
            <w:tcW w:w="0" w:type="auto"/>
            <w:hideMark/>
          </w:tcPr>
          <w:p w14:paraId="2C756D87"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&lt;Sub Program Code&gt;</w:t>
            </w:r>
          </w:p>
        </w:tc>
        <w:tc>
          <w:tcPr>
            <w:tcW w:w="0" w:type="auto"/>
            <w:hideMark/>
          </w:tcPr>
          <w:p w14:paraId="2FF79023"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The CASES21 Finance General Ledger sub-program code against which to record the payment (may not appear for all payments).</w:t>
            </w:r>
          </w:p>
        </w:tc>
      </w:tr>
      <w:tr w:rsidR="0096466B" w:rsidRPr="004D307F" w14:paraId="065134CB" w14:textId="77777777" w:rsidTr="00ED4312">
        <w:tc>
          <w:tcPr>
            <w:tcW w:w="0" w:type="auto"/>
            <w:hideMark/>
          </w:tcPr>
          <w:p w14:paraId="7D17B6B9"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&lt;Other Cash Grants Description&gt;</w:t>
            </w:r>
          </w:p>
        </w:tc>
        <w:tc>
          <w:tcPr>
            <w:tcW w:w="0" w:type="auto"/>
            <w:hideMark/>
          </w:tcPr>
          <w:p w14:paraId="11C9D085"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If the payment is of the type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Other Cash Grants</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a more detailed description will be provided.</w:t>
            </w:r>
          </w:p>
        </w:tc>
      </w:tr>
    </w:tbl>
    <w:p w14:paraId="7463053E"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Credit and Cash transfers (CCT)</w:t>
      </w:r>
    </w:p>
    <w:p w14:paraId="15CD0FE4"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Eligibility</w:t>
      </w:r>
    </w:p>
    <w:p w14:paraId="76E754BF" w14:textId="729AD4C2"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w:t>
      </w:r>
      <w:r w:rsidR="0091293B" w:rsidRPr="004D307F">
        <w:rPr>
          <w:rFonts w:ascii="VIC" w:eastAsia="Times New Roman" w:hAnsi="VIC" w:cs="Times New Roman"/>
          <w:color w:val="011A3C"/>
          <w:sz w:val="24"/>
          <w:szCs w:val="24"/>
          <w:lang w:val="en" w:eastAsia="en-AU"/>
        </w:rPr>
        <w:t>can</w:t>
      </w:r>
      <w:r w:rsidRPr="004D307F">
        <w:rPr>
          <w:rFonts w:ascii="VIC" w:eastAsia="Times New Roman" w:hAnsi="VIC" w:cs="Times New Roman"/>
          <w:color w:val="011A3C"/>
          <w:sz w:val="24"/>
          <w:szCs w:val="24"/>
          <w:lang w:val="en" w:eastAsia="en-AU"/>
        </w:rPr>
        <w:t xml:space="preserve"> undertake a credit to cash transfer for uncommitted credit allocations in the SRP. In addition, schools may undertake cash to credit transfers in instances where it is planned to use the cash component of the SRP to appoint ongoing or fixed-term staff on eduPay. Care must be taken when appointing ongoing staff in this way to ensure the position can continue to be funded in future years. Cash to credit transfers must include provision for salary on-costs (payroll tax and superannuation).</w:t>
      </w:r>
    </w:p>
    <w:p w14:paraId="23AB2910"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Submitting requests</w:t>
      </w:r>
    </w:p>
    <w:p w14:paraId="78530015" w14:textId="2AEE48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w:t>
      </w:r>
      <w:r w:rsidR="0091293B" w:rsidRPr="004D307F">
        <w:rPr>
          <w:rFonts w:ascii="VIC" w:eastAsia="Times New Roman" w:hAnsi="VIC" w:cs="Times New Roman"/>
          <w:color w:val="011A3C"/>
          <w:sz w:val="24"/>
          <w:szCs w:val="24"/>
          <w:lang w:val="en" w:eastAsia="en-AU"/>
        </w:rPr>
        <w:t>can</w:t>
      </w:r>
      <w:r w:rsidRPr="004D307F">
        <w:rPr>
          <w:rFonts w:ascii="VIC" w:eastAsia="Times New Roman" w:hAnsi="VIC" w:cs="Times New Roman"/>
          <w:color w:val="011A3C"/>
          <w:sz w:val="24"/>
          <w:szCs w:val="24"/>
          <w:lang w:val="en" w:eastAsia="en-AU"/>
        </w:rPr>
        <w:t xml:space="preserve"> undertake CCT request using the online Credit Cash Transfer module by selecting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CCT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(Credit Cash Transfer) on the SRP Portal. </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Access to the Credit Cash Transfer module is limited to the principal or the principal</w:t>
      </w:r>
      <w:r w:rsidRPr="004D307F">
        <w:rPr>
          <w:rFonts w:ascii="VIC" w:eastAsia="Times New Roman" w:hAnsi="VIC" w:cs="VIC"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delegate and requires an authenticated </w:t>
      </w:r>
      <w:r w:rsidR="0091293B" w:rsidRPr="004D307F">
        <w:rPr>
          <w:rFonts w:ascii="VIC" w:eastAsia="Times New Roman" w:hAnsi="VIC" w:cs="Times New Roman"/>
          <w:color w:val="011A3C"/>
          <w:sz w:val="24"/>
          <w:szCs w:val="24"/>
          <w:lang w:val="en" w:eastAsia="en-AU"/>
        </w:rPr>
        <w:t xml:space="preserve">username </w:t>
      </w:r>
      <w:r w:rsidRPr="004D307F">
        <w:rPr>
          <w:rFonts w:ascii="VIC" w:eastAsia="Times New Roman" w:hAnsi="VIC" w:cs="Times New Roman"/>
          <w:color w:val="011A3C"/>
          <w:sz w:val="24"/>
          <w:szCs w:val="24"/>
          <w:lang w:val="en" w:eastAsia="en-AU"/>
        </w:rPr>
        <w:t>and password.</w:t>
      </w:r>
      <w:r w:rsidRPr="004D307F">
        <w:rPr>
          <w:rFonts w:ascii="Cambria Math" w:eastAsia="Times New Roman" w:hAnsi="Cambria Math" w:cs="Cambria Math"/>
          <w:color w:val="011A3C"/>
          <w:sz w:val="24"/>
          <w:szCs w:val="24"/>
          <w:lang w:val="en" w:eastAsia="en-AU"/>
        </w:rPr>
        <w:t>​</w:t>
      </w:r>
    </w:p>
    <w:p w14:paraId="23372B74" w14:textId="125EBD13" w:rsidR="0096466B" w:rsidRPr="004D307F" w:rsidRDefault="0091293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Since </w:t>
      </w:r>
      <w:r w:rsidR="0096466B" w:rsidRPr="004D307F">
        <w:rPr>
          <w:rFonts w:ascii="VIC" w:eastAsia="Times New Roman" w:hAnsi="VIC" w:cs="Times New Roman"/>
          <w:color w:val="011A3C"/>
          <w:sz w:val="24"/>
          <w:szCs w:val="24"/>
          <w:lang w:val="en" w:eastAsia="en-AU"/>
        </w:rPr>
        <w:t>2019, schools are required to nominate a category that identifies the purpose of the CCT. In addition, there is the ability to attach supporting information to the request.</w:t>
      </w:r>
    </w:p>
    <w:p w14:paraId="168AC481"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list of categories, and some suggestions as to the type of supporting information required, are outlined below. Where possible or relevant, schools should try to link the submission back to Annual Implementation Plans, School Strategic Plans, Professional Learning Plans or the School Cash Budget.</w:t>
      </w:r>
    </w:p>
    <w:p w14:paraId="64A147A7"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lastRenderedPageBreak/>
        <w:t>1. Capital Works</w:t>
      </w:r>
    </w:p>
    <w:p w14:paraId="1A46B3C0"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category relates to school capital works, such as building additions or refurbishment of buildings or facilities.</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If the project is being undertaken with the Victorian Schools Building Authority (VSBA), noting this and providing a VSBA reference would be useful information to provide.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If the project is not being undertaken with the VSBA support, schools should endeavour to attach relevant project information.</w:t>
      </w:r>
    </w:p>
    <w:p w14:paraId="256A9DAD"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2. Equipment</w:t>
      </w:r>
    </w:p>
    <w:p w14:paraId="449EE011" w14:textId="26FDF5EE" w:rsidR="003E6B76"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category relates the purchasing of new equipment. As an example, supporting Information may be a quote / scheduling for the installation, etc.</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(Note: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If the equipment is being purchased to support a Curriculum program then it should be categorised as part of the Curriculum Program)</w:t>
      </w:r>
    </w:p>
    <w:p w14:paraId="6E7C9B71"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3. Maintenance</w:t>
      </w:r>
    </w:p>
    <w:p w14:paraId="3D642C6C"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category relates to general maintenance in schools. As an example, supporting Information may include the type of maintenance that is required to be undertaken.</w:t>
      </w:r>
    </w:p>
    <w:p w14:paraId="4708F424"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4. Staffing Costs</w:t>
      </w:r>
    </w:p>
    <w:p w14:paraId="3D8AD8CD"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category includes costs directly related to staffing, such as Casual Relief Teaching (CRT), local payroll reimbursement or professional development.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Specific examples of support information could include CRT costs to replace someone on sick leave or to top up the CRT budget for the school as specified in the Annual Budget.</w:t>
      </w:r>
      <w:r w:rsidRPr="004D307F">
        <w:rPr>
          <w:rFonts w:ascii="Calibri" w:eastAsia="Times New Roman" w:hAnsi="Calibri" w:cs="Calibri" w:hint="eastAsia"/>
          <w:color w:val="011A3C"/>
          <w:sz w:val="24"/>
          <w:szCs w:val="24"/>
          <w:lang w:val="en" w:eastAsia="en-AU"/>
        </w:rPr>
        <w:t> </w:t>
      </w:r>
    </w:p>
    <w:p w14:paraId="12AC1481"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5. Curriculum Programs and Student Support</w:t>
      </w:r>
    </w:p>
    <w:p w14:paraId="6E9B5F25"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category relates to specific curriculum programs schools operate or support being provided to students.</w:t>
      </w:r>
    </w:p>
    <w:p w14:paraId="599DF6D1"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6. Other</w:t>
      </w:r>
    </w:p>
    <w:p w14:paraId="1C128AD1"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Any other reason for the CCT request.</w:t>
      </w:r>
    </w:p>
    <w:p w14:paraId="0E643411"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Requests must be based on the annual amount of the transfer (not monthly or quarterly) except where the transfer relates to a surplus brought forward from the previous year. Approved transfers against a current-year surplus </w:t>
      </w:r>
      <w:r w:rsidRPr="004D307F">
        <w:rPr>
          <w:rFonts w:ascii="VIC" w:eastAsia="Times New Roman" w:hAnsi="VIC" w:cs="Times New Roman"/>
          <w:color w:val="011A3C"/>
          <w:sz w:val="24"/>
          <w:szCs w:val="24"/>
          <w:lang w:val="en" w:eastAsia="en-AU"/>
        </w:rPr>
        <w:lastRenderedPageBreak/>
        <w:t>will be apportioned equally over the remaining quarterly cash grants for the year. Approved transfers relating to a surplus brought forward from the previous year will be paid as a lump sum.</w:t>
      </w:r>
    </w:p>
    <w:p w14:paraId="352E363C" w14:textId="57882C16"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Credit to cash transfers are paid and Cash to Credit Transfers are committed quarterly with schools</w:t>
      </w:r>
      <w:r w:rsidR="0091293B" w:rsidRPr="004D307F">
        <w:rPr>
          <w:rFonts w:ascii="VIC" w:eastAsia="Times New Roman" w:hAnsi="VIC" w:cs="Times New Roman" w:hint="eastAsia"/>
          <w:color w:val="011A3C"/>
          <w:sz w:val="24"/>
          <w:szCs w:val="24"/>
          <w:lang w:val="en" w:eastAsia="en-AU"/>
        </w:rPr>
        <w:t>’</w:t>
      </w:r>
      <w:r w:rsidR="0091293B" w:rsidRPr="004D307F">
        <w:rPr>
          <w:rFonts w:ascii="Calibri" w:eastAsia="Times New Roman" w:hAnsi="Calibri" w:cs="Calibri" w:hint="eastAsia"/>
          <w:color w:val="011A3C"/>
          <w:sz w:val="24"/>
          <w:szCs w:val="24"/>
          <w:lang w:val="en" w:eastAsia="en-AU"/>
        </w:rPr>
        <w:t> </w:t>
      </w:r>
      <w:r w:rsidR="0091293B" w:rsidRPr="004D307F">
        <w:rPr>
          <w:rFonts w:ascii="VIC" w:eastAsia="Times New Roman" w:hAnsi="VIC" w:cs="Times New Roman"/>
          <w:color w:val="011A3C"/>
          <w:sz w:val="24"/>
          <w:szCs w:val="24"/>
          <w:lang w:val="en" w:eastAsia="en-AU"/>
        </w:rPr>
        <w:t>Quarterly</w:t>
      </w:r>
      <w:r w:rsidRPr="004D307F">
        <w:rPr>
          <w:rFonts w:ascii="VIC" w:eastAsia="Times New Roman" w:hAnsi="VIC" w:cs="Times New Roman"/>
          <w:color w:val="011A3C"/>
          <w:sz w:val="24"/>
          <w:szCs w:val="24"/>
          <w:lang w:val="en" w:eastAsia="en-AU"/>
        </w:rPr>
        <w:t xml:space="preserve"> Cash Grant.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Amounts paid or committed can no longer be adjusted and a new request will need to be submitted.</w:t>
      </w:r>
    </w:p>
    <w:p w14:paraId="48E36F44"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Enquiries can be addressed to the SRP Service Desk and information should be provided in writing to:</w:t>
      </w:r>
    </w:p>
    <w:p w14:paraId="58306AE1" w14:textId="77777777" w:rsidR="0096466B" w:rsidRPr="004D307F" w:rsidRDefault="00901FCB" w:rsidP="00ED0863">
      <w:pPr>
        <w:numPr>
          <w:ilvl w:val="0"/>
          <w:numId w:val="112"/>
        </w:numPr>
        <w:spacing w:before="100" w:beforeAutospacing="1" w:after="100" w:afterAutospacing="1" w:line="360" w:lineRule="atLeast"/>
        <w:rPr>
          <w:rFonts w:ascii="VIC" w:eastAsia="Times New Roman" w:hAnsi="VIC" w:cs="Times New Roman"/>
          <w:color w:val="011A3C"/>
          <w:sz w:val="24"/>
          <w:szCs w:val="24"/>
          <w:lang w:val="en" w:eastAsia="en-AU"/>
        </w:rPr>
      </w:pPr>
      <w:hyperlink r:id="rId249" w:history="1">
        <w:r w:rsidR="0096466B" w:rsidRPr="004D307F">
          <w:rPr>
            <w:rFonts w:ascii="VIC" w:eastAsia="Times New Roman" w:hAnsi="VIC" w:cs="Times New Roman"/>
            <w:color w:val="011A3C"/>
            <w:sz w:val="24"/>
            <w:szCs w:val="24"/>
            <w:lang w:val="en" w:eastAsia="en-AU"/>
          </w:rPr>
          <w:t>Service Gateway</w:t>
        </w:r>
      </w:hyperlink>
      <w:r w:rsidR="0096466B" w:rsidRPr="004D307F">
        <w:rPr>
          <w:rFonts w:ascii="VIC" w:eastAsia="Times New Roman" w:hAnsi="VIC" w:cs="Times New Roman"/>
          <w:color w:val="011A3C"/>
          <w:sz w:val="24"/>
          <w:szCs w:val="24"/>
          <w:lang w:val="en" w:eastAsia="en-AU"/>
        </w:rPr>
        <w:t>: or</w:t>
      </w:r>
    </w:p>
    <w:p w14:paraId="54811826" w14:textId="77777777" w:rsidR="0096466B" w:rsidRPr="004D307F" w:rsidRDefault="0096466B" w:rsidP="00ED0863">
      <w:pPr>
        <w:numPr>
          <w:ilvl w:val="0"/>
          <w:numId w:val="11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Log a call on: </w:t>
      </w:r>
      <w:hyperlink r:id="rId250" w:history="1">
        <w:r w:rsidRPr="004D307F">
          <w:rPr>
            <w:rFonts w:ascii="VIC" w:eastAsia="Times New Roman" w:hAnsi="VIC" w:cs="Times New Roman"/>
            <w:color w:val="011A3C"/>
            <w:sz w:val="24"/>
            <w:szCs w:val="24"/>
            <w:lang w:val="en" w:eastAsia="en-AU"/>
          </w:rPr>
          <w:t>1800 641 943</w:t>
        </w:r>
      </w:hyperlink>
    </w:p>
    <w:p w14:paraId="77883E8C"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Verification</w:t>
      </w:r>
    </w:p>
    <w:p w14:paraId="5D23CB3E" w14:textId="53C08045" w:rsidR="00F85311"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are only able to enter a CCT amount up to the value of the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Available SRP Credit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or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Available SRP Cash</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amounts. If a school wants to make a larger transfer, then a service call will need to be logged through </w:t>
      </w:r>
      <w:hyperlink r:id="rId251" w:history="1">
        <w:r w:rsidRPr="004D307F">
          <w:rPr>
            <w:rFonts w:ascii="VIC" w:eastAsia="Times New Roman" w:hAnsi="VIC" w:cs="Times New Roman"/>
            <w:color w:val="011A3C"/>
            <w:sz w:val="24"/>
            <w:szCs w:val="24"/>
            <w:lang w:val="en" w:eastAsia="en-AU"/>
          </w:rPr>
          <w:t>the service gateway</w:t>
        </w:r>
      </w:hyperlink>
      <w:r w:rsidRPr="004D307F">
        <w:rPr>
          <w:rFonts w:ascii="VIC" w:eastAsia="Times New Roman" w:hAnsi="VIC" w:cs="Times New Roman"/>
          <w:color w:val="011A3C"/>
          <w:sz w:val="24"/>
          <w:szCs w:val="24"/>
          <w:lang w:val="en" w:eastAsia="en-AU"/>
        </w:rPr>
        <w:t>.</w:t>
      </w:r>
    </w:p>
    <w:p w14:paraId="30295A03"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Offline payments</w:t>
      </w:r>
    </w:p>
    <w:p w14:paraId="3D6EE7C7"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Offline payments can occur at any time throughout the year. Common reasons for an offline payment to be made are:</w:t>
      </w:r>
    </w:p>
    <w:p w14:paraId="62BE8A18" w14:textId="77777777" w:rsidR="0096466B" w:rsidRPr="004D307F" w:rsidRDefault="0096466B" w:rsidP="00ED0863">
      <w:pPr>
        <w:numPr>
          <w:ilvl w:val="0"/>
          <w:numId w:val="113"/>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credit to cash transfer against previous year SRP surplus</w:t>
      </w:r>
    </w:p>
    <w:p w14:paraId="42C49B87" w14:textId="77777777" w:rsidR="0096466B" w:rsidRPr="004D307F" w:rsidRDefault="0096466B" w:rsidP="00ED0863">
      <w:pPr>
        <w:numPr>
          <w:ilvl w:val="0"/>
          <w:numId w:val="113"/>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leave reimbursement payments</w:t>
      </w:r>
    </w:p>
    <w:p w14:paraId="0B8F5799"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Offline payments can also be triggered by cash flow support payments or other cash grants.</w:t>
      </w:r>
      <w:r w:rsidRPr="004D307F">
        <w:rPr>
          <w:rFonts w:ascii="Calibri" w:eastAsia="Times New Roman" w:hAnsi="Calibri" w:cs="Calibri" w:hint="eastAsia"/>
          <w:color w:val="011A3C"/>
          <w:sz w:val="24"/>
          <w:szCs w:val="24"/>
          <w:lang w:val="en" w:eastAsia="en-AU"/>
        </w:rPr>
        <w:t> </w:t>
      </w:r>
    </w:p>
    <w:p w14:paraId="15203BFC"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description for offline payments will take the form:</w:t>
      </w:r>
    </w:p>
    <w:p w14:paraId="10A9FD41" w14:textId="77777777" w:rsidR="0096466B" w:rsidRPr="004D307F" w:rsidRDefault="0096466B" w:rsidP="00ED0863">
      <w:pPr>
        <w:numPr>
          <w:ilvl w:val="0"/>
          <w:numId w:val="114"/>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STUDENT RESOURCE PACKAGE (SRP) - BATCH &lt;batch number&gt; - OFFLINE PAYMENT - &lt;program&gt; - &lt;description&gt; - &lt;GST Status&gt;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CASES21 Finance General Ledger &lt;GL Code&gt;: Sub Program &lt;Sub Program Code&gt;</w:t>
      </w:r>
    </w:p>
    <w:p w14:paraId="64655DC2" w14:textId="77777777" w:rsidR="0096466B" w:rsidRPr="004D307F" w:rsidRDefault="0096466B" w:rsidP="00A9180D">
      <w:pPr>
        <w:keepNext/>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lastRenderedPageBreak/>
        <w:t>Definitions</w:t>
      </w:r>
    </w:p>
    <w:p w14:paraId="1FCACFB1"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In the sample above, some placeholders were left using &lt;&gt;, please see the below table for definitions:</w:t>
      </w:r>
    </w:p>
    <w:tbl>
      <w:tblPr>
        <w:tblW w:w="5000" w:type="pct"/>
        <w:tblCellMar>
          <w:top w:w="15" w:type="dxa"/>
          <w:left w:w="15" w:type="dxa"/>
          <w:bottom w:w="15" w:type="dxa"/>
          <w:right w:w="15" w:type="dxa"/>
        </w:tblCellMar>
        <w:tblLook w:val="04A0" w:firstRow="1" w:lastRow="0" w:firstColumn="1" w:lastColumn="0" w:noHBand="0" w:noVBand="1"/>
      </w:tblPr>
      <w:tblGrid>
        <w:gridCol w:w="1761"/>
        <w:gridCol w:w="7265"/>
      </w:tblGrid>
      <w:tr w:rsidR="0096466B" w:rsidRPr="004D307F" w14:paraId="197B558F" w14:textId="77777777" w:rsidTr="00ED4312">
        <w:trPr>
          <w:tblHeader/>
        </w:trPr>
        <w:tc>
          <w:tcPr>
            <w:tcW w:w="0" w:type="auto"/>
            <w:hideMark/>
          </w:tcPr>
          <w:p w14:paraId="428E8893"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Placeholder</w:t>
            </w:r>
          </w:p>
        </w:tc>
        <w:tc>
          <w:tcPr>
            <w:tcW w:w="0" w:type="auto"/>
            <w:hideMark/>
          </w:tcPr>
          <w:p w14:paraId="711A4FFB"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Definition</w:t>
            </w:r>
          </w:p>
        </w:tc>
      </w:tr>
      <w:tr w:rsidR="0096466B" w:rsidRPr="004D307F" w14:paraId="758DC386" w14:textId="77777777" w:rsidTr="00ED4312">
        <w:tc>
          <w:tcPr>
            <w:tcW w:w="0" w:type="auto"/>
            <w:hideMark/>
          </w:tcPr>
          <w:p w14:paraId="2B8E0EB7"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&lt;batch number&gt;</w:t>
            </w:r>
          </w:p>
        </w:tc>
        <w:tc>
          <w:tcPr>
            <w:tcW w:w="0" w:type="auto"/>
            <w:hideMark/>
          </w:tcPr>
          <w:p w14:paraId="03D74C10" w14:textId="6D72C89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A </w:t>
            </w:r>
            <w:r w:rsidR="00EE01F0" w:rsidRPr="004D307F">
              <w:rPr>
                <w:rFonts w:ascii="VIC" w:eastAsia="Times New Roman" w:hAnsi="VIC" w:cs="Times New Roman"/>
                <w:color w:val="323E4F" w:themeColor="text2" w:themeShade="BF"/>
                <w:sz w:val="24"/>
                <w:szCs w:val="24"/>
                <w:lang w:eastAsia="en-AU"/>
              </w:rPr>
              <w:t>6-digit</w:t>
            </w:r>
            <w:r w:rsidRPr="004D307F">
              <w:rPr>
                <w:rFonts w:ascii="VIC" w:eastAsia="Times New Roman" w:hAnsi="VIC" w:cs="Times New Roman"/>
                <w:color w:val="323E4F" w:themeColor="text2" w:themeShade="BF"/>
                <w:sz w:val="24"/>
                <w:szCs w:val="24"/>
                <w:lang w:eastAsia="en-AU"/>
              </w:rPr>
              <w:t xml:space="preserve"> number, for example: 000999. This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identifier number</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can be used to look up a payment within the SRP </w:t>
            </w:r>
            <w:r w:rsidR="00EE01F0" w:rsidRPr="004D307F">
              <w:rPr>
                <w:rFonts w:ascii="VIC" w:eastAsia="Times New Roman" w:hAnsi="VIC" w:cs="Times New Roman"/>
                <w:color w:val="323E4F" w:themeColor="text2" w:themeShade="BF"/>
                <w:sz w:val="24"/>
                <w:szCs w:val="24"/>
                <w:lang w:eastAsia="en-AU"/>
              </w:rPr>
              <w:t>reports or</w:t>
            </w:r>
            <w:r w:rsidRPr="004D307F">
              <w:rPr>
                <w:rFonts w:ascii="VIC" w:eastAsia="Times New Roman" w:hAnsi="VIC" w:cs="Times New Roman"/>
                <w:color w:val="323E4F" w:themeColor="text2" w:themeShade="BF"/>
                <w:sz w:val="24"/>
                <w:szCs w:val="24"/>
                <w:lang w:eastAsia="en-AU"/>
              </w:rPr>
              <w:t xml:space="preserve"> can be quoted to SRP support staff when you are making an enquiry regarding your payment.</w:t>
            </w:r>
          </w:p>
        </w:tc>
      </w:tr>
      <w:tr w:rsidR="0096466B" w:rsidRPr="004D307F" w14:paraId="2E351C93" w14:textId="77777777" w:rsidTr="00ED4312">
        <w:tc>
          <w:tcPr>
            <w:tcW w:w="0" w:type="auto"/>
            <w:hideMark/>
          </w:tcPr>
          <w:p w14:paraId="5A92D0FB"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&lt;Program&gt;</w:t>
            </w:r>
          </w:p>
        </w:tc>
        <w:tc>
          <w:tcPr>
            <w:tcW w:w="0" w:type="auto"/>
            <w:hideMark/>
          </w:tcPr>
          <w:p w14:paraId="4D681D33"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For payments against the SRP this will not appear. If a payment is made against a strategic program, the strategic program name will be displayed. If a payment is made from another source, such as a cash flow support payment, it will show as 'Other Cash Grants'.</w:t>
            </w:r>
          </w:p>
        </w:tc>
      </w:tr>
      <w:tr w:rsidR="0096466B" w:rsidRPr="004D307F" w14:paraId="4ACE79D2" w14:textId="77777777" w:rsidTr="00ED4312">
        <w:tc>
          <w:tcPr>
            <w:tcW w:w="0" w:type="auto"/>
            <w:hideMark/>
          </w:tcPr>
          <w:p w14:paraId="4695EE39"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&lt;Description&gt;</w:t>
            </w:r>
          </w:p>
        </w:tc>
        <w:tc>
          <w:tcPr>
            <w:tcW w:w="0" w:type="auto"/>
            <w:hideMark/>
          </w:tcPr>
          <w:p w14:paraId="00E0CABE"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A more detailed description of the payment, this will not appear for all payments, only for those where more information is appropriate, such as a Credit to Cash Transfer payment.</w:t>
            </w:r>
          </w:p>
        </w:tc>
      </w:tr>
      <w:tr w:rsidR="0096466B" w:rsidRPr="004D307F" w14:paraId="127B5881" w14:textId="77777777" w:rsidTr="00ED4312">
        <w:tc>
          <w:tcPr>
            <w:tcW w:w="0" w:type="auto"/>
            <w:hideMark/>
          </w:tcPr>
          <w:p w14:paraId="6E2439DD"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&lt;GST Status&gt;</w:t>
            </w:r>
          </w:p>
        </w:tc>
        <w:tc>
          <w:tcPr>
            <w:tcW w:w="0" w:type="auto"/>
            <w:hideMark/>
          </w:tcPr>
          <w:p w14:paraId="7ECCD103" w14:textId="22B99823"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Indicates if the payment is subject to </w:t>
            </w:r>
            <w:r w:rsidR="00EE01F0" w:rsidRPr="004D307F">
              <w:rPr>
                <w:rFonts w:ascii="VIC" w:eastAsia="Times New Roman" w:hAnsi="VIC" w:cs="Times New Roman"/>
                <w:color w:val="323E4F" w:themeColor="text2" w:themeShade="BF"/>
                <w:sz w:val="24"/>
                <w:szCs w:val="24"/>
                <w:lang w:eastAsia="en-AU"/>
              </w:rPr>
              <w:t>GST and</w:t>
            </w:r>
            <w:r w:rsidRPr="004D307F">
              <w:rPr>
                <w:rFonts w:ascii="VIC" w:eastAsia="Times New Roman" w:hAnsi="VIC" w:cs="Times New Roman"/>
                <w:color w:val="323E4F" w:themeColor="text2" w:themeShade="BF"/>
                <w:sz w:val="24"/>
                <w:szCs w:val="24"/>
                <w:lang w:eastAsia="en-AU"/>
              </w:rPr>
              <w:t xml:space="preserve"> provides the appropriate code for use in CASES21 Finance. </w:t>
            </w:r>
            <w:r w:rsidR="00EE01F0" w:rsidRPr="004D307F">
              <w:rPr>
                <w:rFonts w:ascii="VIC" w:eastAsia="Times New Roman" w:hAnsi="VIC" w:cs="Times New Roman"/>
                <w:color w:val="323E4F" w:themeColor="text2" w:themeShade="BF"/>
                <w:sz w:val="24"/>
                <w:szCs w:val="24"/>
                <w:lang w:eastAsia="en-AU"/>
              </w:rPr>
              <w:t>Most</w:t>
            </w:r>
            <w:r w:rsidRPr="004D307F">
              <w:rPr>
                <w:rFonts w:ascii="VIC" w:eastAsia="Times New Roman" w:hAnsi="VIC" w:cs="Times New Roman"/>
                <w:color w:val="323E4F" w:themeColor="text2" w:themeShade="BF"/>
                <w:sz w:val="24"/>
                <w:szCs w:val="24"/>
                <w:lang w:eastAsia="en-AU"/>
              </w:rPr>
              <w:t xml:space="preserve"> payments occurring through the SRP Payment System will not be subject to GST and therefore this will be set to 'Not Subject to GST (Code NS6).</w:t>
            </w:r>
          </w:p>
        </w:tc>
      </w:tr>
      <w:tr w:rsidR="0096466B" w:rsidRPr="004D307F" w14:paraId="0EE789DF" w14:textId="77777777" w:rsidTr="00ED4312">
        <w:tc>
          <w:tcPr>
            <w:tcW w:w="0" w:type="auto"/>
            <w:hideMark/>
          </w:tcPr>
          <w:p w14:paraId="20FEFC72"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&lt;GL Code&gt;</w:t>
            </w:r>
          </w:p>
        </w:tc>
        <w:tc>
          <w:tcPr>
            <w:tcW w:w="0" w:type="auto"/>
            <w:hideMark/>
          </w:tcPr>
          <w:p w14:paraId="71276200"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The CASES21 Finance General Ledger code against which to record the payment.</w:t>
            </w:r>
          </w:p>
        </w:tc>
      </w:tr>
      <w:tr w:rsidR="0096466B" w:rsidRPr="004D307F" w14:paraId="3951FC4E" w14:textId="77777777" w:rsidTr="00ED4312">
        <w:tc>
          <w:tcPr>
            <w:tcW w:w="0" w:type="auto"/>
            <w:hideMark/>
          </w:tcPr>
          <w:p w14:paraId="63A0EAD4"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&lt;Sub Program Code&gt;</w:t>
            </w:r>
          </w:p>
        </w:tc>
        <w:tc>
          <w:tcPr>
            <w:tcW w:w="0" w:type="auto"/>
            <w:hideMark/>
          </w:tcPr>
          <w:p w14:paraId="2F5DB769"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The CASES21 Finance General Ledger Sub-Program code against which to record the payment. (May not appear for all payments).</w:t>
            </w:r>
          </w:p>
        </w:tc>
      </w:tr>
    </w:tbl>
    <w:p w14:paraId="194908EA"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Example:</w:t>
      </w:r>
    </w:p>
    <w:p w14:paraId="21E7C4EA"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below example would relate to a school that is receiving a basic payment against the SRP relating to a budget adjustment occurring after the Term 4 QCG.</w:t>
      </w:r>
    </w:p>
    <w:p w14:paraId="5379F88F" w14:textId="77777777" w:rsidR="0096466B" w:rsidRPr="004D307F" w:rsidRDefault="0096466B" w:rsidP="00ED0863">
      <w:pPr>
        <w:numPr>
          <w:ilvl w:val="0"/>
          <w:numId w:val="115"/>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STUDENT RESOURCE PACKAGE (SRP) - BATCH 000999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OFFLINE PAYMENT - Not Subject to GST (Code NS6)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CASES21 Finance General Ledger 70001</w:t>
      </w:r>
    </w:p>
    <w:p w14:paraId="09415E98"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lastRenderedPageBreak/>
        <w:t>Examples:</w:t>
      </w:r>
    </w:p>
    <w:p w14:paraId="2BD69C20"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below examples would relate to a school that is receiving payment for the SRP, two strategic programs and one other payment. This would represent a complex example of what would be seen on the remittance advice:</w:t>
      </w:r>
    </w:p>
    <w:p w14:paraId="63304639" w14:textId="77777777" w:rsidR="0096466B" w:rsidRPr="004D307F" w:rsidRDefault="0096466B" w:rsidP="00ED0863">
      <w:pPr>
        <w:numPr>
          <w:ilvl w:val="0"/>
          <w:numId w:val="11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STUDENT RESOURCE PACKAGE (SRP) - BATCH 000999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TERM 2 QUARTERLY CASH GRANT - Not Subject to GST (Code NS6)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CASES21 Finance General Ledger 70001</w:t>
      </w:r>
    </w:p>
    <w:p w14:paraId="4E02E74D" w14:textId="77777777" w:rsidR="0096466B" w:rsidRPr="004D307F" w:rsidRDefault="0096466B" w:rsidP="00ED0863">
      <w:pPr>
        <w:numPr>
          <w:ilvl w:val="0"/>
          <w:numId w:val="11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STUDENT RESOURCE PACKAGE (SRP) - BATCH 000999 - TERM 2 QUARTERLY CASH GRANT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Other Cash Grants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Repayable Cash Flow Support - Not Subject to GST (Code NS6)</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CASES21 Finance General Ledger 70001</w:t>
      </w:r>
    </w:p>
    <w:p w14:paraId="607052B5"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below example would relate to a school that is receiving a payment against the SRP relating to a Credit to Cash Transfer against previous year surplus.</w:t>
      </w:r>
    </w:p>
    <w:p w14:paraId="5021CC82" w14:textId="77777777" w:rsidR="0096466B" w:rsidRPr="004D307F" w:rsidRDefault="0096466B" w:rsidP="00ED0863">
      <w:pPr>
        <w:numPr>
          <w:ilvl w:val="0"/>
          <w:numId w:val="11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STUDENT RESOURCE PACKAGE (SRP) - BATCH 000999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OFFLINE PAYMENT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Credit to Cash Transfer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Previous Year - Not Subject to GST (Code NS6)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CASES21 Finance General Ledger 70001: Sub Program 9611</w:t>
      </w:r>
    </w:p>
    <w:p w14:paraId="3BAF8080"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Cash payment statement</w:t>
      </w:r>
    </w:p>
    <w:p w14:paraId="56E19035"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cash payment statement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is produced for every payment made via the SRP Payment System. It is available to schools on the reports page of the </w:t>
      </w:r>
      <w:hyperlink r:id="rId252" w:history="1">
        <w:r w:rsidRPr="004D307F">
          <w:rPr>
            <w:rFonts w:ascii="VIC" w:eastAsia="Times New Roman" w:hAnsi="VIC" w:cs="Times New Roman"/>
            <w:color w:val="011A3C"/>
            <w:sz w:val="24"/>
            <w:szCs w:val="24"/>
            <w:lang w:val="en" w:eastAsia="en-AU"/>
          </w:rPr>
          <w:t>SRP Portal</w:t>
        </w:r>
      </w:hyperlink>
      <w:r w:rsidRPr="004D307F">
        <w:rPr>
          <w:rFonts w:ascii="VIC" w:eastAsia="Times New Roman" w:hAnsi="VIC" w:cs="Times New Roman"/>
          <w:color w:val="011A3C"/>
          <w:sz w:val="24"/>
          <w:szCs w:val="24"/>
          <w:lang w:val="en" w:eastAsia="en-AU"/>
        </w:rPr>
        <w:t>. This report provides a detailed breakdown of every payment, including the budget lines from which the payment was made, and any deductions held against the payment.</w:t>
      </w:r>
    </w:p>
    <w:p w14:paraId="266615B3"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End of year cash balance</w:t>
      </w:r>
    </w:p>
    <w:p w14:paraId="0EF068ED" w14:textId="4805BC33" w:rsidR="006E3D8D" w:rsidRPr="004D307F" w:rsidRDefault="0096466B" w:rsidP="006D6E02">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Due to budget changes or other adjustments that occur after the Term 4 QCG, there will often be an outstanding cash balance for a school at the end of the calendar year. A positive cash balance will be paid through the following year</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QCG. A negative cash balance will be deducted from the following year</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QCG.</w:t>
      </w:r>
    </w:p>
    <w:p w14:paraId="091AC298"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CASES21 Finance</w:t>
      </w:r>
    </w:p>
    <w:p w14:paraId="605A82B9" w14:textId="1C82CFEB" w:rsidR="0096466B" w:rsidRPr="004D307F" w:rsidRDefault="0096466B" w:rsidP="00A9180D">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All cash payments must be recorded appropriately in CASES21 Finance using the general ledger and sub-program codes provided in the EFT remittance advice descriptions.</w:t>
      </w:r>
    </w:p>
    <w:p w14:paraId="0B55D8F7" w14:textId="77777777" w:rsidR="0096466B" w:rsidRPr="004D307F" w:rsidRDefault="0096466B" w:rsidP="0096466B">
      <w:pPr>
        <w:rPr>
          <w:rFonts w:ascii="VIC" w:hAnsi="VIC"/>
        </w:rPr>
      </w:pPr>
      <w:r w:rsidRPr="004D307F">
        <w:rPr>
          <w:rFonts w:ascii="VIC" w:hAnsi="VIC"/>
        </w:rPr>
        <w:br w:type="page"/>
      </w:r>
    </w:p>
    <w:p w14:paraId="77712277" w14:textId="03C92B0D" w:rsidR="0096466B" w:rsidRPr="004D307F" w:rsidRDefault="0096466B" w:rsidP="00B566E7">
      <w:pPr>
        <w:pStyle w:val="Heading2"/>
      </w:pPr>
      <w:bookmarkStart w:id="150" w:name="_Toc106793824"/>
      <w:r w:rsidRPr="004D307F">
        <w:lastRenderedPageBreak/>
        <w:t>Deficit management and workforce bridging</w:t>
      </w:r>
      <w:bookmarkEnd w:id="150"/>
    </w:p>
    <w:p w14:paraId="4A442BE9"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Background</w:t>
      </w:r>
    </w:p>
    <w:p w14:paraId="34556D13"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Devolved budgets and workforce management responsibility have operated in Victorian schools since 1996. All schools are expected to have planning strategies in place to manage their workforce requirements within available funds.</w:t>
      </w:r>
      <w:r w:rsidRPr="004D307F">
        <w:rPr>
          <w:rFonts w:ascii="Calibri" w:eastAsia="Times New Roman" w:hAnsi="Calibri" w:cs="Calibri" w:hint="eastAsia"/>
          <w:color w:val="011A3C"/>
          <w:sz w:val="24"/>
          <w:szCs w:val="24"/>
          <w:lang w:val="en" w:eastAsia="en-AU"/>
        </w:rPr>
        <w:t> </w:t>
      </w:r>
    </w:p>
    <w:p w14:paraId="4C464D2A"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SRP allocates the available state government funding to all schools in a transparent and equitable manner based on student needs. The imperative for all principals is to manage their school within available resources. Deficit management and workforce planning support may be available to schools in circumstances where the school is not able to meet commitments within their allocated budget. Support is provided in these circumstances through a combination of:</w:t>
      </w:r>
    </w:p>
    <w:p w14:paraId="400B273D" w14:textId="77777777" w:rsidR="0096466B" w:rsidRPr="004D307F" w:rsidRDefault="0096466B" w:rsidP="00ED0863">
      <w:pPr>
        <w:numPr>
          <w:ilvl w:val="0"/>
          <w:numId w:val="11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Management support via workforce planning through </w:t>
      </w:r>
    </w:p>
    <w:p w14:paraId="06ED26FB" w14:textId="77777777" w:rsidR="0096466B" w:rsidRPr="004D307F" w:rsidRDefault="0096466B" w:rsidP="00ED0863">
      <w:pPr>
        <w:numPr>
          <w:ilvl w:val="1"/>
          <w:numId w:val="11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Strategic Financial Management Advisors</w:t>
      </w:r>
    </w:p>
    <w:p w14:paraId="52E192D3" w14:textId="6E50FE28" w:rsidR="0096466B" w:rsidRPr="004D307F" w:rsidRDefault="0096466B" w:rsidP="00ED0863">
      <w:pPr>
        <w:numPr>
          <w:ilvl w:val="1"/>
          <w:numId w:val="11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Finance Liaison Officers</w:t>
      </w:r>
    </w:p>
    <w:p w14:paraId="32CA9320" w14:textId="2EA14975" w:rsidR="0096466B" w:rsidRPr="004D307F" w:rsidRDefault="0096466B" w:rsidP="00ED0863">
      <w:pPr>
        <w:numPr>
          <w:ilvl w:val="0"/>
          <w:numId w:val="11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Financial support via </w:t>
      </w:r>
      <w:r w:rsidR="00F343E8"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 xml:space="preserve">orkforce </w:t>
      </w:r>
      <w:r w:rsidR="00F343E8" w:rsidRPr="004D307F">
        <w:rPr>
          <w:rFonts w:ascii="VIC" w:eastAsia="Times New Roman" w:hAnsi="VIC" w:cs="Times New Roman"/>
          <w:color w:val="011A3C"/>
          <w:sz w:val="24"/>
          <w:szCs w:val="24"/>
          <w:lang w:val="en" w:eastAsia="en-AU"/>
        </w:rPr>
        <w:t>b</w:t>
      </w:r>
      <w:r w:rsidRPr="004D307F">
        <w:rPr>
          <w:rFonts w:ascii="VIC" w:eastAsia="Times New Roman" w:hAnsi="VIC" w:cs="Times New Roman"/>
          <w:color w:val="011A3C"/>
          <w:sz w:val="24"/>
          <w:szCs w:val="24"/>
          <w:lang w:val="en" w:eastAsia="en-AU"/>
        </w:rPr>
        <w:t xml:space="preserve">ridging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if the shortfall is not linked to local management decisions</w:t>
      </w:r>
    </w:p>
    <w:p w14:paraId="207B10BD"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This will assist schools to make the transition from a deficit to a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within budget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situation.</w:t>
      </w:r>
    </w:p>
    <w:p w14:paraId="2C3DDB88"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Underlying principles</w:t>
      </w:r>
    </w:p>
    <w:p w14:paraId="5C1BC513"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SRP is allocated to all schools based on principles of equity, consistency and transparency. The SRP is adjusted periodically to reflect salary and other cost movements, consistent with the state budget and the prevailing Victorian Government Schools Agreement.</w:t>
      </w:r>
    </w:p>
    <w:p w14:paraId="30644D7C"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operate in a devolved environment, where workforce planning and SRP management is the responsibility of the principal and school council. Principals are therefore expected to have a sustainable workforce management plan for their school that is capable of being funded within the SRP.</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Schools participating in reorganisations are also expected to undertake workforce planning within their overall budget allocation while giving due </w:t>
      </w:r>
      <w:r w:rsidRPr="004D307F">
        <w:rPr>
          <w:rFonts w:ascii="VIC" w:eastAsia="Times New Roman" w:hAnsi="VIC" w:cs="Times New Roman"/>
          <w:color w:val="011A3C"/>
          <w:sz w:val="24"/>
          <w:szCs w:val="24"/>
          <w:lang w:val="en" w:eastAsia="en-AU"/>
        </w:rPr>
        <w:lastRenderedPageBreak/>
        <w:t>consideration to clauses contained in the</w:t>
      </w:r>
      <w:r w:rsidRPr="004D307F">
        <w:rPr>
          <w:rFonts w:ascii="Calibri" w:eastAsia="Times New Roman" w:hAnsi="Calibri" w:cs="Calibri" w:hint="eastAsia"/>
          <w:color w:val="011A3C"/>
          <w:sz w:val="24"/>
          <w:szCs w:val="24"/>
          <w:lang w:val="en" w:eastAsia="en-AU"/>
        </w:rPr>
        <w:t> </w:t>
      </w:r>
      <w:hyperlink r:id="rId253" w:history="1">
        <w:r w:rsidRPr="004D307F">
          <w:rPr>
            <w:rFonts w:ascii="VIC" w:eastAsia="Times New Roman" w:hAnsi="VIC" w:cs="Times New Roman"/>
            <w:color w:val="011A3C"/>
            <w:sz w:val="24"/>
            <w:szCs w:val="24"/>
            <w:lang w:val="en" w:eastAsia="en-AU"/>
          </w:rPr>
          <w:t xml:space="preserve">Human Resources School Merger or Closure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Staffing Guide.</w:t>
        </w:r>
      </w:hyperlink>
    </w:p>
    <w:p w14:paraId="12FD50E3" w14:textId="450E3368"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 workforce plans must include contingency planning to deal with changing circumstances. This includes accommodating potential budget changes linked to such factors as enrolment </w:t>
      </w:r>
      <w:r w:rsidR="00151158" w:rsidRPr="004D307F">
        <w:rPr>
          <w:rFonts w:ascii="VIC" w:eastAsia="Times New Roman" w:hAnsi="VIC" w:cs="Times New Roman"/>
          <w:color w:val="011A3C"/>
          <w:sz w:val="24"/>
          <w:szCs w:val="24"/>
          <w:lang w:val="en" w:eastAsia="en-AU"/>
        </w:rPr>
        <w:t>variations and</w:t>
      </w:r>
      <w:r w:rsidRPr="004D307F">
        <w:rPr>
          <w:rFonts w:ascii="VIC" w:eastAsia="Times New Roman" w:hAnsi="VIC" w:cs="Times New Roman"/>
          <w:color w:val="011A3C"/>
          <w:sz w:val="24"/>
          <w:szCs w:val="24"/>
          <w:lang w:val="en" w:eastAsia="en-AU"/>
        </w:rPr>
        <w:t xml:space="preserve"> changing workforce commitments including staff salary increments and leave returnees.</w:t>
      </w:r>
    </w:p>
    <w:p w14:paraId="1B14C8D8"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Regional and central office DET staff are available to assist schools with the workforce planning process through the provision of management advice and support. The SRP Planner (accessible from the </w:t>
      </w:r>
      <w:hyperlink r:id="rId254" w:history="1">
        <w:r w:rsidRPr="004D307F">
          <w:rPr>
            <w:rFonts w:ascii="VIC" w:eastAsia="Times New Roman" w:hAnsi="VIC" w:cs="Times New Roman"/>
            <w:color w:val="011A3C"/>
            <w:sz w:val="24"/>
            <w:szCs w:val="24"/>
            <w:lang w:val="en" w:eastAsia="en-AU"/>
          </w:rPr>
          <w:t>SRP Portal</w:t>
        </w:r>
      </w:hyperlink>
      <w:r w:rsidRPr="004D307F">
        <w:rPr>
          <w:rFonts w:ascii="VIC" w:eastAsia="Times New Roman" w:hAnsi="VIC" w:cs="Times New Roman"/>
          <w:color w:val="011A3C"/>
          <w:sz w:val="24"/>
          <w:szCs w:val="24"/>
          <w:lang w:val="en" w:eastAsia="en-AU"/>
        </w:rPr>
        <w:t>) provides a useful modelling tool for schools for this purpose. If credit deficits arise, whether or not caused by local management decisions, it is incumbent on the school to take action to remove the deficit, within appropriate DET policy.</w:t>
      </w:r>
    </w:p>
    <w:p w14:paraId="0769B8AD"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Procedures for assistance</w:t>
      </w:r>
    </w:p>
    <w:p w14:paraId="7DDE6CC8"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Management advice and support</w:t>
      </w:r>
    </w:p>
    <w:p w14:paraId="59002DBD" w14:textId="7C8BC6E5"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Since the first imperative is to manage the schools SRP to avoid a deficit, principals should develop a workforce plan that is capable of being funded within the SRP. Should this process identify that the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school has a need for possible assistance, the principal should contact the Schools Financial Management Support </w:t>
      </w:r>
      <w:r w:rsidR="00434BA9" w:rsidRPr="004D307F">
        <w:rPr>
          <w:rFonts w:ascii="VIC" w:eastAsia="Times New Roman" w:hAnsi="VIC" w:cs="Times New Roman"/>
          <w:color w:val="011A3C"/>
          <w:sz w:val="24"/>
          <w:szCs w:val="24"/>
          <w:lang w:val="en" w:eastAsia="en-AU"/>
        </w:rPr>
        <w:t xml:space="preserve">Unit </w:t>
      </w:r>
      <w:r w:rsidRPr="004D307F">
        <w:rPr>
          <w:rFonts w:ascii="VIC" w:eastAsia="Times New Roman" w:hAnsi="VIC" w:cs="Times New Roman"/>
          <w:color w:val="011A3C"/>
          <w:sz w:val="24"/>
          <w:szCs w:val="24"/>
          <w:lang w:val="en" w:eastAsia="en-AU"/>
        </w:rPr>
        <w:t>(SFMS</w:t>
      </w:r>
      <w:r w:rsidR="00434BA9" w:rsidRPr="004D307F">
        <w:rPr>
          <w:rFonts w:ascii="VIC" w:eastAsia="Times New Roman" w:hAnsi="VIC" w:cs="Times New Roman"/>
          <w:color w:val="011A3C"/>
          <w:sz w:val="24"/>
          <w:szCs w:val="24"/>
          <w:lang w:val="en" w:eastAsia="en-AU"/>
        </w:rPr>
        <w:t>U</w:t>
      </w:r>
      <w:r w:rsidRPr="004D307F">
        <w:rPr>
          <w:rFonts w:ascii="VIC" w:eastAsia="Times New Roman" w:hAnsi="VIC" w:cs="Times New Roman"/>
          <w:color w:val="011A3C"/>
          <w:sz w:val="24"/>
          <w:szCs w:val="24"/>
          <w:lang w:val="en" w:eastAsia="en-AU"/>
        </w:rPr>
        <w:t>) in central office or their Senior Education Improvement Leader (SEIL). The SEIL may refer to SFMS for further support.</w:t>
      </w:r>
    </w:p>
    <w:p w14:paraId="76E799E0" w14:textId="37080E63"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Discussions regarding </w:t>
      </w:r>
      <w:r w:rsidR="00F343E8"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 xml:space="preserve">orkforce </w:t>
      </w:r>
      <w:r w:rsidR="00F343E8" w:rsidRPr="004D307F">
        <w:rPr>
          <w:rFonts w:ascii="VIC" w:eastAsia="Times New Roman" w:hAnsi="VIC" w:cs="Times New Roman"/>
          <w:color w:val="011A3C"/>
          <w:sz w:val="24"/>
          <w:szCs w:val="24"/>
          <w:lang w:val="en" w:eastAsia="en-AU"/>
        </w:rPr>
        <w:t>b</w:t>
      </w:r>
      <w:r w:rsidR="00151158" w:rsidRPr="004D307F">
        <w:rPr>
          <w:rFonts w:ascii="VIC" w:eastAsia="Times New Roman" w:hAnsi="VIC" w:cs="Times New Roman"/>
          <w:color w:val="011A3C"/>
          <w:sz w:val="24"/>
          <w:szCs w:val="24"/>
          <w:lang w:val="en" w:eastAsia="en-AU"/>
        </w:rPr>
        <w:t>ridging will</w:t>
      </w:r>
      <w:r w:rsidRPr="004D307F">
        <w:rPr>
          <w:rFonts w:ascii="VIC" w:eastAsia="Times New Roman" w:hAnsi="VIC" w:cs="Times New Roman"/>
          <w:color w:val="011A3C"/>
          <w:sz w:val="24"/>
          <w:szCs w:val="24"/>
          <w:lang w:val="en" w:eastAsia="en-AU"/>
        </w:rPr>
        <w:t xml:space="preserve"> encompass the overall financial position of the school, including salary mischarges, credit-cash transfers and accumulated surpluses. This analysis will involve assessment of the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capacity to manage within its budget.</w:t>
      </w:r>
    </w:p>
    <w:p w14:paraId="2E072DFF"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Support</w:t>
      </w:r>
    </w:p>
    <w:p w14:paraId="647C60C8" w14:textId="1647412B"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If potential </w:t>
      </w:r>
      <w:r w:rsidR="00F343E8"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 xml:space="preserve">orkforce </w:t>
      </w:r>
      <w:r w:rsidR="00F343E8" w:rsidRPr="004D307F">
        <w:rPr>
          <w:rFonts w:ascii="VIC" w:eastAsia="Times New Roman" w:hAnsi="VIC" w:cs="Times New Roman"/>
          <w:color w:val="011A3C"/>
          <w:sz w:val="24"/>
          <w:szCs w:val="24"/>
          <w:lang w:val="en" w:eastAsia="en-AU"/>
        </w:rPr>
        <w:t>b</w:t>
      </w:r>
      <w:r w:rsidRPr="004D307F">
        <w:rPr>
          <w:rFonts w:ascii="VIC" w:eastAsia="Times New Roman" w:hAnsi="VIC" w:cs="Times New Roman"/>
          <w:color w:val="011A3C"/>
          <w:sz w:val="24"/>
          <w:szCs w:val="24"/>
          <w:lang w:val="en" w:eastAsia="en-AU"/>
        </w:rPr>
        <w:t>ridging support is identified, SFMS</w:t>
      </w:r>
      <w:r w:rsidR="00434BA9" w:rsidRPr="004D307F">
        <w:rPr>
          <w:rFonts w:ascii="VIC" w:eastAsia="Times New Roman" w:hAnsi="VIC" w:cs="Times New Roman"/>
          <w:color w:val="011A3C"/>
          <w:sz w:val="24"/>
          <w:szCs w:val="24"/>
          <w:lang w:val="en" w:eastAsia="en-AU"/>
        </w:rPr>
        <w:t>U</w:t>
      </w:r>
      <w:r w:rsidRPr="004D307F">
        <w:rPr>
          <w:rFonts w:ascii="VIC" w:eastAsia="Times New Roman" w:hAnsi="VIC" w:cs="Times New Roman"/>
          <w:color w:val="011A3C"/>
          <w:sz w:val="24"/>
          <w:szCs w:val="24"/>
          <w:lang w:val="en" w:eastAsia="en-AU"/>
        </w:rPr>
        <w:t xml:space="preserve"> will assign a </w:t>
      </w:r>
      <w:r w:rsidR="00F343E8" w:rsidRPr="004D307F">
        <w:rPr>
          <w:rFonts w:ascii="VIC" w:eastAsia="Times New Roman" w:hAnsi="VIC" w:cs="Times New Roman"/>
          <w:color w:val="011A3C"/>
          <w:sz w:val="24"/>
          <w:szCs w:val="24"/>
          <w:lang w:val="en" w:eastAsia="en-AU"/>
        </w:rPr>
        <w:t xml:space="preserve">support officer </w:t>
      </w:r>
      <w:r w:rsidRPr="004D307F">
        <w:rPr>
          <w:rFonts w:ascii="VIC" w:eastAsia="Times New Roman" w:hAnsi="VIC" w:cs="Times New Roman"/>
          <w:color w:val="011A3C"/>
          <w:sz w:val="24"/>
          <w:szCs w:val="24"/>
          <w:lang w:val="en" w:eastAsia="en-AU"/>
        </w:rPr>
        <w:t xml:space="preserve">to work with the school and prepare a report for the Workforce Bridging Panel. The </w:t>
      </w:r>
      <w:r w:rsidR="00F343E8" w:rsidRPr="004D307F">
        <w:rPr>
          <w:rFonts w:ascii="VIC" w:eastAsia="Times New Roman" w:hAnsi="VIC" w:cs="Times New Roman"/>
          <w:color w:val="011A3C"/>
          <w:sz w:val="24"/>
          <w:szCs w:val="24"/>
          <w:lang w:val="en" w:eastAsia="en-AU"/>
        </w:rPr>
        <w:t xml:space="preserve">support officer </w:t>
      </w:r>
      <w:r w:rsidRPr="004D307F">
        <w:rPr>
          <w:rFonts w:ascii="VIC" w:eastAsia="Times New Roman" w:hAnsi="VIC" w:cs="Times New Roman"/>
          <w:color w:val="011A3C"/>
          <w:sz w:val="24"/>
          <w:szCs w:val="24"/>
          <w:lang w:val="en" w:eastAsia="en-AU"/>
        </w:rPr>
        <w:t xml:space="preserve">and school principal will develop a </w:t>
      </w:r>
      <w:r w:rsidR="00F343E8"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 xml:space="preserve">orkforce </w:t>
      </w:r>
      <w:r w:rsidR="00F343E8" w:rsidRPr="004D307F">
        <w:rPr>
          <w:rFonts w:ascii="VIC" w:eastAsia="Times New Roman" w:hAnsi="VIC" w:cs="Times New Roman"/>
          <w:color w:val="011A3C"/>
          <w:sz w:val="24"/>
          <w:szCs w:val="24"/>
          <w:lang w:val="en" w:eastAsia="en-AU"/>
        </w:rPr>
        <w:t>b</w:t>
      </w:r>
      <w:r w:rsidRPr="004D307F">
        <w:rPr>
          <w:rFonts w:ascii="VIC" w:eastAsia="Times New Roman" w:hAnsi="VIC" w:cs="Times New Roman"/>
          <w:color w:val="011A3C"/>
          <w:sz w:val="24"/>
          <w:szCs w:val="24"/>
          <w:lang w:val="en" w:eastAsia="en-AU"/>
        </w:rPr>
        <w:t>ridging report based on the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w:t>
      </w:r>
      <w:r w:rsidR="00F343E8"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 xml:space="preserve">orkforce </w:t>
      </w:r>
      <w:r w:rsidR="00F343E8" w:rsidRPr="004D307F">
        <w:rPr>
          <w:rFonts w:ascii="VIC" w:eastAsia="Times New Roman" w:hAnsi="VIC" w:cs="Times New Roman"/>
          <w:color w:val="011A3C"/>
          <w:sz w:val="24"/>
          <w:szCs w:val="24"/>
          <w:lang w:val="en" w:eastAsia="en-AU"/>
        </w:rPr>
        <w:t>p</w:t>
      </w:r>
      <w:r w:rsidRPr="004D307F">
        <w:rPr>
          <w:rFonts w:ascii="VIC" w:eastAsia="Times New Roman" w:hAnsi="VIC" w:cs="Times New Roman"/>
          <w:color w:val="011A3C"/>
          <w:sz w:val="24"/>
          <w:szCs w:val="24"/>
          <w:lang w:val="en" w:eastAsia="en-AU"/>
        </w:rPr>
        <w:t xml:space="preserve">lan that will include strategies to return the school to a sustainable budget </w:t>
      </w:r>
      <w:r w:rsidRPr="004D307F">
        <w:rPr>
          <w:rFonts w:ascii="VIC" w:eastAsia="Times New Roman" w:hAnsi="VIC" w:cs="Times New Roman"/>
          <w:color w:val="011A3C"/>
          <w:sz w:val="24"/>
          <w:szCs w:val="24"/>
          <w:lang w:val="en" w:eastAsia="en-AU"/>
        </w:rPr>
        <w:lastRenderedPageBreak/>
        <w:t xml:space="preserve">position. Factors considered in determining whether </w:t>
      </w:r>
      <w:r w:rsidR="00F343E8"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 xml:space="preserve">orkforce </w:t>
      </w:r>
      <w:r w:rsidR="00F343E8" w:rsidRPr="004D307F">
        <w:rPr>
          <w:rFonts w:ascii="VIC" w:eastAsia="Times New Roman" w:hAnsi="VIC" w:cs="Times New Roman"/>
          <w:color w:val="011A3C"/>
          <w:sz w:val="24"/>
          <w:szCs w:val="24"/>
          <w:lang w:val="en" w:eastAsia="en-AU"/>
        </w:rPr>
        <w:t>b</w:t>
      </w:r>
      <w:r w:rsidRPr="004D307F">
        <w:rPr>
          <w:rFonts w:ascii="VIC" w:eastAsia="Times New Roman" w:hAnsi="VIC" w:cs="Times New Roman"/>
          <w:color w:val="011A3C"/>
          <w:sz w:val="24"/>
          <w:szCs w:val="24"/>
          <w:lang w:val="en" w:eastAsia="en-AU"/>
        </w:rPr>
        <w:t>ridging financial assistance is provided include:</w:t>
      </w:r>
    </w:p>
    <w:p w14:paraId="1299CDFF" w14:textId="77777777" w:rsidR="0096466B" w:rsidRPr="004D307F" w:rsidRDefault="0096466B" w:rsidP="00ED0863">
      <w:pPr>
        <w:numPr>
          <w:ilvl w:val="0"/>
          <w:numId w:val="11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budget shortfall is not the result of local management decisions</w:t>
      </w:r>
    </w:p>
    <w:p w14:paraId="31807459" w14:textId="77777777" w:rsidR="0096466B" w:rsidRPr="004D307F" w:rsidRDefault="0096466B" w:rsidP="00ED0863">
      <w:pPr>
        <w:numPr>
          <w:ilvl w:val="0"/>
          <w:numId w:val="11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school has a viable deficit management strategy</w:t>
      </w:r>
    </w:p>
    <w:p w14:paraId="27FC4377" w14:textId="1D946316" w:rsidR="0096466B" w:rsidRPr="004D307F" w:rsidRDefault="0096466B" w:rsidP="00ED0863">
      <w:pPr>
        <w:numPr>
          <w:ilvl w:val="0"/>
          <w:numId w:val="11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school undertakes to consult with the SFMS</w:t>
      </w:r>
      <w:r w:rsidR="00434BA9" w:rsidRPr="004D307F">
        <w:rPr>
          <w:rFonts w:ascii="VIC" w:eastAsia="Times New Roman" w:hAnsi="VIC" w:cs="Times New Roman"/>
          <w:color w:val="011A3C"/>
          <w:sz w:val="24"/>
          <w:szCs w:val="24"/>
          <w:lang w:val="en" w:eastAsia="en-AU"/>
        </w:rPr>
        <w:t>U</w:t>
      </w:r>
      <w:r w:rsidRPr="004D307F">
        <w:rPr>
          <w:rFonts w:ascii="VIC" w:eastAsia="Times New Roman" w:hAnsi="VIC" w:cs="Times New Roman"/>
          <w:color w:val="011A3C"/>
          <w:sz w:val="24"/>
          <w:szCs w:val="24"/>
          <w:lang w:val="en" w:eastAsia="en-AU"/>
        </w:rPr>
        <w:t xml:space="preserve"> if it anticipates moving outside of its deficit management strategy</w:t>
      </w:r>
    </w:p>
    <w:p w14:paraId="13B4EA80" w14:textId="469BBA3B"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On completion of discussions, the </w:t>
      </w:r>
      <w:r w:rsidR="00F343E8" w:rsidRPr="004D307F">
        <w:rPr>
          <w:rFonts w:ascii="VIC" w:eastAsia="Times New Roman" w:hAnsi="VIC" w:cs="Times New Roman"/>
          <w:color w:val="011A3C"/>
          <w:sz w:val="24"/>
          <w:szCs w:val="24"/>
          <w:lang w:val="en" w:eastAsia="en-AU"/>
        </w:rPr>
        <w:t xml:space="preserve">support officer </w:t>
      </w:r>
      <w:r w:rsidRPr="004D307F">
        <w:rPr>
          <w:rFonts w:ascii="VIC" w:eastAsia="Times New Roman" w:hAnsi="VIC" w:cs="Times New Roman"/>
          <w:color w:val="011A3C"/>
          <w:sz w:val="24"/>
          <w:szCs w:val="24"/>
          <w:lang w:val="en" w:eastAsia="en-AU"/>
        </w:rPr>
        <w:t>will:</w:t>
      </w:r>
    </w:p>
    <w:p w14:paraId="1E94E1CE" w14:textId="3329A8CD" w:rsidR="0096466B" w:rsidRPr="004D307F" w:rsidRDefault="0096466B" w:rsidP="00ED0863">
      <w:pPr>
        <w:numPr>
          <w:ilvl w:val="0"/>
          <w:numId w:val="120"/>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provide the principal with a copy of the </w:t>
      </w:r>
      <w:r w:rsidR="00F343E8"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 xml:space="preserve">orkforce </w:t>
      </w:r>
      <w:r w:rsidR="00F343E8" w:rsidRPr="004D307F">
        <w:rPr>
          <w:rFonts w:ascii="VIC" w:eastAsia="Times New Roman" w:hAnsi="VIC" w:cs="Times New Roman"/>
          <w:color w:val="011A3C"/>
          <w:sz w:val="24"/>
          <w:szCs w:val="24"/>
          <w:lang w:val="en" w:eastAsia="en-AU"/>
        </w:rPr>
        <w:t>b</w:t>
      </w:r>
      <w:r w:rsidRPr="004D307F">
        <w:rPr>
          <w:rFonts w:ascii="VIC" w:eastAsia="Times New Roman" w:hAnsi="VIC" w:cs="Times New Roman"/>
          <w:color w:val="011A3C"/>
          <w:sz w:val="24"/>
          <w:szCs w:val="24"/>
          <w:lang w:val="en" w:eastAsia="en-AU"/>
        </w:rPr>
        <w:t xml:space="preserve">ridging </w:t>
      </w:r>
      <w:r w:rsidR="00F343E8" w:rsidRPr="004D307F">
        <w:rPr>
          <w:rFonts w:ascii="VIC" w:eastAsia="Times New Roman" w:hAnsi="VIC" w:cs="Times New Roman"/>
          <w:color w:val="011A3C"/>
          <w:sz w:val="24"/>
          <w:szCs w:val="24"/>
          <w:lang w:val="en" w:eastAsia="en-AU"/>
        </w:rPr>
        <w:t>r</w:t>
      </w:r>
      <w:r w:rsidRPr="004D307F">
        <w:rPr>
          <w:rFonts w:ascii="VIC" w:eastAsia="Times New Roman" w:hAnsi="VIC" w:cs="Times New Roman"/>
          <w:color w:val="011A3C"/>
          <w:sz w:val="24"/>
          <w:szCs w:val="24"/>
          <w:lang w:val="en" w:eastAsia="en-AU"/>
        </w:rPr>
        <w:t>eport</w:t>
      </w:r>
    </w:p>
    <w:p w14:paraId="50A7633E" w14:textId="66377C78" w:rsidR="0096466B" w:rsidRPr="004D307F" w:rsidRDefault="0096466B" w:rsidP="00ED0863">
      <w:pPr>
        <w:numPr>
          <w:ilvl w:val="0"/>
          <w:numId w:val="120"/>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submit the </w:t>
      </w:r>
      <w:r w:rsidR="00F343E8"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 xml:space="preserve">orkforce </w:t>
      </w:r>
      <w:r w:rsidR="00F343E8" w:rsidRPr="004D307F">
        <w:rPr>
          <w:rFonts w:ascii="VIC" w:eastAsia="Times New Roman" w:hAnsi="VIC" w:cs="Times New Roman"/>
          <w:color w:val="011A3C"/>
          <w:sz w:val="24"/>
          <w:szCs w:val="24"/>
          <w:lang w:val="en" w:eastAsia="en-AU"/>
        </w:rPr>
        <w:t>b</w:t>
      </w:r>
      <w:r w:rsidRPr="004D307F">
        <w:rPr>
          <w:rFonts w:ascii="VIC" w:eastAsia="Times New Roman" w:hAnsi="VIC" w:cs="Times New Roman"/>
          <w:color w:val="011A3C"/>
          <w:sz w:val="24"/>
          <w:szCs w:val="24"/>
          <w:lang w:val="en" w:eastAsia="en-AU"/>
        </w:rPr>
        <w:t xml:space="preserve">ridging </w:t>
      </w:r>
      <w:r w:rsidR="00F343E8" w:rsidRPr="004D307F">
        <w:rPr>
          <w:rFonts w:ascii="VIC" w:eastAsia="Times New Roman" w:hAnsi="VIC" w:cs="Times New Roman"/>
          <w:color w:val="011A3C"/>
          <w:sz w:val="24"/>
          <w:szCs w:val="24"/>
          <w:lang w:val="en" w:eastAsia="en-AU"/>
        </w:rPr>
        <w:t>r</w:t>
      </w:r>
      <w:r w:rsidRPr="004D307F">
        <w:rPr>
          <w:rFonts w:ascii="VIC" w:eastAsia="Times New Roman" w:hAnsi="VIC" w:cs="Times New Roman"/>
          <w:color w:val="011A3C"/>
          <w:sz w:val="24"/>
          <w:szCs w:val="24"/>
          <w:lang w:val="en" w:eastAsia="en-AU"/>
        </w:rPr>
        <w:t>eport to SFMS</w:t>
      </w:r>
      <w:r w:rsidR="00434BA9" w:rsidRPr="004D307F">
        <w:rPr>
          <w:rFonts w:ascii="VIC" w:eastAsia="Times New Roman" w:hAnsi="VIC" w:cs="Times New Roman"/>
          <w:color w:val="011A3C"/>
          <w:sz w:val="24"/>
          <w:szCs w:val="24"/>
          <w:lang w:val="en" w:eastAsia="en-AU"/>
        </w:rPr>
        <w:t>U</w:t>
      </w:r>
      <w:r w:rsidRPr="004D307F">
        <w:rPr>
          <w:rFonts w:ascii="VIC" w:eastAsia="Times New Roman" w:hAnsi="VIC" w:cs="Times New Roman"/>
          <w:color w:val="011A3C"/>
          <w:sz w:val="24"/>
          <w:szCs w:val="24"/>
          <w:lang w:val="en" w:eastAsia="en-AU"/>
        </w:rPr>
        <w:t xml:space="preserve"> who will present the report to the Workforce Bridging Panel for assessment and possible recommendation to the </w:t>
      </w:r>
      <w:r w:rsidR="00434BA9" w:rsidRPr="004D307F">
        <w:rPr>
          <w:rFonts w:ascii="VIC" w:eastAsia="Times New Roman" w:hAnsi="VIC" w:cs="Times New Roman"/>
          <w:color w:val="011A3C"/>
          <w:sz w:val="24"/>
          <w:szCs w:val="24"/>
          <w:lang w:val="en" w:eastAsia="en-AU"/>
        </w:rPr>
        <w:t>Deputy Secretary, Financial Policy and Information Services.</w:t>
      </w:r>
    </w:p>
    <w:p w14:paraId="40971F55"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Panel will meet as required and consists of:</w:t>
      </w:r>
    </w:p>
    <w:p w14:paraId="0099E99B" w14:textId="77777777" w:rsidR="0096466B" w:rsidRPr="004D307F" w:rsidRDefault="0096466B" w:rsidP="00ED0863">
      <w:pPr>
        <w:numPr>
          <w:ilvl w:val="0"/>
          <w:numId w:val="12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 Chairperson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Director, Schools Finance and Resources Branch</w:t>
      </w:r>
    </w:p>
    <w:p w14:paraId="2BA39E1A" w14:textId="77777777" w:rsidR="0096466B" w:rsidRPr="004D307F" w:rsidRDefault="0096466B" w:rsidP="00ED0863">
      <w:pPr>
        <w:numPr>
          <w:ilvl w:val="0"/>
          <w:numId w:val="12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 representative of People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Division</w:t>
      </w:r>
    </w:p>
    <w:p w14:paraId="3EF5072A" w14:textId="7530B3EB" w:rsidR="0096466B" w:rsidRPr="004D307F" w:rsidRDefault="0096466B" w:rsidP="00ED0863">
      <w:pPr>
        <w:numPr>
          <w:ilvl w:val="0"/>
          <w:numId w:val="12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two </w:t>
      </w:r>
      <w:r w:rsidR="00151158" w:rsidRPr="004D307F">
        <w:rPr>
          <w:rFonts w:ascii="VIC" w:eastAsia="Times New Roman" w:hAnsi="VIC" w:cs="Times New Roman"/>
          <w:color w:val="011A3C"/>
          <w:sz w:val="24"/>
          <w:szCs w:val="24"/>
          <w:lang w:val="en" w:eastAsia="en-AU"/>
        </w:rPr>
        <w:t>practicing</w:t>
      </w:r>
      <w:r w:rsidRPr="004D307F">
        <w:rPr>
          <w:rFonts w:ascii="VIC" w:eastAsia="Times New Roman" w:hAnsi="VIC" w:cs="Times New Roman"/>
          <w:color w:val="011A3C"/>
          <w:sz w:val="24"/>
          <w:szCs w:val="24"/>
          <w:lang w:val="en" w:eastAsia="en-AU"/>
        </w:rPr>
        <w:t xml:space="preserve"> principals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one secondary and one primary</w:t>
      </w:r>
    </w:p>
    <w:p w14:paraId="369D71D3" w14:textId="77777777" w:rsidR="00434BA9" w:rsidRPr="004D307F" w:rsidRDefault="00434BA9" w:rsidP="00ED0863">
      <w:pPr>
        <w:pStyle w:val="ListParagraph"/>
        <w:numPr>
          <w:ilvl w:val="0"/>
          <w:numId w:val="121"/>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 practicing Strategic Financial Management Advisor</w:t>
      </w:r>
    </w:p>
    <w:p w14:paraId="5920B2AE" w14:textId="6873282B"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 letter confirming the Panel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decision will be sent to the principal, with copies to the Regional Director and Regional Finance Manager. The principal will be </w:t>
      </w:r>
      <w:r w:rsidR="00434BA9" w:rsidRPr="004D307F">
        <w:rPr>
          <w:rFonts w:ascii="VIC" w:eastAsia="Times New Roman" w:hAnsi="VIC" w:cs="Times New Roman"/>
          <w:color w:val="011A3C"/>
          <w:sz w:val="24"/>
          <w:szCs w:val="24"/>
          <w:lang w:val="en" w:eastAsia="en-AU"/>
        </w:rPr>
        <w:t xml:space="preserve">asked </w:t>
      </w:r>
      <w:r w:rsidRPr="004D307F">
        <w:rPr>
          <w:rFonts w:ascii="VIC" w:eastAsia="Times New Roman" w:hAnsi="VIC" w:cs="Times New Roman"/>
          <w:color w:val="011A3C"/>
          <w:sz w:val="24"/>
          <w:szCs w:val="24"/>
          <w:lang w:val="en" w:eastAsia="en-AU"/>
        </w:rPr>
        <w:t>to inform the school council of the Panel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decision.</w:t>
      </w:r>
    </w:p>
    <w:p w14:paraId="5673AC41" w14:textId="24D8E5BF"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level of support determined by the Panel and approved by the </w:t>
      </w:r>
      <w:r w:rsidR="00434BA9" w:rsidRPr="004D307F">
        <w:rPr>
          <w:rFonts w:ascii="VIC" w:eastAsia="Times New Roman" w:hAnsi="VIC" w:cs="Times New Roman"/>
          <w:color w:val="011A3C"/>
          <w:sz w:val="24"/>
          <w:szCs w:val="24"/>
          <w:lang w:val="en" w:eastAsia="en-AU"/>
        </w:rPr>
        <w:t>Deputy Secretary, Financial Policy and Information Services</w:t>
      </w:r>
      <w:r w:rsidR="00434BA9" w:rsidRPr="004D307F" w:rsidDel="00434BA9">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will be reflected on the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Budget Management Report.</w:t>
      </w:r>
    </w:p>
    <w:p w14:paraId="2EA41ACC" w14:textId="455BAD60"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final amount of any </w:t>
      </w:r>
      <w:r w:rsidR="00F343E8"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 xml:space="preserve">orkforce </w:t>
      </w:r>
      <w:r w:rsidR="00F343E8" w:rsidRPr="004D307F">
        <w:rPr>
          <w:rFonts w:ascii="VIC" w:eastAsia="Times New Roman" w:hAnsi="VIC" w:cs="Times New Roman"/>
          <w:color w:val="011A3C"/>
          <w:sz w:val="24"/>
          <w:szCs w:val="24"/>
          <w:lang w:val="en" w:eastAsia="en-AU"/>
        </w:rPr>
        <w:t>b</w:t>
      </w:r>
      <w:r w:rsidRPr="004D307F">
        <w:rPr>
          <w:rFonts w:ascii="VIC" w:eastAsia="Times New Roman" w:hAnsi="VIC" w:cs="Times New Roman"/>
          <w:color w:val="011A3C"/>
          <w:sz w:val="24"/>
          <w:szCs w:val="24"/>
          <w:lang w:val="en" w:eastAsia="en-AU"/>
        </w:rPr>
        <w:t xml:space="preserve">ridging financial assistance is subject to confirmation at the end of the calendar year as the amount notionally approved </w:t>
      </w:r>
      <w:r w:rsidR="00434BA9" w:rsidRPr="004D307F">
        <w:rPr>
          <w:rFonts w:ascii="VIC" w:eastAsia="Times New Roman" w:hAnsi="VIC" w:cs="Times New Roman"/>
          <w:color w:val="011A3C"/>
          <w:sz w:val="24"/>
          <w:szCs w:val="24"/>
          <w:lang w:val="en" w:eastAsia="en-AU"/>
        </w:rPr>
        <w:t xml:space="preserve">and </w:t>
      </w:r>
      <w:r w:rsidRPr="004D307F">
        <w:rPr>
          <w:rFonts w:ascii="VIC" w:eastAsia="Times New Roman" w:hAnsi="VIC" w:cs="Times New Roman"/>
          <w:color w:val="011A3C"/>
          <w:sz w:val="24"/>
          <w:szCs w:val="24"/>
          <w:lang w:val="en" w:eastAsia="en-AU"/>
        </w:rPr>
        <w:t>may be reduced subject to reconciliation of the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SRP.</w:t>
      </w:r>
    </w:p>
    <w:p w14:paraId="68A4CE23"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Review</w:t>
      </w:r>
    </w:p>
    <w:p w14:paraId="3E73180A" w14:textId="6917151D" w:rsidR="00151158" w:rsidRPr="004D307F" w:rsidRDefault="0096466B" w:rsidP="00151158">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 process is available for schools </w:t>
      </w:r>
      <w:r w:rsidR="00151158" w:rsidRPr="004D307F">
        <w:rPr>
          <w:rFonts w:ascii="VIC" w:eastAsia="Times New Roman" w:hAnsi="VIC" w:cs="Times New Roman"/>
          <w:color w:val="011A3C"/>
          <w:sz w:val="24"/>
          <w:szCs w:val="24"/>
          <w:lang w:val="en" w:eastAsia="en-AU"/>
        </w:rPr>
        <w:t xml:space="preserve">that </w:t>
      </w:r>
      <w:r w:rsidRPr="004D307F">
        <w:rPr>
          <w:rFonts w:ascii="VIC" w:eastAsia="Times New Roman" w:hAnsi="VIC" w:cs="Times New Roman"/>
          <w:color w:val="011A3C"/>
          <w:sz w:val="24"/>
          <w:szCs w:val="24"/>
          <w:lang w:val="en" w:eastAsia="en-AU"/>
        </w:rPr>
        <w:t xml:space="preserve">wish to have the decision of the Panel reviewed. Requests, outlining the grounds for the review, should be lodged </w:t>
      </w:r>
      <w:r w:rsidR="00434BA9" w:rsidRPr="004D307F">
        <w:rPr>
          <w:rFonts w:ascii="VIC" w:eastAsia="Times New Roman" w:hAnsi="VIC" w:cs="Times New Roman"/>
          <w:color w:val="011A3C"/>
          <w:sz w:val="24"/>
          <w:szCs w:val="24"/>
          <w:lang w:val="en" w:eastAsia="en-AU"/>
        </w:rPr>
        <w:t>within 14 days of the receipt of the</w:t>
      </w:r>
      <w:r w:rsidR="00434BA9" w:rsidRPr="004D307F">
        <w:rPr>
          <w:rFonts w:ascii="Calibri" w:eastAsia="Times New Roman" w:hAnsi="Calibri" w:cs="Calibri" w:hint="eastAsia"/>
          <w:color w:val="011A3C"/>
          <w:sz w:val="24"/>
          <w:szCs w:val="24"/>
          <w:lang w:val="en" w:eastAsia="en-AU"/>
        </w:rPr>
        <w:t> </w:t>
      </w:r>
      <w:r w:rsidR="00434BA9" w:rsidRPr="004D307F">
        <w:rPr>
          <w:rFonts w:ascii="VIC" w:eastAsia="Times New Roman" w:hAnsi="VIC" w:cs="Times New Roman"/>
          <w:color w:val="011A3C"/>
          <w:sz w:val="24"/>
          <w:szCs w:val="24"/>
          <w:lang w:val="en" w:eastAsia="en-AU"/>
        </w:rPr>
        <w:t>letter confirming the Panel</w:t>
      </w:r>
      <w:r w:rsidR="00434BA9" w:rsidRPr="004D307F">
        <w:rPr>
          <w:rFonts w:ascii="VIC" w:eastAsia="Times New Roman" w:hAnsi="VIC" w:cs="VIC" w:hint="eastAsia"/>
          <w:color w:val="011A3C"/>
          <w:sz w:val="24"/>
          <w:szCs w:val="24"/>
          <w:lang w:val="en" w:eastAsia="en-AU"/>
        </w:rPr>
        <w:t>’</w:t>
      </w:r>
      <w:r w:rsidR="00434BA9" w:rsidRPr="004D307F">
        <w:rPr>
          <w:rFonts w:ascii="VIC" w:eastAsia="Times New Roman" w:hAnsi="VIC" w:cs="Times New Roman"/>
          <w:color w:val="011A3C"/>
          <w:sz w:val="24"/>
          <w:szCs w:val="24"/>
          <w:lang w:val="en" w:eastAsia="en-AU"/>
        </w:rPr>
        <w:t>s decision by notifying</w:t>
      </w:r>
      <w:r w:rsidRPr="004D307F">
        <w:rPr>
          <w:rFonts w:ascii="VIC" w:eastAsia="Times New Roman" w:hAnsi="VIC" w:cs="Times New Roman"/>
          <w:color w:val="011A3C"/>
          <w:sz w:val="24"/>
          <w:szCs w:val="24"/>
          <w:lang w:val="en" w:eastAsia="en-AU"/>
        </w:rPr>
        <w:t>:</w:t>
      </w:r>
      <w:r w:rsidRPr="004D307F">
        <w:rPr>
          <w:rFonts w:ascii="VIC" w:eastAsia="Times New Roman" w:hAnsi="VIC" w:cs="Times New Roman"/>
          <w:color w:val="011A3C"/>
          <w:sz w:val="24"/>
          <w:szCs w:val="24"/>
          <w:lang w:val="en" w:eastAsia="en-AU"/>
        </w:rPr>
        <w:br/>
      </w:r>
      <w:r w:rsidRPr="004D307F">
        <w:rPr>
          <w:rFonts w:ascii="VIC" w:eastAsia="Times New Roman" w:hAnsi="VIC" w:cs="Times New Roman"/>
          <w:color w:val="011A3C"/>
          <w:sz w:val="24"/>
          <w:szCs w:val="24"/>
          <w:lang w:val="en" w:eastAsia="en-AU"/>
        </w:rPr>
        <w:lastRenderedPageBreak/>
        <w:br/>
        <w:t>Manager</w:t>
      </w:r>
      <w:r w:rsidRPr="004D307F">
        <w:rPr>
          <w:rFonts w:ascii="VIC" w:eastAsia="Times New Roman" w:hAnsi="VIC" w:cs="Times New Roman"/>
          <w:color w:val="011A3C"/>
          <w:sz w:val="24"/>
          <w:szCs w:val="24"/>
          <w:lang w:val="en" w:eastAsia="en-AU"/>
        </w:rPr>
        <w:br/>
        <w:t>Schools Financial Management Support</w:t>
      </w:r>
      <w:r w:rsidR="00434BA9" w:rsidRPr="004D307F">
        <w:rPr>
          <w:rFonts w:ascii="VIC" w:eastAsia="Times New Roman" w:hAnsi="VIC" w:cs="Times New Roman"/>
          <w:color w:val="011A3C"/>
          <w:sz w:val="24"/>
          <w:szCs w:val="24"/>
          <w:lang w:val="en" w:eastAsia="en-AU"/>
        </w:rPr>
        <w:t xml:space="preserve"> Unit</w:t>
      </w:r>
      <w:r w:rsidRPr="004D307F">
        <w:rPr>
          <w:rFonts w:ascii="VIC" w:eastAsia="Times New Roman" w:hAnsi="VIC" w:cs="Times New Roman"/>
          <w:color w:val="011A3C"/>
          <w:sz w:val="24"/>
          <w:szCs w:val="24"/>
          <w:lang w:val="en" w:eastAsia="en-AU"/>
        </w:rPr>
        <w:br/>
      </w:r>
      <w:r w:rsidR="00151158" w:rsidRPr="004D307F">
        <w:rPr>
          <w:rFonts w:ascii="VIC" w:eastAsia="Times New Roman" w:hAnsi="VIC" w:cs="Times New Roman"/>
          <w:color w:val="011A3C"/>
          <w:sz w:val="24"/>
          <w:szCs w:val="24"/>
          <w:lang w:val="en" w:eastAsia="en-AU"/>
        </w:rPr>
        <w:t>Department of Education and Training</w:t>
      </w:r>
    </w:p>
    <w:p w14:paraId="7C9BBF9D" w14:textId="77777777" w:rsidR="00151158" w:rsidRPr="004D307F" w:rsidRDefault="00151158" w:rsidP="003E6B76">
      <w:pPr>
        <w:pStyle w:val="NoSpacing"/>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Financial Services Division</w:t>
      </w:r>
    </w:p>
    <w:p w14:paraId="6D53E4E1" w14:textId="77777777" w:rsidR="003E6B76" w:rsidRPr="004D307F" w:rsidRDefault="00151158" w:rsidP="003E6B76">
      <w:pPr>
        <w:pStyle w:val="NoSpacing"/>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GPO Box 4367</w:t>
      </w:r>
      <w:r w:rsidRPr="004D307F">
        <w:rPr>
          <w:rFonts w:ascii="Calibri" w:eastAsia="Times New Roman" w:hAnsi="Calibri" w:cs="Calibri" w:hint="eastAsia"/>
          <w:color w:val="011A3C"/>
          <w:sz w:val="24"/>
          <w:szCs w:val="24"/>
          <w:lang w:val="en" w:eastAsia="en-AU"/>
        </w:rPr>
        <w:t>  </w:t>
      </w:r>
    </w:p>
    <w:p w14:paraId="1585003D" w14:textId="3591E030" w:rsidR="0096466B" w:rsidRPr="004D307F" w:rsidRDefault="0096466B" w:rsidP="003E6B76">
      <w:pPr>
        <w:pStyle w:val="NoSpacing"/>
        <w:rPr>
          <w:rFonts w:ascii="VIC" w:hAnsi="VIC"/>
          <w:lang w:val="en" w:eastAsia="en-AU"/>
        </w:rPr>
      </w:pPr>
      <w:r w:rsidRPr="004D307F">
        <w:rPr>
          <w:rFonts w:ascii="VIC" w:eastAsia="Times New Roman" w:hAnsi="VIC" w:cs="Times New Roman"/>
          <w:color w:val="011A3C"/>
          <w:sz w:val="24"/>
          <w:szCs w:val="24"/>
          <w:lang w:val="en" w:eastAsia="en-AU"/>
        </w:rPr>
        <w:t>Melbourne 300</w:t>
      </w:r>
      <w:r w:rsidR="00151158" w:rsidRPr="004D307F">
        <w:rPr>
          <w:rFonts w:ascii="VIC" w:eastAsia="Times New Roman" w:hAnsi="VIC" w:cs="Times New Roman"/>
          <w:color w:val="011A3C"/>
          <w:sz w:val="24"/>
          <w:szCs w:val="24"/>
          <w:lang w:val="en" w:eastAsia="en-AU"/>
        </w:rPr>
        <w:t>1</w:t>
      </w:r>
      <w:r w:rsidRPr="004D307F">
        <w:rPr>
          <w:rFonts w:ascii="VIC" w:eastAsia="Times New Roman" w:hAnsi="VIC" w:cs="Times New Roman"/>
          <w:color w:val="011A3C"/>
          <w:sz w:val="24"/>
          <w:szCs w:val="24"/>
          <w:lang w:val="en" w:eastAsia="en-AU"/>
        </w:rPr>
        <w:br/>
      </w:r>
      <w:r w:rsidRPr="004D307F">
        <w:rPr>
          <w:rFonts w:ascii="VIC" w:hAnsi="VIC"/>
          <w:lang w:val="en" w:eastAsia="en-AU"/>
        </w:rPr>
        <w:br/>
      </w:r>
      <w:r w:rsidRPr="004D307F">
        <w:rPr>
          <w:rFonts w:ascii="VIC" w:hAnsi="VIC"/>
          <w:color w:val="323E4F" w:themeColor="text2" w:themeShade="BF"/>
          <w:lang w:val="en" w:eastAsia="en-AU"/>
        </w:rPr>
        <w:t>If additional information is provided it should be explained why it was not included in the original report.</w:t>
      </w:r>
    </w:p>
    <w:p w14:paraId="2A66F0BD" w14:textId="123529C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review will, in the first instance, be considered by the Panel and may be referred to the Deputy Secretary, Financial Policy and Information </w:t>
      </w:r>
      <w:r w:rsidR="00151158" w:rsidRPr="004D307F">
        <w:rPr>
          <w:rFonts w:ascii="VIC" w:eastAsia="Times New Roman" w:hAnsi="VIC" w:cs="Times New Roman"/>
          <w:color w:val="011A3C"/>
          <w:sz w:val="24"/>
          <w:szCs w:val="24"/>
          <w:lang w:val="en" w:eastAsia="en-AU"/>
        </w:rPr>
        <w:t>Services.</w:t>
      </w:r>
    </w:p>
    <w:p w14:paraId="4A2E4E90"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Ensuring consistency</w:t>
      </w:r>
    </w:p>
    <w:p w14:paraId="32DCBDB6" w14:textId="3B42EF26" w:rsidR="0096466B" w:rsidRPr="004D307F" w:rsidRDefault="0096466B" w:rsidP="00A9180D">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SFMS</w:t>
      </w:r>
      <w:r w:rsidR="00F343E8" w:rsidRPr="004D307F">
        <w:rPr>
          <w:rFonts w:ascii="VIC" w:eastAsia="Times New Roman" w:hAnsi="VIC" w:cs="Times New Roman"/>
          <w:color w:val="011A3C"/>
          <w:sz w:val="24"/>
          <w:szCs w:val="24"/>
          <w:lang w:val="en" w:eastAsia="en-AU"/>
        </w:rPr>
        <w:t>U</w:t>
      </w:r>
      <w:r w:rsidRPr="004D307F">
        <w:rPr>
          <w:rFonts w:ascii="VIC" w:eastAsia="Times New Roman" w:hAnsi="VIC" w:cs="Times New Roman"/>
          <w:color w:val="011A3C"/>
          <w:sz w:val="24"/>
          <w:szCs w:val="24"/>
          <w:lang w:val="en" w:eastAsia="en-AU"/>
        </w:rPr>
        <w:t xml:space="preserve"> has overall responsibility for the </w:t>
      </w:r>
      <w:r w:rsidR="00F343E8"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 xml:space="preserve">orkforce </w:t>
      </w:r>
      <w:r w:rsidR="00F343E8" w:rsidRPr="004D307F">
        <w:rPr>
          <w:rFonts w:ascii="VIC" w:eastAsia="Times New Roman" w:hAnsi="VIC" w:cs="Times New Roman"/>
          <w:color w:val="011A3C"/>
          <w:sz w:val="24"/>
          <w:szCs w:val="24"/>
          <w:lang w:val="en" w:eastAsia="en-AU"/>
        </w:rPr>
        <w:t>b</w:t>
      </w:r>
      <w:r w:rsidRPr="004D307F">
        <w:rPr>
          <w:rFonts w:ascii="VIC" w:eastAsia="Times New Roman" w:hAnsi="VIC" w:cs="Times New Roman"/>
          <w:color w:val="011A3C"/>
          <w:sz w:val="24"/>
          <w:szCs w:val="24"/>
          <w:lang w:val="en" w:eastAsia="en-AU"/>
        </w:rPr>
        <w:t xml:space="preserve">ridging process and works with schools, regions, professional </w:t>
      </w:r>
      <w:r w:rsidR="00F343E8" w:rsidRPr="004D307F">
        <w:rPr>
          <w:rFonts w:ascii="VIC" w:eastAsia="Times New Roman" w:hAnsi="VIC" w:cs="Times New Roman"/>
          <w:color w:val="011A3C"/>
          <w:sz w:val="24"/>
          <w:szCs w:val="24"/>
          <w:lang w:val="en" w:eastAsia="en-AU"/>
        </w:rPr>
        <w:t>associations,</w:t>
      </w:r>
      <w:r w:rsidRPr="004D307F">
        <w:rPr>
          <w:rFonts w:ascii="VIC" w:eastAsia="Times New Roman" w:hAnsi="VIC" w:cs="Times New Roman"/>
          <w:color w:val="011A3C"/>
          <w:sz w:val="24"/>
          <w:szCs w:val="24"/>
          <w:lang w:val="en" w:eastAsia="en-AU"/>
        </w:rPr>
        <w:t xml:space="preserve"> and stakeholder reference groups to ensure that the process is supportive of schools, while remaining fair and consistent with the principles of devolved school self-management.</w:t>
      </w:r>
    </w:p>
    <w:p w14:paraId="5966C476" w14:textId="77777777" w:rsidR="0096466B" w:rsidRPr="004D307F" w:rsidRDefault="0096466B" w:rsidP="0096466B">
      <w:pPr>
        <w:rPr>
          <w:rFonts w:ascii="VIC" w:hAnsi="VIC"/>
        </w:rPr>
      </w:pPr>
      <w:r w:rsidRPr="004D307F">
        <w:rPr>
          <w:rFonts w:ascii="VIC" w:hAnsi="VIC"/>
        </w:rPr>
        <w:br w:type="page"/>
      </w:r>
    </w:p>
    <w:p w14:paraId="568BB86F" w14:textId="7A5C27D1" w:rsidR="0096466B" w:rsidRPr="004D307F" w:rsidRDefault="0096466B" w:rsidP="00B566E7">
      <w:pPr>
        <w:pStyle w:val="Heading2"/>
      </w:pPr>
      <w:bookmarkStart w:id="151" w:name="_Toc106793825"/>
      <w:r w:rsidRPr="004D307F">
        <w:lastRenderedPageBreak/>
        <w:t>Principal classification budget</w:t>
      </w:r>
      <w:bookmarkEnd w:id="151"/>
    </w:p>
    <w:p w14:paraId="492F64CC"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Budget for principal classification</w:t>
      </w:r>
    </w:p>
    <w:p w14:paraId="3A3AC438" w14:textId="11DD5C2D"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Principal Classification Budget is set annually with the 202</w:t>
      </w:r>
      <w:r w:rsidR="005A2BF2" w:rsidRPr="004D307F">
        <w:rPr>
          <w:rFonts w:ascii="VIC" w:eastAsia="Times New Roman" w:hAnsi="VIC" w:cs="Times New Roman"/>
          <w:color w:val="011A3C"/>
          <w:sz w:val="24"/>
          <w:szCs w:val="24"/>
          <w:lang w:val="en" w:eastAsia="en-AU"/>
        </w:rPr>
        <w:t>2</w:t>
      </w:r>
      <w:r w:rsidRPr="004D307F">
        <w:rPr>
          <w:rFonts w:ascii="VIC" w:eastAsia="Times New Roman" w:hAnsi="VIC" w:cs="Times New Roman"/>
          <w:color w:val="011A3C"/>
          <w:sz w:val="24"/>
          <w:szCs w:val="24"/>
          <w:lang w:val="en" w:eastAsia="en-AU"/>
        </w:rPr>
        <w:t xml:space="preserve"> confirmed school resource allocation. It sets the remuneration range for each principal position.</w:t>
      </w:r>
    </w:p>
    <w:p w14:paraId="70A63D6F" w14:textId="518E0C4C" w:rsidR="0096466B" w:rsidRPr="004D307F" w:rsidRDefault="0096466B" w:rsidP="00A9180D">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Refer to:</w:t>
      </w:r>
      <w:r w:rsidRPr="004D307F">
        <w:rPr>
          <w:rFonts w:ascii="Calibri" w:eastAsia="Times New Roman" w:hAnsi="Calibri" w:cs="Calibri" w:hint="eastAsia"/>
          <w:color w:val="011A3C"/>
          <w:sz w:val="24"/>
          <w:szCs w:val="24"/>
          <w:lang w:val="en" w:eastAsia="en-AU"/>
        </w:rPr>
        <w:t> </w:t>
      </w:r>
      <w:hyperlink r:id="rId255" w:history="1">
        <w:r w:rsidRPr="004D307F">
          <w:rPr>
            <w:rFonts w:ascii="VIC" w:eastAsia="Times New Roman" w:hAnsi="VIC" w:cs="Times New Roman"/>
            <w:color w:val="011A3C"/>
            <w:sz w:val="24"/>
            <w:szCs w:val="24"/>
            <w:lang w:val="en" w:eastAsia="en-AU"/>
          </w:rPr>
          <w:t>Principal Remuneration Range</w:t>
        </w:r>
      </w:hyperlink>
      <w:r w:rsidRPr="004D307F">
        <w:rPr>
          <w:rFonts w:ascii="VIC" w:eastAsia="Times New Roman" w:hAnsi="VIC" w:cs="Times New Roman"/>
          <w:color w:val="011A3C"/>
          <w:sz w:val="24"/>
          <w:szCs w:val="24"/>
          <w:lang w:val="en" w:eastAsia="en-AU"/>
        </w:rPr>
        <w:t>.</w:t>
      </w:r>
    </w:p>
    <w:p w14:paraId="348FAF0E" w14:textId="77777777" w:rsidR="0096466B" w:rsidRPr="004D307F" w:rsidRDefault="0096466B" w:rsidP="0096466B">
      <w:pPr>
        <w:rPr>
          <w:rFonts w:ascii="VIC" w:hAnsi="VIC"/>
        </w:rPr>
      </w:pPr>
      <w:r w:rsidRPr="004D307F">
        <w:rPr>
          <w:rFonts w:ascii="VIC" w:hAnsi="VIC"/>
        </w:rPr>
        <w:br w:type="page"/>
      </w:r>
    </w:p>
    <w:p w14:paraId="073B7CF0" w14:textId="05575926" w:rsidR="0096466B" w:rsidRPr="004D307F" w:rsidRDefault="0096466B" w:rsidP="00B566E7">
      <w:pPr>
        <w:pStyle w:val="Heading2"/>
      </w:pPr>
      <w:bookmarkStart w:id="152" w:name="_Toc106793826"/>
      <w:r w:rsidRPr="004D307F">
        <w:lastRenderedPageBreak/>
        <w:t>Enrolment Variation Funding</w:t>
      </w:r>
      <w:bookmarkEnd w:id="152"/>
      <w:r w:rsidRPr="004D307F">
        <w:t xml:space="preserve"> </w:t>
      </w:r>
    </w:p>
    <w:p w14:paraId="1034B64B" w14:textId="77777777" w:rsidR="0096466B" w:rsidRPr="004D307F" w:rsidRDefault="0096466B" w:rsidP="0096466B">
      <w:pPr>
        <w:spacing w:after="0" w:line="240" w:lineRule="auto"/>
        <w:rPr>
          <w:rFonts w:ascii="Times New Roman" w:eastAsia="Times New Roman" w:hAnsi="Times New Roman" w:cs="Times New Roman"/>
          <w:b/>
          <w:sz w:val="28"/>
          <w:szCs w:val="28"/>
          <w:lang w:eastAsia="en-AU"/>
        </w:rPr>
      </w:pPr>
    </w:p>
    <w:p w14:paraId="614CB158" w14:textId="77777777" w:rsidR="0024710E" w:rsidRPr="004D307F" w:rsidRDefault="0024710E" w:rsidP="0024710E">
      <w:pPr>
        <w:spacing w:after="0" w:line="240" w:lineRule="auto"/>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 xml:space="preserve">Significant Variation </w:t>
      </w:r>
    </w:p>
    <w:p w14:paraId="563C59E1" w14:textId="6B9C1664" w:rsidR="0024710E" w:rsidRPr="004D307F" w:rsidRDefault="0024710E" w:rsidP="0024710E">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Significant variation funding is </w:t>
      </w:r>
      <w:r w:rsidR="00D8442E" w:rsidRPr="004D307F">
        <w:rPr>
          <w:rFonts w:ascii="VIC" w:eastAsia="Times New Roman" w:hAnsi="VIC" w:cs="Times New Roman"/>
          <w:color w:val="011A3C"/>
          <w:sz w:val="24"/>
          <w:szCs w:val="24"/>
          <w:lang w:val="en" w:eastAsia="en-AU"/>
        </w:rPr>
        <w:t xml:space="preserve">included </w:t>
      </w:r>
      <w:r w:rsidRPr="004D307F">
        <w:rPr>
          <w:rFonts w:ascii="VIC" w:eastAsia="Times New Roman" w:hAnsi="VIC" w:cs="Times New Roman"/>
          <w:color w:val="011A3C"/>
          <w:sz w:val="24"/>
          <w:szCs w:val="24"/>
          <w:lang w:val="en" w:eastAsia="en-AU"/>
        </w:rPr>
        <w:t>automatically to the term 3 cash grant, after the mid-year census.  It is designed to provide additional cash funds only to schools where there has been an increase in student numbers of:</w:t>
      </w:r>
    </w:p>
    <w:p w14:paraId="6450EF91" w14:textId="77777777" w:rsidR="0024710E" w:rsidRPr="004D307F" w:rsidRDefault="0024710E" w:rsidP="0024710E">
      <w:pPr>
        <w:spacing w:after="0" w:line="240" w:lineRule="auto"/>
        <w:rPr>
          <w:rFonts w:ascii="VIC" w:eastAsia="Times New Roman" w:hAnsi="VIC" w:cs="Times New Roman"/>
          <w:color w:val="011A3C"/>
          <w:sz w:val="24"/>
          <w:szCs w:val="24"/>
          <w:lang w:val="en" w:eastAsia="en-AU"/>
        </w:rPr>
      </w:pPr>
    </w:p>
    <w:p w14:paraId="10037DEC" w14:textId="77777777" w:rsidR="0024710E" w:rsidRPr="004D307F" w:rsidRDefault="0024710E" w:rsidP="0024710E">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w:t>
      </w:r>
      <w:r w:rsidRPr="004D307F">
        <w:rPr>
          <w:rFonts w:ascii="VIC" w:eastAsia="Times New Roman" w:hAnsi="VIC" w:cs="Times New Roman"/>
          <w:color w:val="011A3C"/>
          <w:sz w:val="24"/>
          <w:szCs w:val="24"/>
          <w:lang w:val="en" w:eastAsia="en-AU"/>
        </w:rPr>
        <w:tab/>
        <w:t>The greater of 10 students or an increase of 10%</w:t>
      </w:r>
    </w:p>
    <w:p w14:paraId="71027DF4" w14:textId="77777777" w:rsidR="0024710E" w:rsidRPr="004D307F" w:rsidRDefault="0024710E" w:rsidP="0024710E">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Secondary:</w:t>
      </w:r>
      <w:r w:rsidRPr="004D307F">
        <w:rPr>
          <w:rFonts w:ascii="VIC" w:eastAsia="Times New Roman" w:hAnsi="VIC" w:cs="Times New Roman"/>
          <w:color w:val="011A3C"/>
          <w:sz w:val="24"/>
          <w:szCs w:val="24"/>
          <w:lang w:val="en" w:eastAsia="en-AU"/>
        </w:rPr>
        <w:tab/>
        <w:t xml:space="preserve">The greater of 40 students or an increase of 10%  </w:t>
      </w:r>
    </w:p>
    <w:p w14:paraId="07A6F4D4" w14:textId="77777777" w:rsidR="0024710E" w:rsidRPr="004D307F" w:rsidRDefault="0024710E" w:rsidP="0024710E">
      <w:pPr>
        <w:spacing w:after="0" w:line="240" w:lineRule="auto"/>
        <w:rPr>
          <w:rFonts w:ascii="VIC" w:eastAsia="Times New Roman" w:hAnsi="VIC" w:cs="Times New Roman"/>
          <w:color w:val="011A3C"/>
          <w:sz w:val="24"/>
          <w:szCs w:val="24"/>
          <w:lang w:val="en" w:eastAsia="en-AU"/>
        </w:rPr>
      </w:pPr>
    </w:p>
    <w:p w14:paraId="621D78CB" w14:textId="36E7450A" w:rsidR="0024710E" w:rsidRPr="004D307F" w:rsidRDefault="0024710E" w:rsidP="0024710E">
      <w:pPr>
        <w:spacing w:after="0" w:line="240" w:lineRule="auto"/>
        <w:rPr>
          <w:rFonts w:ascii="VIC" w:eastAsia="Times New Roman" w:hAnsi="VIC" w:cs="Calibri"/>
          <w:lang w:eastAsia="en-AU"/>
        </w:rPr>
      </w:pPr>
      <w:r w:rsidRPr="004D307F">
        <w:rPr>
          <w:rFonts w:ascii="VIC" w:eastAsia="Times New Roman" w:hAnsi="VIC" w:cs="Times New Roman"/>
          <w:color w:val="011A3C"/>
          <w:sz w:val="24"/>
          <w:szCs w:val="24"/>
          <w:lang w:val="en" w:eastAsia="en-AU"/>
        </w:rPr>
        <w:t xml:space="preserve">Only 2 terms equivalent funding will be provided based on the minimum per student cash rate and once assessed will appear in your reports as an item under the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Curriculum Support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budget line by end of Term 3.</w:t>
      </w:r>
    </w:p>
    <w:p w14:paraId="1FAFDF3C" w14:textId="77777777" w:rsidR="0024710E" w:rsidRPr="004D307F" w:rsidRDefault="0024710E" w:rsidP="0024710E">
      <w:pPr>
        <w:spacing w:after="0" w:line="240" w:lineRule="auto"/>
        <w:rPr>
          <w:rFonts w:ascii="VIC" w:eastAsia="Times New Roman" w:hAnsi="VIC" w:cs="Calibri"/>
          <w:lang w:eastAsia="en-AU"/>
        </w:rPr>
      </w:pPr>
    </w:p>
    <w:p w14:paraId="3913D252" w14:textId="7425D5E1" w:rsidR="0024710E" w:rsidRPr="004D307F" w:rsidRDefault="0024710E" w:rsidP="0024710E">
      <w:pPr>
        <w:spacing w:after="0" w:line="240" w:lineRule="auto"/>
        <w:rPr>
          <w:rFonts w:ascii="VIC" w:eastAsia="Times New Roman" w:hAnsi="VIC" w:cs="Calibri"/>
          <w:b/>
          <w:bCs/>
          <w:color w:val="323E4F" w:themeColor="text2" w:themeShade="BF"/>
          <w:lang w:eastAsia="en-AU"/>
        </w:rPr>
      </w:pPr>
      <w:r w:rsidRPr="004D307F">
        <w:rPr>
          <w:rFonts w:ascii="VIC" w:eastAsia="Times New Roman" w:hAnsi="VIC" w:cs="Calibri"/>
          <w:b/>
          <w:bCs/>
          <w:color w:val="323E4F" w:themeColor="text2" w:themeShade="BF"/>
          <w:lang w:eastAsia="en-AU"/>
        </w:rPr>
        <w:t xml:space="preserve">For example : </w:t>
      </w:r>
    </w:p>
    <w:p w14:paraId="48785F3E" w14:textId="77777777" w:rsidR="0024710E" w:rsidRPr="004D307F" w:rsidRDefault="0024710E" w:rsidP="0024710E">
      <w:pPr>
        <w:spacing w:after="0" w:line="240" w:lineRule="auto"/>
        <w:ind w:left="426"/>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Primary:</w:t>
      </w:r>
    </w:p>
    <w:p w14:paraId="4CEAA3FD" w14:textId="77777777" w:rsidR="0024710E" w:rsidRPr="004D307F" w:rsidRDefault="0024710E" w:rsidP="0024710E">
      <w:pPr>
        <w:tabs>
          <w:tab w:val="left" w:pos="3544"/>
          <w:tab w:val="left" w:pos="3969"/>
        </w:tabs>
        <w:spacing w:after="0" w:line="240" w:lineRule="auto"/>
        <w:ind w:left="993"/>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Enrolment Increase</w:t>
      </w:r>
      <w:r w:rsidRPr="004D307F">
        <w:rPr>
          <w:rFonts w:ascii="VIC" w:eastAsia="Times New Roman" w:hAnsi="VIC" w:cs="Calibri"/>
          <w:color w:val="323E4F" w:themeColor="text2" w:themeShade="BF"/>
          <w:lang w:eastAsia="en-AU"/>
        </w:rPr>
        <w:tab/>
        <w:t>=</w:t>
      </w:r>
      <w:r w:rsidRPr="004D307F">
        <w:rPr>
          <w:rFonts w:ascii="VIC" w:eastAsia="Times New Roman" w:hAnsi="VIC" w:cs="Calibri"/>
          <w:color w:val="323E4F" w:themeColor="text2" w:themeShade="BF"/>
          <w:lang w:eastAsia="en-AU"/>
        </w:rPr>
        <w:tab/>
        <w:t xml:space="preserve">   10</w:t>
      </w:r>
    </w:p>
    <w:p w14:paraId="60A21246" w14:textId="3D571DFC" w:rsidR="0024710E" w:rsidRPr="004D307F" w:rsidRDefault="0024710E" w:rsidP="0024710E">
      <w:pPr>
        <w:tabs>
          <w:tab w:val="left" w:pos="3544"/>
          <w:tab w:val="left" w:pos="3969"/>
        </w:tabs>
        <w:spacing w:after="0" w:line="240" w:lineRule="auto"/>
        <w:ind w:left="993"/>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Cash Rate</w:t>
      </w:r>
      <w:r w:rsidRPr="004D307F">
        <w:rPr>
          <w:rFonts w:ascii="VIC" w:eastAsia="Times New Roman" w:hAnsi="VIC" w:cs="Calibri"/>
          <w:color w:val="323E4F" w:themeColor="text2" w:themeShade="BF"/>
          <w:lang w:eastAsia="en-AU"/>
        </w:rPr>
        <w:tab/>
        <w:t>=</w:t>
      </w:r>
      <w:r w:rsidRPr="004D307F">
        <w:rPr>
          <w:rFonts w:ascii="VIC" w:eastAsia="Times New Roman" w:hAnsi="VIC" w:cs="Calibri"/>
          <w:color w:val="323E4F" w:themeColor="text2" w:themeShade="BF"/>
          <w:lang w:eastAsia="en-AU"/>
        </w:rPr>
        <w:tab/>
      </w:r>
      <w:r w:rsidR="00D8442E" w:rsidRPr="004D307F">
        <w:rPr>
          <w:rFonts w:ascii="VIC" w:eastAsia="Times New Roman" w:hAnsi="VIC" w:cs="Calibri"/>
          <w:color w:val="323E4F" w:themeColor="text2" w:themeShade="BF"/>
          <w:lang w:eastAsia="en-AU"/>
        </w:rPr>
        <w:t>$469</w:t>
      </w:r>
    </w:p>
    <w:p w14:paraId="44A400D0" w14:textId="77777777" w:rsidR="0024710E" w:rsidRPr="004D307F" w:rsidRDefault="0024710E" w:rsidP="0024710E">
      <w:pPr>
        <w:tabs>
          <w:tab w:val="left" w:pos="3544"/>
          <w:tab w:val="left" w:pos="3969"/>
        </w:tabs>
        <w:spacing w:after="0" w:line="240" w:lineRule="auto"/>
        <w:ind w:left="993"/>
        <w:rPr>
          <w:rFonts w:ascii="VIC" w:eastAsia="Times New Roman" w:hAnsi="VIC" w:cs="Calibri"/>
          <w:color w:val="323E4F" w:themeColor="text2" w:themeShade="BF"/>
          <w:lang w:eastAsia="en-AU"/>
        </w:rPr>
      </w:pPr>
    </w:p>
    <w:p w14:paraId="62C00F4A" w14:textId="77777777" w:rsidR="0024710E" w:rsidRPr="004D307F" w:rsidRDefault="0024710E" w:rsidP="0024710E">
      <w:pPr>
        <w:tabs>
          <w:tab w:val="left" w:pos="3544"/>
          <w:tab w:val="left" w:pos="3969"/>
        </w:tabs>
        <w:spacing w:after="0" w:line="240" w:lineRule="auto"/>
        <w:ind w:left="993"/>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Additional Funding</w:t>
      </w:r>
      <w:r w:rsidRPr="004D307F">
        <w:rPr>
          <w:rFonts w:ascii="VIC" w:eastAsia="Times New Roman" w:hAnsi="VIC" w:cs="Calibri"/>
          <w:color w:val="323E4F" w:themeColor="text2" w:themeShade="BF"/>
          <w:lang w:eastAsia="en-AU"/>
        </w:rPr>
        <w:tab/>
        <w:t>=</w:t>
      </w:r>
      <w:r w:rsidRPr="004D307F">
        <w:rPr>
          <w:rFonts w:ascii="VIC" w:eastAsia="Times New Roman" w:hAnsi="VIC" w:cs="Calibri"/>
          <w:color w:val="323E4F" w:themeColor="text2" w:themeShade="BF"/>
          <w:lang w:eastAsia="en-AU"/>
        </w:rPr>
        <w:tab/>
        <w:t>Enrolment increase × Cash Rate / 2</w:t>
      </w:r>
    </w:p>
    <w:p w14:paraId="7D178104" w14:textId="52261E85" w:rsidR="0024710E" w:rsidRPr="004D307F" w:rsidRDefault="0024710E" w:rsidP="0024710E">
      <w:pPr>
        <w:tabs>
          <w:tab w:val="left" w:pos="3544"/>
          <w:tab w:val="left" w:pos="3969"/>
        </w:tabs>
        <w:spacing w:after="0" w:line="240" w:lineRule="auto"/>
        <w:ind w:left="993"/>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ab/>
        <w:t>=</w:t>
      </w:r>
      <w:r w:rsidRPr="004D307F">
        <w:rPr>
          <w:rFonts w:ascii="VIC" w:eastAsia="Times New Roman" w:hAnsi="VIC" w:cs="Calibri"/>
          <w:color w:val="323E4F" w:themeColor="text2" w:themeShade="BF"/>
          <w:lang w:eastAsia="en-AU"/>
        </w:rPr>
        <w:tab/>
        <w:t xml:space="preserve">10 × </w:t>
      </w:r>
      <w:r w:rsidR="00D8442E" w:rsidRPr="004D307F">
        <w:rPr>
          <w:rFonts w:ascii="VIC" w:eastAsia="Times New Roman" w:hAnsi="VIC" w:cs="Calibri"/>
          <w:color w:val="323E4F" w:themeColor="text2" w:themeShade="BF"/>
          <w:lang w:eastAsia="en-AU"/>
        </w:rPr>
        <w:t>$469</w:t>
      </w:r>
      <w:r w:rsidRPr="004D307F">
        <w:rPr>
          <w:rFonts w:ascii="VIC" w:eastAsia="Times New Roman" w:hAnsi="VIC" w:cs="Calibri"/>
          <w:color w:val="323E4F" w:themeColor="text2" w:themeShade="BF"/>
          <w:lang w:eastAsia="en-AU"/>
        </w:rPr>
        <w:t>/ 2</w:t>
      </w:r>
    </w:p>
    <w:p w14:paraId="09BD6F51" w14:textId="1B6DA338" w:rsidR="0024710E" w:rsidRPr="004D307F" w:rsidRDefault="0024710E" w:rsidP="0024710E">
      <w:pPr>
        <w:tabs>
          <w:tab w:val="left" w:pos="3544"/>
          <w:tab w:val="left" w:pos="3969"/>
        </w:tabs>
        <w:spacing w:after="0" w:line="240" w:lineRule="auto"/>
        <w:ind w:left="993"/>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ab/>
        <w:t>=</w:t>
      </w:r>
      <w:r w:rsidRPr="004D307F">
        <w:rPr>
          <w:rFonts w:ascii="VIC" w:eastAsia="Times New Roman" w:hAnsi="VIC" w:cs="Calibri"/>
          <w:color w:val="323E4F" w:themeColor="text2" w:themeShade="BF"/>
          <w:lang w:eastAsia="en-AU"/>
        </w:rPr>
        <w:tab/>
      </w:r>
      <w:r w:rsidR="00D8442E" w:rsidRPr="004D307F">
        <w:rPr>
          <w:rFonts w:ascii="VIC" w:eastAsia="Times New Roman" w:hAnsi="VIC" w:cs="Calibri"/>
          <w:color w:val="323E4F" w:themeColor="text2" w:themeShade="BF"/>
          <w:lang w:eastAsia="en-AU"/>
        </w:rPr>
        <w:t>$2,345</w:t>
      </w:r>
    </w:p>
    <w:p w14:paraId="43642974" w14:textId="77777777" w:rsidR="0024710E" w:rsidRPr="004D307F" w:rsidRDefault="0024710E" w:rsidP="0024710E">
      <w:pPr>
        <w:spacing w:after="0" w:line="240" w:lineRule="auto"/>
        <w:ind w:left="426"/>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Secondary:</w:t>
      </w:r>
    </w:p>
    <w:p w14:paraId="7497155D" w14:textId="77777777" w:rsidR="0024710E" w:rsidRPr="004D307F" w:rsidRDefault="0024710E" w:rsidP="0024710E">
      <w:pPr>
        <w:tabs>
          <w:tab w:val="left" w:pos="3544"/>
          <w:tab w:val="left" w:pos="3969"/>
        </w:tabs>
        <w:spacing w:after="0" w:line="240" w:lineRule="auto"/>
        <w:ind w:left="993"/>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Enrolment Increase</w:t>
      </w:r>
      <w:r w:rsidRPr="004D307F">
        <w:rPr>
          <w:rFonts w:ascii="VIC" w:eastAsia="Times New Roman" w:hAnsi="VIC" w:cs="Calibri"/>
          <w:color w:val="323E4F" w:themeColor="text2" w:themeShade="BF"/>
          <w:lang w:eastAsia="en-AU"/>
        </w:rPr>
        <w:tab/>
        <w:t>=</w:t>
      </w:r>
      <w:r w:rsidRPr="004D307F">
        <w:rPr>
          <w:rFonts w:ascii="VIC" w:eastAsia="Times New Roman" w:hAnsi="VIC" w:cs="Calibri"/>
          <w:color w:val="323E4F" w:themeColor="text2" w:themeShade="BF"/>
          <w:lang w:eastAsia="en-AU"/>
        </w:rPr>
        <w:tab/>
        <w:t xml:space="preserve">   40</w:t>
      </w:r>
    </w:p>
    <w:p w14:paraId="631B82E6" w14:textId="581B5915" w:rsidR="0024710E" w:rsidRPr="004D307F" w:rsidRDefault="0024710E" w:rsidP="0024710E">
      <w:pPr>
        <w:tabs>
          <w:tab w:val="left" w:pos="3544"/>
          <w:tab w:val="left" w:pos="3969"/>
        </w:tabs>
        <w:spacing w:after="0" w:line="240" w:lineRule="auto"/>
        <w:ind w:left="993"/>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Cash Rate</w:t>
      </w:r>
      <w:r w:rsidRPr="004D307F">
        <w:rPr>
          <w:rFonts w:ascii="VIC" w:eastAsia="Times New Roman" w:hAnsi="VIC" w:cs="Calibri"/>
          <w:color w:val="323E4F" w:themeColor="text2" w:themeShade="BF"/>
          <w:lang w:eastAsia="en-AU"/>
        </w:rPr>
        <w:tab/>
        <w:t>=</w:t>
      </w:r>
      <w:r w:rsidRPr="004D307F">
        <w:rPr>
          <w:rFonts w:ascii="VIC" w:eastAsia="Times New Roman" w:hAnsi="VIC" w:cs="Calibri"/>
          <w:color w:val="323E4F" w:themeColor="text2" w:themeShade="BF"/>
          <w:lang w:eastAsia="en-AU"/>
        </w:rPr>
        <w:tab/>
      </w:r>
      <w:r w:rsidR="00D8442E" w:rsidRPr="004D307F">
        <w:rPr>
          <w:rFonts w:ascii="VIC" w:eastAsia="Times New Roman" w:hAnsi="VIC" w:cs="Calibri"/>
          <w:color w:val="323E4F" w:themeColor="text2" w:themeShade="BF"/>
          <w:lang w:eastAsia="en-AU"/>
        </w:rPr>
        <w:t>$524</w:t>
      </w:r>
    </w:p>
    <w:p w14:paraId="3179A3F9" w14:textId="77777777" w:rsidR="0024710E" w:rsidRPr="004D307F" w:rsidRDefault="0024710E" w:rsidP="0024710E">
      <w:pPr>
        <w:tabs>
          <w:tab w:val="left" w:pos="3544"/>
          <w:tab w:val="left" w:pos="3969"/>
        </w:tabs>
        <w:spacing w:after="0" w:line="240" w:lineRule="auto"/>
        <w:ind w:left="993"/>
        <w:rPr>
          <w:rFonts w:ascii="VIC" w:eastAsia="Times New Roman" w:hAnsi="VIC" w:cs="Calibri"/>
          <w:color w:val="323E4F" w:themeColor="text2" w:themeShade="BF"/>
          <w:lang w:eastAsia="en-AU"/>
        </w:rPr>
      </w:pPr>
    </w:p>
    <w:p w14:paraId="229448F2" w14:textId="77777777" w:rsidR="0024710E" w:rsidRPr="004D307F" w:rsidRDefault="0024710E" w:rsidP="0024710E">
      <w:pPr>
        <w:tabs>
          <w:tab w:val="left" w:pos="3544"/>
          <w:tab w:val="left" w:pos="3969"/>
        </w:tabs>
        <w:spacing w:after="0" w:line="240" w:lineRule="auto"/>
        <w:ind w:left="993"/>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Additional Funding</w:t>
      </w:r>
      <w:r w:rsidRPr="004D307F">
        <w:rPr>
          <w:rFonts w:ascii="VIC" w:eastAsia="Times New Roman" w:hAnsi="VIC" w:cs="Calibri"/>
          <w:color w:val="323E4F" w:themeColor="text2" w:themeShade="BF"/>
          <w:lang w:eastAsia="en-AU"/>
        </w:rPr>
        <w:tab/>
        <w:t>=</w:t>
      </w:r>
      <w:r w:rsidRPr="004D307F">
        <w:rPr>
          <w:rFonts w:ascii="VIC" w:eastAsia="Times New Roman" w:hAnsi="VIC" w:cs="Calibri"/>
          <w:color w:val="323E4F" w:themeColor="text2" w:themeShade="BF"/>
          <w:lang w:eastAsia="en-AU"/>
        </w:rPr>
        <w:tab/>
        <w:t>Enrolment increase × Cash Rate / 2</w:t>
      </w:r>
    </w:p>
    <w:p w14:paraId="2DBF3C50" w14:textId="2C356E3F" w:rsidR="0024710E" w:rsidRPr="004D307F" w:rsidRDefault="0024710E" w:rsidP="0024710E">
      <w:pPr>
        <w:tabs>
          <w:tab w:val="left" w:pos="3544"/>
          <w:tab w:val="left" w:pos="3969"/>
        </w:tabs>
        <w:spacing w:after="0" w:line="240" w:lineRule="auto"/>
        <w:ind w:left="993"/>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ab/>
        <w:t>=</w:t>
      </w:r>
      <w:r w:rsidRPr="004D307F">
        <w:rPr>
          <w:rFonts w:ascii="VIC" w:eastAsia="Times New Roman" w:hAnsi="VIC" w:cs="Calibri"/>
          <w:color w:val="323E4F" w:themeColor="text2" w:themeShade="BF"/>
          <w:lang w:eastAsia="en-AU"/>
        </w:rPr>
        <w:tab/>
        <w:t xml:space="preserve">40 × </w:t>
      </w:r>
      <w:r w:rsidR="00D8442E" w:rsidRPr="004D307F">
        <w:rPr>
          <w:rFonts w:ascii="VIC" w:eastAsia="Times New Roman" w:hAnsi="VIC" w:cs="Calibri"/>
          <w:color w:val="323E4F" w:themeColor="text2" w:themeShade="BF"/>
          <w:lang w:eastAsia="en-AU"/>
        </w:rPr>
        <w:t>$524</w:t>
      </w:r>
      <w:r w:rsidRPr="004D307F">
        <w:rPr>
          <w:rFonts w:ascii="VIC" w:eastAsia="Times New Roman" w:hAnsi="VIC" w:cs="Calibri"/>
          <w:color w:val="323E4F" w:themeColor="text2" w:themeShade="BF"/>
          <w:lang w:eastAsia="en-AU"/>
        </w:rPr>
        <w:t>/ 2</w:t>
      </w:r>
    </w:p>
    <w:p w14:paraId="00D8B031" w14:textId="7736C17A" w:rsidR="0024710E" w:rsidRPr="004D307F" w:rsidRDefault="0024710E" w:rsidP="00D8442E">
      <w:pPr>
        <w:tabs>
          <w:tab w:val="left" w:pos="3544"/>
          <w:tab w:val="left" w:pos="3969"/>
        </w:tabs>
        <w:spacing w:after="0" w:line="240" w:lineRule="auto"/>
        <w:ind w:left="993"/>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ab/>
        <w:t>=</w:t>
      </w:r>
      <w:r w:rsidRPr="004D307F">
        <w:rPr>
          <w:rFonts w:ascii="VIC" w:eastAsia="Times New Roman" w:hAnsi="VIC" w:cs="Calibri"/>
          <w:color w:val="323E4F" w:themeColor="text2" w:themeShade="BF"/>
          <w:lang w:eastAsia="en-AU"/>
        </w:rPr>
        <w:tab/>
      </w:r>
      <w:r w:rsidR="00D8442E" w:rsidRPr="004D307F">
        <w:rPr>
          <w:rFonts w:ascii="VIC" w:eastAsia="Times New Roman" w:hAnsi="VIC" w:cs="Calibri"/>
          <w:color w:val="323E4F" w:themeColor="text2" w:themeShade="BF"/>
          <w:lang w:eastAsia="en-AU"/>
        </w:rPr>
        <w:t>$10,480</w:t>
      </w:r>
    </w:p>
    <w:p w14:paraId="13EBE6D3" w14:textId="77777777" w:rsidR="0024710E" w:rsidRPr="004D307F" w:rsidRDefault="0024710E" w:rsidP="0024710E">
      <w:pPr>
        <w:spacing w:after="0" w:line="240" w:lineRule="auto"/>
        <w:rPr>
          <w:rFonts w:ascii="VIC" w:eastAsia="Times New Roman" w:hAnsi="VIC" w:cs="Calibri"/>
          <w:lang w:eastAsia="en-AU"/>
        </w:rPr>
      </w:pPr>
    </w:p>
    <w:p w14:paraId="5C02E7C5" w14:textId="77777777" w:rsidR="0024710E" w:rsidRPr="004D307F" w:rsidRDefault="0024710E" w:rsidP="0024710E">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Additional Funding post February census that must be supported by the Regional Director of the relevant region.</w:t>
      </w:r>
    </w:p>
    <w:p w14:paraId="768261F8" w14:textId="77777777" w:rsidR="0024710E" w:rsidRPr="004D307F" w:rsidRDefault="0024710E" w:rsidP="0024710E">
      <w:pPr>
        <w:spacing w:after="0" w:line="240" w:lineRule="auto"/>
        <w:rPr>
          <w:rFonts w:ascii="VIC" w:eastAsia="Times New Roman" w:hAnsi="VIC" w:cs="Calibri"/>
          <w:b/>
          <w:sz w:val="24"/>
          <w:szCs w:val="24"/>
          <w:lang w:eastAsia="en-AU"/>
        </w:rPr>
      </w:pPr>
    </w:p>
    <w:p w14:paraId="4B702B40" w14:textId="5781C479" w:rsidR="00D8442E" w:rsidRPr="004D307F" w:rsidRDefault="00D8442E" w:rsidP="0024710E">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Additional</w:t>
      </w:r>
      <w:r w:rsidR="00434BA9" w:rsidRPr="004D307F">
        <w:rPr>
          <w:rFonts w:ascii="VIC" w:eastAsia="Times New Roman" w:hAnsi="VIC" w:cs="Times New Roman"/>
          <w:color w:val="011A3C"/>
          <w:sz w:val="24"/>
          <w:szCs w:val="24"/>
          <w:lang w:val="en" w:eastAsia="en-AU"/>
        </w:rPr>
        <w:t xml:space="preserve"> credit</w:t>
      </w:r>
      <w:r w:rsidRPr="004D307F">
        <w:rPr>
          <w:rFonts w:ascii="VIC" w:eastAsia="Times New Roman" w:hAnsi="VIC" w:cs="Times New Roman"/>
          <w:color w:val="011A3C"/>
          <w:sz w:val="24"/>
          <w:szCs w:val="24"/>
          <w:lang w:val="en" w:eastAsia="en-AU"/>
        </w:rPr>
        <w:t xml:space="preserve"> funding may be considered where a school can demonstrate the establishment of new classes after February census significantly increased costs as a result of additional student numbers. </w:t>
      </w:r>
      <w:r w:rsidR="00434BA9" w:rsidRPr="004D307F">
        <w:rPr>
          <w:rFonts w:ascii="VIC" w:eastAsia="Times New Roman" w:hAnsi="VIC" w:cs="Times New Roman"/>
          <w:color w:val="011A3C"/>
          <w:sz w:val="24"/>
          <w:szCs w:val="24"/>
          <w:lang w:val="en" w:eastAsia="en-AU"/>
        </w:rPr>
        <w:t>Schools must also demonstrate that additional staffing costs are unable to be accommodated within the existing budget.</w:t>
      </w:r>
    </w:p>
    <w:p w14:paraId="1827675C" w14:textId="77777777" w:rsidR="0024710E" w:rsidRPr="004D307F" w:rsidRDefault="0024710E" w:rsidP="0024710E">
      <w:pPr>
        <w:spacing w:after="0" w:line="240" w:lineRule="auto"/>
        <w:rPr>
          <w:rFonts w:ascii="VIC" w:eastAsia="Times New Roman" w:hAnsi="VIC" w:cs="Times New Roman"/>
          <w:color w:val="011A3C"/>
          <w:sz w:val="24"/>
          <w:szCs w:val="24"/>
          <w:lang w:val="en" w:eastAsia="en-AU"/>
        </w:rPr>
      </w:pPr>
    </w:p>
    <w:p w14:paraId="3AB50233" w14:textId="407180CC" w:rsidR="0024710E" w:rsidRPr="004D307F" w:rsidRDefault="0024710E" w:rsidP="0024710E">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request should be made in writing to the respective regional director and should include a business case outlining the detail</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of the </w:t>
      </w:r>
      <w:r w:rsidR="00D8442E" w:rsidRPr="004D307F">
        <w:rPr>
          <w:rFonts w:ascii="VIC" w:eastAsia="Times New Roman" w:hAnsi="VIC" w:cs="Times New Roman"/>
          <w:color w:val="011A3C"/>
          <w:sz w:val="24"/>
          <w:szCs w:val="24"/>
          <w:lang w:val="en" w:eastAsia="en-AU"/>
        </w:rPr>
        <w:t xml:space="preserve">enrolment </w:t>
      </w:r>
      <w:r w:rsidRPr="004D307F">
        <w:rPr>
          <w:rFonts w:ascii="VIC" w:eastAsia="Times New Roman" w:hAnsi="VIC" w:cs="Times New Roman"/>
          <w:color w:val="011A3C"/>
          <w:sz w:val="24"/>
          <w:szCs w:val="24"/>
          <w:lang w:val="en" w:eastAsia="en-AU"/>
        </w:rPr>
        <w:t xml:space="preserve">growth and subsequent requirement to add an additional class </w:t>
      </w:r>
      <w:r w:rsidR="00D8442E" w:rsidRPr="004D307F">
        <w:rPr>
          <w:rFonts w:ascii="VIC" w:eastAsia="Times New Roman" w:hAnsi="VIC" w:cs="Times New Roman"/>
          <w:color w:val="011A3C"/>
          <w:sz w:val="24"/>
          <w:szCs w:val="24"/>
          <w:lang w:val="en" w:eastAsia="en-AU"/>
        </w:rPr>
        <w:t xml:space="preserve">after </w:t>
      </w:r>
      <w:r w:rsidRPr="004D307F">
        <w:rPr>
          <w:rFonts w:ascii="VIC" w:eastAsia="Times New Roman" w:hAnsi="VIC" w:cs="Times New Roman"/>
          <w:color w:val="011A3C"/>
          <w:sz w:val="24"/>
          <w:szCs w:val="24"/>
          <w:lang w:val="en" w:eastAsia="en-AU"/>
        </w:rPr>
        <w:t xml:space="preserve">February census and the subsequent employment required to teach the </w:t>
      </w:r>
      <w:r w:rsidRPr="004D307F">
        <w:rPr>
          <w:rFonts w:ascii="VIC" w:eastAsia="Times New Roman" w:hAnsi="VIC" w:cs="Times New Roman"/>
          <w:color w:val="011A3C"/>
          <w:sz w:val="24"/>
          <w:szCs w:val="24"/>
          <w:lang w:val="en" w:eastAsia="en-AU"/>
        </w:rPr>
        <w:lastRenderedPageBreak/>
        <w:t>additional class</w:t>
      </w:r>
      <w:r w:rsidR="00D8442E" w:rsidRPr="004D307F">
        <w:rPr>
          <w:rFonts w:ascii="VIC" w:eastAsia="Times New Roman" w:hAnsi="VIC" w:cs="Times New Roman"/>
          <w:color w:val="011A3C"/>
          <w:sz w:val="24"/>
          <w:szCs w:val="24"/>
          <w:lang w:val="en" w:eastAsia="en-AU"/>
        </w:rPr>
        <w:t>. Employment details</w:t>
      </w:r>
      <w:r w:rsidRPr="004D307F">
        <w:rPr>
          <w:rFonts w:ascii="VIC" w:eastAsia="Times New Roman" w:hAnsi="VIC" w:cs="Times New Roman"/>
          <w:color w:val="011A3C"/>
          <w:sz w:val="24"/>
          <w:szCs w:val="24"/>
          <w:lang w:val="en" w:eastAsia="en-AU"/>
        </w:rPr>
        <w:t xml:space="preserve"> must include teacher name, </w:t>
      </w:r>
      <w:r w:rsidR="00D8442E" w:rsidRPr="004D307F">
        <w:rPr>
          <w:rFonts w:ascii="VIC" w:eastAsia="Times New Roman" w:hAnsi="VIC" w:cs="Times New Roman"/>
          <w:color w:val="011A3C"/>
          <w:sz w:val="24"/>
          <w:szCs w:val="24"/>
          <w:lang w:val="en" w:eastAsia="en-AU"/>
        </w:rPr>
        <w:t xml:space="preserve">PIN </w:t>
      </w:r>
      <w:r w:rsidRPr="004D307F">
        <w:rPr>
          <w:rFonts w:ascii="VIC" w:eastAsia="Times New Roman" w:hAnsi="VIC" w:cs="Times New Roman"/>
          <w:color w:val="011A3C"/>
          <w:sz w:val="24"/>
          <w:szCs w:val="24"/>
          <w:lang w:val="en" w:eastAsia="en-AU"/>
        </w:rPr>
        <w:t>number and date of employment, which must be post census.</w:t>
      </w:r>
    </w:p>
    <w:p w14:paraId="4D223DD6" w14:textId="77777777" w:rsidR="0024710E" w:rsidRPr="004D307F" w:rsidRDefault="0024710E" w:rsidP="0024710E">
      <w:pPr>
        <w:spacing w:after="0" w:line="240" w:lineRule="auto"/>
        <w:rPr>
          <w:rFonts w:ascii="VIC" w:eastAsia="Times New Roman" w:hAnsi="VIC" w:cs="Times New Roman"/>
          <w:color w:val="011A3C"/>
          <w:sz w:val="24"/>
          <w:szCs w:val="24"/>
          <w:lang w:val="en" w:eastAsia="en-AU"/>
        </w:rPr>
      </w:pPr>
    </w:p>
    <w:p w14:paraId="21798575" w14:textId="50D296CF" w:rsidR="00EA34C0" w:rsidRPr="004D307F" w:rsidRDefault="0024710E" w:rsidP="007E3304">
      <w:pPr>
        <w:spacing w:after="0" w:line="240" w:lineRule="auto"/>
        <w:rPr>
          <w:rFonts w:ascii="VIC" w:hAnsi="VIC"/>
        </w:rPr>
      </w:pPr>
      <w:r w:rsidRPr="004D307F">
        <w:rPr>
          <w:rFonts w:ascii="VIC" w:eastAsia="Times New Roman" w:hAnsi="VIC" w:cs="Times New Roman"/>
          <w:color w:val="011A3C"/>
          <w:sz w:val="24"/>
          <w:szCs w:val="24"/>
          <w:lang w:val="en" w:eastAsia="en-AU"/>
        </w:rPr>
        <w:t>The business case will be assessed by the Schools Finance and Resources Branch and a decision will be conveyed to the school and relevant regional officers.</w:t>
      </w:r>
    </w:p>
    <w:sectPr w:rsidR="00EA34C0" w:rsidRPr="004D307F" w:rsidSect="00A41342">
      <w:pgSz w:w="11906" w:h="16838"/>
      <w:pgMar w:top="1440" w:right="1440" w:bottom="1276" w:left="1440" w:header="708" w:footer="708" w:gutter="0"/>
      <w:pgBorders w:display="firstPage" w:offsetFrom="page">
        <w:top w:val="triple" w:sz="4" w:space="24" w:color="2F5496" w:themeColor="accent1" w:themeShade="BF"/>
        <w:left w:val="triple" w:sz="4" w:space="24" w:color="2F5496" w:themeColor="accent1" w:themeShade="BF"/>
        <w:bottom w:val="triple" w:sz="4" w:space="24" w:color="2F5496" w:themeColor="accent1" w:themeShade="BF"/>
        <w:right w:val="triple" w:sz="4" w:space="24" w:color="2F5496" w:themeColor="accent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43B3" w14:textId="77777777" w:rsidR="007B2600" w:rsidRDefault="007B2600" w:rsidP="00196C78">
      <w:pPr>
        <w:spacing w:after="0" w:line="240" w:lineRule="auto"/>
      </w:pPr>
      <w:r>
        <w:separator/>
      </w:r>
    </w:p>
    <w:p w14:paraId="42C8E4FF" w14:textId="77777777" w:rsidR="007B2600" w:rsidRDefault="007B2600"/>
  </w:endnote>
  <w:endnote w:type="continuationSeparator" w:id="0">
    <w:p w14:paraId="6CD31139" w14:textId="77777777" w:rsidR="007B2600" w:rsidRDefault="007B2600" w:rsidP="00196C78">
      <w:pPr>
        <w:spacing w:after="0" w:line="240" w:lineRule="auto"/>
      </w:pPr>
      <w:r>
        <w:continuationSeparator/>
      </w:r>
    </w:p>
    <w:p w14:paraId="7848AB65" w14:textId="77777777" w:rsidR="007B2600" w:rsidRDefault="007B2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IC">
    <w:altName w:val="Calibri"/>
    <w:panose1 w:val="00000500000000000000"/>
    <w:charset w:val="00"/>
    <w:family w:val="auto"/>
    <w:pitch w:val="variable"/>
    <w:sig w:usb0="00000007" w:usb1="00000000" w:usb2="00000000" w:usb3="00000000" w:csb0="00000093" w:csb1="00000000"/>
  </w:font>
  <w:font w:name="VIC-Regular">
    <w:altName w:val="Calibri"/>
    <w:charset w:val="00"/>
    <w:family w:val="auto"/>
    <w:pitch w:val="default"/>
  </w:font>
  <w:font w:name="VIC-Bold">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022E" w14:textId="77777777" w:rsidR="007B2600" w:rsidRDefault="007B2600" w:rsidP="00196C78">
      <w:pPr>
        <w:spacing w:after="0" w:line="240" w:lineRule="auto"/>
      </w:pPr>
      <w:r>
        <w:separator/>
      </w:r>
    </w:p>
    <w:p w14:paraId="2889878A" w14:textId="77777777" w:rsidR="007B2600" w:rsidRDefault="007B2600"/>
  </w:footnote>
  <w:footnote w:type="continuationSeparator" w:id="0">
    <w:p w14:paraId="00FCE697" w14:textId="77777777" w:rsidR="007B2600" w:rsidRDefault="007B2600" w:rsidP="00196C78">
      <w:pPr>
        <w:spacing w:after="0" w:line="240" w:lineRule="auto"/>
      </w:pPr>
      <w:r>
        <w:continuationSeparator/>
      </w:r>
    </w:p>
    <w:p w14:paraId="0126D0CD" w14:textId="77777777" w:rsidR="007B2600" w:rsidRDefault="007B26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DEC6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A92EB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9DEFB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7B6A1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3B014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D023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DC82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20C7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8A79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4021A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A35BE"/>
    <w:multiLevelType w:val="hybridMultilevel"/>
    <w:tmpl w:val="F468F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724AD6"/>
    <w:multiLevelType w:val="hybridMultilevel"/>
    <w:tmpl w:val="4AB0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0AE415D"/>
    <w:multiLevelType w:val="multilevel"/>
    <w:tmpl w:val="8288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0B42016"/>
    <w:multiLevelType w:val="multilevel"/>
    <w:tmpl w:val="2218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6B16F1"/>
    <w:multiLevelType w:val="multilevel"/>
    <w:tmpl w:val="A006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3050938"/>
    <w:multiLevelType w:val="hybridMultilevel"/>
    <w:tmpl w:val="96745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34C18C1"/>
    <w:multiLevelType w:val="multilevel"/>
    <w:tmpl w:val="9B78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53914A0"/>
    <w:multiLevelType w:val="multilevel"/>
    <w:tmpl w:val="D2F0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5C1845"/>
    <w:multiLevelType w:val="multilevel"/>
    <w:tmpl w:val="DD92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68C5E8A"/>
    <w:multiLevelType w:val="multilevel"/>
    <w:tmpl w:val="48E6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B57628"/>
    <w:multiLevelType w:val="multilevel"/>
    <w:tmpl w:val="454C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6B578F2"/>
    <w:multiLevelType w:val="multilevel"/>
    <w:tmpl w:val="7ABA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70B67CA"/>
    <w:multiLevelType w:val="multilevel"/>
    <w:tmpl w:val="E32A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7D81B49"/>
    <w:multiLevelType w:val="multilevel"/>
    <w:tmpl w:val="DC40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8136CB6"/>
    <w:multiLevelType w:val="multilevel"/>
    <w:tmpl w:val="DD92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A424EB"/>
    <w:multiLevelType w:val="multilevel"/>
    <w:tmpl w:val="2858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DA45A5"/>
    <w:multiLevelType w:val="hybridMultilevel"/>
    <w:tmpl w:val="17625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0A254EAF"/>
    <w:multiLevelType w:val="multilevel"/>
    <w:tmpl w:val="846E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4164E1"/>
    <w:multiLevelType w:val="hybridMultilevel"/>
    <w:tmpl w:val="C75EF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0C1B12B2"/>
    <w:multiLevelType w:val="multilevel"/>
    <w:tmpl w:val="B77E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D7911AD"/>
    <w:multiLevelType w:val="multilevel"/>
    <w:tmpl w:val="9F8AE4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0E6A1A88"/>
    <w:multiLevelType w:val="multilevel"/>
    <w:tmpl w:val="F86A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E8F4169"/>
    <w:multiLevelType w:val="hybridMultilevel"/>
    <w:tmpl w:val="2DAC7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0EBB56CD"/>
    <w:multiLevelType w:val="multilevel"/>
    <w:tmpl w:val="8732F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DD677A"/>
    <w:multiLevelType w:val="multilevel"/>
    <w:tmpl w:val="2276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927DF1"/>
    <w:multiLevelType w:val="multilevel"/>
    <w:tmpl w:val="C33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074E73"/>
    <w:multiLevelType w:val="multilevel"/>
    <w:tmpl w:val="D0FAC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3EC798B"/>
    <w:multiLevelType w:val="hybridMultilevel"/>
    <w:tmpl w:val="5CF212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43558C4"/>
    <w:multiLevelType w:val="multilevel"/>
    <w:tmpl w:val="3C00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4DF72F5"/>
    <w:multiLevelType w:val="multilevel"/>
    <w:tmpl w:val="C9CA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4ED00A5"/>
    <w:multiLevelType w:val="multilevel"/>
    <w:tmpl w:val="AC7A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AC2BAE"/>
    <w:multiLevelType w:val="multilevel"/>
    <w:tmpl w:val="BC8A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5B8745E"/>
    <w:multiLevelType w:val="hybridMultilevel"/>
    <w:tmpl w:val="33BAED40"/>
    <w:lvl w:ilvl="0" w:tplc="DF5C483E">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5D84219"/>
    <w:multiLevelType w:val="multilevel"/>
    <w:tmpl w:val="164C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5F47451"/>
    <w:multiLevelType w:val="multilevel"/>
    <w:tmpl w:val="1BEC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72D3BC9"/>
    <w:multiLevelType w:val="multilevel"/>
    <w:tmpl w:val="BF9E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7B35EA6"/>
    <w:multiLevelType w:val="multilevel"/>
    <w:tmpl w:val="C39E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A4D391D"/>
    <w:multiLevelType w:val="multilevel"/>
    <w:tmpl w:val="B468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A532964"/>
    <w:multiLevelType w:val="multilevel"/>
    <w:tmpl w:val="4FDA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805515"/>
    <w:multiLevelType w:val="multilevel"/>
    <w:tmpl w:val="96F4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C7613C9"/>
    <w:multiLevelType w:val="hybridMultilevel"/>
    <w:tmpl w:val="5888D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1D101A06"/>
    <w:multiLevelType w:val="multilevel"/>
    <w:tmpl w:val="2DA0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D2E1BF6"/>
    <w:multiLevelType w:val="multilevel"/>
    <w:tmpl w:val="AB706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DB97966"/>
    <w:multiLevelType w:val="multilevel"/>
    <w:tmpl w:val="1948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F04061B"/>
    <w:multiLevelType w:val="multilevel"/>
    <w:tmpl w:val="F44C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F4D7DAE"/>
    <w:multiLevelType w:val="multilevel"/>
    <w:tmpl w:val="7F80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0AE66E6"/>
    <w:multiLevelType w:val="multilevel"/>
    <w:tmpl w:val="AF5C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2E26099"/>
    <w:multiLevelType w:val="multilevel"/>
    <w:tmpl w:val="4D7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2F2445E"/>
    <w:multiLevelType w:val="multilevel"/>
    <w:tmpl w:val="2DA80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3413CBD"/>
    <w:multiLevelType w:val="multilevel"/>
    <w:tmpl w:val="B0CC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3BE57FD"/>
    <w:multiLevelType w:val="hybridMultilevel"/>
    <w:tmpl w:val="94D2CD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6F364C9"/>
    <w:multiLevelType w:val="multilevel"/>
    <w:tmpl w:val="7702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7220C58"/>
    <w:multiLevelType w:val="multilevel"/>
    <w:tmpl w:val="72A2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212638"/>
    <w:multiLevelType w:val="multilevel"/>
    <w:tmpl w:val="F100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921181E"/>
    <w:multiLevelType w:val="multilevel"/>
    <w:tmpl w:val="CED6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95A2F36"/>
    <w:multiLevelType w:val="multilevel"/>
    <w:tmpl w:val="CB6A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96E11E3"/>
    <w:multiLevelType w:val="hybridMultilevel"/>
    <w:tmpl w:val="FA7C342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7" w15:restartNumberingAfterBreak="0">
    <w:nsid w:val="298A414E"/>
    <w:multiLevelType w:val="hybridMultilevel"/>
    <w:tmpl w:val="017430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299039BF"/>
    <w:multiLevelType w:val="multilevel"/>
    <w:tmpl w:val="4C5A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A653046"/>
    <w:multiLevelType w:val="multilevel"/>
    <w:tmpl w:val="5D8E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ACE577C"/>
    <w:multiLevelType w:val="multilevel"/>
    <w:tmpl w:val="08FA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AD9060A"/>
    <w:multiLevelType w:val="multilevel"/>
    <w:tmpl w:val="B236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B6C0F7C"/>
    <w:multiLevelType w:val="multilevel"/>
    <w:tmpl w:val="5BD0A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C487DFF"/>
    <w:multiLevelType w:val="multilevel"/>
    <w:tmpl w:val="DD92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D3E720C"/>
    <w:multiLevelType w:val="multilevel"/>
    <w:tmpl w:val="228C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E000356"/>
    <w:multiLevelType w:val="multilevel"/>
    <w:tmpl w:val="5E54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E1228D3"/>
    <w:multiLevelType w:val="multilevel"/>
    <w:tmpl w:val="B44A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E1B100D"/>
    <w:multiLevelType w:val="multilevel"/>
    <w:tmpl w:val="D9C4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E3A2B3C"/>
    <w:multiLevelType w:val="multilevel"/>
    <w:tmpl w:val="D514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E5F365C"/>
    <w:multiLevelType w:val="multilevel"/>
    <w:tmpl w:val="31CC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EB2278F"/>
    <w:multiLevelType w:val="multilevel"/>
    <w:tmpl w:val="C5FE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FD9458C"/>
    <w:multiLevelType w:val="multilevel"/>
    <w:tmpl w:val="8B4E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029419D"/>
    <w:multiLevelType w:val="multilevel"/>
    <w:tmpl w:val="BC82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0BD790D"/>
    <w:multiLevelType w:val="hybridMultilevel"/>
    <w:tmpl w:val="79983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35E43B37"/>
    <w:multiLevelType w:val="multilevel"/>
    <w:tmpl w:val="C98C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66919AB"/>
    <w:multiLevelType w:val="multilevel"/>
    <w:tmpl w:val="DCF8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786420C"/>
    <w:multiLevelType w:val="hybridMultilevel"/>
    <w:tmpl w:val="BF2A5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7A915A0"/>
    <w:multiLevelType w:val="hybridMultilevel"/>
    <w:tmpl w:val="9872B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3820715C"/>
    <w:multiLevelType w:val="multilevel"/>
    <w:tmpl w:val="6052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8955F8A"/>
    <w:multiLevelType w:val="multilevel"/>
    <w:tmpl w:val="F7B4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6B6EE1"/>
    <w:multiLevelType w:val="multilevel"/>
    <w:tmpl w:val="DB02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9C91DAD"/>
    <w:multiLevelType w:val="multilevel"/>
    <w:tmpl w:val="6470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A50482D"/>
    <w:multiLevelType w:val="hybridMultilevel"/>
    <w:tmpl w:val="4E9E57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3" w15:restartNumberingAfterBreak="0">
    <w:nsid w:val="3B10190E"/>
    <w:multiLevelType w:val="multilevel"/>
    <w:tmpl w:val="CD0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BEA4EF8"/>
    <w:multiLevelType w:val="multilevel"/>
    <w:tmpl w:val="87FE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C122EA0"/>
    <w:multiLevelType w:val="multilevel"/>
    <w:tmpl w:val="DDE2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EF03672"/>
    <w:multiLevelType w:val="multilevel"/>
    <w:tmpl w:val="D3F8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FA27D9F"/>
    <w:multiLevelType w:val="multilevel"/>
    <w:tmpl w:val="2230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FC4118C"/>
    <w:multiLevelType w:val="multilevel"/>
    <w:tmpl w:val="BF58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0413FBB"/>
    <w:multiLevelType w:val="hybridMultilevel"/>
    <w:tmpl w:val="442472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08C7A09"/>
    <w:multiLevelType w:val="multilevel"/>
    <w:tmpl w:val="E4DA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5E34E2"/>
    <w:multiLevelType w:val="hybridMultilevel"/>
    <w:tmpl w:val="FE92C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3C3412D"/>
    <w:multiLevelType w:val="multilevel"/>
    <w:tmpl w:val="3A0E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4274D56"/>
    <w:multiLevelType w:val="hybridMultilevel"/>
    <w:tmpl w:val="D51C15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4" w15:restartNumberingAfterBreak="0">
    <w:nsid w:val="45AF13BA"/>
    <w:multiLevelType w:val="multilevel"/>
    <w:tmpl w:val="DD92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D41AAB"/>
    <w:multiLevelType w:val="multilevel"/>
    <w:tmpl w:val="804A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8633AA6"/>
    <w:multiLevelType w:val="multilevel"/>
    <w:tmpl w:val="4A4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9E510BE"/>
    <w:multiLevelType w:val="multilevel"/>
    <w:tmpl w:val="093C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C6F7F1C"/>
    <w:multiLevelType w:val="multilevel"/>
    <w:tmpl w:val="6564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C952DC5"/>
    <w:multiLevelType w:val="hybridMultilevel"/>
    <w:tmpl w:val="41EEC2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4D03357C"/>
    <w:multiLevelType w:val="multilevel"/>
    <w:tmpl w:val="2EDC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E067BB0"/>
    <w:multiLevelType w:val="multilevel"/>
    <w:tmpl w:val="E87C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E6F3D22"/>
    <w:multiLevelType w:val="hybridMultilevel"/>
    <w:tmpl w:val="09C88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4E9D2FDF"/>
    <w:multiLevelType w:val="multilevel"/>
    <w:tmpl w:val="737E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F3C049E"/>
    <w:multiLevelType w:val="multilevel"/>
    <w:tmpl w:val="8E16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00926AD"/>
    <w:multiLevelType w:val="multilevel"/>
    <w:tmpl w:val="D33C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0307CFB"/>
    <w:multiLevelType w:val="hybridMultilevel"/>
    <w:tmpl w:val="CB527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7" w15:restartNumberingAfterBreak="0">
    <w:nsid w:val="515903AF"/>
    <w:multiLevelType w:val="multilevel"/>
    <w:tmpl w:val="18FA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1D40B62"/>
    <w:multiLevelType w:val="hybridMultilevel"/>
    <w:tmpl w:val="D04C7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520F4527"/>
    <w:multiLevelType w:val="multilevel"/>
    <w:tmpl w:val="3424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41F6525"/>
    <w:multiLevelType w:val="multilevel"/>
    <w:tmpl w:val="1DE4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43E218A"/>
    <w:multiLevelType w:val="hybridMultilevel"/>
    <w:tmpl w:val="C3123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4A32F53"/>
    <w:multiLevelType w:val="multilevel"/>
    <w:tmpl w:val="6D64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4F6173A"/>
    <w:multiLevelType w:val="multilevel"/>
    <w:tmpl w:val="777A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5462578"/>
    <w:multiLevelType w:val="multilevel"/>
    <w:tmpl w:val="3ED4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55850DC"/>
    <w:multiLevelType w:val="multilevel"/>
    <w:tmpl w:val="B2BC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64E3B6A"/>
    <w:multiLevelType w:val="multilevel"/>
    <w:tmpl w:val="3432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66228DC"/>
    <w:multiLevelType w:val="hybridMultilevel"/>
    <w:tmpl w:val="1C6A9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56954BB1"/>
    <w:multiLevelType w:val="multilevel"/>
    <w:tmpl w:val="34EC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74B1D4D"/>
    <w:multiLevelType w:val="multilevel"/>
    <w:tmpl w:val="81E2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8074E74"/>
    <w:multiLevelType w:val="hybridMultilevel"/>
    <w:tmpl w:val="FAECBF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84767FA"/>
    <w:multiLevelType w:val="multilevel"/>
    <w:tmpl w:val="5B80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9A6069B"/>
    <w:multiLevelType w:val="multilevel"/>
    <w:tmpl w:val="3722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A2170A8"/>
    <w:multiLevelType w:val="multilevel"/>
    <w:tmpl w:val="54C4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B2725F3"/>
    <w:multiLevelType w:val="multilevel"/>
    <w:tmpl w:val="1DFA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B8D7700"/>
    <w:multiLevelType w:val="multilevel"/>
    <w:tmpl w:val="3340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BCB31D7"/>
    <w:multiLevelType w:val="hybridMultilevel"/>
    <w:tmpl w:val="743EF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5CE91350"/>
    <w:multiLevelType w:val="multilevel"/>
    <w:tmpl w:val="15B6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D0E3219"/>
    <w:multiLevelType w:val="multilevel"/>
    <w:tmpl w:val="4EFA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E106697"/>
    <w:multiLevelType w:val="multilevel"/>
    <w:tmpl w:val="FC2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EBB0334"/>
    <w:multiLevelType w:val="multilevel"/>
    <w:tmpl w:val="3E02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EE65EEC"/>
    <w:multiLevelType w:val="hybridMultilevel"/>
    <w:tmpl w:val="E2080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5F7846EA"/>
    <w:multiLevelType w:val="multilevel"/>
    <w:tmpl w:val="83E2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F88318E"/>
    <w:multiLevelType w:val="hybridMultilevel"/>
    <w:tmpl w:val="9D4CE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5FE17918"/>
    <w:multiLevelType w:val="multilevel"/>
    <w:tmpl w:val="BDFE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1832820"/>
    <w:multiLevelType w:val="multilevel"/>
    <w:tmpl w:val="256C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325601C"/>
    <w:multiLevelType w:val="hybridMultilevel"/>
    <w:tmpl w:val="36269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63CF4F71"/>
    <w:multiLevelType w:val="multilevel"/>
    <w:tmpl w:val="DA86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3DE0543"/>
    <w:multiLevelType w:val="hybridMultilevel"/>
    <w:tmpl w:val="32C4DF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9" w15:restartNumberingAfterBreak="0">
    <w:nsid w:val="63F501CB"/>
    <w:multiLevelType w:val="multilevel"/>
    <w:tmpl w:val="D238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46E2299"/>
    <w:multiLevelType w:val="multilevel"/>
    <w:tmpl w:val="DF80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4A26635"/>
    <w:multiLevelType w:val="multilevel"/>
    <w:tmpl w:val="98DE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543189E"/>
    <w:multiLevelType w:val="multilevel"/>
    <w:tmpl w:val="3C76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5640405"/>
    <w:multiLevelType w:val="multilevel"/>
    <w:tmpl w:val="D5CA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7060BA1"/>
    <w:multiLevelType w:val="hybridMultilevel"/>
    <w:tmpl w:val="C82A6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7A16000"/>
    <w:multiLevelType w:val="multilevel"/>
    <w:tmpl w:val="5F46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82B033A"/>
    <w:multiLevelType w:val="multilevel"/>
    <w:tmpl w:val="03A2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92C7FB8"/>
    <w:multiLevelType w:val="multilevel"/>
    <w:tmpl w:val="F9B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A160B9C"/>
    <w:multiLevelType w:val="hybridMultilevel"/>
    <w:tmpl w:val="026C6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6A1E3C9D"/>
    <w:multiLevelType w:val="multilevel"/>
    <w:tmpl w:val="2708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A690E00"/>
    <w:multiLevelType w:val="multilevel"/>
    <w:tmpl w:val="6E6E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A940C97"/>
    <w:multiLevelType w:val="multilevel"/>
    <w:tmpl w:val="4C32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B9C7B0D"/>
    <w:multiLevelType w:val="multilevel"/>
    <w:tmpl w:val="F03A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BB000B9"/>
    <w:multiLevelType w:val="multilevel"/>
    <w:tmpl w:val="BF44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BE5745E"/>
    <w:multiLevelType w:val="multilevel"/>
    <w:tmpl w:val="FE4A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6E95280E"/>
    <w:multiLevelType w:val="multilevel"/>
    <w:tmpl w:val="A172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EBF6E60"/>
    <w:multiLevelType w:val="multilevel"/>
    <w:tmpl w:val="4028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F293915"/>
    <w:multiLevelType w:val="multilevel"/>
    <w:tmpl w:val="2212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1EE1048"/>
    <w:multiLevelType w:val="multilevel"/>
    <w:tmpl w:val="7F6A7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2794A5F"/>
    <w:multiLevelType w:val="multilevel"/>
    <w:tmpl w:val="A45C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2F04089"/>
    <w:multiLevelType w:val="multilevel"/>
    <w:tmpl w:val="2C22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3EF7BC9"/>
    <w:multiLevelType w:val="multilevel"/>
    <w:tmpl w:val="54CC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51445B0"/>
    <w:multiLevelType w:val="multilevel"/>
    <w:tmpl w:val="8A7E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56C7759"/>
    <w:multiLevelType w:val="hybridMultilevel"/>
    <w:tmpl w:val="A2FE8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75871B30"/>
    <w:multiLevelType w:val="hybridMultilevel"/>
    <w:tmpl w:val="7EC6F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75C97571"/>
    <w:multiLevelType w:val="multilevel"/>
    <w:tmpl w:val="68CE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75B2562"/>
    <w:multiLevelType w:val="multilevel"/>
    <w:tmpl w:val="C158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8D9740D"/>
    <w:multiLevelType w:val="multilevel"/>
    <w:tmpl w:val="D04E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A195956"/>
    <w:multiLevelType w:val="multilevel"/>
    <w:tmpl w:val="01A4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A9D3DC3"/>
    <w:multiLevelType w:val="multilevel"/>
    <w:tmpl w:val="5CDE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CE36996"/>
    <w:multiLevelType w:val="multilevel"/>
    <w:tmpl w:val="F9B0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DD4122C"/>
    <w:multiLevelType w:val="multilevel"/>
    <w:tmpl w:val="8D66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F117506"/>
    <w:multiLevelType w:val="multilevel"/>
    <w:tmpl w:val="8D6C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0144008">
    <w:abstractNumId w:val="153"/>
  </w:num>
  <w:num w:numId="2" w16cid:durableId="2088571547">
    <w:abstractNumId w:val="45"/>
  </w:num>
  <w:num w:numId="3" w16cid:durableId="1674721605">
    <w:abstractNumId w:val="43"/>
  </w:num>
  <w:num w:numId="4" w16cid:durableId="1915358688">
    <w:abstractNumId w:val="16"/>
  </w:num>
  <w:num w:numId="5" w16cid:durableId="354313821">
    <w:abstractNumId w:val="25"/>
  </w:num>
  <w:num w:numId="6" w16cid:durableId="956720127">
    <w:abstractNumId w:val="80"/>
  </w:num>
  <w:num w:numId="7" w16cid:durableId="1648705525">
    <w:abstractNumId w:val="38"/>
  </w:num>
  <w:num w:numId="8" w16cid:durableId="1220246452">
    <w:abstractNumId w:val="140"/>
  </w:num>
  <w:num w:numId="9" w16cid:durableId="1353072069">
    <w:abstractNumId w:val="74"/>
  </w:num>
  <w:num w:numId="10" w16cid:durableId="776097121">
    <w:abstractNumId w:val="150"/>
  </w:num>
  <w:num w:numId="11" w16cid:durableId="873538875">
    <w:abstractNumId w:val="97"/>
  </w:num>
  <w:num w:numId="12" w16cid:durableId="337077459">
    <w:abstractNumId w:val="44"/>
  </w:num>
  <w:num w:numId="13" w16cid:durableId="1394233983">
    <w:abstractNumId w:val="151"/>
  </w:num>
  <w:num w:numId="14" w16cid:durableId="679740585">
    <w:abstractNumId w:val="120"/>
  </w:num>
  <w:num w:numId="15" w16cid:durableId="6636495">
    <w:abstractNumId w:val="36"/>
  </w:num>
  <w:num w:numId="16" w16cid:durableId="1762868858">
    <w:abstractNumId w:val="147"/>
  </w:num>
  <w:num w:numId="17" w16cid:durableId="1197891291">
    <w:abstractNumId w:val="95"/>
  </w:num>
  <w:num w:numId="18" w16cid:durableId="1018895690">
    <w:abstractNumId w:val="56"/>
  </w:num>
  <w:num w:numId="19" w16cid:durableId="1572233781">
    <w:abstractNumId w:val="31"/>
  </w:num>
  <w:num w:numId="20" w16cid:durableId="1948193870">
    <w:abstractNumId w:val="105"/>
  </w:num>
  <w:num w:numId="21" w16cid:durableId="1826318516">
    <w:abstractNumId w:val="172"/>
  </w:num>
  <w:num w:numId="22" w16cid:durableId="344985569">
    <w:abstractNumId w:val="119"/>
  </w:num>
  <w:num w:numId="23" w16cid:durableId="2103211325">
    <w:abstractNumId w:val="163"/>
  </w:num>
  <w:num w:numId="24" w16cid:durableId="340162868">
    <w:abstractNumId w:val="78"/>
  </w:num>
  <w:num w:numId="25" w16cid:durableId="1040976871">
    <w:abstractNumId w:val="57"/>
  </w:num>
  <w:num w:numId="26" w16cid:durableId="1756200072">
    <w:abstractNumId w:val="145"/>
  </w:num>
  <w:num w:numId="27" w16cid:durableId="2023780308">
    <w:abstractNumId w:val="177"/>
  </w:num>
  <w:num w:numId="28" w16cid:durableId="1493372062">
    <w:abstractNumId w:val="157"/>
  </w:num>
  <w:num w:numId="29" w16cid:durableId="1267232479">
    <w:abstractNumId w:val="69"/>
  </w:num>
  <w:num w:numId="30" w16cid:durableId="1377461684">
    <w:abstractNumId w:val="102"/>
  </w:num>
  <w:num w:numId="31" w16cid:durableId="182015746">
    <w:abstractNumId w:val="29"/>
  </w:num>
  <w:num w:numId="32" w16cid:durableId="699743047">
    <w:abstractNumId w:val="88"/>
  </w:num>
  <w:num w:numId="33" w16cid:durableId="125704379">
    <w:abstractNumId w:val="165"/>
  </w:num>
  <w:num w:numId="34" w16cid:durableId="1522084607">
    <w:abstractNumId w:val="126"/>
  </w:num>
  <w:num w:numId="35" w16cid:durableId="538011966">
    <w:abstractNumId w:val="171"/>
  </w:num>
  <w:num w:numId="36" w16cid:durableId="2122727021">
    <w:abstractNumId w:val="160"/>
  </w:num>
  <w:num w:numId="37" w16cid:durableId="1942296330">
    <w:abstractNumId w:val="82"/>
  </w:num>
  <w:num w:numId="38" w16cid:durableId="607155540">
    <w:abstractNumId w:val="17"/>
  </w:num>
  <w:num w:numId="39" w16cid:durableId="338850407">
    <w:abstractNumId w:val="34"/>
  </w:num>
  <w:num w:numId="40" w16cid:durableId="885139571">
    <w:abstractNumId w:val="115"/>
  </w:num>
  <w:num w:numId="41" w16cid:durableId="1399353793">
    <w:abstractNumId w:val="161"/>
  </w:num>
  <w:num w:numId="42" w16cid:durableId="444152687">
    <w:abstractNumId w:val="40"/>
  </w:num>
  <w:num w:numId="43" w16cid:durableId="1864435950">
    <w:abstractNumId w:val="142"/>
  </w:num>
  <w:num w:numId="44" w16cid:durableId="806044749">
    <w:abstractNumId w:val="39"/>
  </w:num>
  <w:num w:numId="45" w16cid:durableId="1533154093">
    <w:abstractNumId w:val="178"/>
  </w:num>
  <w:num w:numId="46" w16cid:durableId="1369062589">
    <w:abstractNumId w:val="62"/>
  </w:num>
  <w:num w:numId="47" w16cid:durableId="430512240">
    <w:abstractNumId w:val="75"/>
  </w:num>
  <w:num w:numId="48" w16cid:durableId="471600689">
    <w:abstractNumId w:val="123"/>
  </w:num>
  <w:num w:numId="49" w16cid:durableId="526912492">
    <w:abstractNumId w:val="164"/>
  </w:num>
  <w:num w:numId="50" w16cid:durableId="566309602">
    <w:abstractNumId w:val="113"/>
  </w:num>
  <w:num w:numId="51" w16cid:durableId="733704612">
    <w:abstractNumId w:val="173"/>
  </w:num>
  <w:num w:numId="52" w16cid:durableId="1077947351">
    <w:abstractNumId w:val="155"/>
  </w:num>
  <w:num w:numId="53" w16cid:durableId="484249418">
    <w:abstractNumId w:val="30"/>
  </w:num>
  <w:num w:numId="54" w16cid:durableId="406654675">
    <w:abstractNumId w:val="86"/>
  </w:num>
  <w:num w:numId="55" w16cid:durableId="1847748331">
    <w:abstractNumId w:val="73"/>
  </w:num>
  <w:num w:numId="56" w16cid:durableId="956328487">
    <w:abstractNumId w:val="139"/>
  </w:num>
  <w:num w:numId="57" w16cid:durableId="42600908">
    <w:abstractNumId w:val="72"/>
  </w:num>
  <w:num w:numId="58" w16cid:durableId="1282881285">
    <w:abstractNumId w:val="48"/>
  </w:num>
  <w:num w:numId="59" w16cid:durableId="1962373810">
    <w:abstractNumId w:val="22"/>
  </w:num>
  <w:num w:numId="60" w16cid:durableId="391659259">
    <w:abstractNumId w:val="168"/>
  </w:num>
  <w:num w:numId="61" w16cid:durableId="1102188163">
    <w:abstractNumId w:val="20"/>
  </w:num>
  <w:num w:numId="62" w16cid:durableId="1176461370">
    <w:abstractNumId w:val="21"/>
  </w:num>
  <w:num w:numId="63" w16cid:durableId="8337962">
    <w:abstractNumId w:val="129"/>
  </w:num>
  <w:num w:numId="64" w16cid:durableId="475874564">
    <w:abstractNumId w:val="100"/>
  </w:num>
  <w:num w:numId="65" w16cid:durableId="2083259710">
    <w:abstractNumId w:val="68"/>
  </w:num>
  <w:num w:numId="66" w16cid:durableId="2076732228">
    <w:abstractNumId w:val="14"/>
  </w:num>
  <w:num w:numId="67" w16cid:durableId="291593252">
    <w:abstractNumId w:val="125"/>
  </w:num>
  <w:num w:numId="68" w16cid:durableId="181407683">
    <w:abstractNumId w:val="176"/>
  </w:num>
  <w:num w:numId="69" w16cid:durableId="1201089729">
    <w:abstractNumId w:val="114"/>
  </w:num>
  <w:num w:numId="70" w16cid:durableId="386874633">
    <w:abstractNumId w:val="181"/>
  </w:num>
  <w:num w:numId="71" w16cid:durableId="176776635">
    <w:abstractNumId w:val="137"/>
  </w:num>
  <w:num w:numId="72" w16cid:durableId="815605229">
    <w:abstractNumId w:val="94"/>
  </w:num>
  <w:num w:numId="73" w16cid:durableId="803351418">
    <w:abstractNumId w:val="135"/>
  </w:num>
  <w:num w:numId="74" w16cid:durableId="1818296820">
    <w:abstractNumId w:val="182"/>
  </w:num>
  <w:num w:numId="75" w16cid:durableId="1589801640">
    <w:abstractNumId w:val="106"/>
  </w:num>
  <w:num w:numId="76" w16cid:durableId="1757557584">
    <w:abstractNumId w:val="124"/>
  </w:num>
  <w:num w:numId="77" w16cid:durableId="317465508">
    <w:abstractNumId w:val="65"/>
  </w:num>
  <w:num w:numId="78" w16cid:durableId="1608347416">
    <w:abstractNumId w:val="61"/>
  </w:num>
  <w:num w:numId="79" w16cid:durableId="234437103">
    <w:abstractNumId w:val="77"/>
  </w:num>
  <w:num w:numId="80" w16cid:durableId="444928699">
    <w:abstractNumId w:val="175"/>
  </w:num>
  <w:num w:numId="81" w16cid:durableId="840005352">
    <w:abstractNumId w:val="37"/>
  </w:num>
  <w:num w:numId="82" w16cid:durableId="120390802">
    <w:abstractNumId w:val="70"/>
  </w:num>
  <w:num w:numId="83" w16cid:durableId="737560843">
    <w:abstractNumId w:val="27"/>
  </w:num>
  <w:num w:numId="84" w16cid:durableId="333144265">
    <w:abstractNumId w:val="138"/>
  </w:num>
  <w:num w:numId="85" w16cid:durableId="1186096035">
    <w:abstractNumId w:val="93"/>
  </w:num>
  <w:num w:numId="86" w16cid:durableId="1670402294">
    <w:abstractNumId w:val="13"/>
  </w:num>
  <w:num w:numId="87" w16cid:durableId="117140117">
    <w:abstractNumId w:val="179"/>
  </w:num>
  <w:num w:numId="88" w16cid:durableId="565339585">
    <w:abstractNumId w:val="81"/>
  </w:num>
  <w:num w:numId="89" w16cid:durableId="2056467017">
    <w:abstractNumId w:val="91"/>
  </w:num>
  <w:num w:numId="90" w16cid:durableId="147089440">
    <w:abstractNumId w:val="49"/>
  </w:num>
  <w:num w:numId="91" w16cid:durableId="1430276321">
    <w:abstractNumId w:val="47"/>
  </w:num>
  <w:num w:numId="92" w16cid:durableId="1189175846">
    <w:abstractNumId w:val="55"/>
  </w:num>
  <w:num w:numId="93" w16cid:durableId="308557567">
    <w:abstractNumId w:val="154"/>
  </w:num>
  <w:num w:numId="94" w16cid:durableId="1545097944">
    <w:abstractNumId w:val="134"/>
  </w:num>
  <w:num w:numId="95" w16cid:durableId="266696312">
    <w:abstractNumId w:val="133"/>
  </w:num>
  <w:num w:numId="96" w16cid:durableId="409429360">
    <w:abstractNumId w:val="158"/>
  </w:num>
  <w:num w:numId="97" w16cid:durableId="1033309907">
    <w:abstractNumId w:val="63"/>
  </w:num>
  <w:num w:numId="98" w16cid:durableId="251281772">
    <w:abstractNumId w:val="122"/>
  </w:num>
  <w:num w:numId="99" w16cid:durableId="1959871978">
    <w:abstractNumId w:val="54"/>
  </w:num>
  <w:num w:numId="100" w16cid:durableId="1718043588">
    <w:abstractNumId w:val="149"/>
  </w:num>
  <w:num w:numId="101" w16cid:durableId="135071840">
    <w:abstractNumId w:val="19"/>
  </w:num>
  <w:num w:numId="102" w16cid:durableId="1466200355">
    <w:abstractNumId w:val="12"/>
  </w:num>
  <w:num w:numId="103" w16cid:durableId="1395156274">
    <w:abstractNumId w:val="84"/>
  </w:num>
  <w:num w:numId="104" w16cid:durableId="1356423720">
    <w:abstractNumId w:val="46"/>
  </w:num>
  <w:num w:numId="105" w16cid:durableId="2052149274">
    <w:abstractNumId w:val="85"/>
  </w:num>
  <w:num w:numId="106" w16cid:durableId="1748766818">
    <w:abstractNumId w:val="132"/>
  </w:num>
  <w:num w:numId="107" w16cid:durableId="403645702">
    <w:abstractNumId w:val="180"/>
  </w:num>
  <w:num w:numId="108" w16cid:durableId="207769399">
    <w:abstractNumId w:val="170"/>
  </w:num>
  <w:num w:numId="109" w16cid:durableId="51738696">
    <w:abstractNumId w:val="23"/>
  </w:num>
  <w:num w:numId="110" w16cid:durableId="542407773">
    <w:abstractNumId w:val="156"/>
  </w:num>
  <w:num w:numId="111" w16cid:durableId="251353818">
    <w:abstractNumId w:val="35"/>
  </w:num>
  <w:num w:numId="112" w16cid:durableId="401678582">
    <w:abstractNumId w:val="117"/>
  </w:num>
  <w:num w:numId="113" w16cid:durableId="737556638">
    <w:abstractNumId w:val="144"/>
  </w:num>
  <w:num w:numId="114" w16cid:durableId="1671978429">
    <w:abstractNumId w:val="162"/>
  </w:num>
  <w:num w:numId="115" w16cid:durableId="439418883">
    <w:abstractNumId w:val="183"/>
  </w:num>
  <w:num w:numId="116" w16cid:durableId="1240484235">
    <w:abstractNumId w:val="41"/>
  </w:num>
  <w:num w:numId="117" w16cid:durableId="128322852">
    <w:abstractNumId w:val="167"/>
  </w:num>
  <w:num w:numId="118" w16cid:durableId="1101219176">
    <w:abstractNumId w:val="52"/>
  </w:num>
  <w:num w:numId="119" w16cid:durableId="1451167067">
    <w:abstractNumId w:val="51"/>
  </w:num>
  <w:num w:numId="120" w16cid:durableId="555555933">
    <w:abstractNumId w:val="128"/>
  </w:num>
  <w:num w:numId="121" w16cid:durableId="663093580">
    <w:abstractNumId w:val="64"/>
  </w:num>
  <w:num w:numId="122" w16cid:durableId="1776368800">
    <w:abstractNumId w:val="71"/>
  </w:num>
  <w:num w:numId="123" w16cid:durableId="671374535">
    <w:abstractNumId w:val="79"/>
  </w:num>
  <w:num w:numId="124" w16cid:durableId="1494762570">
    <w:abstractNumId w:val="166"/>
  </w:num>
  <w:num w:numId="125" w16cid:durableId="1722749112">
    <w:abstractNumId w:val="108"/>
  </w:num>
  <w:num w:numId="126" w16cid:durableId="1248729995">
    <w:abstractNumId w:val="58"/>
  </w:num>
  <w:num w:numId="127" w16cid:durableId="1029913268">
    <w:abstractNumId w:val="110"/>
  </w:num>
  <w:num w:numId="128" w16cid:durableId="42026586">
    <w:abstractNumId w:val="131"/>
  </w:num>
  <w:num w:numId="129" w16cid:durableId="84689000">
    <w:abstractNumId w:val="76"/>
  </w:num>
  <w:num w:numId="130" w16cid:durableId="1994794277">
    <w:abstractNumId w:val="42"/>
  </w:num>
  <w:num w:numId="131" w16cid:durableId="1307776674">
    <w:abstractNumId w:val="18"/>
  </w:num>
  <w:num w:numId="132" w16cid:durableId="1397240367">
    <w:abstractNumId w:val="24"/>
  </w:num>
  <w:num w:numId="133" w16cid:durableId="917322756">
    <w:abstractNumId w:val="104"/>
  </w:num>
  <w:num w:numId="134" w16cid:durableId="1983801345">
    <w:abstractNumId w:val="32"/>
  </w:num>
  <w:num w:numId="135" w16cid:durableId="1676765232">
    <w:abstractNumId w:val="112"/>
  </w:num>
  <w:num w:numId="136" w16cid:durableId="1988707017">
    <w:abstractNumId w:val="159"/>
  </w:num>
  <w:num w:numId="137" w16cid:durableId="1964848451">
    <w:abstractNumId w:val="86"/>
  </w:num>
  <w:num w:numId="138" w16cid:durableId="950210839">
    <w:abstractNumId w:val="146"/>
  </w:num>
  <w:num w:numId="139" w16cid:durableId="1007945020">
    <w:abstractNumId w:val="169"/>
  </w:num>
  <w:num w:numId="140" w16cid:durableId="77213650">
    <w:abstractNumId w:val="33"/>
  </w:num>
  <w:num w:numId="141" w16cid:durableId="307980026">
    <w:abstractNumId w:val="152"/>
  </w:num>
  <w:num w:numId="142" w16cid:durableId="1373189043">
    <w:abstractNumId w:val="118"/>
  </w:num>
  <w:num w:numId="143" w16cid:durableId="1330206750">
    <w:abstractNumId w:val="26"/>
  </w:num>
  <w:num w:numId="144" w16cid:durableId="966468277">
    <w:abstractNumId w:val="111"/>
  </w:num>
  <w:num w:numId="145" w16cid:durableId="1296596821">
    <w:abstractNumId w:val="11"/>
  </w:num>
  <w:num w:numId="146" w16cid:durableId="1602839258">
    <w:abstractNumId w:val="103"/>
  </w:num>
  <w:num w:numId="147" w16cid:durableId="1255169590">
    <w:abstractNumId w:val="15"/>
  </w:num>
  <w:num w:numId="148" w16cid:durableId="723599757">
    <w:abstractNumId w:val="148"/>
  </w:num>
  <w:num w:numId="149" w16cid:durableId="394743222">
    <w:abstractNumId w:val="98"/>
  </w:num>
  <w:num w:numId="150" w16cid:durableId="1906408960">
    <w:abstractNumId w:val="53"/>
  </w:num>
  <w:num w:numId="151" w16cid:durableId="563419569">
    <w:abstractNumId w:val="90"/>
  </w:num>
  <w:num w:numId="152" w16cid:durableId="1972250481">
    <w:abstractNumId w:val="96"/>
  </w:num>
  <w:num w:numId="153" w16cid:durableId="1609434432">
    <w:abstractNumId w:val="28"/>
  </w:num>
  <w:num w:numId="154" w16cid:durableId="323320392">
    <w:abstractNumId w:val="143"/>
  </w:num>
  <w:num w:numId="155" w16cid:durableId="875236604">
    <w:abstractNumId w:val="66"/>
  </w:num>
  <w:num w:numId="156" w16cid:durableId="2023240214">
    <w:abstractNumId w:val="127"/>
  </w:num>
  <w:num w:numId="157" w16cid:durableId="73402977">
    <w:abstractNumId w:val="107"/>
  </w:num>
  <w:num w:numId="158" w16cid:durableId="1866020577">
    <w:abstractNumId w:val="136"/>
  </w:num>
  <w:num w:numId="159" w16cid:durableId="1450473987">
    <w:abstractNumId w:val="10"/>
  </w:num>
  <w:num w:numId="160" w16cid:durableId="381636793">
    <w:abstractNumId w:val="87"/>
  </w:num>
  <w:num w:numId="161" w16cid:durableId="1775175970">
    <w:abstractNumId w:val="121"/>
  </w:num>
  <w:num w:numId="162" w16cid:durableId="1263340177">
    <w:abstractNumId w:val="141"/>
  </w:num>
  <w:num w:numId="163" w16cid:durableId="607393250">
    <w:abstractNumId w:val="174"/>
  </w:num>
  <w:num w:numId="164" w16cid:durableId="586840428">
    <w:abstractNumId w:val="89"/>
  </w:num>
  <w:num w:numId="165" w16cid:durableId="68618083">
    <w:abstractNumId w:val="101"/>
  </w:num>
  <w:num w:numId="166" w16cid:durableId="1408377921">
    <w:abstractNumId w:val="86"/>
  </w:num>
  <w:num w:numId="167" w16cid:durableId="1222670528">
    <w:abstractNumId w:val="92"/>
  </w:num>
  <w:num w:numId="168" w16cid:durableId="1635982825">
    <w:abstractNumId w:val="59"/>
  </w:num>
  <w:num w:numId="169" w16cid:durableId="101175797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718361007">
    <w:abstractNumId w:val="67"/>
  </w:num>
  <w:num w:numId="171" w16cid:durableId="1093084265">
    <w:abstractNumId w:val="9"/>
  </w:num>
  <w:num w:numId="172" w16cid:durableId="52580124">
    <w:abstractNumId w:val="7"/>
  </w:num>
  <w:num w:numId="173" w16cid:durableId="325481411">
    <w:abstractNumId w:val="6"/>
  </w:num>
  <w:num w:numId="174" w16cid:durableId="379746243">
    <w:abstractNumId w:val="5"/>
  </w:num>
  <w:num w:numId="175" w16cid:durableId="727412191">
    <w:abstractNumId w:val="4"/>
  </w:num>
  <w:num w:numId="176" w16cid:durableId="1073746186">
    <w:abstractNumId w:val="8"/>
  </w:num>
  <w:num w:numId="177" w16cid:durableId="654797637">
    <w:abstractNumId w:val="3"/>
  </w:num>
  <w:num w:numId="178" w16cid:durableId="531188849">
    <w:abstractNumId w:val="2"/>
  </w:num>
  <w:num w:numId="179" w16cid:durableId="1364209937">
    <w:abstractNumId w:val="1"/>
  </w:num>
  <w:num w:numId="180" w16cid:durableId="919482041">
    <w:abstractNumId w:val="0"/>
  </w:num>
  <w:num w:numId="181" w16cid:durableId="1580096795">
    <w:abstractNumId w:val="60"/>
  </w:num>
  <w:num w:numId="182" w16cid:durableId="565192690">
    <w:abstractNumId w:val="99"/>
  </w:num>
  <w:num w:numId="183" w16cid:durableId="441845404">
    <w:abstractNumId w:val="50"/>
  </w:num>
  <w:num w:numId="184" w16cid:durableId="917132818">
    <w:abstractNumId w:val="83"/>
  </w:num>
  <w:num w:numId="185" w16cid:durableId="792210752">
    <w:abstractNumId w:val="116"/>
  </w:num>
  <w:num w:numId="186" w16cid:durableId="496114450">
    <w:abstractNumId w:val="130"/>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2NTM1MjI3MDAyMzBV0lEKTi0uzszPAykwqgUA/tr6/ywAAAA="/>
  </w:docVars>
  <w:rsids>
    <w:rsidRoot w:val="001167A8"/>
    <w:rsid w:val="00000933"/>
    <w:rsid w:val="00000FDE"/>
    <w:rsid w:val="000012C9"/>
    <w:rsid w:val="00003318"/>
    <w:rsid w:val="00003EB2"/>
    <w:rsid w:val="00006721"/>
    <w:rsid w:val="00006C3B"/>
    <w:rsid w:val="000073BE"/>
    <w:rsid w:val="00017551"/>
    <w:rsid w:val="000202EC"/>
    <w:rsid w:val="000231FE"/>
    <w:rsid w:val="0002785A"/>
    <w:rsid w:val="00032A75"/>
    <w:rsid w:val="00032CD2"/>
    <w:rsid w:val="0003603B"/>
    <w:rsid w:val="0003626E"/>
    <w:rsid w:val="00036A0A"/>
    <w:rsid w:val="000426E7"/>
    <w:rsid w:val="0004352C"/>
    <w:rsid w:val="00046E37"/>
    <w:rsid w:val="00047337"/>
    <w:rsid w:val="00050E1E"/>
    <w:rsid w:val="00052385"/>
    <w:rsid w:val="000529F2"/>
    <w:rsid w:val="0005396A"/>
    <w:rsid w:val="00053C08"/>
    <w:rsid w:val="0005415C"/>
    <w:rsid w:val="000623AA"/>
    <w:rsid w:val="00067A38"/>
    <w:rsid w:val="00070E11"/>
    <w:rsid w:val="00071346"/>
    <w:rsid w:val="00072A83"/>
    <w:rsid w:val="00073C34"/>
    <w:rsid w:val="00076552"/>
    <w:rsid w:val="00080034"/>
    <w:rsid w:val="00081E3C"/>
    <w:rsid w:val="00083F97"/>
    <w:rsid w:val="00087C93"/>
    <w:rsid w:val="000920C7"/>
    <w:rsid w:val="000935F0"/>
    <w:rsid w:val="0009365C"/>
    <w:rsid w:val="00093B1C"/>
    <w:rsid w:val="000A6DA4"/>
    <w:rsid w:val="000A6EFD"/>
    <w:rsid w:val="000B1B8C"/>
    <w:rsid w:val="000B1FF1"/>
    <w:rsid w:val="000B237C"/>
    <w:rsid w:val="000B2C90"/>
    <w:rsid w:val="000B4666"/>
    <w:rsid w:val="000B5124"/>
    <w:rsid w:val="000C1ED7"/>
    <w:rsid w:val="000C48A5"/>
    <w:rsid w:val="000D0DF8"/>
    <w:rsid w:val="000D106B"/>
    <w:rsid w:val="000D3CC4"/>
    <w:rsid w:val="000E2834"/>
    <w:rsid w:val="000E2D3A"/>
    <w:rsid w:val="000E377B"/>
    <w:rsid w:val="000F2A00"/>
    <w:rsid w:val="000F3581"/>
    <w:rsid w:val="000F3648"/>
    <w:rsid w:val="000F368D"/>
    <w:rsid w:val="000F3F82"/>
    <w:rsid w:val="000F69C8"/>
    <w:rsid w:val="000F760D"/>
    <w:rsid w:val="00101838"/>
    <w:rsid w:val="001039D9"/>
    <w:rsid w:val="001059CF"/>
    <w:rsid w:val="00106BEA"/>
    <w:rsid w:val="00110966"/>
    <w:rsid w:val="001112BF"/>
    <w:rsid w:val="00113120"/>
    <w:rsid w:val="001167A8"/>
    <w:rsid w:val="00116D76"/>
    <w:rsid w:val="00117415"/>
    <w:rsid w:val="00117C15"/>
    <w:rsid w:val="00117C90"/>
    <w:rsid w:val="0012059E"/>
    <w:rsid w:val="00120C33"/>
    <w:rsid w:val="00120F19"/>
    <w:rsid w:val="0012147B"/>
    <w:rsid w:val="0012291B"/>
    <w:rsid w:val="00124D27"/>
    <w:rsid w:val="001271F5"/>
    <w:rsid w:val="00127A2D"/>
    <w:rsid w:val="00132503"/>
    <w:rsid w:val="0013300F"/>
    <w:rsid w:val="00133037"/>
    <w:rsid w:val="00136F45"/>
    <w:rsid w:val="00141005"/>
    <w:rsid w:val="00141B7F"/>
    <w:rsid w:val="00144B23"/>
    <w:rsid w:val="00150D85"/>
    <w:rsid w:val="00151158"/>
    <w:rsid w:val="001559CC"/>
    <w:rsid w:val="00157739"/>
    <w:rsid w:val="00157F3F"/>
    <w:rsid w:val="00170FD6"/>
    <w:rsid w:val="0017159D"/>
    <w:rsid w:val="00173B8B"/>
    <w:rsid w:val="00173FDD"/>
    <w:rsid w:val="001778CE"/>
    <w:rsid w:val="00182B9B"/>
    <w:rsid w:val="00190AC0"/>
    <w:rsid w:val="00190EFD"/>
    <w:rsid w:val="001939B1"/>
    <w:rsid w:val="00194BEE"/>
    <w:rsid w:val="0019556D"/>
    <w:rsid w:val="00196A88"/>
    <w:rsid w:val="00196C78"/>
    <w:rsid w:val="001A073E"/>
    <w:rsid w:val="001A1640"/>
    <w:rsid w:val="001A25FA"/>
    <w:rsid w:val="001A4359"/>
    <w:rsid w:val="001A5DCD"/>
    <w:rsid w:val="001A6E8C"/>
    <w:rsid w:val="001A6F18"/>
    <w:rsid w:val="001B2D08"/>
    <w:rsid w:val="001B66F8"/>
    <w:rsid w:val="001C2D5B"/>
    <w:rsid w:val="001C7C81"/>
    <w:rsid w:val="001D1CB6"/>
    <w:rsid w:val="001D28B4"/>
    <w:rsid w:val="001D2E8A"/>
    <w:rsid w:val="001D3811"/>
    <w:rsid w:val="001D5A59"/>
    <w:rsid w:val="001D7476"/>
    <w:rsid w:val="001E0162"/>
    <w:rsid w:val="001E12C0"/>
    <w:rsid w:val="001E1E44"/>
    <w:rsid w:val="001E6AD4"/>
    <w:rsid w:val="001F1452"/>
    <w:rsid w:val="001F2ECD"/>
    <w:rsid w:val="001F5226"/>
    <w:rsid w:val="001F526B"/>
    <w:rsid w:val="002024B2"/>
    <w:rsid w:val="00203791"/>
    <w:rsid w:val="00205123"/>
    <w:rsid w:val="002104B8"/>
    <w:rsid w:val="00214BFC"/>
    <w:rsid w:val="002157B8"/>
    <w:rsid w:val="00216245"/>
    <w:rsid w:val="002175D0"/>
    <w:rsid w:val="002177B1"/>
    <w:rsid w:val="00221E62"/>
    <w:rsid w:val="00222ED3"/>
    <w:rsid w:val="00230626"/>
    <w:rsid w:val="00232BBD"/>
    <w:rsid w:val="00237A8F"/>
    <w:rsid w:val="00241CB0"/>
    <w:rsid w:val="00242599"/>
    <w:rsid w:val="00243043"/>
    <w:rsid w:val="0024341E"/>
    <w:rsid w:val="0024684E"/>
    <w:rsid w:val="0024710E"/>
    <w:rsid w:val="00252C3D"/>
    <w:rsid w:val="0025480A"/>
    <w:rsid w:val="002629BA"/>
    <w:rsid w:val="00263D20"/>
    <w:rsid w:val="00270119"/>
    <w:rsid w:val="0027052C"/>
    <w:rsid w:val="00272111"/>
    <w:rsid w:val="00274D01"/>
    <w:rsid w:val="00276061"/>
    <w:rsid w:val="002823DB"/>
    <w:rsid w:val="00283E9D"/>
    <w:rsid w:val="002856DA"/>
    <w:rsid w:val="00285B8E"/>
    <w:rsid w:val="00292059"/>
    <w:rsid w:val="00292FBC"/>
    <w:rsid w:val="0029350F"/>
    <w:rsid w:val="00294841"/>
    <w:rsid w:val="002A4A14"/>
    <w:rsid w:val="002A5C97"/>
    <w:rsid w:val="002A5D08"/>
    <w:rsid w:val="002A62F7"/>
    <w:rsid w:val="002B7177"/>
    <w:rsid w:val="002B743A"/>
    <w:rsid w:val="002C006F"/>
    <w:rsid w:val="002C075A"/>
    <w:rsid w:val="002C0C9D"/>
    <w:rsid w:val="002C1457"/>
    <w:rsid w:val="002C736A"/>
    <w:rsid w:val="002C74B8"/>
    <w:rsid w:val="002D4923"/>
    <w:rsid w:val="002D5222"/>
    <w:rsid w:val="002E15F1"/>
    <w:rsid w:val="002E2867"/>
    <w:rsid w:val="002E3184"/>
    <w:rsid w:val="002E5AC9"/>
    <w:rsid w:val="002E6A59"/>
    <w:rsid w:val="002F13F4"/>
    <w:rsid w:val="002F2A24"/>
    <w:rsid w:val="002F49A7"/>
    <w:rsid w:val="002F4A99"/>
    <w:rsid w:val="002F51BC"/>
    <w:rsid w:val="002F58F8"/>
    <w:rsid w:val="003112AE"/>
    <w:rsid w:val="003116B0"/>
    <w:rsid w:val="00311C85"/>
    <w:rsid w:val="00314BC0"/>
    <w:rsid w:val="00314DAA"/>
    <w:rsid w:val="003164D9"/>
    <w:rsid w:val="00317934"/>
    <w:rsid w:val="003243F4"/>
    <w:rsid w:val="0032465A"/>
    <w:rsid w:val="003246D8"/>
    <w:rsid w:val="00327D25"/>
    <w:rsid w:val="00327FE1"/>
    <w:rsid w:val="00331ED3"/>
    <w:rsid w:val="00334ADD"/>
    <w:rsid w:val="00335627"/>
    <w:rsid w:val="003357B4"/>
    <w:rsid w:val="00337C31"/>
    <w:rsid w:val="00341AB0"/>
    <w:rsid w:val="00342526"/>
    <w:rsid w:val="00342BAD"/>
    <w:rsid w:val="0034555D"/>
    <w:rsid w:val="003457D4"/>
    <w:rsid w:val="00350C68"/>
    <w:rsid w:val="003514B5"/>
    <w:rsid w:val="00357544"/>
    <w:rsid w:val="003611D0"/>
    <w:rsid w:val="00361546"/>
    <w:rsid w:val="003638CC"/>
    <w:rsid w:val="003658AF"/>
    <w:rsid w:val="00371B75"/>
    <w:rsid w:val="00371D05"/>
    <w:rsid w:val="00373667"/>
    <w:rsid w:val="00376813"/>
    <w:rsid w:val="003776F1"/>
    <w:rsid w:val="00377F0E"/>
    <w:rsid w:val="0038388C"/>
    <w:rsid w:val="00385862"/>
    <w:rsid w:val="0038594F"/>
    <w:rsid w:val="003928DD"/>
    <w:rsid w:val="0039304A"/>
    <w:rsid w:val="00394709"/>
    <w:rsid w:val="00395E28"/>
    <w:rsid w:val="00397125"/>
    <w:rsid w:val="003B08EA"/>
    <w:rsid w:val="003B16EE"/>
    <w:rsid w:val="003B30A2"/>
    <w:rsid w:val="003B4C36"/>
    <w:rsid w:val="003C2063"/>
    <w:rsid w:val="003C4725"/>
    <w:rsid w:val="003C5356"/>
    <w:rsid w:val="003C6319"/>
    <w:rsid w:val="003D0744"/>
    <w:rsid w:val="003D146E"/>
    <w:rsid w:val="003D1C61"/>
    <w:rsid w:val="003D433F"/>
    <w:rsid w:val="003D6624"/>
    <w:rsid w:val="003E37AA"/>
    <w:rsid w:val="003E5908"/>
    <w:rsid w:val="003E6B76"/>
    <w:rsid w:val="003F0632"/>
    <w:rsid w:val="003F28D3"/>
    <w:rsid w:val="003F76E5"/>
    <w:rsid w:val="003F7A0B"/>
    <w:rsid w:val="003F7AF6"/>
    <w:rsid w:val="004001DB"/>
    <w:rsid w:val="00400713"/>
    <w:rsid w:val="00400982"/>
    <w:rsid w:val="00400DB6"/>
    <w:rsid w:val="00411A28"/>
    <w:rsid w:val="004131AD"/>
    <w:rsid w:val="00413518"/>
    <w:rsid w:val="004135E9"/>
    <w:rsid w:val="0041472B"/>
    <w:rsid w:val="00416C24"/>
    <w:rsid w:val="004216E8"/>
    <w:rsid w:val="00421862"/>
    <w:rsid w:val="00423EBD"/>
    <w:rsid w:val="0042488F"/>
    <w:rsid w:val="0042529F"/>
    <w:rsid w:val="00427620"/>
    <w:rsid w:val="00430F1A"/>
    <w:rsid w:val="00430F89"/>
    <w:rsid w:val="004318A7"/>
    <w:rsid w:val="004326DE"/>
    <w:rsid w:val="00434BA9"/>
    <w:rsid w:val="004351B2"/>
    <w:rsid w:val="00436054"/>
    <w:rsid w:val="004363C4"/>
    <w:rsid w:val="00442CC2"/>
    <w:rsid w:val="00443B74"/>
    <w:rsid w:val="004449F8"/>
    <w:rsid w:val="004461F6"/>
    <w:rsid w:val="00460FCA"/>
    <w:rsid w:val="004650F7"/>
    <w:rsid w:val="00466977"/>
    <w:rsid w:val="00466B4C"/>
    <w:rsid w:val="00472147"/>
    <w:rsid w:val="00474C70"/>
    <w:rsid w:val="0047590B"/>
    <w:rsid w:val="004818F0"/>
    <w:rsid w:val="00482F6E"/>
    <w:rsid w:val="004836CC"/>
    <w:rsid w:val="0048391C"/>
    <w:rsid w:val="00485814"/>
    <w:rsid w:val="00487B08"/>
    <w:rsid w:val="004923E8"/>
    <w:rsid w:val="004A05D7"/>
    <w:rsid w:val="004A0E1F"/>
    <w:rsid w:val="004A1101"/>
    <w:rsid w:val="004A334A"/>
    <w:rsid w:val="004A380C"/>
    <w:rsid w:val="004A5C17"/>
    <w:rsid w:val="004A5FCD"/>
    <w:rsid w:val="004A6878"/>
    <w:rsid w:val="004B0E54"/>
    <w:rsid w:val="004B385F"/>
    <w:rsid w:val="004B3B0C"/>
    <w:rsid w:val="004B67E8"/>
    <w:rsid w:val="004C0591"/>
    <w:rsid w:val="004C220A"/>
    <w:rsid w:val="004D1CF3"/>
    <w:rsid w:val="004D307F"/>
    <w:rsid w:val="004D40EA"/>
    <w:rsid w:val="004D6760"/>
    <w:rsid w:val="004E099D"/>
    <w:rsid w:val="004E1F6F"/>
    <w:rsid w:val="004E385A"/>
    <w:rsid w:val="004E59C0"/>
    <w:rsid w:val="004F47C4"/>
    <w:rsid w:val="004F5307"/>
    <w:rsid w:val="004F6241"/>
    <w:rsid w:val="004F6329"/>
    <w:rsid w:val="004F6FD9"/>
    <w:rsid w:val="004F70E5"/>
    <w:rsid w:val="00501661"/>
    <w:rsid w:val="00502021"/>
    <w:rsid w:val="005058ED"/>
    <w:rsid w:val="005142CB"/>
    <w:rsid w:val="005145AE"/>
    <w:rsid w:val="00517905"/>
    <w:rsid w:val="0052364D"/>
    <w:rsid w:val="00526ED5"/>
    <w:rsid w:val="005278A5"/>
    <w:rsid w:val="00531290"/>
    <w:rsid w:val="00532A6E"/>
    <w:rsid w:val="005330CA"/>
    <w:rsid w:val="005332CC"/>
    <w:rsid w:val="00533493"/>
    <w:rsid w:val="00540CC9"/>
    <w:rsid w:val="00541C39"/>
    <w:rsid w:val="00543B08"/>
    <w:rsid w:val="00543F1A"/>
    <w:rsid w:val="00544BD2"/>
    <w:rsid w:val="00545553"/>
    <w:rsid w:val="00550811"/>
    <w:rsid w:val="00550BA5"/>
    <w:rsid w:val="00554F86"/>
    <w:rsid w:val="005566AB"/>
    <w:rsid w:val="00557615"/>
    <w:rsid w:val="00557B7E"/>
    <w:rsid w:val="005638EC"/>
    <w:rsid w:val="00565BC7"/>
    <w:rsid w:val="00570DE3"/>
    <w:rsid w:val="00571959"/>
    <w:rsid w:val="005722F0"/>
    <w:rsid w:val="00577C8C"/>
    <w:rsid w:val="00580823"/>
    <w:rsid w:val="00591E6F"/>
    <w:rsid w:val="00592FBD"/>
    <w:rsid w:val="00595AD4"/>
    <w:rsid w:val="0059622D"/>
    <w:rsid w:val="005965D3"/>
    <w:rsid w:val="00596BEB"/>
    <w:rsid w:val="005A2BF2"/>
    <w:rsid w:val="005A2F6A"/>
    <w:rsid w:val="005A5270"/>
    <w:rsid w:val="005A7E0A"/>
    <w:rsid w:val="005B0A79"/>
    <w:rsid w:val="005B0FCB"/>
    <w:rsid w:val="005B40E3"/>
    <w:rsid w:val="005B4DAC"/>
    <w:rsid w:val="005B5651"/>
    <w:rsid w:val="005B6592"/>
    <w:rsid w:val="005C36EC"/>
    <w:rsid w:val="005C38F1"/>
    <w:rsid w:val="005C6424"/>
    <w:rsid w:val="005D0FF4"/>
    <w:rsid w:val="005D4751"/>
    <w:rsid w:val="005D4991"/>
    <w:rsid w:val="005D5CA5"/>
    <w:rsid w:val="005D5E2A"/>
    <w:rsid w:val="005D692C"/>
    <w:rsid w:val="005D7FA9"/>
    <w:rsid w:val="005E0A83"/>
    <w:rsid w:val="005E2AEF"/>
    <w:rsid w:val="005E4075"/>
    <w:rsid w:val="005E41D9"/>
    <w:rsid w:val="005E6F9E"/>
    <w:rsid w:val="005F3BD1"/>
    <w:rsid w:val="005F6D7A"/>
    <w:rsid w:val="006016E7"/>
    <w:rsid w:val="00604C60"/>
    <w:rsid w:val="006111BC"/>
    <w:rsid w:val="0061200A"/>
    <w:rsid w:val="0061396E"/>
    <w:rsid w:val="0061578B"/>
    <w:rsid w:val="00622B85"/>
    <w:rsid w:val="0062549B"/>
    <w:rsid w:val="00630AFB"/>
    <w:rsid w:val="00642F26"/>
    <w:rsid w:val="00643F23"/>
    <w:rsid w:val="00645F5C"/>
    <w:rsid w:val="00647031"/>
    <w:rsid w:val="00647527"/>
    <w:rsid w:val="00651EB2"/>
    <w:rsid w:val="006537F9"/>
    <w:rsid w:val="00654965"/>
    <w:rsid w:val="006618E7"/>
    <w:rsid w:val="006717C9"/>
    <w:rsid w:val="006757E9"/>
    <w:rsid w:val="00677474"/>
    <w:rsid w:val="006804FE"/>
    <w:rsid w:val="006821A1"/>
    <w:rsid w:val="00683C9C"/>
    <w:rsid w:val="006865F7"/>
    <w:rsid w:val="006870DA"/>
    <w:rsid w:val="00691ECB"/>
    <w:rsid w:val="006920FD"/>
    <w:rsid w:val="006930AA"/>
    <w:rsid w:val="006951C5"/>
    <w:rsid w:val="0069699F"/>
    <w:rsid w:val="00697467"/>
    <w:rsid w:val="006A2D0B"/>
    <w:rsid w:val="006A37EC"/>
    <w:rsid w:val="006A4A67"/>
    <w:rsid w:val="006A5663"/>
    <w:rsid w:val="006A6A87"/>
    <w:rsid w:val="006A743D"/>
    <w:rsid w:val="006B4B01"/>
    <w:rsid w:val="006B4D52"/>
    <w:rsid w:val="006C05C4"/>
    <w:rsid w:val="006C1522"/>
    <w:rsid w:val="006C2643"/>
    <w:rsid w:val="006C3C0D"/>
    <w:rsid w:val="006C6484"/>
    <w:rsid w:val="006C7CCA"/>
    <w:rsid w:val="006D204B"/>
    <w:rsid w:val="006D5A1E"/>
    <w:rsid w:val="006D6E02"/>
    <w:rsid w:val="006D7561"/>
    <w:rsid w:val="006E0408"/>
    <w:rsid w:val="006E043B"/>
    <w:rsid w:val="006E113F"/>
    <w:rsid w:val="006E12BC"/>
    <w:rsid w:val="006E3D8D"/>
    <w:rsid w:val="006E5C9C"/>
    <w:rsid w:val="006F0836"/>
    <w:rsid w:val="006F2DF7"/>
    <w:rsid w:val="006F2ECF"/>
    <w:rsid w:val="006F7D3A"/>
    <w:rsid w:val="00701354"/>
    <w:rsid w:val="007016CD"/>
    <w:rsid w:val="00702D34"/>
    <w:rsid w:val="007106F7"/>
    <w:rsid w:val="00711257"/>
    <w:rsid w:val="0071357E"/>
    <w:rsid w:val="00717502"/>
    <w:rsid w:val="00720CAE"/>
    <w:rsid w:val="00722DF8"/>
    <w:rsid w:val="0072395F"/>
    <w:rsid w:val="007268DF"/>
    <w:rsid w:val="00731961"/>
    <w:rsid w:val="00732833"/>
    <w:rsid w:val="0073330A"/>
    <w:rsid w:val="0073434C"/>
    <w:rsid w:val="00734929"/>
    <w:rsid w:val="00735771"/>
    <w:rsid w:val="007357F3"/>
    <w:rsid w:val="00735FF8"/>
    <w:rsid w:val="00740CCF"/>
    <w:rsid w:val="0074199F"/>
    <w:rsid w:val="007432EF"/>
    <w:rsid w:val="00745BCF"/>
    <w:rsid w:val="00745DC1"/>
    <w:rsid w:val="0076061C"/>
    <w:rsid w:val="0076400D"/>
    <w:rsid w:val="00764441"/>
    <w:rsid w:val="007648E4"/>
    <w:rsid w:val="007653AF"/>
    <w:rsid w:val="007667A1"/>
    <w:rsid w:val="0076693A"/>
    <w:rsid w:val="007675F5"/>
    <w:rsid w:val="00773778"/>
    <w:rsid w:val="00777BB8"/>
    <w:rsid w:val="00786EBB"/>
    <w:rsid w:val="00787CC6"/>
    <w:rsid w:val="007920FC"/>
    <w:rsid w:val="00793765"/>
    <w:rsid w:val="007937E1"/>
    <w:rsid w:val="00796B97"/>
    <w:rsid w:val="007A1176"/>
    <w:rsid w:val="007A4272"/>
    <w:rsid w:val="007A6795"/>
    <w:rsid w:val="007A7B8A"/>
    <w:rsid w:val="007B0638"/>
    <w:rsid w:val="007B0EF6"/>
    <w:rsid w:val="007B15AC"/>
    <w:rsid w:val="007B1D0F"/>
    <w:rsid w:val="007B2600"/>
    <w:rsid w:val="007B3D11"/>
    <w:rsid w:val="007C3D85"/>
    <w:rsid w:val="007C6B18"/>
    <w:rsid w:val="007D4E66"/>
    <w:rsid w:val="007E0BC0"/>
    <w:rsid w:val="007E3304"/>
    <w:rsid w:val="007E6349"/>
    <w:rsid w:val="007F05D2"/>
    <w:rsid w:val="007F0F4A"/>
    <w:rsid w:val="007F1D90"/>
    <w:rsid w:val="007F4CBA"/>
    <w:rsid w:val="007F66A6"/>
    <w:rsid w:val="007F7D21"/>
    <w:rsid w:val="0080004A"/>
    <w:rsid w:val="00800331"/>
    <w:rsid w:val="00803741"/>
    <w:rsid w:val="00803A89"/>
    <w:rsid w:val="0080519D"/>
    <w:rsid w:val="0081228D"/>
    <w:rsid w:val="00820471"/>
    <w:rsid w:val="008205DE"/>
    <w:rsid w:val="008254A8"/>
    <w:rsid w:val="00825BAF"/>
    <w:rsid w:val="0082626F"/>
    <w:rsid w:val="00827DC4"/>
    <w:rsid w:val="008318CA"/>
    <w:rsid w:val="00837558"/>
    <w:rsid w:val="00842992"/>
    <w:rsid w:val="00845A32"/>
    <w:rsid w:val="008503A1"/>
    <w:rsid w:val="0085324B"/>
    <w:rsid w:val="00854998"/>
    <w:rsid w:val="008552BC"/>
    <w:rsid w:val="0086478A"/>
    <w:rsid w:val="00865FB6"/>
    <w:rsid w:val="0086763C"/>
    <w:rsid w:val="00867C39"/>
    <w:rsid w:val="00870E1E"/>
    <w:rsid w:val="00871288"/>
    <w:rsid w:val="0087250D"/>
    <w:rsid w:val="0087312C"/>
    <w:rsid w:val="0087499E"/>
    <w:rsid w:val="00875C66"/>
    <w:rsid w:val="00877911"/>
    <w:rsid w:val="00885B2C"/>
    <w:rsid w:val="00887F85"/>
    <w:rsid w:val="00891D19"/>
    <w:rsid w:val="0089477A"/>
    <w:rsid w:val="008A20A1"/>
    <w:rsid w:val="008A501C"/>
    <w:rsid w:val="008A6CE0"/>
    <w:rsid w:val="008A7098"/>
    <w:rsid w:val="008B57D1"/>
    <w:rsid w:val="008B6E47"/>
    <w:rsid w:val="008B7566"/>
    <w:rsid w:val="008C0D71"/>
    <w:rsid w:val="008C1C30"/>
    <w:rsid w:val="008C1E4F"/>
    <w:rsid w:val="008C20E6"/>
    <w:rsid w:val="008C477F"/>
    <w:rsid w:val="008C6E3C"/>
    <w:rsid w:val="008D0E24"/>
    <w:rsid w:val="008D5FCB"/>
    <w:rsid w:val="008D628E"/>
    <w:rsid w:val="008D7FC5"/>
    <w:rsid w:val="008E399B"/>
    <w:rsid w:val="008E4E70"/>
    <w:rsid w:val="008E738F"/>
    <w:rsid w:val="008E7838"/>
    <w:rsid w:val="008F2466"/>
    <w:rsid w:val="008F4825"/>
    <w:rsid w:val="00901FCB"/>
    <w:rsid w:val="00902C6B"/>
    <w:rsid w:val="0090506F"/>
    <w:rsid w:val="0091293B"/>
    <w:rsid w:val="009141FD"/>
    <w:rsid w:val="009144B7"/>
    <w:rsid w:val="00916320"/>
    <w:rsid w:val="00920576"/>
    <w:rsid w:val="009212A4"/>
    <w:rsid w:val="00922FC2"/>
    <w:rsid w:val="0092304F"/>
    <w:rsid w:val="00930482"/>
    <w:rsid w:val="00930B6B"/>
    <w:rsid w:val="00933AC3"/>
    <w:rsid w:val="00934E2E"/>
    <w:rsid w:val="00936D06"/>
    <w:rsid w:val="0094136D"/>
    <w:rsid w:val="00944A9C"/>
    <w:rsid w:val="00945D4C"/>
    <w:rsid w:val="0094634B"/>
    <w:rsid w:val="00946FE5"/>
    <w:rsid w:val="00947063"/>
    <w:rsid w:val="00947647"/>
    <w:rsid w:val="009508E3"/>
    <w:rsid w:val="00950931"/>
    <w:rsid w:val="00951A5D"/>
    <w:rsid w:val="00953812"/>
    <w:rsid w:val="00953A7E"/>
    <w:rsid w:val="009540CB"/>
    <w:rsid w:val="00954B65"/>
    <w:rsid w:val="009607D7"/>
    <w:rsid w:val="00960A69"/>
    <w:rsid w:val="00961B80"/>
    <w:rsid w:val="00962104"/>
    <w:rsid w:val="0096466B"/>
    <w:rsid w:val="00966C65"/>
    <w:rsid w:val="00971F3D"/>
    <w:rsid w:val="009753DC"/>
    <w:rsid w:val="009758B9"/>
    <w:rsid w:val="00976FD5"/>
    <w:rsid w:val="009817C3"/>
    <w:rsid w:val="00983CC8"/>
    <w:rsid w:val="00985091"/>
    <w:rsid w:val="009866A7"/>
    <w:rsid w:val="00987916"/>
    <w:rsid w:val="00990116"/>
    <w:rsid w:val="00991B22"/>
    <w:rsid w:val="00991C9D"/>
    <w:rsid w:val="00992D19"/>
    <w:rsid w:val="00992D99"/>
    <w:rsid w:val="00993130"/>
    <w:rsid w:val="00993FB3"/>
    <w:rsid w:val="00996321"/>
    <w:rsid w:val="009A130D"/>
    <w:rsid w:val="009A26CF"/>
    <w:rsid w:val="009A31A7"/>
    <w:rsid w:val="009A3AC6"/>
    <w:rsid w:val="009A4715"/>
    <w:rsid w:val="009A4969"/>
    <w:rsid w:val="009A4CFA"/>
    <w:rsid w:val="009A70F7"/>
    <w:rsid w:val="009B124F"/>
    <w:rsid w:val="009B1B1C"/>
    <w:rsid w:val="009B2D25"/>
    <w:rsid w:val="009B4FB8"/>
    <w:rsid w:val="009B668A"/>
    <w:rsid w:val="009C379F"/>
    <w:rsid w:val="009C610B"/>
    <w:rsid w:val="009C7551"/>
    <w:rsid w:val="009D1411"/>
    <w:rsid w:val="009D3396"/>
    <w:rsid w:val="009D3F6B"/>
    <w:rsid w:val="009D61FA"/>
    <w:rsid w:val="009E0FA9"/>
    <w:rsid w:val="009E32AE"/>
    <w:rsid w:val="009E5A39"/>
    <w:rsid w:val="009E615E"/>
    <w:rsid w:val="009E681D"/>
    <w:rsid w:val="009F12E0"/>
    <w:rsid w:val="009F6D1E"/>
    <w:rsid w:val="00A015BD"/>
    <w:rsid w:val="00A113C0"/>
    <w:rsid w:val="00A11F95"/>
    <w:rsid w:val="00A12061"/>
    <w:rsid w:val="00A1372D"/>
    <w:rsid w:val="00A158D2"/>
    <w:rsid w:val="00A15BDF"/>
    <w:rsid w:val="00A22085"/>
    <w:rsid w:val="00A22876"/>
    <w:rsid w:val="00A2334C"/>
    <w:rsid w:val="00A23F6B"/>
    <w:rsid w:val="00A257E0"/>
    <w:rsid w:val="00A266A0"/>
    <w:rsid w:val="00A35420"/>
    <w:rsid w:val="00A41097"/>
    <w:rsid w:val="00A41342"/>
    <w:rsid w:val="00A45EB1"/>
    <w:rsid w:val="00A46A99"/>
    <w:rsid w:val="00A515CE"/>
    <w:rsid w:val="00A53BF9"/>
    <w:rsid w:val="00A56EA7"/>
    <w:rsid w:val="00A61A0C"/>
    <w:rsid w:val="00A61BF4"/>
    <w:rsid w:val="00A641BD"/>
    <w:rsid w:val="00A65133"/>
    <w:rsid w:val="00A67A58"/>
    <w:rsid w:val="00A72674"/>
    <w:rsid w:val="00A77924"/>
    <w:rsid w:val="00A77971"/>
    <w:rsid w:val="00A82D75"/>
    <w:rsid w:val="00A8797A"/>
    <w:rsid w:val="00A9180D"/>
    <w:rsid w:val="00A92C40"/>
    <w:rsid w:val="00A95154"/>
    <w:rsid w:val="00A954D8"/>
    <w:rsid w:val="00A966AD"/>
    <w:rsid w:val="00A97F91"/>
    <w:rsid w:val="00AA14CA"/>
    <w:rsid w:val="00AA4D4B"/>
    <w:rsid w:val="00AA54CC"/>
    <w:rsid w:val="00AB4323"/>
    <w:rsid w:val="00AB56A8"/>
    <w:rsid w:val="00AB7BB2"/>
    <w:rsid w:val="00AC2E56"/>
    <w:rsid w:val="00AC5BCB"/>
    <w:rsid w:val="00AD03DE"/>
    <w:rsid w:val="00AD16F0"/>
    <w:rsid w:val="00AD1818"/>
    <w:rsid w:val="00AD25F3"/>
    <w:rsid w:val="00AD6B17"/>
    <w:rsid w:val="00AE36FE"/>
    <w:rsid w:val="00AE3868"/>
    <w:rsid w:val="00AE5803"/>
    <w:rsid w:val="00AF025A"/>
    <w:rsid w:val="00AF1F09"/>
    <w:rsid w:val="00AF24FC"/>
    <w:rsid w:val="00AF6410"/>
    <w:rsid w:val="00AF7A35"/>
    <w:rsid w:val="00B0116D"/>
    <w:rsid w:val="00B0156B"/>
    <w:rsid w:val="00B046EE"/>
    <w:rsid w:val="00B05338"/>
    <w:rsid w:val="00B12348"/>
    <w:rsid w:val="00B125AF"/>
    <w:rsid w:val="00B129DC"/>
    <w:rsid w:val="00B13202"/>
    <w:rsid w:val="00B15241"/>
    <w:rsid w:val="00B21CA6"/>
    <w:rsid w:val="00B24032"/>
    <w:rsid w:val="00B241D3"/>
    <w:rsid w:val="00B24721"/>
    <w:rsid w:val="00B25992"/>
    <w:rsid w:val="00B2707E"/>
    <w:rsid w:val="00B27693"/>
    <w:rsid w:val="00B31C84"/>
    <w:rsid w:val="00B421F2"/>
    <w:rsid w:val="00B43F3D"/>
    <w:rsid w:val="00B449D7"/>
    <w:rsid w:val="00B473C1"/>
    <w:rsid w:val="00B52991"/>
    <w:rsid w:val="00B5354D"/>
    <w:rsid w:val="00B54779"/>
    <w:rsid w:val="00B55C31"/>
    <w:rsid w:val="00B5606E"/>
    <w:rsid w:val="00B566E7"/>
    <w:rsid w:val="00B5762C"/>
    <w:rsid w:val="00B605AD"/>
    <w:rsid w:val="00B614CB"/>
    <w:rsid w:val="00B61E94"/>
    <w:rsid w:val="00B63F2C"/>
    <w:rsid w:val="00B6662C"/>
    <w:rsid w:val="00B6676F"/>
    <w:rsid w:val="00B67D77"/>
    <w:rsid w:val="00B73652"/>
    <w:rsid w:val="00B77069"/>
    <w:rsid w:val="00B81AAF"/>
    <w:rsid w:val="00B8232C"/>
    <w:rsid w:val="00B82F7D"/>
    <w:rsid w:val="00B846F8"/>
    <w:rsid w:val="00B84ACC"/>
    <w:rsid w:val="00B8658A"/>
    <w:rsid w:val="00B8745E"/>
    <w:rsid w:val="00B93959"/>
    <w:rsid w:val="00B97204"/>
    <w:rsid w:val="00BA2190"/>
    <w:rsid w:val="00BA2950"/>
    <w:rsid w:val="00BA44E5"/>
    <w:rsid w:val="00BA4FA2"/>
    <w:rsid w:val="00BA5750"/>
    <w:rsid w:val="00BB1A60"/>
    <w:rsid w:val="00BB42B7"/>
    <w:rsid w:val="00BB47D9"/>
    <w:rsid w:val="00BB5BE4"/>
    <w:rsid w:val="00BB6150"/>
    <w:rsid w:val="00BC0116"/>
    <w:rsid w:val="00BC1042"/>
    <w:rsid w:val="00BC3588"/>
    <w:rsid w:val="00BC385F"/>
    <w:rsid w:val="00BC5F5F"/>
    <w:rsid w:val="00BC6155"/>
    <w:rsid w:val="00BC6C91"/>
    <w:rsid w:val="00BD04CA"/>
    <w:rsid w:val="00BD0831"/>
    <w:rsid w:val="00BD1262"/>
    <w:rsid w:val="00BD1530"/>
    <w:rsid w:val="00BD2571"/>
    <w:rsid w:val="00BD43A2"/>
    <w:rsid w:val="00BD50A1"/>
    <w:rsid w:val="00BE29E7"/>
    <w:rsid w:val="00BE358B"/>
    <w:rsid w:val="00BE4714"/>
    <w:rsid w:val="00BE4C65"/>
    <w:rsid w:val="00BE77A1"/>
    <w:rsid w:val="00BF0EE8"/>
    <w:rsid w:val="00BF1637"/>
    <w:rsid w:val="00C002DD"/>
    <w:rsid w:val="00C02DB9"/>
    <w:rsid w:val="00C05DD4"/>
    <w:rsid w:val="00C07075"/>
    <w:rsid w:val="00C116FE"/>
    <w:rsid w:val="00C13317"/>
    <w:rsid w:val="00C16001"/>
    <w:rsid w:val="00C16EED"/>
    <w:rsid w:val="00C23301"/>
    <w:rsid w:val="00C30C5F"/>
    <w:rsid w:val="00C31AB8"/>
    <w:rsid w:val="00C31DB5"/>
    <w:rsid w:val="00C32B87"/>
    <w:rsid w:val="00C33589"/>
    <w:rsid w:val="00C34127"/>
    <w:rsid w:val="00C35771"/>
    <w:rsid w:val="00C358CE"/>
    <w:rsid w:val="00C370BC"/>
    <w:rsid w:val="00C37A79"/>
    <w:rsid w:val="00C4053B"/>
    <w:rsid w:val="00C42D86"/>
    <w:rsid w:val="00C43BE1"/>
    <w:rsid w:val="00C521AA"/>
    <w:rsid w:val="00C537C4"/>
    <w:rsid w:val="00C53D2A"/>
    <w:rsid w:val="00C53D64"/>
    <w:rsid w:val="00C55926"/>
    <w:rsid w:val="00C60A9C"/>
    <w:rsid w:val="00C614D8"/>
    <w:rsid w:val="00C6179E"/>
    <w:rsid w:val="00C63679"/>
    <w:rsid w:val="00C638D8"/>
    <w:rsid w:val="00C64A4E"/>
    <w:rsid w:val="00C71CF6"/>
    <w:rsid w:val="00C74227"/>
    <w:rsid w:val="00C80E5A"/>
    <w:rsid w:val="00C82A09"/>
    <w:rsid w:val="00C837D8"/>
    <w:rsid w:val="00C8414A"/>
    <w:rsid w:val="00C9456F"/>
    <w:rsid w:val="00C95606"/>
    <w:rsid w:val="00C95C6E"/>
    <w:rsid w:val="00C96EF4"/>
    <w:rsid w:val="00C97565"/>
    <w:rsid w:val="00CA0A0C"/>
    <w:rsid w:val="00CA1FF9"/>
    <w:rsid w:val="00CA202D"/>
    <w:rsid w:val="00CA2F05"/>
    <w:rsid w:val="00CA3357"/>
    <w:rsid w:val="00CA42BD"/>
    <w:rsid w:val="00CA476D"/>
    <w:rsid w:val="00CA677C"/>
    <w:rsid w:val="00CA6F96"/>
    <w:rsid w:val="00CB0651"/>
    <w:rsid w:val="00CB1045"/>
    <w:rsid w:val="00CB2BF3"/>
    <w:rsid w:val="00CB3350"/>
    <w:rsid w:val="00CB38EB"/>
    <w:rsid w:val="00CB5C2F"/>
    <w:rsid w:val="00CC07DD"/>
    <w:rsid w:val="00CC1030"/>
    <w:rsid w:val="00CC1433"/>
    <w:rsid w:val="00CC1F05"/>
    <w:rsid w:val="00CC32D2"/>
    <w:rsid w:val="00CC34D4"/>
    <w:rsid w:val="00CC53FD"/>
    <w:rsid w:val="00CC5894"/>
    <w:rsid w:val="00CC77CA"/>
    <w:rsid w:val="00CD0853"/>
    <w:rsid w:val="00CD4CD9"/>
    <w:rsid w:val="00CD5D36"/>
    <w:rsid w:val="00CD6DD9"/>
    <w:rsid w:val="00CE13CE"/>
    <w:rsid w:val="00CE1887"/>
    <w:rsid w:val="00CE3A3F"/>
    <w:rsid w:val="00CE4DD7"/>
    <w:rsid w:val="00CE4F76"/>
    <w:rsid w:val="00CE78A9"/>
    <w:rsid w:val="00CF1CCA"/>
    <w:rsid w:val="00CF603A"/>
    <w:rsid w:val="00D0026E"/>
    <w:rsid w:val="00D145D1"/>
    <w:rsid w:val="00D14A94"/>
    <w:rsid w:val="00D17353"/>
    <w:rsid w:val="00D22D9F"/>
    <w:rsid w:val="00D25027"/>
    <w:rsid w:val="00D36A42"/>
    <w:rsid w:val="00D37D07"/>
    <w:rsid w:val="00D37FD1"/>
    <w:rsid w:val="00D429CE"/>
    <w:rsid w:val="00D44C90"/>
    <w:rsid w:val="00D47403"/>
    <w:rsid w:val="00D5064D"/>
    <w:rsid w:val="00D56CEA"/>
    <w:rsid w:val="00D56F2A"/>
    <w:rsid w:val="00D57242"/>
    <w:rsid w:val="00D603B5"/>
    <w:rsid w:val="00D62581"/>
    <w:rsid w:val="00D62E8F"/>
    <w:rsid w:val="00D666FF"/>
    <w:rsid w:val="00D67E51"/>
    <w:rsid w:val="00D71AF6"/>
    <w:rsid w:val="00D7249E"/>
    <w:rsid w:val="00D72EEB"/>
    <w:rsid w:val="00D73BC0"/>
    <w:rsid w:val="00D753F7"/>
    <w:rsid w:val="00D8139D"/>
    <w:rsid w:val="00D82973"/>
    <w:rsid w:val="00D836DB"/>
    <w:rsid w:val="00D8442E"/>
    <w:rsid w:val="00D84794"/>
    <w:rsid w:val="00D855AF"/>
    <w:rsid w:val="00D85A5B"/>
    <w:rsid w:val="00D871F9"/>
    <w:rsid w:val="00D90311"/>
    <w:rsid w:val="00D905F3"/>
    <w:rsid w:val="00D92EC8"/>
    <w:rsid w:val="00D93949"/>
    <w:rsid w:val="00D9699C"/>
    <w:rsid w:val="00D97AC3"/>
    <w:rsid w:val="00DA1745"/>
    <w:rsid w:val="00DA20FD"/>
    <w:rsid w:val="00DA3AE6"/>
    <w:rsid w:val="00DA3BD5"/>
    <w:rsid w:val="00DA69E7"/>
    <w:rsid w:val="00DB1E56"/>
    <w:rsid w:val="00DB1ECE"/>
    <w:rsid w:val="00DB47A1"/>
    <w:rsid w:val="00DB5C39"/>
    <w:rsid w:val="00DB5CA6"/>
    <w:rsid w:val="00DB7539"/>
    <w:rsid w:val="00DB7B5B"/>
    <w:rsid w:val="00DC1403"/>
    <w:rsid w:val="00DC4BCB"/>
    <w:rsid w:val="00DC5B1F"/>
    <w:rsid w:val="00DC5ED6"/>
    <w:rsid w:val="00DD0198"/>
    <w:rsid w:val="00DD239B"/>
    <w:rsid w:val="00DD35AA"/>
    <w:rsid w:val="00DD3790"/>
    <w:rsid w:val="00DD45EC"/>
    <w:rsid w:val="00DD4FDB"/>
    <w:rsid w:val="00DD54B0"/>
    <w:rsid w:val="00DD5A70"/>
    <w:rsid w:val="00DD62EE"/>
    <w:rsid w:val="00DD7C2D"/>
    <w:rsid w:val="00DD7ED8"/>
    <w:rsid w:val="00DE1813"/>
    <w:rsid w:val="00DE701E"/>
    <w:rsid w:val="00DF01DE"/>
    <w:rsid w:val="00DF2C5A"/>
    <w:rsid w:val="00DF605D"/>
    <w:rsid w:val="00DF6FB6"/>
    <w:rsid w:val="00DF78FB"/>
    <w:rsid w:val="00E000E8"/>
    <w:rsid w:val="00E072B7"/>
    <w:rsid w:val="00E11795"/>
    <w:rsid w:val="00E14875"/>
    <w:rsid w:val="00E14C13"/>
    <w:rsid w:val="00E15ED5"/>
    <w:rsid w:val="00E16BB3"/>
    <w:rsid w:val="00E177EC"/>
    <w:rsid w:val="00E2153A"/>
    <w:rsid w:val="00E22070"/>
    <w:rsid w:val="00E24F78"/>
    <w:rsid w:val="00E32723"/>
    <w:rsid w:val="00E36784"/>
    <w:rsid w:val="00E40973"/>
    <w:rsid w:val="00E42436"/>
    <w:rsid w:val="00E42675"/>
    <w:rsid w:val="00E42F06"/>
    <w:rsid w:val="00E44A5A"/>
    <w:rsid w:val="00E47D1A"/>
    <w:rsid w:val="00E47FC7"/>
    <w:rsid w:val="00E54AA9"/>
    <w:rsid w:val="00E61F6A"/>
    <w:rsid w:val="00E63531"/>
    <w:rsid w:val="00E67D70"/>
    <w:rsid w:val="00E70DB3"/>
    <w:rsid w:val="00E70EC6"/>
    <w:rsid w:val="00E71622"/>
    <w:rsid w:val="00E72D67"/>
    <w:rsid w:val="00E74517"/>
    <w:rsid w:val="00E75C41"/>
    <w:rsid w:val="00E75F12"/>
    <w:rsid w:val="00E76EB2"/>
    <w:rsid w:val="00E86406"/>
    <w:rsid w:val="00E87536"/>
    <w:rsid w:val="00E913EB"/>
    <w:rsid w:val="00E923C4"/>
    <w:rsid w:val="00E92D87"/>
    <w:rsid w:val="00E9633D"/>
    <w:rsid w:val="00E96E5D"/>
    <w:rsid w:val="00EA2308"/>
    <w:rsid w:val="00EA2B94"/>
    <w:rsid w:val="00EA34C0"/>
    <w:rsid w:val="00EA42F1"/>
    <w:rsid w:val="00EA6F80"/>
    <w:rsid w:val="00EA7A43"/>
    <w:rsid w:val="00EC0EB3"/>
    <w:rsid w:val="00EC143E"/>
    <w:rsid w:val="00EC1445"/>
    <w:rsid w:val="00EC7A25"/>
    <w:rsid w:val="00ED0863"/>
    <w:rsid w:val="00ED2F0A"/>
    <w:rsid w:val="00ED4312"/>
    <w:rsid w:val="00ED4653"/>
    <w:rsid w:val="00ED4ED2"/>
    <w:rsid w:val="00ED5B56"/>
    <w:rsid w:val="00ED7496"/>
    <w:rsid w:val="00EE01F0"/>
    <w:rsid w:val="00EE0B25"/>
    <w:rsid w:val="00EE757E"/>
    <w:rsid w:val="00EE7EDD"/>
    <w:rsid w:val="00EF1322"/>
    <w:rsid w:val="00EF15DF"/>
    <w:rsid w:val="00EF1AD6"/>
    <w:rsid w:val="00EF3F0C"/>
    <w:rsid w:val="00EF40DA"/>
    <w:rsid w:val="00F01784"/>
    <w:rsid w:val="00F01BB5"/>
    <w:rsid w:val="00F04286"/>
    <w:rsid w:val="00F12663"/>
    <w:rsid w:val="00F126FF"/>
    <w:rsid w:val="00F12C7A"/>
    <w:rsid w:val="00F14857"/>
    <w:rsid w:val="00F148B2"/>
    <w:rsid w:val="00F1688C"/>
    <w:rsid w:val="00F1729B"/>
    <w:rsid w:val="00F173EC"/>
    <w:rsid w:val="00F1742D"/>
    <w:rsid w:val="00F20EC8"/>
    <w:rsid w:val="00F21FD8"/>
    <w:rsid w:val="00F24B13"/>
    <w:rsid w:val="00F27577"/>
    <w:rsid w:val="00F303E2"/>
    <w:rsid w:val="00F32009"/>
    <w:rsid w:val="00F324DE"/>
    <w:rsid w:val="00F343E8"/>
    <w:rsid w:val="00F34CE4"/>
    <w:rsid w:val="00F35586"/>
    <w:rsid w:val="00F42077"/>
    <w:rsid w:val="00F42171"/>
    <w:rsid w:val="00F43093"/>
    <w:rsid w:val="00F45270"/>
    <w:rsid w:val="00F53074"/>
    <w:rsid w:val="00F640B5"/>
    <w:rsid w:val="00F651B8"/>
    <w:rsid w:val="00F66851"/>
    <w:rsid w:val="00F70E7B"/>
    <w:rsid w:val="00F733D4"/>
    <w:rsid w:val="00F74042"/>
    <w:rsid w:val="00F7405B"/>
    <w:rsid w:val="00F75BD6"/>
    <w:rsid w:val="00F76074"/>
    <w:rsid w:val="00F80BBD"/>
    <w:rsid w:val="00F80C3F"/>
    <w:rsid w:val="00F81F24"/>
    <w:rsid w:val="00F8251A"/>
    <w:rsid w:val="00F82BE0"/>
    <w:rsid w:val="00F83D66"/>
    <w:rsid w:val="00F84D7F"/>
    <w:rsid w:val="00F85311"/>
    <w:rsid w:val="00F8662F"/>
    <w:rsid w:val="00F87843"/>
    <w:rsid w:val="00FA087E"/>
    <w:rsid w:val="00FA1F1F"/>
    <w:rsid w:val="00FA4946"/>
    <w:rsid w:val="00FB0D57"/>
    <w:rsid w:val="00FB4222"/>
    <w:rsid w:val="00FB4A51"/>
    <w:rsid w:val="00FB5204"/>
    <w:rsid w:val="00FC074C"/>
    <w:rsid w:val="00FC103A"/>
    <w:rsid w:val="00FC250B"/>
    <w:rsid w:val="00FC29EB"/>
    <w:rsid w:val="00FC2A10"/>
    <w:rsid w:val="00FC586C"/>
    <w:rsid w:val="00FD2C89"/>
    <w:rsid w:val="00FD4D38"/>
    <w:rsid w:val="00FD588E"/>
    <w:rsid w:val="00FD7AF4"/>
    <w:rsid w:val="00FE010D"/>
    <w:rsid w:val="00FE494F"/>
    <w:rsid w:val="00FE4980"/>
    <w:rsid w:val="00FE4C38"/>
    <w:rsid w:val="00FE7086"/>
    <w:rsid w:val="00FF15A0"/>
    <w:rsid w:val="00FF25C9"/>
    <w:rsid w:val="00FF32A4"/>
    <w:rsid w:val="00FF3826"/>
    <w:rsid w:val="00FF479D"/>
    <w:rsid w:val="00FF5368"/>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03D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F96"/>
  </w:style>
  <w:style w:type="paragraph" w:styleId="Heading1">
    <w:name w:val="heading 1"/>
    <w:basedOn w:val="Normal"/>
    <w:link w:val="Heading1Char"/>
    <w:autoRedefine/>
    <w:uiPriority w:val="9"/>
    <w:qFormat/>
    <w:rsid w:val="000F3581"/>
    <w:pPr>
      <w:spacing w:before="161" w:after="161" w:line="240" w:lineRule="auto"/>
      <w:outlineLvl w:val="0"/>
    </w:pPr>
    <w:rPr>
      <w:rFonts w:asciiTheme="majorHAnsi" w:eastAsia="Times New Roman" w:hAnsiTheme="majorHAnsi" w:cs="Times New Roman"/>
      <w:b/>
      <w:bCs/>
      <w:color w:val="323E4F" w:themeColor="text2" w:themeShade="BF"/>
      <w:kern w:val="36"/>
      <w:sz w:val="48"/>
      <w:szCs w:val="48"/>
      <w:lang w:eastAsia="en-AU"/>
    </w:rPr>
  </w:style>
  <w:style w:type="paragraph" w:styleId="Heading2">
    <w:name w:val="heading 2"/>
    <w:basedOn w:val="Normal"/>
    <w:next w:val="Normal"/>
    <w:link w:val="Heading2Char"/>
    <w:autoRedefine/>
    <w:uiPriority w:val="9"/>
    <w:unhideWhenUsed/>
    <w:qFormat/>
    <w:rsid w:val="00DB1E56"/>
    <w:pPr>
      <w:keepNext/>
      <w:keepLines/>
      <w:spacing w:before="40" w:after="0"/>
      <w:outlineLvl w:val="1"/>
    </w:pPr>
    <w:rPr>
      <w:rFonts w:asciiTheme="majorHAnsi" w:eastAsia="Calibri" w:hAnsiTheme="majorHAnsi" w:cstheme="majorBidi"/>
      <w:b/>
      <w:color w:val="2F5496" w:themeColor="accent1" w:themeShade="BF"/>
      <w:sz w:val="36"/>
      <w:szCs w:val="26"/>
      <w:lang w:val="en" w:eastAsia="en-AU"/>
    </w:rPr>
  </w:style>
  <w:style w:type="paragraph" w:styleId="Heading3">
    <w:name w:val="heading 3"/>
    <w:basedOn w:val="Normal"/>
    <w:next w:val="Normal"/>
    <w:link w:val="Heading3Char"/>
    <w:uiPriority w:val="9"/>
    <w:unhideWhenUsed/>
    <w:qFormat/>
    <w:rsid w:val="00EA34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A34C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685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D086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D086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D086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086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581"/>
    <w:rPr>
      <w:rFonts w:asciiTheme="majorHAnsi" w:eastAsia="Times New Roman" w:hAnsiTheme="majorHAnsi" w:cs="Times New Roman"/>
      <w:b/>
      <w:bCs/>
      <w:color w:val="323E4F" w:themeColor="text2" w:themeShade="BF"/>
      <w:kern w:val="36"/>
      <w:sz w:val="48"/>
      <w:szCs w:val="48"/>
      <w:lang w:eastAsia="en-AU"/>
    </w:rPr>
  </w:style>
  <w:style w:type="character" w:customStyle="1" w:styleId="Heading2Char">
    <w:name w:val="Heading 2 Char"/>
    <w:basedOn w:val="DefaultParagraphFont"/>
    <w:link w:val="Heading2"/>
    <w:uiPriority w:val="9"/>
    <w:rsid w:val="00DB1E56"/>
    <w:rPr>
      <w:rFonts w:asciiTheme="majorHAnsi" w:eastAsia="Calibri" w:hAnsiTheme="majorHAnsi" w:cstheme="majorBidi"/>
      <w:b/>
      <w:color w:val="2F5496" w:themeColor="accent1" w:themeShade="BF"/>
      <w:sz w:val="36"/>
      <w:szCs w:val="26"/>
      <w:lang w:val="en" w:eastAsia="en-AU"/>
    </w:rPr>
  </w:style>
  <w:style w:type="character" w:customStyle="1" w:styleId="Heading3Char">
    <w:name w:val="Heading 3 Char"/>
    <w:basedOn w:val="DefaultParagraphFont"/>
    <w:link w:val="Heading3"/>
    <w:uiPriority w:val="9"/>
    <w:rsid w:val="00EA34C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A34C0"/>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5E4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1D9"/>
    <w:rPr>
      <w:rFonts w:ascii="Segoe UI" w:hAnsi="Segoe UI" w:cs="Segoe UI"/>
      <w:sz w:val="18"/>
      <w:szCs w:val="18"/>
    </w:rPr>
  </w:style>
  <w:style w:type="character" w:styleId="CommentReference">
    <w:name w:val="annotation reference"/>
    <w:basedOn w:val="DefaultParagraphFont"/>
    <w:uiPriority w:val="99"/>
    <w:unhideWhenUsed/>
    <w:rsid w:val="005E41D9"/>
    <w:rPr>
      <w:sz w:val="16"/>
      <w:szCs w:val="16"/>
    </w:rPr>
  </w:style>
  <w:style w:type="paragraph" w:styleId="CommentText">
    <w:name w:val="annotation text"/>
    <w:basedOn w:val="Normal"/>
    <w:link w:val="CommentTextChar"/>
    <w:uiPriority w:val="99"/>
    <w:unhideWhenUsed/>
    <w:rsid w:val="005E41D9"/>
    <w:pPr>
      <w:spacing w:line="240" w:lineRule="auto"/>
    </w:pPr>
    <w:rPr>
      <w:sz w:val="20"/>
      <w:szCs w:val="20"/>
    </w:rPr>
  </w:style>
  <w:style w:type="character" w:customStyle="1" w:styleId="CommentTextChar">
    <w:name w:val="Comment Text Char"/>
    <w:basedOn w:val="DefaultParagraphFont"/>
    <w:link w:val="CommentText"/>
    <w:uiPriority w:val="99"/>
    <w:rsid w:val="005E41D9"/>
    <w:rPr>
      <w:sz w:val="20"/>
      <w:szCs w:val="20"/>
    </w:rPr>
  </w:style>
  <w:style w:type="paragraph" w:styleId="ListParagraph">
    <w:name w:val="List Paragraph"/>
    <w:aliases w:val="Bullet Point,List Paragraph - bullets,Use Case List Paragraph,Bullet List,List Paragraph11,Bullet point,L,List Paragraph1,Recommendation,DDM Gen Text,NFP GP Bulleted List,bullet point list,Bullet points,Content descriptions,Dot Points"/>
    <w:basedOn w:val="Normal"/>
    <w:link w:val="ListParagraphChar"/>
    <w:uiPriority w:val="34"/>
    <w:qFormat/>
    <w:rsid w:val="005E41D9"/>
    <w:pPr>
      <w:ind w:left="720"/>
      <w:contextualSpacing/>
    </w:pPr>
  </w:style>
  <w:style w:type="paragraph" w:styleId="CommentSubject">
    <w:name w:val="annotation subject"/>
    <w:basedOn w:val="CommentText"/>
    <w:next w:val="CommentText"/>
    <w:link w:val="CommentSubjectChar"/>
    <w:uiPriority w:val="99"/>
    <w:semiHidden/>
    <w:unhideWhenUsed/>
    <w:rsid w:val="005E41D9"/>
    <w:rPr>
      <w:b/>
      <w:bCs/>
    </w:rPr>
  </w:style>
  <w:style w:type="character" w:customStyle="1" w:styleId="CommentSubjectChar">
    <w:name w:val="Comment Subject Char"/>
    <w:basedOn w:val="CommentTextChar"/>
    <w:link w:val="CommentSubject"/>
    <w:uiPriority w:val="99"/>
    <w:semiHidden/>
    <w:rsid w:val="005E41D9"/>
    <w:rPr>
      <w:b/>
      <w:bCs/>
      <w:sz w:val="20"/>
      <w:szCs w:val="20"/>
    </w:rPr>
  </w:style>
  <w:style w:type="paragraph" w:styleId="NoSpacing">
    <w:name w:val="No Spacing"/>
    <w:link w:val="NoSpacingChar"/>
    <w:uiPriority w:val="1"/>
    <w:qFormat/>
    <w:rsid w:val="004E1F6F"/>
    <w:pPr>
      <w:spacing w:after="0" w:line="240" w:lineRule="auto"/>
    </w:pPr>
  </w:style>
  <w:style w:type="character" w:styleId="IntenseReference">
    <w:name w:val="Intense Reference"/>
    <w:basedOn w:val="DefaultParagraphFont"/>
    <w:uiPriority w:val="32"/>
    <w:qFormat/>
    <w:rsid w:val="00116D76"/>
    <w:rPr>
      <w:b/>
      <w:bCs/>
      <w:smallCaps/>
      <w:color w:val="4472C4" w:themeColor="accent1"/>
      <w:spacing w:val="5"/>
    </w:rPr>
  </w:style>
  <w:style w:type="paragraph" w:styleId="Title">
    <w:name w:val="Title"/>
    <w:basedOn w:val="Normal"/>
    <w:next w:val="Normal"/>
    <w:link w:val="TitleChar"/>
    <w:uiPriority w:val="10"/>
    <w:qFormat/>
    <w:rsid w:val="00116D7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116D76"/>
    <w:rPr>
      <w:rFonts w:asciiTheme="majorHAnsi" w:eastAsiaTheme="majorEastAsia" w:hAnsiTheme="majorHAnsi" w:cstheme="majorBidi"/>
      <w:spacing w:val="-10"/>
      <w:kern w:val="28"/>
      <w:sz w:val="40"/>
      <w:szCs w:val="56"/>
    </w:rPr>
  </w:style>
  <w:style w:type="character" w:styleId="Hyperlink">
    <w:name w:val="Hyperlink"/>
    <w:basedOn w:val="DefaultParagraphFont"/>
    <w:uiPriority w:val="99"/>
    <w:unhideWhenUsed/>
    <w:rsid w:val="0076693A"/>
    <w:rPr>
      <w:color w:val="0563C1" w:themeColor="hyperlink"/>
      <w:u w:val="single"/>
    </w:rPr>
  </w:style>
  <w:style w:type="paragraph" w:styleId="NormalWeb">
    <w:name w:val="Normal (Web)"/>
    <w:basedOn w:val="Normal"/>
    <w:link w:val="NormalWebChar"/>
    <w:uiPriority w:val="99"/>
    <w:unhideWhenUsed/>
    <w:rsid w:val="00ED43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publication-menuitem">
    <w:name w:val="det-publication-menu__item"/>
    <w:basedOn w:val="Normal"/>
    <w:rsid w:val="00ED43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linkinner1">
    <w:name w:val="rpl-link__inner1"/>
    <w:basedOn w:val="DefaultParagraphFont"/>
    <w:rsid w:val="00ED4312"/>
    <w:rPr>
      <w:vanish w:val="0"/>
      <w:webHidden w:val="0"/>
      <w:specVanish w:val="0"/>
    </w:rPr>
  </w:style>
  <w:style w:type="character" w:customStyle="1" w:styleId="det-publication-menuitem-link-text">
    <w:name w:val="det-publication-menu__item-link-text"/>
    <w:basedOn w:val="DefaultParagraphFont"/>
    <w:rsid w:val="00ED4312"/>
  </w:style>
  <w:style w:type="character" w:customStyle="1" w:styleId="det-chapters-title">
    <w:name w:val="det-chapters-title"/>
    <w:basedOn w:val="DefaultParagraphFont"/>
    <w:rsid w:val="00ED4312"/>
  </w:style>
  <w:style w:type="character" w:customStyle="1" w:styleId="rpl-text-label2">
    <w:name w:val="rpl-text-label2"/>
    <w:basedOn w:val="DefaultParagraphFont"/>
    <w:rsid w:val="00ED4312"/>
    <w:rPr>
      <w:strike w:val="0"/>
      <w:dstrike w:val="0"/>
      <w:color w:val="011A3C"/>
      <w:u w:val="none"/>
      <w:effect w:val="none"/>
    </w:rPr>
  </w:style>
  <w:style w:type="character" w:styleId="Strong">
    <w:name w:val="Strong"/>
    <w:basedOn w:val="DefaultParagraphFont"/>
    <w:uiPriority w:val="22"/>
    <w:qFormat/>
    <w:rsid w:val="00ED4312"/>
    <w:rPr>
      <w:b/>
      <w:bCs/>
    </w:rPr>
  </w:style>
  <w:style w:type="character" w:customStyle="1" w:styleId="rpl-text-icongroup1">
    <w:name w:val="rpl-text-icon__group1"/>
    <w:basedOn w:val="DefaultParagraphFont"/>
    <w:rsid w:val="00ED4312"/>
  </w:style>
  <w:style w:type="paragraph" w:styleId="TOCHeading">
    <w:name w:val="TOC Heading"/>
    <w:basedOn w:val="Heading1"/>
    <w:next w:val="Normal"/>
    <w:uiPriority w:val="39"/>
    <w:unhideWhenUsed/>
    <w:qFormat/>
    <w:rsid w:val="00BE4C65"/>
    <w:pPr>
      <w:keepNext/>
      <w:keepLines/>
      <w:spacing w:before="240" w:after="0" w:line="259" w:lineRule="auto"/>
      <w:outlineLvl w:val="9"/>
    </w:pPr>
    <w:rPr>
      <w:rFonts w:eastAsiaTheme="majorEastAsia"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BD2571"/>
    <w:pPr>
      <w:tabs>
        <w:tab w:val="right" w:leader="dot" w:pos="9016"/>
      </w:tabs>
      <w:spacing w:after="100"/>
    </w:pPr>
  </w:style>
  <w:style w:type="paragraph" w:styleId="TOC2">
    <w:name w:val="toc 2"/>
    <w:basedOn w:val="Normal"/>
    <w:next w:val="Normal"/>
    <w:autoRedefine/>
    <w:uiPriority w:val="39"/>
    <w:unhideWhenUsed/>
    <w:rsid w:val="00BD2571"/>
    <w:pPr>
      <w:tabs>
        <w:tab w:val="right" w:leader="dot" w:pos="9016"/>
      </w:tabs>
      <w:spacing w:after="100"/>
      <w:ind w:left="220"/>
    </w:pPr>
  </w:style>
  <w:style w:type="paragraph" w:styleId="TOC3">
    <w:name w:val="toc 3"/>
    <w:basedOn w:val="Normal"/>
    <w:next w:val="Normal"/>
    <w:autoRedefine/>
    <w:uiPriority w:val="39"/>
    <w:unhideWhenUsed/>
    <w:rsid w:val="00BE4C65"/>
    <w:pPr>
      <w:spacing w:after="100"/>
      <w:ind w:left="440"/>
    </w:pPr>
  </w:style>
  <w:style w:type="character" w:customStyle="1" w:styleId="NoSpacingChar">
    <w:name w:val="No Spacing Char"/>
    <w:basedOn w:val="DefaultParagraphFont"/>
    <w:link w:val="NoSpacing"/>
    <w:uiPriority w:val="1"/>
    <w:rsid w:val="00777BB8"/>
  </w:style>
  <w:style w:type="paragraph" w:styleId="Subtitle">
    <w:name w:val="Subtitle"/>
    <w:basedOn w:val="Normal"/>
    <w:next w:val="Normal"/>
    <w:link w:val="SubtitleChar"/>
    <w:uiPriority w:val="11"/>
    <w:qFormat/>
    <w:rsid w:val="006920FD"/>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6920FD"/>
    <w:rPr>
      <w:rFonts w:eastAsiaTheme="minorEastAsia" w:cs="Times New Roman"/>
      <w:color w:val="5A5A5A" w:themeColor="text1" w:themeTint="A5"/>
      <w:spacing w:val="15"/>
      <w:lang w:val="en-US"/>
    </w:rPr>
  </w:style>
  <w:style w:type="paragraph" w:styleId="Revision">
    <w:name w:val="Revision"/>
    <w:hidden/>
    <w:uiPriority w:val="99"/>
    <w:semiHidden/>
    <w:rsid w:val="006C7CCA"/>
    <w:pPr>
      <w:spacing w:after="0" w:line="240" w:lineRule="auto"/>
    </w:pPr>
  </w:style>
  <w:style w:type="character" w:styleId="UnresolvedMention">
    <w:name w:val="Unresolved Mention"/>
    <w:basedOn w:val="DefaultParagraphFont"/>
    <w:uiPriority w:val="99"/>
    <w:semiHidden/>
    <w:unhideWhenUsed/>
    <w:rsid w:val="007F1D90"/>
    <w:rPr>
      <w:color w:val="605E5C"/>
      <w:shd w:val="clear" w:color="auto" w:fill="E1DFDD"/>
    </w:rPr>
  </w:style>
  <w:style w:type="paragraph" w:styleId="Header">
    <w:name w:val="header"/>
    <w:basedOn w:val="Normal"/>
    <w:link w:val="HeaderChar"/>
    <w:uiPriority w:val="99"/>
    <w:unhideWhenUsed/>
    <w:rsid w:val="00196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C78"/>
  </w:style>
  <w:style w:type="paragraph" w:styleId="Footer">
    <w:name w:val="footer"/>
    <w:basedOn w:val="Normal"/>
    <w:link w:val="FooterChar"/>
    <w:uiPriority w:val="99"/>
    <w:unhideWhenUsed/>
    <w:rsid w:val="00196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C78"/>
  </w:style>
  <w:style w:type="character" w:styleId="FollowedHyperlink">
    <w:name w:val="FollowedHyperlink"/>
    <w:basedOn w:val="DefaultParagraphFont"/>
    <w:uiPriority w:val="99"/>
    <w:semiHidden/>
    <w:unhideWhenUsed/>
    <w:rsid w:val="00740CCF"/>
    <w:rPr>
      <w:color w:val="954F72" w:themeColor="followedHyperlink"/>
      <w:u w:val="single"/>
    </w:rPr>
  </w:style>
  <w:style w:type="character" w:customStyle="1" w:styleId="ListParagraphChar">
    <w:name w:val="List Paragraph Char"/>
    <w:aliases w:val="Bullet Point Char,List Paragraph - bullets Char,Use Case List Paragraph Char,Bullet List Char,List Paragraph11 Char,Bullet point Char,L Char,List Paragraph1 Char,Recommendation Char,DDM Gen Text Char,NFP GP Bulleted List Char"/>
    <w:basedOn w:val="DefaultParagraphFont"/>
    <w:link w:val="ListParagraph"/>
    <w:uiPriority w:val="34"/>
    <w:qFormat/>
    <w:locked/>
    <w:rsid w:val="00F20EC8"/>
  </w:style>
  <w:style w:type="table" w:styleId="TableGrid">
    <w:name w:val="Table Grid"/>
    <w:basedOn w:val="TableNormal"/>
    <w:uiPriority w:val="39"/>
    <w:rsid w:val="00F20EC8"/>
    <w:pPr>
      <w:spacing w:after="0" w:line="240" w:lineRule="auto"/>
    </w:pPr>
    <w:rPr>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paragraph" w:customStyle="1" w:styleId="wysiwyg-callout">
    <w:name w:val="wysiwyg-callout"/>
    <w:basedOn w:val="Normal"/>
    <w:rsid w:val="00BB5BE4"/>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1">
    <w:name w:val="Table Grid11"/>
    <w:basedOn w:val="TableNormal"/>
    <w:rsid w:val="00BB5BE4"/>
    <w:pPr>
      <w:spacing w:after="90" w:line="220" w:lineRule="atLeas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next w:val="Normal"/>
    <w:qFormat/>
    <w:rsid w:val="007A1176"/>
    <w:pPr>
      <w:numPr>
        <w:numId w:val="141"/>
      </w:numPr>
      <w:spacing w:after="120" w:line="240" w:lineRule="auto"/>
      <w:ind w:left="284" w:hanging="284"/>
    </w:pPr>
    <w:rPr>
      <w:szCs w:val="24"/>
    </w:rPr>
  </w:style>
  <w:style w:type="character" w:customStyle="1" w:styleId="NormalWebChar">
    <w:name w:val="Normal (Web) Char"/>
    <w:basedOn w:val="DefaultParagraphFont"/>
    <w:link w:val="NormalWeb"/>
    <w:uiPriority w:val="99"/>
    <w:rsid w:val="000B5124"/>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B5124"/>
  </w:style>
  <w:style w:type="character" w:customStyle="1" w:styleId="rpl-text-label">
    <w:name w:val="rpl-text-label"/>
    <w:basedOn w:val="DefaultParagraphFont"/>
    <w:rsid w:val="00F66851"/>
  </w:style>
  <w:style w:type="character" w:customStyle="1" w:styleId="rpl-text-icongroup">
    <w:name w:val="rpl-text-icon__group"/>
    <w:basedOn w:val="DefaultParagraphFont"/>
    <w:rsid w:val="00F66851"/>
  </w:style>
  <w:style w:type="character" w:customStyle="1" w:styleId="Heading5Char">
    <w:name w:val="Heading 5 Char"/>
    <w:basedOn w:val="DefaultParagraphFont"/>
    <w:link w:val="Heading5"/>
    <w:uiPriority w:val="9"/>
    <w:semiHidden/>
    <w:rsid w:val="00F66851"/>
    <w:rPr>
      <w:rFonts w:asciiTheme="majorHAnsi" w:eastAsiaTheme="majorEastAsia" w:hAnsiTheme="majorHAnsi" w:cstheme="majorBidi"/>
      <w:color w:val="2F5496" w:themeColor="accent1" w:themeShade="BF"/>
    </w:rPr>
  </w:style>
  <w:style w:type="paragraph" w:customStyle="1" w:styleId="mld-paragraph">
    <w:name w:val="mld-paragraph"/>
    <w:basedOn w:val="Normal"/>
    <w:rsid w:val="00683C9C"/>
    <w:pPr>
      <w:spacing w:before="100" w:beforeAutospacing="1" w:after="100" w:afterAutospacing="1" w:line="240" w:lineRule="auto"/>
    </w:pPr>
    <w:rPr>
      <w:rFonts w:ascii="Calibri" w:hAnsi="Calibri" w:cs="Calibri"/>
      <w:lang w:eastAsia="en-AU"/>
    </w:rPr>
  </w:style>
  <w:style w:type="paragraph" w:styleId="BodyText">
    <w:name w:val="Body Text"/>
    <w:basedOn w:val="Normal"/>
    <w:link w:val="BodyTextChar"/>
    <w:semiHidden/>
    <w:unhideWhenUsed/>
    <w:qFormat/>
    <w:rsid w:val="00F8251A"/>
    <w:pPr>
      <w:spacing w:before="120" w:after="120" w:line="288" w:lineRule="auto"/>
      <w:jc w:val="both"/>
    </w:pPr>
    <w:rPr>
      <w:rFonts w:ascii="Arial" w:hAnsi="Arial"/>
      <w:color w:val="323E4F" w:themeColor="text2" w:themeShade="BF"/>
      <w:spacing w:val="4"/>
      <w:kern w:val="20"/>
      <w:sz w:val="20"/>
    </w:rPr>
  </w:style>
  <w:style w:type="character" w:customStyle="1" w:styleId="BodyTextChar">
    <w:name w:val="Body Text Char"/>
    <w:basedOn w:val="DefaultParagraphFont"/>
    <w:link w:val="BodyText"/>
    <w:semiHidden/>
    <w:rsid w:val="00F8251A"/>
    <w:rPr>
      <w:rFonts w:ascii="Arial" w:hAnsi="Arial"/>
      <w:color w:val="323E4F" w:themeColor="text2" w:themeShade="BF"/>
      <w:spacing w:val="4"/>
      <w:kern w:val="20"/>
      <w:sz w:val="20"/>
    </w:rPr>
  </w:style>
  <w:style w:type="table" w:customStyle="1" w:styleId="TableGrid111">
    <w:name w:val="Table Grid111"/>
    <w:basedOn w:val="TableNormal"/>
    <w:rsid w:val="00F8251A"/>
    <w:pPr>
      <w:spacing w:after="90" w:line="220" w:lineRule="atLeast"/>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ED0863"/>
  </w:style>
  <w:style w:type="paragraph" w:styleId="BlockText">
    <w:name w:val="Block Text"/>
    <w:basedOn w:val="Normal"/>
    <w:uiPriority w:val="99"/>
    <w:semiHidden/>
    <w:unhideWhenUsed/>
    <w:rsid w:val="00ED086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2">
    <w:name w:val="Body Text 2"/>
    <w:basedOn w:val="Normal"/>
    <w:link w:val="BodyText2Char"/>
    <w:uiPriority w:val="99"/>
    <w:semiHidden/>
    <w:unhideWhenUsed/>
    <w:rsid w:val="00ED0863"/>
    <w:pPr>
      <w:spacing w:after="120" w:line="480" w:lineRule="auto"/>
    </w:pPr>
  </w:style>
  <w:style w:type="character" w:customStyle="1" w:styleId="BodyText2Char">
    <w:name w:val="Body Text 2 Char"/>
    <w:basedOn w:val="DefaultParagraphFont"/>
    <w:link w:val="BodyText2"/>
    <w:uiPriority w:val="99"/>
    <w:semiHidden/>
    <w:rsid w:val="00ED0863"/>
  </w:style>
  <w:style w:type="paragraph" w:styleId="BodyText3">
    <w:name w:val="Body Text 3"/>
    <w:basedOn w:val="Normal"/>
    <w:link w:val="BodyText3Char"/>
    <w:uiPriority w:val="99"/>
    <w:semiHidden/>
    <w:unhideWhenUsed/>
    <w:rsid w:val="00ED0863"/>
    <w:pPr>
      <w:spacing w:after="120"/>
    </w:pPr>
    <w:rPr>
      <w:sz w:val="16"/>
      <w:szCs w:val="16"/>
    </w:rPr>
  </w:style>
  <w:style w:type="character" w:customStyle="1" w:styleId="BodyText3Char">
    <w:name w:val="Body Text 3 Char"/>
    <w:basedOn w:val="DefaultParagraphFont"/>
    <w:link w:val="BodyText3"/>
    <w:uiPriority w:val="99"/>
    <w:semiHidden/>
    <w:rsid w:val="00ED0863"/>
    <w:rPr>
      <w:sz w:val="16"/>
      <w:szCs w:val="16"/>
    </w:rPr>
  </w:style>
  <w:style w:type="paragraph" w:styleId="BodyTextFirstIndent">
    <w:name w:val="Body Text First Indent"/>
    <w:basedOn w:val="BodyText"/>
    <w:link w:val="BodyTextFirstIndentChar"/>
    <w:uiPriority w:val="99"/>
    <w:semiHidden/>
    <w:unhideWhenUsed/>
    <w:rsid w:val="00ED0863"/>
    <w:pPr>
      <w:spacing w:before="0" w:after="160" w:line="259" w:lineRule="auto"/>
      <w:ind w:firstLine="360"/>
      <w:jc w:val="left"/>
    </w:pPr>
    <w:rPr>
      <w:rFonts w:asciiTheme="minorHAnsi" w:hAnsiTheme="minorHAnsi"/>
      <w:color w:val="auto"/>
      <w:spacing w:val="0"/>
      <w:kern w:val="0"/>
      <w:sz w:val="22"/>
    </w:rPr>
  </w:style>
  <w:style w:type="character" w:customStyle="1" w:styleId="BodyTextFirstIndentChar">
    <w:name w:val="Body Text First Indent Char"/>
    <w:basedOn w:val="BodyTextChar"/>
    <w:link w:val="BodyTextFirstIndent"/>
    <w:uiPriority w:val="99"/>
    <w:semiHidden/>
    <w:rsid w:val="00ED0863"/>
    <w:rPr>
      <w:rFonts w:ascii="Arial" w:hAnsi="Arial"/>
      <w:color w:val="323E4F" w:themeColor="text2" w:themeShade="BF"/>
      <w:spacing w:val="4"/>
      <w:kern w:val="20"/>
      <w:sz w:val="20"/>
    </w:rPr>
  </w:style>
  <w:style w:type="paragraph" w:styleId="BodyTextIndent">
    <w:name w:val="Body Text Indent"/>
    <w:basedOn w:val="Normal"/>
    <w:link w:val="BodyTextIndentChar"/>
    <w:uiPriority w:val="99"/>
    <w:semiHidden/>
    <w:unhideWhenUsed/>
    <w:rsid w:val="00ED0863"/>
    <w:pPr>
      <w:spacing w:after="120"/>
      <w:ind w:left="283"/>
    </w:pPr>
  </w:style>
  <w:style w:type="character" w:customStyle="1" w:styleId="BodyTextIndentChar">
    <w:name w:val="Body Text Indent Char"/>
    <w:basedOn w:val="DefaultParagraphFont"/>
    <w:link w:val="BodyTextIndent"/>
    <w:uiPriority w:val="99"/>
    <w:semiHidden/>
    <w:rsid w:val="00ED0863"/>
  </w:style>
  <w:style w:type="paragraph" w:styleId="BodyTextFirstIndent2">
    <w:name w:val="Body Text First Indent 2"/>
    <w:basedOn w:val="BodyTextIndent"/>
    <w:link w:val="BodyTextFirstIndent2Char"/>
    <w:uiPriority w:val="99"/>
    <w:semiHidden/>
    <w:unhideWhenUsed/>
    <w:rsid w:val="00ED0863"/>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ED0863"/>
  </w:style>
  <w:style w:type="paragraph" w:styleId="BodyTextIndent2">
    <w:name w:val="Body Text Indent 2"/>
    <w:basedOn w:val="Normal"/>
    <w:link w:val="BodyTextIndent2Char"/>
    <w:uiPriority w:val="99"/>
    <w:semiHidden/>
    <w:unhideWhenUsed/>
    <w:rsid w:val="00ED0863"/>
    <w:pPr>
      <w:spacing w:after="120" w:line="480" w:lineRule="auto"/>
      <w:ind w:left="283"/>
    </w:pPr>
  </w:style>
  <w:style w:type="character" w:customStyle="1" w:styleId="BodyTextIndent2Char">
    <w:name w:val="Body Text Indent 2 Char"/>
    <w:basedOn w:val="DefaultParagraphFont"/>
    <w:link w:val="BodyTextIndent2"/>
    <w:uiPriority w:val="99"/>
    <w:semiHidden/>
    <w:rsid w:val="00ED0863"/>
  </w:style>
  <w:style w:type="paragraph" w:styleId="BodyTextIndent3">
    <w:name w:val="Body Text Indent 3"/>
    <w:basedOn w:val="Normal"/>
    <w:link w:val="BodyTextIndent3Char"/>
    <w:uiPriority w:val="99"/>
    <w:semiHidden/>
    <w:unhideWhenUsed/>
    <w:rsid w:val="00ED086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0863"/>
    <w:rPr>
      <w:sz w:val="16"/>
      <w:szCs w:val="16"/>
    </w:rPr>
  </w:style>
  <w:style w:type="paragraph" w:styleId="Caption">
    <w:name w:val="caption"/>
    <w:basedOn w:val="Normal"/>
    <w:next w:val="Normal"/>
    <w:uiPriority w:val="35"/>
    <w:semiHidden/>
    <w:unhideWhenUsed/>
    <w:qFormat/>
    <w:rsid w:val="00ED086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D0863"/>
    <w:pPr>
      <w:spacing w:after="0" w:line="240" w:lineRule="auto"/>
      <w:ind w:left="4252"/>
    </w:pPr>
  </w:style>
  <w:style w:type="character" w:customStyle="1" w:styleId="ClosingChar">
    <w:name w:val="Closing Char"/>
    <w:basedOn w:val="DefaultParagraphFont"/>
    <w:link w:val="Closing"/>
    <w:uiPriority w:val="99"/>
    <w:semiHidden/>
    <w:rsid w:val="00ED0863"/>
  </w:style>
  <w:style w:type="paragraph" w:styleId="Date">
    <w:name w:val="Date"/>
    <w:basedOn w:val="Normal"/>
    <w:next w:val="Normal"/>
    <w:link w:val="DateChar"/>
    <w:uiPriority w:val="99"/>
    <w:semiHidden/>
    <w:unhideWhenUsed/>
    <w:rsid w:val="00ED0863"/>
  </w:style>
  <w:style w:type="character" w:customStyle="1" w:styleId="DateChar">
    <w:name w:val="Date Char"/>
    <w:basedOn w:val="DefaultParagraphFont"/>
    <w:link w:val="Date"/>
    <w:uiPriority w:val="99"/>
    <w:semiHidden/>
    <w:rsid w:val="00ED0863"/>
  </w:style>
  <w:style w:type="paragraph" w:styleId="DocumentMap">
    <w:name w:val="Document Map"/>
    <w:basedOn w:val="Normal"/>
    <w:link w:val="DocumentMapChar"/>
    <w:uiPriority w:val="99"/>
    <w:semiHidden/>
    <w:unhideWhenUsed/>
    <w:rsid w:val="00ED08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0863"/>
    <w:rPr>
      <w:rFonts w:ascii="Segoe UI" w:hAnsi="Segoe UI" w:cs="Segoe UI"/>
      <w:sz w:val="16"/>
      <w:szCs w:val="16"/>
    </w:rPr>
  </w:style>
  <w:style w:type="paragraph" w:styleId="E-mailSignature">
    <w:name w:val="E-mail Signature"/>
    <w:basedOn w:val="Normal"/>
    <w:link w:val="E-mailSignatureChar"/>
    <w:uiPriority w:val="99"/>
    <w:semiHidden/>
    <w:unhideWhenUsed/>
    <w:rsid w:val="00ED0863"/>
    <w:pPr>
      <w:spacing w:after="0" w:line="240" w:lineRule="auto"/>
    </w:pPr>
  </w:style>
  <w:style w:type="character" w:customStyle="1" w:styleId="E-mailSignatureChar">
    <w:name w:val="E-mail Signature Char"/>
    <w:basedOn w:val="DefaultParagraphFont"/>
    <w:link w:val="E-mailSignature"/>
    <w:uiPriority w:val="99"/>
    <w:semiHidden/>
    <w:rsid w:val="00ED0863"/>
  </w:style>
  <w:style w:type="paragraph" w:styleId="EndnoteText">
    <w:name w:val="endnote text"/>
    <w:basedOn w:val="Normal"/>
    <w:link w:val="EndnoteTextChar"/>
    <w:uiPriority w:val="99"/>
    <w:semiHidden/>
    <w:unhideWhenUsed/>
    <w:rsid w:val="00ED08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0863"/>
    <w:rPr>
      <w:sz w:val="20"/>
      <w:szCs w:val="20"/>
    </w:rPr>
  </w:style>
  <w:style w:type="paragraph" w:styleId="EnvelopeAddress">
    <w:name w:val="envelope address"/>
    <w:basedOn w:val="Normal"/>
    <w:uiPriority w:val="99"/>
    <w:semiHidden/>
    <w:unhideWhenUsed/>
    <w:rsid w:val="00ED08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D086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D08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0863"/>
    <w:rPr>
      <w:sz w:val="20"/>
      <w:szCs w:val="20"/>
    </w:rPr>
  </w:style>
  <w:style w:type="character" w:customStyle="1" w:styleId="Heading6Char">
    <w:name w:val="Heading 6 Char"/>
    <w:basedOn w:val="DefaultParagraphFont"/>
    <w:link w:val="Heading6"/>
    <w:uiPriority w:val="9"/>
    <w:semiHidden/>
    <w:rsid w:val="00ED086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D086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D08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086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D0863"/>
    <w:pPr>
      <w:spacing w:after="0" w:line="240" w:lineRule="auto"/>
    </w:pPr>
    <w:rPr>
      <w:i/>
      <w:iCs/>
    </w:rPr>
  </w:style>
  <w:style w:type="character" w:customStyle="1" w:styleId="HTMLAddressChar">
    <w:name w:val="HTML Address Char"/>
    <w:basedOn w:val="DefaultParagraphFont"/>
    <w:link w:val="HTMLAddress"/>
    <w:uiPriority w:val="99"/>
    <w:semiHidden/>
    <w:rsid w:val="00ED0863"/>
    <w:rPr>
      <w:i/>
      <w:iCs/>
    </w:rPr>
  </w:style>
  <w:style w:type="paragraph" w:styleId="HTMLPreformatted">
    <w:name w:val="HTML Preformatted"/>
    <w:basedOn w:val="Normal"/>
    <w:link w:val="HTMLPreformattedChar"/>
    <w:uiPriority w:val="99"/>
    <w:semiHidden/>
    <w:unhideWhenUsed/>
    <w:rsid w:val="00ED08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D0863"/>
    <w:rPr>
      <w:rFonts w:ascii="Consolas" w:hAnsi="Consolas"/>
      <w:sz w:val="20"/>
      <w:szCs w:val="20"/>
    </w:rPr>
  </w:style>
  <w:style w:type="paragraph" w:styleId="Index1">
    <w:name w:val="index 1"/>
    <w:basedOn w:val="Normal"/>
    <w:next w:val="Normal"/>
    <w:autoRedefine/>
    <w:uiPriority w:val="99"/>
    <w:semiHidden/>
    <w:unhideWhenUsed/>
    <w:rsid w:val="00ED0863"/>
    <w:pPr>
      <w:spacing w:after="0" w:line="240" w:lineRule="auto"/>
      <w:ind w:left="220" w:hanging="220"/>
    </w:pPr>
  </w:style>
  <w:style w:type="paragraph" w:styleId="Index2">
    <w:name w:val="index 2"/>
    <w:basedOn w:val="Normal"/>
    <w:next w:val="Normal"/>
    <w:autoRedefine/>
    <w:uiPriority w:val="99"/>
    <w:semiHidden/>
    <w:unhideWhenUsed/>
    <w:rsid w:val="00ED0863"/>
    <w:pPr>
      <w:spacing w:after="0" w:line="240" w:lineRule="auto"/>
      <w:ind w:left="440" w:hanging="220"/>
    </w:pPr>
  </w:style>
  <w:style w:type="paragraph" w:styleId="Index3">
    <w:name w:val="index 3"/>
    <w:basedOn w:val="Normal"/>
    <w:next w:val="Normal"/>
    <w:autoRedefine/>
    <w:uiPriority w:val="99"/>
    <w:semiHidden/>
    <w:unhideWhenUsed/>
    <w:rsid w:val="00ED0863"/>
    <w:pPr>
      <w:spacing w:after="0" w:line="240" w:lineRule="auto"/>
      <w:ind w:left="660" w:hanging="220"/>
    </w:pPr>
  </w:style>
  <w:style w:type="paragraph" w:styleId="Index4">
    <w:name w:val="index 4"/>
    <w:basedOn w:val="Normal"/>
    <w:next w:val="Normal"/>
    <w:autoRedefine/>
    <w:uiPriority w:val="99"/>
    <w:semiHidden/>
    <w:unhideWhenUsed/>
    <w:rsid w:val="00ED0863"/>
    <w:pPr>
      <w:spacing w:after="0" w:line="240" w:lineRule="auto"/>
      <w:ind w:left="880" w:hanging="220"/>
    </w:pPr>
  </w:style>
  <w:style w:type="paragraph" w:styleId="Index5">
    <w:name w:val="index 5"/>
    <w:basedOn w:val="Normal"/>
    <w:next w:val="Normal"/>
    <w:autoRedefine/>
    <w:uiPriority w:val="99"/>
    <w:semiHidden/>
    <w:unhideWhenUsed/>
    <w:rsid w:val="00ED0863"/>
    <w:pPr>
      <w:spacing w:after="0" w:line="240" w:lineRule="auto"/>
      <w:ind w:left="1100" w:hanging="220"/>
    </w:pPr>
  </w:style>
  <w:style w:type="paragraph" w:styleId="Index6">
    <w:name w:val="index 6"/>
    <w:basedOn w:val="Normal"/>
    <w:next w:val="Normal"/>
    <w:autoRedefine/>
    <w:uiPriority w:val="99"/>
    <w:semiHidden/>
    <w:unhideWhenUsed/>
    <w:rsid w:val="00ED0863"/>
    <w:pPr>
      <w:spacing w:after="0" w:line="240" w:lineRule="auto"/>
      <w:ind w:left="1320" w:hanging="220"/>
    </w:pPr>
  </w:style>
  <w:style w:type="paragraph" w:styleId="Index7">
    <w:name w:val="index 7"/>
    <w:basedOn w:val="Normal"/>
    <w:next w:val="Normal"/>
    <w:autoRedefine/>
    <w:uiPriority w:val="99"/>
    <w:semiHidden/>
    <w:unhideWhenUsed/>
    <w:rsid w:val="00ED0863"/>
    <w:pPr>
      <w:spacing w:after="0" w:line="240" w:lineRule="auto"/>
      <w:ind w:left="1540" w:hanging="220"/>
    </w:pPr>
  </w:style>
  <w:style w:type="paragraph" w:styleId="Index8">
    <w:name w:val="index 8"/>
    <w:basedOn w:val="Normal"/>
    <w:next w:val="Normal"/>
    <w:autoRedefine/>
    <w:uiPriority w:val="99"/>
    <w:semiHidden/>
    <w:unhideWhenUsed/>
    <w:rsid w:val="00ED0863"/>
    <w:pPr>
      <w:spacing w:after="0" w:line="240" w:lineRule="auto"/>
      <w:ind w:left="1760" w:hanging="220"/>
    </w:pPr>
  </w:style>
  <w:style w:type="paragraph" w:styleId="Index9">
    <w:name w:val="index 9"/>
    <w:basedOn w:val="Normal"/>
    <w:next w:val="Normal"/>
    <w:autoRedefine/>
    <w:uiPriority w:val="99"/>
    <w:semiHidden/>
    <w:unhideWhenUsed/>
    <w:rsid w:val="00ED0863"/>
    <w:pPr>
      <w:spacing w:after="0" w:line="240" w:lineRule="auto"/>
      <w:ind w:left="1980" w:hanging="220"/>
    </w:pPr>
  </w:style>
  <w:style w:type="paragraph" w:styleId="IndexHeading">
    <w:name w:val="index heading"/>
    <w:basedOn w:val="Normal"/>
    <w:next w:val="Index1"/>
    <w:uiPriority w:val="99"/>
    <w:semiHidden/>
    <w:unhideWhenUsed/>
    <w:rsid w:val="00ED086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086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D0863"/>
    <w:rPr>
      <w:i/>
      <w:iCs/>
      <w:color w:val="4472C4" w:themeColor="accent1"/>
    </w:rPr>
  </w:style>
  <w:style w:type="paragraph" w:styleId="List">
    <w:name w:val="List"/>
    <w:basedOn w:val="Normal"/>
    <w:uiPriority w:val="99"/>
    <w:semiHidden/>
    <w:unhideWhenUsed/>
    <w:rsid w:val="00ED0863"/>
    <w:pPr>
      <w:ind w:left="283" w:hanging="283"/>
      <w:contextualSpacing/>
    </w:pPr>
  </w:style>
  <w:style w:type="paragraph" w:styleId="List2">
    <w:name w:val="List 2"/>
    <w:basedOn w:val="Normal"/>
    <w:uiPriority w:val="99"/>
    <w:semiHidden/>
    <w:unhideWhenUsed/>
    <w:rsid w:val="00ED0863"/>
    <w:pPr>
      <w:ind w:left="566" w:hanging="283"/>
      <w:contextualSpacing/>
    </w:pPr>
  </w:style>
  <w:style w:type="paragraph" w:styleId="List3">
    <w:name w:val="List 3"/>
    <w:basedOn w:val="Normal"/>
    <w:uiPriority w:val="99"/>
    <w:semiHidden/>
    <w:unhideWhenUsed/>
    <w:rsid w:val="00ED0863"/>
    <w:pPr>
      <w:ind w:left="849" w:hanging="283"/>
      <w:contextualSpacing/>
    </w:pPr>
  </w:style>
  <w:style w:type="paragraph" w:styleId="List4">
    <w:name w:val="List 4"/>
    <w:basedOn w:val="Normal"/>
    <w:uiPriority w:val="99"/>
    <w:semiHidden/>
    <w:unhideWhenUsed/>
    <w:rsid w:val="00ED0863"/>
    <w:pPr>
      <w:ind w:left="1132" w:hanging="283"/>
      <w:contextualSpacing/>
    </w:pPr>
  </w:style>
  <w:style w:type="paragraph" w:styleId="List5">
    <w:name w:val="List 5"/>
    <w:basedOn w:val="Normal"/>
    <w:uiPriority w:val="99"/>
    <w:semiHidden/>
    <w:unhideWhenUsed/>
    <w:rsid w:val="00ED0863"/>
    <w:pPr>
      <w:ind w:left="1415" w:hanging="283"/>
      <w:contextualSpacing/>
    </w:pPr>
  </w:style>
  <w:style w:type="paragraph" w:styleId="ListBullet">
    <w:name w:val="List Bullet"/>
    <w:basedOn w:val="Normal"/>
    <w:uiPriority w:val="99"/>
    <w:semiHidden/>
    <w:unhideWhenUsed/>
    <w:rsid w:val="00ED0863"/>
    <w:pPr>
      <w:numPr>
        <w:numId w:val="171"/>
      </w:numPr>
      <w:contextualSpacing/>
    </w:pPr>
  </w:style>
  <w:style w:type="paragraph" w:styleId="ListBullet2">
    <w:name w:val="List Bullet 2"/>
    <w:basedOn w:val="Normal"/>
    <w:uiPriority w:val="99"/>
    <w:semiHidden/>
    <w:unhideWhenUsed/>
    <w:rsid w:val="00ED0863"/>
    <w:pPr>
      <w:numPr>
        <w:numId w:val="172"/>
      </w:numPr>
      <w:contextualSpacing/>
    </w:pPr>
  </w:style>
  <w:style w:type="paragraph" w:styleId="ListBullet3">
    <w:name w:val="List Bullet 3"/>
    <w:basedOn w:val="Normal"/>
    <w:uiPriority w:val="99"/>
    <w:semiHidden/>
    <w:unhideWhenUsed/>
    <w:rsid w:val="00ED0863"/>
    <w:pPr>
      <w:numPr>
        <w:numId w:val="173"/>
      </w:numPr>
      <w:contextualSpacing/>
    </w:pPr>
  </w:style>
  <w:style w:type="paragraph" w:styleId="ListBullet4">
    <w:name w:val="List Bullet 4"/>
    <w:basedOn w:val="Normal"/>
    <w:uiPriority w:val="99"/>
    <w:semiHidden/>
    <w:unhideWhenUsed/>
    <w:rsid w:val="00ED0863"/>
    <w:pPr>
      <w:numPr>
        <w:numId w:val="174"/>
      </w:numPr>
      <w:contextualSpacing/>
    </w:pPr>
  </w:style>
  <w:style w:type="paragraph" w:styleId="ListBullet5">
    <w:name w:val="List Bullet 5"/>
    <w:basedOn w:val="Normal"/>
    <w:uiPriority w:val="99"/>
    <w:semiHidden/>
    <w:unhideWhenUsed/>
    <w:rsid w:val="00ED0863"/>
    <w:pPr>
      <w:numPr>
        <w:numId w:val="175"/>
      </w:numPr>
      <w:contextualSpacing/>
    </w:pPr>
  </w:style>
  <w:style w:type="paragraph" w:styleId="ListContinue">
    <w:name w:val="List Continue"/>
    <w:basedOn w:val="Normal"/>
    <w:uiPriority w:val="99"/>
    <w:semiHidden/>
    <w:unhideWhenUsed/>
    <w:rsid w:val="00ED0863"/>
    <w:pPr>
      <w:spacing w:after="120"/>
      <w:ind w:left="283"/>
      <w:contextualSpacing/>
    </w:pPr>
  </w:style>
  <w:style w:type="paragraph" w:styleId="ListContinue2">
    <w:name w:val="List Continue 2"/>
    <w:basedOn w:val="Normal"/>
    <w:uiPriority w:val="99"/>
    <w:semiHidden/>
    <w:unhideWhenUsed/>
    <w:rsid w:val="00ED0863"/>
    <w:pPr>
      <w:spacing w:after="120"/>
      <w:ind w:left="566"/>
      <w:contextualSpacing/>
    </w:pPr>
  </w:style>
  <w:style w:type="paragraph" w:styleId="ListContinue3">
    <w:name w:val="List Continue 3"/>
    <w:basedOn w:val="Normal"/>
    <w:uiPriority w:val="99"/>
    <w:semiHidden/>
    <w:unhideWhenUsed/>
    <w:rsid w:val="00ED0863"/>
    <w:pPr>
      <w:spacing w:after="120"/>
      <w:ind w:left="849"/>
      <w:contextualSpacing/>
    </w:pPr>
  </w:style>
  <w:style w:type="paragraph" w:styleId="ListContinue4">
    <w:name w:val="List Continue 4"/>
    <w:basedOn w:val="Normal"/>
    <w:uiPriority w:val="99"/>
    <w:semiHidden/>
    <w:unhideWhenUsed/>
    <w:rsid w:val="00ED0863"/>
    <w:pPr>
      <w:spacing w:after="120"/>
      <w:ind w:left="1132"/>
      <w:contextualSpacing/>
    </w:pPr>
  </w:style>
  <w:style w:type="paragraph" w:styleId="ListContinue5">
    <w:name w:val="List Continue 5"/>
    <w:basedOn w:val="Normal"/>
    <w:uiPriority w:val="99"/>
    <w:semiHidden/>
    <w:unhideWhenUsed/>
    <w:rsid w:val="00ED0863"/>
    <w:pPr>
      <w:spacing w:after="120"/>
      <w:ind w:left="1415"/>
      <w:contextualSpacing/>
    </w:pPr>
  </w:style>
  <w:style w:type="paragraph" w:styleId="ListNumber">
    <w:name w:val="List Number"/>
    <w:basedOn w:val="Normal"/>
    <w:uiPriority w:val="99"/>
    <w:semiHidden/>
    <w:unhideWhenUsed/>
    <w:rsid w:val="00ED0863"/>
    <w:pPr>
      <w:numPr>
        <w:numId w:val="176"/>
      </w:numPr>
      <w:contextualSpacing/>
    </w:pPr>
  </w:style>
  <w:style w:type="paragraph" w:styleId="ListNumber2">
    <w:name w:val="List Number 2"/>
    <w:basedOn w:val="Normal"/>
    <w:uiPriority w:val="99"/>
    <w:semiHidden/>
    <w:unhideWhenUsed/>
    <w:rsid w:val="00ED0863"/>
    <w:pPr>
      <w:numPr>
        <w:numId w:val="177"/>
      </w:numPr>
      <w:contextualSpacing/>
    </w:pPr>
  </w:style>
  <w:style w:type="paragraph" w:styleId="ListNumber3">
    <w:name w:val="List Number 3"/>
    <w:basedOn w:val="Normal"/>
    <w:uiPriority w:val="99"/>
    <w:semiHidden/>
    <w:unhideWhenUsed/>
    <w:rsid w:val="00ED0863"/>
    <w:pPr>
      <w:numPr>
        <w:numId w:val="178"/>
      </w:numPr>
      <w:contextualSpacing/>
    </w:pPr>
  </w:style>
  <w:style w:type="paragraph" w:styleId="ListNumber4">
    <w:name w:val="List Number 4"/>
    <w:basedOn w:val="Normal"/>
    <w:uiPriority w:val="99"/>
    <w:semiHidden/>
    <w:unhideWhenUsed/>
    <w:rsid w:val="00ED0863"/>
    <w:pPr>
      <w:numPr>
        <w:numId w:val="179"/>
      </w:numPr>
      <w:contextualSpacing/>
    </w:pPr>
  </w:style>
  <w:style w:type="paragraph" w:styleId="ListNumber5">
    <w:name w:val="List Number 5"/>
    <w:basedOn w:val="Normal"/>
    <w:uiPriority w:val="99"/>
    <w:semiHidden/>
    <w:unhideWhenUsed/>
    <w:rsid w:val="00ED0863"/>
    <w:pPr>
      <w:numPr>
        <w:numId w:val="180"/>
      </w:numPr>
      <w:contextualSpacing/>
    </w:pPr>
  </w:style>
  <w:style w:type="paragraph" w:styleId="MacroText">
    <w:name w:val="macro"/>
    <w:link w:val="MacroTextChar"/>
    <w:uiPriority w:val="99"/>
    <w:semiHidden/>
    <w:unhideWhenUsed/>
    <w:rsid w:val="00ED08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D0863"/>
    <w:rPr>
      <w:rFonts w:ascii="Consolas" w:hAnsi="Consolas"/>
      <w:sz w:val="20"/>
      <w:szCs w:val="20"/>
    </w:rPr>
  </w:style>
  <w:style w:type="paragraph" w:styleId="MessageHeader">
    <w:name w:val="Message Header"/>
    <w:basedOn w:val="Normal"/>
    <w:link w:val="MessageHeaderChar"/>
    <w:uiPriority w:val="99"/>
    <w:semiHidden/>
    <w:unhideWhenUsed/>
    <w:rsid w:val="00ED08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D086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ED0863"/>
    <w:pPr>
      <w:ind w:left="720"/>
    </w:pPr>
  </w:style>
  <w:style w:type="paragraph" w:styleId="NoteHeading">
    <w:name w:val="Note Heading"/>
    <w:basedOn w:val="Normal"/>
    <w:next w:val="Normal"/>
    <w:link w:val="NoteHeadingChar"/>
    <w:uiPriority w:val="99"/>
    <w:semiHidden/>
    <w:unhideWhenUsed/>
    <w:rsid w:val="00ED0863"/>
    <w:pPr>
      <w:spacing w:after="0" w:line="240" w:lineRule="auto"/>
    </w:pPr>
  </w:style>
  <w:style w:type="character" w:customStyle="1" w:styleId="NoteHeadingChar">
    <w:name w:val="Note Heading Char"/>
    <w:basedOn w:val="DefaultParagraphFont"/>
    <w:link w:val="NoteHeading"/>
    <w:uiPriority w:val="99"/>
    <w:semiHidden/>
    <w:rsid w:val="00ED0863"/>
  </w:style>
  <w:style w:type="paragraph" w:styleId="PlainText">
    <w:name w:val="Plain Text"/>
    <w:basedOn w:val="Normal"/>
    <w:link w:val="PlainTextChar"/>
    <w:uiPriority w:val="99"/>
    <w:semiHidden/>
    <w:unhideWhenUsed/>
    <w:rsid w:val="00ED08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D0863"/>
    <w:rPr>
      <w:rFonts w:ascii="Consolas" w:hAnsi="Consolas"/>
      <w:sz w:val="21"/>
      <w:szCs w:val="21"/>
    </w:rPr>
  </w:style>
  <w:style w:type="paragraph" w:styleId="Quote">
    <w:name w:val="Quote"/>
    <w:basedOn w:val="Normal"/>
    <w:next w:val="Normal"/>
    <w:link w:val="QuoteChar"/>
    <w:uiPriority w:val="29"/>
    <w:qFormat/>
    <w:rsid w:val="00ED086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863"/>
    <w:rPr>
      <w:i/>
      <w:iCs/>
      <w:color w:val="404040" w:themeColor="text1" w:themeTint="BF"/>
    </w:rPr>
  </w:style>
  <w:style w:type="paragraph" w:styleId="Salutation">
    <w:name w:val="Salutation"/>
    <w:basedOn w:val="Normal"/>
    <w:next w:val="Normal"/>
    <w:link w:val="SalutationChar"/>
    <w:uiPriority w:val="99"/>
    <w:semiHidden/>
    <w:unhideWhenUsed/>
    <w:rsid w:val="00ED0863"/>
  </w:style>
  <w:style w:type="character" w:customStyle="1" w:styleId="SalutationChar">
    <w:name w:val="Salutation Char"/>
    <w:basedOn w:val="DefaultParagraphFont"/>
    <w:link w:val="Salutation"/>
    <w:uiPriority w:val="99"/>
    <w:semiHidden/>
    <w:rsid w:val="00ED0863"/>
  </w:style>
  <w:style w:type="paragraph" w:styleId="Signature">
    <w:name w:val="Signature"/>
    <w:basedOn w:val="Normal"/>
    <w:link w:val="SignatureChar"/>
    <w:uiPriority w:val="99"/>
    <w:semiHidden/>
    <w:unhideWhenUsed/>
    <w:rsid w:val="00ED0863"/>
    <w:pPr>
      <w:spacing w:after="0" w:line="240" w:lineRule="auto"/>
      <w:ind w:left="4252"/>
    </w:pPr>
  </w:style>
  <w:style w:type="character" w:customStyle="1" w:styleId="SignatureChar">
    <w:name w:val="Signature Char"/>
    <w:basedOn w:val="DefaultParagraphFont"/>
    <w:link w:val="Signature"/>
    <w:uiPriority w:val="99"/>
    <w:semiHidden/>
    <w:rsid w:val="00ED0863"/>
  </w:style>
  <w:style w:type="paragraph" w:styleId="TableofAuthorities">
    <w:name w:val="table of authorities"/>
    <w:basedOn w:val="Normal"/>
    <w:next w:val="Normal"/>
    <w:uiPriority w:val="99"/>
    <w:semiHidden/>
    <w:unhideWhenUsed/>
    <w:rsid w:val="00ED0863"/>
    <w:pPr>
      <w:spacing w:after="0"/>
      <w:ind w:left="220" w:hanging="220"/>
    </w:pPr>
  </w:style>
  <w:style w:type="paragraph" w:styleId="TableofFigures">
    <w:name w:val="table of figures"/>
    <w:basedOn w:val="Normal"/>
    <w:next w:val="Normal"/>
    <w:uiPriority w:val="99"/>
    <w:semiHidden/>
    <w:unhideWhenUsed/>
    <w:rsid w:val="00ED0863"/>
    <w:pPr>
      <w:spacing w:after="0"/>
    </w:pPr>
  </w:style>
  <w:style w:type="paragraph" w:styleId="TOAHeading">
    <w:name w:val="toa heading"/>
    <w:basedOn w:val="Normal"/>
    <w:next w:val="Normal"/>
    <w:uiPriority w:val="99"/>
    <w:semiHidden/>
    <w:unhideWhenUsed/>
    <w:rsid w:val="00ED0863"/>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ED0863"/>
    <w:pPr>
      <w:spacing w:after="100"/>
      <w:ind w:left="660"/>
    </w:pPr>
  </w:style>
  <w:style w:type="paragraph" w:styleId="TOC5">
    <w:name w:val="toc 5"/>
    <w:basedOn w:val="Normal"/>
    <w:next w:val="Normal"/>
    <w:autoRedefine/>
    <w:uiPriority w:val="39"/>
    <w:semiHidden/>
    <w:unhideWhenUsed/>
    <w:rsid w:val="00ED0863"/>
    <w:pPr>
      <w:spacing w:after="100"/>
      <w:ind w:left="880"/>
    </w:pPr>
  </w:style>
  <w:style w:type="paragraph" w:styleId="TOC6">
    <w:name w:val="toc 6"/>
    <w:basedOn w:val="Normal"/>
    <w:next w:val="Normal"/>
    <w:autoRedefine/>
    <w:uiPriority w:val="39"/>
    <w:semiHidden/>
    <w:unhideWhenUsed/>
    <w:rsid w:val="00ED0863"/>
    <w:pPr>
      <w:spacing w:after="100"/>
      <w:ind w:left="1100"/>
    </w:pPr>
  </w:style>
  <w:style w:type="paragraph" w:styleId="TOC7">
    <w:name w:val="toc 7"/>
    <w:basedOn w:val="Normal"/>
    <w:next w:val="Normal"/>
    <w:autoRedefine/>
    <w:uiPriority w:val="39"/>
    <w:semiHidden/>
    <w:unhideWhenUsed/>
    <w:rsid w:val="00ED0863"/>
    <w:pPr>
      <w:spacing w:after="100"/>
      <w:ind w:left="1320"/>
    </w:pPr>
  </w:style>
  <w:style w:type="paragraph" w:styleId="TOC8">
    <w:name w:val="toc 8"/>
    <w:basedOn w:val="Normal"/>
    <w:next w:val="Normal"/>
    <w:autoRedefine/>
    <w:uiPriority w:val="39"/>
    <w:semiHidden/>
    <w:unhideWhenUsed/>
    <w:rsid w:val="00ED0863"/>
    <w:pPr>
      <w:spacing w:after="100"/>
      <w:ind w:left="1540"/>
    </w:pPr>
  </w:style>
  <w:style w:type="paragraph" w:styleId="TOC9">
    <w:name w:val="toc 9"/>
    <w:basedOn w:val="Normal"/>
    <w:next w:val="Normal"/>
    <w:autoRedefine/>
    <w:uiPriority w:val="39"/>
    <w:semiHidden/>
    <w:unhideWhenUsed/>
    <w:rsid w:val="00ED0863"/>
    <w:pPr>
      <w:spacing w:after="100"/>
      <w:ind w:left="1760"/>
    </w:pPr>
  </w:style>
  <w:style w:type="paragraph" w:customStyle="1" w:styleId="xmsonormal">
    <w:name w:val="x_msonormal"/>
    <w:basedOn w:val="Normal"/>
    <w:rsid w:val="00B421F2"/>
    <w:pPr>
      <w:spacing w:after="0" w:line="240" w:lineRule="auto"/>
    </w:pPr>
    <w:rPr>
      <w:rFonts w:ascii="Calibri" w:hAnsi="Calibri" w:cs="Calibri"/>
      <w:lang w:eastAsia="en-AU"/>
    </w:rPr>
  </w:style>
  <w:style w:type="table" w:styleId="TableGridLight">
    <w:name w:val="Grid Table Light"/>
    <w:basedOn w:val="TableNormal"/>
    <w:uiPriority w:val="40"/>
    <w:rsid w:val="005D692C"/>
    <w:pPr>
      <w:spacing w:after="0" w:line="240" w:lineRule="auto"/>
    </w:pPr>
    <w:rPr>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1383">
      <w:bodyDiv w:val="1"/>
      <w:marLeft w:val="0"/>
      <w:marRight w:val="0"/>
      <w:marTop w:val="0"/>
      <w:marBottom w:val="0"/>
      <w:divBdr>
        <w:top w:val="none" w:sz="0" w:space="0" w:color="auto"/>
        <w:left w:val="none" w:sz="0" w:space="0" w:color="auto"/>
        <w:bottom w:val="none" w:sz="0" w:space="0" w:color="auto"/>
        <w:right w:val="none" w:sz="0" w:space="0" w:color="auto"/>
      </w:divBdr>
    </w:div>
    <w:div w:id="72552503">
      <w:bodyDiv w:val="1"/>
      <w:marLeft w:val="0"/>
      <w:marRight w:val="0"/>
      <w:marTop w:val="0"/>
      <w:marBottom w:val="0"/>
      <w:divBdr>
        <w:top w:val="none" w:sz="0" w:space="0" w:color="auto"/>
        <w:left w:val="none" w:sz="0" w:space="0" w:color="auto"/>
        <w:bottom w:val="none" w:sz="0" w:space="0" w:color="auto"/>
        <w:right w:val="none" w:sz="0" w:space="0" w:color="auto"/>
      </w:divBdr>
      <w:divsChild>
        <w:div w:id="1479569166">
          <w:marLeft w:val="0"/>
          <w:marRight w:val="0"/>
          <w:marTop w:val="0"/>
          <w:marBottom w:val="0"/>
          <w:divBdr>
            <w:top w:val="none" w:sz="0" w:space="0" w:color="auto"/>
            <w:left w:val="none" w:sz="0" w:space="0" w:color="auto"/>
            <w:bottom w:val="none" w:sz="0" w:space="0" w:color="auto"/>
            <w:right w:val="none" w:sz="0" w:space="0" w:color="auto"/>
          </w:divBdr>
          <w:divsChild>
            <w:div w:id="1490829168">
              <w:marLeft w:val="0"/>
              <w:marRight w:val="0"/>
              <w:marTop w:val="0"/>
              <w:marBottom w:val="0"/>
              <w:divBdr>
                <w:top w:val="none" w:sz="0" w:space="0" w:color="auto"/>
                <w:left w:val="none" w:sz="0" w:space="0" w:color="auto"/>
                <w:bottom w:val="none" w:sz="0" w:space="0" w:color="auto"/>
                <w:right w:val="none" w:sz="0" w:space="0" w:color="auto"/>
              </w:divBdr>
              <w:divsChild>
                <w:div w:id="962271633">
                  <w:marLeft w:val="0"/>
                  <w:marRight w:val="0"/>
                  <w:marTop w:val="0"/>
                  <w:marBottom w:val="0"/>
                  <w:divBdr>
                    <w:top w:val="none" w:sz="0" w:space="0" w:color="auto"/>
                    <w:left w:val="none" w:sz="0" w:space="0" w:color="auto"/>
                    <w:bottom w:val="none" w:sz="0" w:space="0" w:color="auto"/>
                    <w:right w:val="none" w:sz="0" w:space="0" w:color="auto"/>
                  </w:divBdr>
                  <w:divsChild>
                    <w:div w:id="2118863725">
                      <w:marLeft w:val="0"/>
                      <w:marRight w:val="0"/>
                      <w:marTop w:val="0"/>
                      <w:marBottom w:val="0"/>
                      <w:divBdr>
                        <w:top w:val="none" w:sz="0" w:space="0" w:color="auto"/>
                        <w:left w:val="none" w:sz="0" w:space="0" w:color="auto"/>
                        <w:bottom w:val="none" w:sz="0" w:space="0" w:color="auto"/>
                        <w:right w:val="none" w:sz="0" w:space="0" w:color="auto"/>
                      </w:divBdr>
                      <w:divsChild>
                        <w:div w:id="50615935">
                          <w:marLeft w:val="0"/>
                          <w:marRight w:val="0"/>
                          <w:marTop w:val="0"/>
                          <w:marBottom w:val="0"/>
                          <w:divBdr>
                            <w:top w:val="none" w:sz="0" w:space="0" w:color="auto"/>
                            <w:left w:val="none" w:sz="0" w:space="0" w:color="auto"/>
                            <w:bottom w:val="none" w:sz="0" w:space="0" w:color="auto"/>
                            <w:right w:val="none" w:sz="0" w:space="0" w:color="auto"/>
                          </w:divBdr>
                          <w:divsChild>
                            <w:div w:id="1451824023">
                              <w:marLeft w:val="0"/>
                              <w:marRight w:val="0"/>
                              <w:marTop w:val="0"/>
                              <w:marBottom w:val="0"/>
                              <w:divBdr>
                                <w:top w:val="none" w:sz="0" w:space="0" w:color="auto"/>
                                <w:left w:val="none" w:sz="0" w:space="0" w:color="auto"/>
                                <w:bottom w:val="none" w:sz="0" w:space="0" w:color="auto"/>
                                <w:right w:val="none" w:sz="0" w:space="0" w:color="auto"/>
                              </w:divBdr>
                              <w:divsChild>
                                <w:div w:id="305625202">
                                  <w:marLeft w:val="0"/>
                                  <w:marRight w:val="0"/>
                                  <w:marTop w:val="0"/>
                                  <w:marBottom w:val="0"/>
                                  <w:divBdr>
                                    <w:top w:val="none" w:sz="0" w:space="0" w:color="auto"/>
                                    <w:left w:val="none" w:sz="0" w:space="0" w:color="auto"/>
                                    <w:bottom w:val="none" w:sz="0" w:space="0" w:color="auto"/>
                                    <w:right w:val="none" w:sz="0" w:space="0" w:color="auto"/>
                                  </w:divBdr>
                                  <w:divsChild>
                                    <w:div w:id="717172583">
                                      <w:marLeft w:val="0"/>
                                      <w:marRight w:val="0"/>
                                      <w:marTop w:val="0"/>
                                      <w:marBottom w:val="0"/>
                                      <w:divBdr>
                                        <w:top w:val="none" w:sz="0" w:space="0" w:color="auto"/>
                                        <w:left w:val="none" w:sz="0" w:space="0" w:color="auto"/>
                                        <w:bottom w:val="none" w:sz="0" w:space="0" w:color="auto"/>
                                        <w:right w:val="none" w:sz="0" w:space="0" w:color="auto"/>
                                      </w:divBdr>
                                      <w:divsChild>
                                        <w:div w:id="3087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7764">
                          <w:marLeft w:val="0"/>
                          <w:marRight w:val="0"/>
                          <w:marTop w:val="0"/>
                          <w:marBottom w:val="0"/>
                          <w:divBdr>
                            <w:top w:val="none" w:sz="0" w:space="0" w:color="auto"/>
                            <w:left w:val="none" w:sz="0" w:space="0" w:color="auto"/>
                            <w:bottom w:val="none" w:sz="0" w:space="0" w:color="auto"/>
                            <w:right w:val="none" w:sz="0" w:space="0" w:color="auto"/>
                          </w:divBdr>
                          <w:divsChild>
                            <w:div w:id="846823236">
                              <w:marLeft w:val="0"/>
                              <w:marRight w:val="0"/>
                              <w:marTop w:val="0"/>
                              <w:marBottom w:val="0"/>
                              <w:divBdr>
                                <w:top w:val="none" w:sz="0" w:space="0" w:color="auto"/>
                                <w:left w:val="none" w:sz="0" w:space="0" w:color="auto"/>
                                <w:bottom w:val="none" w:sz="0" w:space="0" w:color="auto"/>
                                <w:right w:val="none" w:sz="0" w:space="0" w:color="auto"/>
                              </w:divBdr>
                              <w:divsChild>
                                <w:div w:id="1073046600">
                                  <w:marLeft w:val="0"/>
                                  <w:marRight w:val="0"/>
                                  <w:marTop w:val="0"/>
                                  <w:marBottom w:val="0"/>
                                  <w:divBdr>
                                    <w:top w:val="none" w:sz="0" w:space="0" w:color="auto"/>
                                    <w:left w:val="none" w:sz="0" w:space="0" w:color="auto"/>
                                    <w:bottom w:val="none" w:sz="0" w:space="0" w:color="auto"/>
                                    <w:right w:val="none" w:sz="0" w:space="0" w:color="auto"/>
                                  </w:divBdr>
                                  <w:divsChild>
                                    <w:div w:id="1252155941">
                                      <w:marLeft w:val="0"/>
                                      <w:marRight w:val="0"/>
                                      <w:marTop w:val="0"/>
                                      <w:marBottom w:val="0"/>
                                      <w:divBdr>
                                        <w:top w:val="none" w:sz="0" w:space="0" w:color="auto"/>
                                        <w:left w:val="none" w:sz="0" w:space="0" w:color="auto"/>
                                        <w:bottom w:val="none" w:sz="0" w:space="0" w:color="auto"/>
                                        <w:right w:val="none" w:sz="0" w:space="0" w:color="auto"/>
                                      </w:divBdr>
                                      <w:divsChild>
                                        <w:div w:id="160170555">
                                          <w:marLeft w:val="0"/>
                                          <w:marRight w:val="0"/>
                                          <w:marTop w:val="0"/>
                                          <w:marBottom w:val="0"/>
                                          <w:divBdr>
                                            <w:top w:val="none" w:sz="0" w:space="0" w:color="auto"/>
                                            <w:left w:val="none" w:sz="0" w:space="0" w:color="auto"/>
                                            <w:bottom w:val="none" w:sz="0" w:space="0" w:color="auto"/>
                                            <w:right w:val="none" w:sz="0" w:space="0" w:color="auto"/>
                                          </w:divBdr>
                                          <w:divsChild>
                                            <w:div w:id="331031291">
                                              <w:marLeft w:val="0"/>
                                              <w:marRight w:val="0"/>
                                              <w:marTop w:val="0"/>
                                              <w:marBottom w:val="0"/>
                                              <w:divBdr>
                                                <w:top w:val="none" w:sz="0" w:space="0" w:color="auto"/>
                                                <w:left w:val="none" w:sz="0" w:space="0" w:color="auto"/>
                                                <w:bottom w:val="none" w:sz="0" w:space="0" w:color="auto"/>
                                                <w:right w:val="none" w:sz="0" w:space="0" w:color="auto"/>
                                              </w:divBdr>
                                              <w:divsChild>
                                                <w:div w:id="6378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9637">
                                          <w:marLeft w:val="0"/>
                                          <w:marRight w:val="0"/>
                                          <w:marTop w:val="0"/>
                                          <w:marBottom w:val="0"/>
                                          <w:divBdr>
                                            <w:top w:val="none" w:sz="0" w:space="0" w:color="auto"/>
                                            <w:left w:val="none" w:sz="0" w:space="0" w:color="auto"/>
                                            <w:bottom w:val="none" w:sz="0" w:space="0" w:color="auto"/>
                                            <w:right w:val="none" w:sz="0" w:space="0" w:color="auto"/>
                                          </w:divBdr>
                                          <w:divsChild>
                                            <w:div w:id="1594391618">
                                              <w:marLeft w:val="0"/>
                                              <w:marRight w:val="0"/>
                                              <w:marTop w:val="0"/>
                                              <w:marBottom w:val="0"/>
                                              <w:divBdr>
                                                <w:top w:val="none" w:sz="0" w:space="0" w:color="auto"/>
                                                <w:left w:val="none" w:sz="0" w:space="0" w:color="auto"/>
                                                <w:bottom w:val="none" w:sz="0" w:space="0" w:color="auto"/>
                                                <w:right w:val="none" w:sz="0" w:space="0" w:color="auto"/>
                                              </w:divBdr>
                                              <w:divsChild>
                                                <w:div w:id="2867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53841">
      <w:bodyDiv w:val="1"/>
      <w:marLeft w:val="0"/>
      <w:marRight w:val="0"/>
      <w:marTop w:val="0"/>
      <w:marBottom w:val="0"/>
      <w:divBdr>
        <w:top w:val="none" w:sz="0" w:space="0" w:color="auto"/>
        <w:left w:val="none" w:sz="0" w:space="0" w:color="auto"/>
        <w:bottom w:val="none" w:sz="0" w:space="0" w:color="auto"/>
        <w:right w:val="none" w:sz="0" w:space="0" w:color="auto"/>
      </w:divBdr>
    </w:div>
    <w:div w:id="100609977">
      <w:bodyDiv w:val="1"/>
      <w:marLeft w:val="0"/>
      <w:marRight w:val="0"/>
      <w:marTop w:val="0"/>
      <w:marBottom w:val="0"/>
      <w:divBdr>
        <w:top w:val="none" w:sz="0" w:space="0" w:color="auto"/>
        <w:left w:val="none" w:sz="0" w:space="0" w:color="auto"/>
        <w:bottom w:val="none" w:sz="0" w:space="0" w:color="auto"/>
        <w:right w:val="none" w:sz="0" w:space="0" w:color="auto"/>
      </w:divBdr>
    </w:div>
    <w:div w:id="103816850">
      <w:bodyDiv w:val="1"/>
      <w:marLeft w:val="0"/>
      <w:marRight w:val="0"/>
      <w:marTop w:val="0"/>
      <w:marBottom w:val="0"/>
      <w:divBdr>
        <w:top w:val="none" w:sz="0" w:space="0" w:color="auto"/>
        <w:left w:val="none" w:sz="0" w:space="0" w:color="auto"/>
        <w:bottom w:val="none" w:sz="0" w:space="0" w:color="auto"/>
        <w:right w:val="none" w:sz="0" w:space="0" w:color="auto"/>
      </w:divBdr>
    </w:div>
    <w:div w:id="167142714">
      <w:bodyDiv w:val="1"/>
      <w:marLeft w:val="0"/>
      <w:marRight w:val="0"/>
      <w:marTop w:val="0"/>
      <w:marBottom w:val="0"/>
      <w:divBdr>
        <w:top w:val="none" w:sz="0" w:space="0" w:color="auto"/>
        <w:left w:val="none" w:sz="0" w:space="0" w:color="auto"/>
        <w:bottom w:val="none" w:sz="0" w:space="0" w:color="auto"/>
        <w:right w:val="none" w:sz="0" w:space="0" w:color="auto"/>
      </w:divBdr>
    </w:div>
    <w:div w:id="239877462">
      <w:bodyDiv w:val="1"/>
      <w:marLeft w:val="0"/>
      <w:marRight w:val="0"/>
      <w:marTop w:val="0"/>
      <w:marBottom w:val="0"/>
      <w:divBdr>
        <w:top w:val="none" w:sz="0" w:space="0" w:color="auto"/>
        <w:left w:val="none" w:sz="0" w:space="0" w:color="auto"/>
        <w:bottom w:val="none" w:sz="0" w:space="0" w:color="auto"/>
        <w:right w:val="none" w:sz="0" w:space="0" w:color="auto"/>
      </w:divBdr>
    </w:div>
    <w:div w:id="248127396">
      <w:bodyDiv w:val="1"/>
      <w:marLeft w:val="0"/>
      <w:marRight w:val="0"/>
      <w:marTop w:val="0"/>
      <w:marBottom w:val="0"/>
      <w:divBdr>
        <w:top w:val="none" w:sz="0" w:space="0" w:color="auto"/>
        <w:left w:val="none" w:sz="0" w:space="0" w:color="auto"/>
        <w:bottom w:val="none" w:sz="0" w:space="0" w:color="auto"/>
        <w:right w:val="none" w:sz="0" w:space="0" w:color="auto"/>
      </w:divBdr>
      <w:divsChild>
        <w:div w:id="964576301">
          <w:marLeft w:val="0"/>
          <w:marRight w:val="0"/>
          <w:marTop w:val="0"/>
          <w:marBottom w:val="0"/>
          <w:divBdr>
            <w:top w:val="none" w:sz="0" w:space="0" w:color="auto"/>
            <w:left w:val="none" w:sz="0" w:space="0" w:color="auto"/>
            <w:bottom w:val="none" w:sz="0" w:space="0" w:color="auto"/>
            <w:right w:val="none" w:sz="0" w:space="0" w:color="auto"/>
          </w:divBdr>
          <w:divsChild>
            <w:div w:id="62610410">
              <w:marLeft w:val="0"/>
              <w:marRight w:val="0"/>
              <w:marTop w:val="0"/>
              <w:marBottom w:val="0"/>
              <w:divBdr>
                <w:top w:val="none" w:sz="0" w:space="0" w:color="auto"/>
                <w:left w:val="none" w:sz="0" w:space="0" w:color="auto"/>
                <w:bottom w:val="none" w:sz="0" w:space="0" w:color="auto"/>
                <w:right w:val="none" w:sz="0" w:space="0" w:color="auto"/>
              </w:divBdr>
              <w:divsChild>
                <w:div w:id="1199927084">
                  <w:marLeft w:val="0"/>
                  <w:marRight w:val="0"/>
                  <w:marTop w:val="0"/>
                  <w:marBottom w:val="0"/>
                  <w:divBdr>
                    <w:top w:val="none" w:sz="0" w:space="0" w:color="auto"/>
                    <w:left w:val="none" w:sz="0" w:space="0" w:color="auto"/>
                    <w:bottom w:val="none" w:sz="0" w:space="0" w:color="auto"/>
                    <w:right w:val="none" w:sz="0" w:space="0" w:color="auto"/>
                  </w:divBdr>
                  <w:divsChild>
                    <w:div w:id="776175573">
                      <w:marLeft w:val="0"/>
                      <w:marRight w:val="0"/>
                      <w:marTop w:val="0"/>
                      <w:marBottom w:val="0"/>
                      <w:divBdr>
                        <w:top w:val="none" w:sz="0" w:space="0" w:color="auto"/>
                        <w:left w:val="none" w:sz="0" w:space="0" w:color="auto"/>
                        <w:bottom w:val="none" w:sz="0" w:space="0" w:color="auto"/>
                        <w:right w:val="none" w:sz="0" w:space="0" w:color="auto"/>
                      </w:divBdr>
                      <w:divsChild>
                        <w:div w:id="1757434936">
                          <w:marLeft w:val="0"/>
                          <w:marRight w:val="0"/>
                          <w:marTop w:val="0"/>
                          <w:marBottom w:val="0"/>
                          <w:divBdr>
                            <w:top w:val="none" w:sz="0" w:space="0" w:color="auto"/>
                            <w:left w:val="none" w:sz="0" w:space="0" w:color="auto"/>
                            <w:bottom w:val="none" w:sz="0" w:space="0" w:color="auto"/>
                            <w:right w:val="none" w:sz="0" w:space="0" w:color="auto"/>
                          </w:divBdr>
                          <w:divsChild>
                            <w:div w:id="1233202819">
                              <w:marLeft w:val="0"/>
                              <w:marRight w:val="0"/>
                              <w:marTop w:val="0"/>
                              <w:marBottom w:val="0"/>
                              <w:divBdr>
                                <w:top w:val="none" w:sz="0" w:space="0" w:color="auto"/>
                                <w:left w:val="none" w:sz="0" w:space="0" w:color="auto"/>
                                <w:bottom w:val="none" w:sz="0" w:space="0" w:color="auto"/>
                                <w:right w:val="none" w:sz="0" w:space="0" w:color="auto"/>
                              </w:divBdr>
                              <w:divsChild>
                                <w:div w:id="925722563">
                                  <w:marLeft w:val="0"/>
                                  <w:marRight w:val="0"/>
                                  <w:marTop w:val="0"/>
                                  <w:marBottom w:val="0"/>
                                  <w:divBdr>
                                    <w:top w:val="none" w:sz="0" w:space="0" w:color="auto"/>
                                    <w:left w:val="none" w:sz="0" w:space="0" w:color="auto"/>
                                    <w:bottom w:val="none" w:sz="0" w:space="0" w:color="auto"/>
                                    <w:right w:val="none" w:sz="0" w:space="0" w:color="auto"/>
                                  </w:divBdr>
                                  <w:divsChild>
                                    <w:div w:id="205142111">
                                      <w:marLeft w:val="0"/>
                                      <w:marRight w:val="0"/>
                                      <w:marTop w:val="0"/>
                                      <w:marBottom w:val="0"/>
                                      <w:divBdr>
                                        <w:top w:val="none" w:sz="0" w:space="0" w:color="auto"/>
                                        <w:left w:val="none" w:sz="0" w:space="0" w:color="auto"/>
                                        <w:bottom w:val="none" w:sz="0" w:space="0" w:color="auto"/>
                                        <w:right w:val="none" w:sz="0" w:space="0" w:color="auto"/>
                                      </w:divBdr>
                                      <w:divsChild>
                                        <w:div w:id="9165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538592">
                          <w:marLeft w:val="0"/>
                          <w:marRight w:val="0"/>
                          <w:marTop w:val="0"/>
                          <w:marBottom w:val="0"/>
                          <w:divBdr>
                            <w:top w:val="none" w:sz="0" w:space="0" w:color="auto"/>
                            <w:left w:val="none" w:sz="0" w:space="0" w:color="auto"/>
                            <w:bottom w:val="none" w:sz="0" w:space="0" w:color="auto"/>
                            <w:right w:val="none" w:sz="0" w:space="0" w:color="auto"/>
                          </w:divBdr>
                          <w:divsChild>
                            <w:div w:id="1330521157">
                              <w:marLeft w:val="0"/>
                              <w:marRight w:val="0"/>
                              <w:marTop w:val="0"/>
                              <w:marBottom w:val="0"/>
                              <w:divBdr>
                                <w:top w:val="none" w:sz="0" w:space="0" w:color="auto"/>
                                <w:left w:val="none" w:sz="0" w:space="0" w:color="auto"/>
                                <w:bottom w:val="none" w:sz="0" w:space="0" w:color="auto"/>
                                <w:right w:val="none" w:sz="0" w:space="0" w:color="auto"/>
                              </w:divBdr>
                              <w:divsChild>
                                <w:div w:id="1729953977">
                                  <w:marLeft w:val="0"/>
                                  <w:marRight w:val="0"/>
                                  <w:marTop w:val="0"/>
                                  <w:marBottom w:val="0"/>
                                  <w:divBdr>
                                    <w:top w:val="none" w:sz="0" w:space="0" w:color="auto"/>
                                    <w:left w:val="none" w:sz="0" w:space="0" w:color="auto"/>
                                    <w:bottom w:val="none" w:sz="0" w:space="0" w:color="auto"/>
                                    <w:right w:val="none" w:sz="0" w:space="0" w:color="auto"/>
                                  </w:divBdr>
                                  <w:divsChild>
                                    <w:div w:id="1198350952">
                                      <w:marLeft w:val="0"/>
                                      <w:marRight w:val="0"/>
                                      <w:marTop w:val="0"/>
                                      <w:marBottom w:val="0"/>
                                      <w:divBdr>
                                        <w:top w:val="none" w:sz="0" w:space="0" w:color="auto"/>
                                        <w:left w:val="none" w:sz="0" w:space="0" w:color="auto"/>
                                        <w:bottom w:val="none" w:sz="0" w:space="0" w:color="auto"/>
                                        <w:right w:val="none" w:sz="0" w:space="0" w:color="auto"/>
                                      </w:divBdr>
                                      <w:divsChild>
                                        <w:div w:id="1718623523">
                                          <w:marLeft w:val="0"/>
                                          <w:marRight w:val="0"/>
                                          <w:marTop w:val="0"/>
                                          <w:marBottom w:val="0"/>
                                          <w:divBdr>
                                            <w:top w:val="none" w:sz="0" w:space="0" w:color="auto"/>
                                            <w:left w:val="none" w:sz="0" w:space="0" w:color="auto"/>
                                            <w:bottom w:val="none" w:sz="0" w:space="0" w:color="auto"/>
                                            <w:right w:val="none" w:sz="0" w:space="0" w:color="auto"/>
                                          </w:divBdr>
                                          <w:divsChild>
                                            <w:div w:id="1699040761">
                                              <w:marLeft w:val="0"/>
                                              <w:marRight w:val="0"/>
                                              <w:marTop w:val="0"/>
                                              <w:marBottom w:val="0"/>
                                              <w:divBdr>
                                                <w:top w:val="none" w:sz="0" w:space="0" w:color="auto"/>
                                                <w:left w:val="none" w:sz="0" w:space="0" w:color="auto"/>
                                                <w:bottom w:val="none" w:sz="0" w:space="0" w:color="auto"/>
                                                <w:right w:val="none" w:sz="0" w:space="0" w:color="auto"/>
                                              </w:divBdr>
                                              <w:divsChild>
                                                <w:div w:id="15996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62882">
                                          <w:marLeft w:val="0"/>
                                          <w:marRight w:val="0"/>
                                          <w:marTop w:val="0"/>
                                          <w:marBottom w:val="0"/>
                                          <w:divBdr>
                                            <w:top w:val="none" w:sz="0" w:space="0" w:color="auto"/>
                                            <w:left w:val="none" w:sz="0" w:space="0" w:color="auto"/>
                                            <w:bottom w:val="none" w:sz="0" w:space="0" w:color="auto"/>
                                            <w:right w:val="none" w:sz="0" w:space="0" w:color="auto"/>
                                          </w:divBdr>
                                          <w:divsChild>
                                            <w:div w:id="1207715979">
                                              <w:marLeft w:val="0"/>
                                              <w:marRight w:val="0"/>
                                              <w:marTop w:val="0"/>
                                              <w:marBottom w:val="0"/>
                                              <w:divBdr>
                                                <w:top w:val="none" w:sz="0" w:space="0" w:color="auto"/>
                                                <w:left w:val="none" w:sz="0" w:space="0" w:color="auto"/>
                                                <w:bottom w:val="none" w:sz="0" w:space="0" w:color="auto"/>
                                                <w:right w:val="none" w:sz="0" w:space="0" w:color="auto"/>
                                              </w:divBdr>
                                              <w:divsChild>
                                                <w:div w:id="18889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156958">
      <w:bodyDiv w:val="1"/>
      <w:marLeft w:val="0"/>
      <w:marRight w:val="0"/>
      <w:marTop w:val="0"/>
      <w:marBottom w:val="0"/>
      <w:divBdr>
        <w:top w:val="none" w:sz="0" w:space="0" w:color="auto"/>
        <w:left w:val="none" w:sz="0" w:space="0" w:color="auto"/>
        <w:bottom w:val="none" w:sz="0" w:space="0" w:color="auto"/>
        <w:right w:val="none" w:sz="0" w:space="0" w:color="auto"/>
      </w:divBdr>
    </w:div>
    <w:div w:id="322970772">
      <w:bodyDiv w:val="1"/>
      <w:marLeft w:val="0"/>
      <w:marRight w:val="0"/>
      <w:marTop w:val="0"/>
      <w:marBottom w:val="0"/>
      <w:divBdr>
        <w:top w:val="none" w:sz="0" w:space="0" w:color="auto"/>
        <w:left w:val="none" w:sz="0" w:space="0" w:color="auto"/>
        <w:bottom w:val="none" w:sz="0" w:space="0" w:color="auto"/>
        <w:right w:val="none" w:sz="0" w:space="0" w:color="auto"/>
      </w:divBdr>
    </w:div>
    <w:div w:id="340278888">
      <w:bodyDiv w:val="1"/>
      <w:marLeft w:val="0"/>
      <w:marRight w:val="0"/>
      <w:marTop w:val="0"/>
      <w:marBottom w:val="0"/>
      <w:divBdr>
        <w:top w:val="none" w:sz="0" w:space="0" w:color="auto"/>
        <w:left w:val="none" w:sz="0" w:space="0" w:color="auto"/>
        <w:bottom w:val="none" w:sz="0" w:space="0" w:color="auto"/>
        <w:right w:val="none" w:sz="0" w:space="0" w:color="auto"/>
      </w:divBdr>
    </w:div>
    <w:div w:id="357514539">
      <w:bodyDiv w:val="1"/>
      <w:marLeft w:val="0"/>
      <w:marRight w:val="0"/>
      <w:marTop w:val="0"/>
      <w:marBottom w:val="0"/>
      <w:divBdr>
        <w:top w:val="none" w:sz="0" w:space="0" w:color="auto"/>
        <w:left w:val="none" w:sz="0" w:space="0" w:color="auto"/>
        <w:bottom w:val="none" w:sz="0" w:space="0" w:color="auto"/>
        <w:right w:val="none" w:sz="0" w:space="0" w:color="auto"/>
      </w:divBdr>
      <w:divsChild>
        <w:div w:id="493961755">
          <w:marLeft w:val="0"/>
          <w:marRight w:val="0"/>
          <w:marTop w:val="0"/>
          <w:marBottom w:val="0"/>
          <w:divBdr>
            <w:top w:val="none" w:sz="0" w:space="0" w:color="auto"/>
            <w:left w:val="none" w:sz="0" w:space="0" w:color="auto"/>
            <w:bottom w:val="none" w:sz="0" w:space="0" w:color="auto"/>
            <w:right w:val="none" w:sz="0" w:space="0" w:color="auto"/>
          </w:divBdr>
          <w:divsChild>
            <w:div w:id="656304329">
              <w:marLeft w:val="0"/>
              <w:marRight w:val="0"/>
              <w:marTop w:val="0"/>
              <w:marBottom w:val="0"/>
              <w:divBdr>
                <w:top w:val="none" w:sz="0" w:space="0" w:color="auto"/>
                <w:left w:val="none" w:sz="0" w:space="0" w:color="auto"/>
                <w:bottom w:val="none" w:sz="0" w:space="0" w:color="auto"/>
                <w:right w:val="none" w:sz="0" w:space="0" w:color="auto"/>
              </w:divBdr>
              <w:divsChild>
                <w:div w:id="420568959">
                  <w:marLeft w:val="0"/>
                  <w:marRight w:val="0"/>
                  <w:marTop w:val="0"/>
                  <w:marBottom w:val="0"/>
                  <w:divBdr>
                    <w:top w:val="none" w:sz="0" w:space="0" w:color="auto"/>
                    <w:left w:val="none" w:sz="0" w:space="0" w:color="auto"/>
                    <w:bottom w:val="none" w:sz="0" w:space="0" w:color="auto"/>
                    <w:right w:val="none" w:sz="0" w:space="0" w:color="auto"/>
                  </w:divBdr>
                  <w:divsChild>
                    <w:div w:id="680935529">
                      <w:marLeft w:val="0"/>
                      <w:marRight w:val="0"/>
                      <w:marTop w:val="0"/>
                      <w:marBottom w:val="0"/>
                      <w:divBdr>
                        <w:top w:val="none" w:sz="0" w:space="0" w:color="auto"/>
                        <w:left w:val="none" w:sz="0" w:space="0" w:color="auto"/>
                        <w:bottom w:val="none" w:sz="0" w:space="0" w:color="auto"/>
                        <w:right w:val="none" w:sz="0" w:space="0" w:color="auto"/>
                      </w:divBdr>
                      <w:divsChild>
                        <w:div w:id="71203429">
                          <w:marLeft w:val="0"/>
                          <w:marRight w:val="0"/>
                          <w:marTop w:val="0"/>
                          <w:marBottom w:val="0"/>
                          <w:divBdr>
                            <w:top w:val="none" w:sz="0" w:space="0" w:color="auto"/>
                            <w:left w:val="none" w:sz="0" w:space="0" w:color="auto"/>
                            <w:bottom w:val="none" w:sz="0" w:space="0" w:color="auto"/>
                            <w:right w:val="none" w:sz="0" w:space="0" w:color="auto"/>
                          </w:divBdr>
                          <w:divsChild>
                            <w:div w:id="194391277">
                              <w:marLeft w:val="0"/>
                              <w:marRight w:val="0"/>
                              <w:marTop w:val="0"/>
                              <w:marBottom w:val="0"/>
                              <w:divBdr>
                                <w:top w:val="none" w:sz="0" w:space="0" w:color="auto"/>
                                <w:left w:val="none" w:sz="0" w:space="0" w:color="auto"/>
                                <w:bottom w:val="none" w:sz="0" w:space="0" w:color="auto"/>
                                <w:right w:val="none" w:sz="0" w:space="0" w:color="auto"/>
                              </w:divBdr>
                              <w:divsChild>
                                <w:div w:id="152068653">
                                  <w:marLeft w:val="0"/>
                                  <w:marRight w:val="0"/>
                                  <w:marTop w:val="0"/>
                                  <w:marBottom w:val="0"/>
                                  <w:divBdr>
                                    <w:top w:val="none" w:sz="0" w:space="0" w:color="auto"/>
                                    <w:left w:val="none" w:sz="0" w:space="0" w:color="auto"/>
                                    <w:bottom w:val="none" w:sz="0" w:space="0" w:color="auto"/>
                                    <w:right w:val="none" w:sz="0" w:space="0" w:color="auto"/>
                                  </w:divBdr>
                                  <w:divsChild>
                                    <w:div w:id="550307864">
                                      <w:marLeft w:val="0"/>
                                      <w:marRight w:val="0"/>
                                      <w:marTop w:val="0"/>
                                      <w:marBottom w:val="0"/>
                                      <w:divBdr>
                                        <w:top w:val="none" w:sz="0" w:space="0" w:color="auto"/>
                                        <w:left w:val="none" w:sz="0" w:space="0" w:color="auto"/>
                                        <w:bottom w:val="none" w:sz="0" w:space="0" w:color="auto"/>
                                        <w:right w:val="none" w:sz="0" w:space="0" w:color="auto"/>
                                      </w:divBdr>
                                      <w:divsChild>
                                        <w:div w:id="10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23841">
                          <w:marLeft w:val="0"/>
                          <w:marRight w:val="0"/>
                          <w:marTop w:val="0"/>
                          <w:marBottom w:val="0"/>
                          <w:divBdr>
                            <w:top w:val="none" w:sz="0" w:space="0" w:color="auto"/>
                            <w:left w:val="none" w:sz="0" w:space="0" w:color="auto"/>
                            <w:bottom w:val="none" w:sz="0" w:space="0" w:color="auto"/>
                            <w:right w:val="none" w:sz="0" w:space="0" w:color="auto"/>
                          </w:divBdr>
                          <w:divsChild>
                            <w:div w:id="229925851">
                              <w:marLeft w:val="0"/>
                              <w:marRight w:val="0"/>
                              <w:marTop w:val="0"/>
                              <w:marBottom w:val="0"/>
                              <w:divBdr>
                                <w:top w:val="none" w:sz="0" w:space="0" w:color="auto"/>
                                <w:left w:val="none" w:sz="0" w:space="0" w:color="auto"/>
                                <w:bottom w:val="none" w:sz="0" w:space="0" w:color="auto"/>
                                <w:right w:val="none" w:sz="0" w:space="0" w:color="auto"/>
                              </w:divBdr>
                              <w:divsChild>
                                <w:div w:id="140925301">
                                  <w:marLeft w:val="0"/>
                                  <w:marRight w:val="0"/>
                                  <w:marTop w:val="0"/>
                                  <w:marBottom w:val="0"/>
                                  <w:divBdr>
                                    <w:top w:val="none" w:sz="0" w:space="0" w:color="auto"/>
                                    <w:left w:val="none" w:sz="0" w:space="0" w:color="auto"/>
                                    <w:bottom w:val="none" w:sz="0" w:space="0" w:color="auto"/>
                                    <w:right w:val="none" w:sz="0" w:space="0" w:color="auto"/>
                                  </w:divBdr>
                                  <w:divsChild>
                                    <w:div w:id="1869677702">
                                      <w:marLeft w:val="0"/>
                                      <w:marRight w:val="0"/>
                                      <w:marTop w:val="0"/>
                                      <w:marBottom w:val="0"/>
                                      <w:divBdr>
                                        <w:top w:val="none" w:sz="0" w:space="0" w:color="auto"/>
                                        <w:left w:val="none" w:sz="0" w:space="0" w:color="auto"/>
                                        <w:bottom w:val="none" w:sz="0" w:space="0" w:color="auto"/>
                                        <w:right w:val="none" w:sz="0" w:space="0" w:color="auto"/>
                                      </w:divBdr>
                                      <w:divsChild>
                                        <w:div w:id="1488326215">
                                          <w:marLeft w:val="0"/>
                                          <w:marRight w:val="0"/>
                                          <w:marTop w:val="0"/>
                                          <w:marBottom w:val="0"/>
                                          <w:divBdr>
                                            <w:top w:val="none" w:sz="0" w:space="0" w:color="auto"/>
                                            <w:left w:val="none" w:sz="0" w:space="0" w:color="auto"/>
                                            <w:bottom w:val="none" w:sz="0" w:space="0" w:color="auto"/>
                                            <w:right w:val="none" w:sz="0" w:space="0" w:color="auto"/>
                                          </w:divBdr>
                                          <w:divsChild>
                                            <w:div w:id="1978681528">
                                              <w:marLeft w:val="0"/>
                                              <w:marRight w:val="0"/>
                                              <w:marTop w:val="0"/>
                                              <w:marBottom w:val="0"/>
                                              <w:divBdr>
                                                <w:top w:val="none" w:sz="0" w:space="0" w:color="auto"/>
                                                <w:left w:val="none" w:sz="0" w:space="0" w:color="auto"/>
                                                <w:bottom w:val="none" w:sz="0" w:space="0" w:color="auto"/>
                                                <w:right w:val="none" w:sz="0" w:space="0" w:color="auto"/>
                                              </w:divBdr>
                                              <w:divsChild>
                                                <w:div w:id="59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9028">
                                          <w:marLeft w:val="0"/>
                                          <w:marRight w:val="0"/>
                                          <w:marTop w:val="0"/>
                                          <w:marBottom w:val="0"/>
                                          <w:divBdr>
                                            <w:top w:val="none" w:sz="0" w:space="0" w:color="auto"/>
                                            <w:left w:val="none" w:sz="0" w:space="0" w:color="auto"/>
                                            <w:bottom w:val="none" w:sz="0" w:space="0" w:color="auto"/>
                                            <w:right w:val="none" w:sz="0" w:space="0" w:color="auto"/>
                                          </w:divBdr>
                                          <w:divsChild>
                                            <w:div w:id="579952618">
                                              <w:marLeft w:val="0"/>
                                              <w:marRight w:val="0"/>
                                              <w:marTop w:val="0"/>
                                              <w:marBottom w:val="0"/>
                                              <w:divBdr>
                                                <w:top w:val="none" w:sz="0" w:space="0" w:color="auto"/>
                                                <w:left w:val="none" w:sz="0" w:space="0" w:color="auto"/>
                                                <w:bottom w:val="none" w:sz="0" w:space="0" w:color="auto"/>
                                                <w:right w:val="none" w:sz="0" w:space="0" w:color="auto"/>
                                              </w:divBdr>
                                              <w:divsChild>
                                                <w:div w:id="8656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431782">
      <w:bodyDiv w:val="1"/>
      <w:marLeft w:val="0"/>
      <w:marRight w:val="0"/>
      <w:marTop w:val="0"/>
      <w:marBottom w:val="0"/>
      <w:divBdr>
        <w:top w:val="none" w:sz="0" w:space="0" w:color="auto"/>
        <w:left w:val="none" w:sz="0" w:space="0" w:color="auto"/>
        <w:bottom w:val="none" w:sz="0" w:space="0" w:color="auto"/>
        <w:right w:val="none" w:sz="0" w:space="0" w:color="auto"/>
      </w:divBdr>
    </w:div>
    <w:div w:id="388387345">
      <w:bodyDiv w:val="1"/>
      <w:marLeft w:val="0"/>
      <w:marRight w:val="0"/>
      <w:marTop w:val="0"/>
      <w:marBottom w:val="0"/>
      <w:divBdr>
        <w:top w:val="none" w:sz="0" w:space="0" w:color="auto"/>
        <w:left w:val="none" w:sz="0" w:space="0" w:color="auto"/>
        <w:bottom w:val="none" w:sz="0" w:space="0" w:color="auto"/>
        <w:right w:val="none" w:sz="0" w:space="0" w:color="auto"/>
      </w:divBdr>
    </w:div>
    <w:div w:id="467363419">
      <w:bodyDiv w:val="1"/>
      <w:marLeft w:val="0"/>
      <w:marRight w:val="0"/>
      <w:marTop w:val="0"/>
      <w:marBottom w:val="0"/>
      <w:divBdr>
        <w:top w:val="none" w:sz="0" w:space="0" w:color="auto"/>
        <w:left w:val="none" w:sz="0" w:space="0" w:color="auto"/>
        <w:bottom w:val="none" w:sz="0" w:space="0" w:color="auto"/>
        <w:right w:val="none" w:sz="0" w:space="0" w:color="auto"/>
      </w:divBdr>
      <w:divsChild>
        <w:div w:id="1443957001">
          <w:marLeft w:val="0"/>
          <w:marRight w:val="0"/>
          <w:marTop w:val="0"/>
          <w:marBottom w:val="0"/>
          <w:divBdr>
            <w:top w:val="none" w:sz="0" w:space="0" w:color="auto"/>
            <w:left w:val="none" w:sz="0" w:space="0" w:color="auto"/>
            <w:bottom w:val="none" w:sz="0" w:space="0" w:color="auto"/>
            <w:right w:val="none" w:sz="0" w:space="0" w:color="auto"/>
          </w:divBdr>
          <w:divsChild>
            <w:div w:id="420033412">
              <w:marLeft w:val="0"/>
              <w:marRight w:val="0"/>
              <w:marTop w:val="0"/>
              <w:marBottom w:val="0"/>
              <w:divBdr>
                <w:top w:val="none" w:sz="0" w:space="0" w:color="auto"/>
                <w:left w:val="none" w:sz="0" w:space="0" w:color="auto"/>
                <w:bottom w:val="none" w:sz="0" w:space="0" w:color="auto"/>
                <w:right w:val="none" w:sz="0" w:space="0" w:color="auto"/>
              </w:divBdr>
              <w:divsChild>
                <w:div w:id="2056925178">
                  <w:marLeft w:val="0"/>
                  <w:marRight w:val="0"/>
                  <w:marTop w:val="0"/>
                  <w:marBottom w:val="0"/>
                  <w:divBdr>
                    <w:top w:val="none" w:sz="0" w:space="0" w:color="auto"/>
                    <w:left w:val="none" w:sz="0" w:space="0" w:color="auto"/>
                    <w:bottom w:val="none" w:sz="0" w:space="0" w:color="auto"/>
                    <w:right w:val="none" w:sz="0" w:space="0" w:color="auto"/>
                  </w:divBdr>
                  <w:divsChild>
                    <w:div w:id="365571165">
                      <w:marLeft w:val="0"/>
                      <w:marRight w:val="0"/>
                      <w:marTop w:val="0"/>
                      <w:marBottom w:val="0"/>
                      <w:divBdr>
                        <w:top w:val="none" w:sz="0" w:space="0" w:color="auto"/>
                        <w:left w:val="none" w:sz="0" w:space="0" w:color="auto"/>
                        <w:bottom w:val="none" w:sz="0" w:space="0" w:color="auto"/>
                        <w:right w:val="none" w:sz="0" w:space="0" w:color="auto"/>
                      </w:divBdr>
                      <w:divsChild>
                        <w:div w:id="735006769">
                          <w:marLeft w:val="0"/>
                          <w:marRight w:val="0"/>
                          <w:marTop w:val="0"/>
                          <w:marBottom w:val="0"/>
                          <w:divBdr>
                            <w:top w:val="none" w:sz="0" w:space="0" w:color="auto"/>
                            <w:left w:val="none" w:sz="0" w:space="0" w:color="auto"/>
                            <w:bottom w:val="none" w:sz="0" w:space="0" w:color="auto"/>
                            <w:right w:val="none" w:sz="0" w:space="0" w:color="auto"/>
                          </w:divBdr>
                          <w:divsChild>
                            <w:div w:id="1491826010">
                              <w:marLeft w:val="0"/>
                              <w:marRight w:val="0"/>
                              <w:marTop w:val="0"/>
                              <w:marBottom w:val="0"/>
                              <w:divBdr>
                                <w:top w:val="none" w:sz="0" w:space="0" w:color="auto"/>
                                <w:left w:val="none" w:sz="0" w:space="0" w:color="auto"/>
                                <w:bottom w:val="none" w:sz="0" w:space="0" w:color="auto"/>
                                <w:right w:val="none" w:sz="0" w:space="0" w:color="auto"/>
                              </w:divBdr>
                              <w:divsChild>
                                <w:div w:id="1446272352">
                                  <w:marLeft w:val="0"/>
                                  <w:marRight w:val="0"/>
                                  <w:marTop w:val="0"/>
                                  <w:marBottom w:val="0"/>
                                  <w:divBdr>
                                    <w:top w:val="none" w:sz="0" w:space="0" w:color="auto"/>
                                    <w:left w:val="none" w:sz="0" w:space="0" w:color="auto"/>
                                    <w:bottom w:val="none" w:sz="0" w:space="0" w:color="auto"/>
                                    <w:right w:val="none" w:sz="0" w:space="0" w:color="auto"/>
                                  </w:divBdr>
                                  <w:divsChild>
                                    <w:div w:id="1990399330">
                                      <w:marLeft w:val="0"/>
                                      <w:marRight w:val="0"/>
                                      <w:marTop w:val="0"/>
                                      <w:marBottom w:val="0"/>
                                      <w:divBdr>
                                        <w:top w:val="none" w:sz="0" w:space="0" w:color="auto"/>
                                        <w:left w:val="none" w:sz="0" w:space="0" w:color="auto"/>
                                        <w:bottom w:val="none" w:sz="0" w:space="0" w:color="auto"/>
                                        <w:right w:val="none" w:sz="0" w:space="0" w:color="auto"/>
                                      </w:divBdr>
                                      <w:divsChild>
                                        <w:div w:id="1400901633">
                                          <w:marLeft w:val="0"/>
                                          <w:marRight w:val="0"/>
                                          <w:marTop w:val="0"/>
                                          <w:marBottom w:val="0"/>
                                          <w:divBdr>
                                            <w:top w:val="none" w:sz="0" w:space="0" w:color="auto"/>
                                            <w:left w:val="none" w:sz="0" w:space="0" w:color="auto"/>
                                            <w:bottom w:val="none" w:sz="0" w:space="0" w:color="auto"/>
                                            <w:right w:val="none" w:sz="0" w:space="0" w:color="auto"/>
                                          </w:divBdr>
                                          <w:divsChild>
                                            <w:div w:id="736828704">
                                              <w:marLeft w:val="0"/>
                                              <w:marRight w:val="0"/>
                                              <w:marTop w:val="0"/>
                                              <w:marBottom w:val="0"/>
                                              <w:divBdr>
                                                <w:top w:val="none" w:sz="0" w:space="0" w:color="auto"/>
                                                <w:left w:val="none" w:sz="0" w:space="0" w:color="auto"/>
                                                <w:bottom w:val="none" w:sz="0" w:space="0" w:color="auto"/>
                                                <w:right w:val="none" w:sz="0" w:space="0" w:color="auto"/>
                                              </w:divBdr>
                                              <w:divsChild>
                                                <w:div w:id="195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9082841">
      <w:bodyDiv w:val="1"/>
      <w:marLeft w:val="0"/>
      <w:marRight w:val="0"/>
      <w:marTop w:val="0"/>
      <w:marBottom w:val="0"/>
      <w:divBdr>
        <w:top w:val="none" w:sz="0" w:space="0" w:color="auto"/>
        <w:left w:val="none" w:sz="0" w:space="0" w:color="auto"/>
        <w:bottom w:val="none" w:sz="0" w:space="0" w:color="auto"/>
        <w:right w:val="none" w:sz="0" w:space="0" w:color="auto"/>
      </w:divBdr>
    </w:div>
    <w:div w:id="552885225">
      <w:bodyDiv w:val="1"/>
      <w:marLeft w:val="0"/>
      <w:marRight w:val="0"/>
      <w:marTop w:val="0"/>
      <w:marBottom w:val="0"/>
      <w:divBdr>
        <w:top w:val="none" w:sz="0" w:space="0" w:color="auto"/>
        <w:left w:val="none" w:sz="0" w:space="0" w:color="auto"/>
        <w:bottom w:val="none" w:sz="0" w:space="0" w:color="auto"/>
        <w:right w:val="none" w:sz="0" w:space="0" w:color="auto"/>
      </w:divBdr>
      <w:divsChild>
        <w:div w:id="205408335">
          <w:marLeft w:val="0"/>
          <w:marRight w:val="0"/>
          <w:marTop w:val="0"/>
          <w:marBottom w:val="0"/>
          <w:divBdr>
            <w:top w:val="none" w:sz="0" w:space="0" w:color="auto"/>
            <w:left w:val="none" w:sz="0" w:space="0" w:color="auto"/>
            <w:bottom w:val="none" w:sz="0" w:space="0" w:color="auto"/>
            <w:right w:val="none" w:sz="0" w:space="0" w:color="auto"/>
          </w:divBdr>
          <w:divsChild>
            <w:div w:id="1729526066">
              <w:marLeft w:val="0"/>
              <w:marRight w:val="0"/>
              <w:marTop w:val="0"/>
              <w:marBottom w:val="0"/>
              <w:divBdr>
                <w:top w:val="none" w:sz="0" w:space="0" w:color="auto"/>
                <w:left w:val="none" w:sz="0" w:space="0" w:color="auto"/>
                <w:bottom w:val="none" w:sz="0" w:space="0" w:color="auto"/>
                <w:right w:val="none" w:sz="0" w:space="0" w:color="auto"/>
              </w:divBdr>
              <w:divsChild>
                <w:div w:id="1254506453">
                  <w:marLeft w:val="0"/>
                  <w:marRight w:val="0"/>
                  <w:marTop w:val="0"/>
                  <w:marBottom w:val="0"/>
                  <w:divBdr>
                    <w:top w:val="none" w:sz="0" w:space="0" w:color="auto"/>
                    <w:left w:val="none" w:sz="0" w:space="0" w:color="auto"/>
                    <w:bottom w:val="none" w:sz="0" w:space="0" w:color="auto"/>
                    <w:right w:val="none" w:sz="0" w:space="0" w:color="auto"/>
                  </w:divBdr>
                  <w:divsChild>
                    <w:div w:id="347491569">
                      <w:marLeft w:val="0"/>
                      <w:marRight w:val="0"/>
                      <w:marTop w:val="0"/>
                      <w:marBottom w:val="0"/>
                      <w:divBdr>
                        <w:top w:val="none" w:sz="0" w:space="0" w:color="auto"/>
                        <w:left w:val="none" w:sz="0" w:space="0" w:color="auto"/>
                        <w:bottom w:val="none" w:sz="0" w:space="0" w:color="auto"/>
                        <w:right w:val="none" w:sz="0" w:space="0" w:color="auto"/>
                      </w:divBdr>
                      <w:divsChild>
                        <w:div w:id="551691187">
                          <w:marLeft w:val="0"/>
                          <w:marRight w:val="0"/>
                          <w:marTop w:val="0"/>
                          <w:marBottom w:val="0"/>
                          <w:divBdr>
                            <w:top w:val="none" w:sz="0" w:space="0" w:color="auto"/>
                            <w:left w:val="none" w:sz="0" w:space="0" w:color="auto"/>
                            <w:bottom w:val="none" w:sz="0" w:space="0" w:color="auto"/>
                            <w:right w:val="none" w:sz="0" w:space="0" w:color="auto"/>
                          </w:divBdr>
                          <w:divsChild>
                            <w:div w:id="1471630068">
                              <w:marLeft w:val="0"/>
                              <w:marRight w:val="0"/>
                              <w:marTop w:val="0"/>
                              <w:marBottom w:val="0"/>
                              <w:divBdr>
                                <w:top w:val="none" w:sz="0" w:space="0" w:color="auto"/>
                                <w:left w:val="none" w:sz="0" w:space="0" w:color="auto"/>
                                <w:bottom w:val="none" w:sz="0" w:space="0" w:color="auto"/>
                                <w:right w:val="none" w:sz="0" w:space="0" w:color="auto"/>
                              </w:divBdr>
                              <w:divsChild>
                                <w:div w:id="1330406052">
                                  <w:marLeft w:val="0"/>
                                  <w:marRight w:val="0"/>
                                  <w:marTop w:val="0"/>
                                  <w:marBottom w:val="0"/>
                                  <w:divBdr>
                                    <w:top w:val="none" w:sz="0" w:space="0" w:color="auto"/>
                                    <w:left w:val="none" w:sz="0" w:space="0" w:color="auto"/>
                                    <w:bottom w:val="none" w:sz="0" w:space="0" w:color="auto"/>
                                    <w:right w:val="none" w:sz="0" w:space="0" w:color="auto"/>
                                  </w:divBdr>
                                  <w:divsChild>
                                    <w:div w:id="957956299">
                                      <w:marLeft w:val="0"/>
                                      <w:marRight w:val="0"/>
                                      <w:marTop w:val="0"/>
                                      <w:marBottom w:val="0"/>
                                      <w:divBdr>
                                        <w:top w:val="none" w:sz="0" w:space="0" w:color="auto"/>
                                        <w:left w:val="none" w:sz="0" w:space="0" w:color="auto"/>
                                        <w:bottom w:val="none" w:sz="0" w:space="0" w:color="auto"/>
                                        <w:right w:val="none" w:sz="0" w:space="0" w:color="auto"/>
                                      </w:divBdr>
                                      <w:divsChild>
                                        <w:div w:id="2043088019">
                                          <w:marLeft w:val="0"/>
                                          <w:marRight w:val="0"/>
                                          <w:marTop w:val="0"/>
                                          <w:marBottom w:val="0"/>
                                          <w:divBdr>
                                            <w:top w:val="none" w:sz="0" w:space="0" w:color="auto"/>
                                            <w:left w:val="none" w:sz="0" w:space="0" w:color="auto"/>
                                            <w:bottom w:val="none" w:sz="0" w:space="0" w:color="auto"/>
                                            <w:right w:val="none" w:sz="0" w:space="0" w:color="auto"/>
                                          </w:divBdr>
                                          <w:divsChild>
                                            <w:div w:id="963391498">
                                              <w:marLeft w:val="0"/>
                                              <w:marRight w:val="0"/>
                                              <w:marTop w:val="0"/>
                                              <w:marBottom w:val="0"/>
                                              <w:divBdr>
                                                <w:top w:val="none" w:sz="0" w:space="0" w:color="auto"/>
                                                <w:left w:val="none" w:sz="0" w:space="0" w:color="auto"/>
                                                <w:bottom w:val="none" w:sz="0" w:space="0" w:color="auto"/>
                                                <w:right w:val="none" w:sz="0" w:space="0" w:color="auto"/>
                                              </w:divBdr>
                                              <w:divsChild>
                                                <w:div w:id="6916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9318">
                                          <w:marLeft w:val="0"/>
                                          <w:marRight w:val="0"/>
                                          <w:marTop w:val="0"/>
                                          <w:marBottom w:val="0"/>
                                          <w:divBdr>
                                            <w:top w:val="none" w:sz="0" w:space="0" w:color="auto"/>
                                            <w:left w:val="none" w:sz="0" w:space="0" w:color="auto"/>
                                            <w:bottom w:val="none" w:sz="0" w:space="0" w:color="auto"/>
                                            <w:right w:val="none" w:sz="0" w:space="0" w:color="auto"/>
                                          </w:divBdr>
                                          <w:divsChild>
                                            <w:div w:id="242835353">
                                              <w:marLeft w:val="0"/>
                                              <w:marRight w:val="0"/>
                                              <w:marTop w:val="0"/>
                                              <w:marBottom w:val="0"/>
                                              <w:divBdr>
                                                <w:top w:val="none" w:sz="0" w:space="0" w:color="auto"/>
                                                <w:left w:val="none" w:sz="0" w:space="0" w:color="auto"/>
                                                <w:bottom w:val="none" w:sz="0" w:space="0" w:color="auto"/>
                                                <w:right w:val="none" w:sz="0" w:space="0" w:color="auto"/>
                                              </w:divBdr>
                                              <w:divsChild>
                                                <w:div w:id="1818297254">
                                                  <w:marLeft w:val="0"/>
                                                  <w:marRight w:val="0"/>
                                                  <w:marTop w:val="0"/>
                                                  <w:marBottom w:val="0"/>
                                                  <w:divBdr>
                                                    <w:top w:val="none" w:sz="0" w:space="0" w:color="auto"/>
                                                    <w:left w:val="none" w:sz="0" w:space="0" w:color="auto"/>
                                                    <w:bottom w:val="none" w:sz="0" w:space="0" w:color="auto"/>
                                                    <w:right w:val="none" w:sz="0" w:space="0" w:color="auto"/>
                                                  </w:divBdr>
                                                  <w:divsChild>
                                                    <w:div w:id="108283583">
                                                      <w:marLeft w:val="0"/>
                                                      <w:marRight w:val="0"/>
                                                      <w:marTop w:val="0"/>
                                                      <w:marBottom w:val="0"/>
                                                      <w:divBdr>
                                                        <w:top w:val="none" w:sz="0" w:space="0" w:color="auto"/>
                                                        <w:left w:val="none" w:sz="0" w:space="0" w:color="auto"/>
                                                        <w:bottom w:val="none" w:sz="0" w:space="0" w:color="auto"/>
                                                        <w:right w:val="none" w:sz="0" w:space="0" w:color="auto"/>
                                                      </w:divBdr>
                                                    </w:div>
                                                    <w:div w:id="14986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5187">
                                              <w:marLeft w:val="0"/>
                                              <w:marRight w:val="0"/>
                                              <w:marTop w:val="0"/>
                                              <w:marBottom w:val="0"/>
                                              <w:divBdr>
                                                <w:top w:val="none" w:sz="0" w:space="0" w:color="auto"/>
                                                <w:left w:val="none" w:sz="0" w:space="0" w:color="auto"/>
                                                <w:bottom w:val="none" w:sz="0" w:space="0" w:color="auto"/>
                                                <w:right w:val="none" w:sz="0" w:space="0" w:color="auto"/>
                                              </w:divBdr>
                                              <w:divsChild>
                                                <w:div w:id="1784957733">
                                                  <w:marLeft w:val="0"/>
                                                  <w:marRight w:val="0"/>
                                                  <w:marTop w:val="0"/>
                                                  <w:marBottom w:val="0"/>
                                                  <w:divBdr>
                                                    <w:top w:val="none" w:sz="0" w:space="0" w:color="auto"/>
                                                    <w:left w:val="none" w:sz="0" w:space="0" w:color="auto"/>
                                                    <w:bottom w:val="none" w:sz="0" w:space="0" w:color="auto"/>
                                                    <w:right w:val="none" w:sz="0" w:space="0" w:color="auto"/>
                                                  </w:divBdr>
                                                  <w:divsChild>
                                                    <w:div w:id="966810875">
                                                      <w:marLeft w:val="0"/>
                                                      <w:marRight w:val="0"/>
                                                      <w:marTop w:val="0"/>
                                                      <w:marBottom w:val="0"/>
                                                      <w:divBdr>
                                                        <w:top w:val="none" w:sz="0" w:space="0" w:color="auto"/>
                                                        <w:left w:val="none" w:sz="0" w:space="0" w:color="auto"/>
                                                        <w:bottom w:val="none" w:sz="0" w:space="0" w:color="auto"/>
                                                        <w:right w:val="none" w:sz="0" w:space="0" w:color="auto"/>
                                                      </w:divBdr>
                                                    </w:div>
                                                    <w:div w:id="8346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490935">
      <w:bodyDiv w:val="1"/>
      <w:marLeft w:val="0"/>
      <w:marRight w:val="0"/>
      <w:marTop w:val="0"/>
      <w:marBottom w:val="0"/>
      <w:divBdr>
        <w:top w:val="none" w:sz="0" w:space="0" w:color="auto"/>
        <w:left w:val="none" w:sz="0" w:space="0" w:color="auto"/>
        <w:bottom w:val="none" w:sz="0" w:space="0" w:color="auto"/>
        <w:right w:val="none" w:sz="0" w:space="0" w:color="auto"/>
      </w:divBdr>
    </w:div>
    <w:div w:id="575482206">
      <w:bodyDiv w:val="1"/>
      <w:marLeft w:val="0"/>
      <w:marRight w:val="0"/>
      <w:marTop w:val="0"/>
      <w:marBottom w:val="0"/>
      <w:divBdr>
        <w:top w:val="none" w:sz="0" w:space="0" w:color="auto"/>
        <w:left w:val="none" w:sz="0" w:space="0" w:color="auto"/>
        <w:bottom w:val="none" w:sz="0" w:space="0" w:color="auto"/>
        <w:right w:val="none" w:sz="0" w:space="0" w:color="auto"/>
      </w:divBdr>
    </w:div>
    <w:div w:id="596792184">
      <w:bodyDiv w:val="1"/>
      <w:marLeft w:val="0"/>
      <w:marRight w:val="0"/>
      <w:marTop w:val="0"/>
      <w:marBottom w:val="0"/>
      <w:divBdr>
        <w:top w:val="none" w:sz="0" w:space="0" w:color="auto"/>
        <w:left w:val="none" w:sz="0" w:space="0" w:color="auto"/>
        <w:bottom w:val="none" w:sz="0" w:space="0" w:color="auto"/>
        <w:right w:val="none" w:sz="0" w:space="0" w:color="auto"/>
      </w:divBdr>
    </w:div>
    <w:div w:id="599029251">
      <w:bodyDiv w:val="1"/>
      <w:marLeft w:val="0"/>
      <w:marRight w:val="0"/>
      <w:marTop w:val="0"/>
      <w:marBottom w:val="0"/>
      <w:divBdr>
        <w:top w:val="none" w:sz="0" w:space="0" w:color="auto"/>
        <w:left w:val="none" w:sz="0" w:space="0" w:color="auto"/>
        <w:bottom w:val="none" w:sz="0" w:space="0" w:color="auto"/>
        <w:right w:val="none" w:sz="0" w:space="0" w:color="auto"/>
      </w:divBdr>
      <w:divsChild>
        <w:div w:id="1377200013">
          <w:marLeft w:val="0"/>
          <w:marRight w:val="0"/>
          <w:marTop w:val="0"/>
          <w:marBottom w:val="0"/>
          <w:divBdr>
            <w:top w:val="none" w:sz="0" w:space="0" w:color="auto"/>
            <w:left w:val="none" w:sz="0" w:space="0" w:color="auto"/>
            <w:bottom w:val="none" w:sz="0" w:space="0" w:color="auto"/>
            <w:right w:val="none" w:sz="0" w:space="0" w:color="auto"/>
          </w:divBdr>
          <w:divsChild>
            <w:div w:id="866017512">
              <w:marLeft w:val="0"/>
              <w:marRight w:val="0"/>
              <w:marTop w:val="0"/>
              <w:marBottom w:val="0"/>
              <w:divBdr>
                <w:top w:val="none" w:sz="0" w:space="0" w:color="auto"/>
                <w:left w:val="none" w:sz="0" w:space="0" w:color="auto"/>
                <w:bottom w:val="none" w:sz="0" w:space="0" w:color="auto"/>
                <w:right w:val="none" w:sz="0" w:space="0" w:color="auto"/>
              </w:divBdr>
              <w:divsChild>
                <w:div w:id="1813323272">
                  <w:marLeft w:val="0"/>
                  <w:marRight w:val="0"/>
                  <w:marTop w:val="0"/>
                  <w:marBottom w:val="0"/>
                  <w:divBdr>
                    <w:top w:val="none" w:sz="0" w:space="0" w:color="auto"/>
                    <w:left w:val="none" w:sz="0" w:space="0" w:color="auto"/>
                    <w:bottom w:val="none" w:sz="0" w:space="0" w:color="auto"/>
                    <w:right w:val="none" w:sz="0" w:space="0" w:color="auto"/>
                  </w:divBdr>
                  <w:divsChild>
                    <w:div w:id="537812781">
                      <w:marLeft w:val="0"/>
                      <w:marRight w:val="0"/>
                      <w:marTop w:val="0"/>
                      <w:marBottom w:val="0"/>
                      <w:divBdr>
                        <w:top w:val="none" w:sz="0" w:space="0" w:color="auto"/>
                        <w:left w:val="none" w:sz="0" w:space="0" w:color="auto"/>
                        <w:bottom w:val="none" w:sz="0" w:space="0" w:color="auto"/>
                        <w:right w:val="none" w:sz="0" w:space="0" w:color="auto"/>
                      </w:divBdr>
                      <w:divsChild>
                        <w:div w:id="2045597252">
                          <w:marLeft w:val="0"/>
                          <w:marRight w:val="0"/>
                          <w:marTop w:val="0"/>
                          <w:marBottom w:val="0"/>
                          <w:divBdr>
                            <w:top w:val="none" w:sz="0" w:space="0" w:color="auto"/>
                            <w:left w:val="none" w:sz="0" w:space="0" w:color="auto"/>
                            <w:bottom w:val="none" w:sz="0" w:space="0" w:color="auto"/>
                            <w:right w:val="none" w:sz="0" w:space="0" w:color="auto"/>
                          </w:divBdr>
                          <w:divsChild>
                            <w:div w:id="621885614">
                              <w:marLeft w:val="0"/>
                              <w:marRight w:val="0"/>
                              <w:marTop w:val="0"/>
                              <w:marBottom w:val="0"/>
                              <w:divBdr>
                                <w:top w:val="none" w:sz="0" w:space="0" w:color="auto"/>
                                <w:left w:val="none" w:sz="0" w:space="0" w:color="auto"/>
                                <w:bottom w:val="none" w:sz="0" w:space="0" w:color="auto"/>
                                <w:right w:val="none" w:sz="0" w:space="0" w:color="auto"/>
                              </w:divBdr>
                              <w:divsChild>
                                <w:div w:id="2098285764">
                                  <w:marLeft w:val="0"/>
                                  <w:marRight w:val="0"/>
                                  <w:marTop w:val="0"/>
                                  <w:marBottom w:val="0"/>
                                  <w:divBdr>
                                    <w:top w:val="none" w:sz="0" w:space="0" w:color="auto"/>
                                    <w:left w:val="none" w:sz="0" w:space="0" w:color="auto"/>
                                    <w:bottom w:val="none" w:sz="0" w:space="0" w:color="auto"/>
                                    <w:right w:val="none" w:sz="0" w:space="0" w:color="auto"/>
                                  </w:divBdr>
                                  <w:divsChild>
                                    <w:div w:id="509413670">
                                      <w:marLeft w:val="0"/>
                                      <w:marRight w:val="0"/>
                                      <w:marTop w:val="0"/>
                                      <w:marBottom w:val="0"/>
                                      <w:divBdr>
                                        <w:top w:val="none" w:sz="0" w:space="0" w:color="auto"/>
                                        <w:left w:val="none" w:sz="0" w:space="0" w:color="auto"/>
                                        <w:bottom w:val="none" w:sz="0" w:space="0" w:color="auto"/>
                                        <w:right w:val="none" w:sz="0" w:space="0" w:color="auto"/>
                                      </w:divBdr>
                                      <w:divsChild>
                                        <w:div w:id="1796026125">
                                          <w:marLeft w:val="0"/>
                                          <w:marRight w:val="0"/>
                                          <w:marTop w:val="0"/>
                                          <w:marBottom w:val="0"/>
                                          <w:divBdr>
                                            <w:top w:val="none" w:sz="0" w:space="0" w:color="auto"/>
                                            <w:left w:val="none" w:sz="0" w:space="0" w:color="auto"/>
                                            <w:bottom w:val="none" w:sz="0" w:space="0" w:color="auto"/>
                                            <w:right w:val="none" w:sz="0" w:space="0" w:color="auto"/>
                                          </w:divBdr>
                                          <w:divsChild>
                                            <w:div w:id="1335304587">
                                              <w:marLeft w:val="0"/>
                                              <w:marRight w:val="0"/>
                                              <w:marTop w:val="0"/>
                                              <w:marBottom w:val="0"/>
                                              <w:divBdr>
                                                <w:top w:val="none" w:sz="0" w:space="0" w:color="auto"/>
                                                <w:left w:val="none" w:sz="0" w:space="0" w:color="auto"/>
                                                <w:bottom w:val="none" w:sz="0" w:space="0" w:color="auto"/>
                                                <w:right w:val="none" w:sz="0" w:space="0" w:color="auto"/>
                                              </w:divBdr>
                                              <w:divsChild>
                                                <w:div w:id="10901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8858531">
      <w:bodyDiv w:val="1"/>
      <w:marLeft w:val="0"/>
      <w:marRight w:val="0"/>
      <w:marTop w:val="0"/>
      <w:marBottom w:val="0"/>
      <w:divBdr>
        <w:top w:val="none" w:sz="0" w:space="0" w:color="auto"/>
        <w:left w:val="none" w:sz="0" w:space="0" w:color="auto"/>
        <w:bottom w:val="none" w:sz="0" w:space="0" w:color="auto"/>
        <w:right w:val="none" w:sz="0" w:space="0" w:color="auto"/>
      </w:divBdr>
    </w:div>
    <w:div w:id="661465954">
      <w:bodyDiv w:val="1"/>
      <w:marLeft w:val="0"/>
      <w:marRight w:val="0"/>
      <w:marTop w:val="0"/>
      <w:marBottom w:val="0"/>
      <w:divBdr>
        <w:top w:val="none" w:sz="0" w:space="0" w:color="auto"/>
        <w:left w:val="none" w:sz="0" w:space="0" w:color="auto"/>
        <w:bottom w:val="none" w:sz="0" w:space="0" w:color="auto"/>
        <w:right w:val="none" w:sz="0" w:space="0" w:color="auto"/>
      </w:divBdr>
      <w:divsChild>
        <w:div w:id="749040552">
          <w:marLeft w:val="0"/>
          <w:marRight w:val="0"/>
          <w:marTop w:val="0"/>
          <w:marBottom w:val="0"/>
          <w:divBdr>
            <w:top w:val="none" w:sz="0" w:space="0" w:color="auto"/>
            <w:left w:val="none" w:sz="0" w:space="0" w:color="auto"/>
            <w:bottom w:val="none" w:sz="0" w:space="0" w:color="auto"/>
            <w:right w:val="none" w:sz="0" w:space="0" w:color="auto"/>
          </w:divBdr>
          <w:divsChild>
            <w:div w:id="292564306">
              <w:marLeft w:val="0"/>
              <w:marRight w:val="0"/>
              <w:marTop w:val="0"/>
              <w:marBottom w:val="0"/>
              <w:divBdr>
                <w:top w:val="none" w:sz="0" w:space="0" w:color="auto"/>
                <w:left w:val="none" w:sz="0" w:space="0" w:color="auto"/>
                <w:bottom w:val="none" w:sz="0" w:space="0" w:color="auto"/>
                <w:right w:val="none" w:sz="0" w:space="0" w:color="auto"/>
              </w:divBdr>
              <w:divsChild>
                <w:div w:id="956982006">
                  <w:marLeft w:val="0"/>
                  <w:marRight w:val="0"/>
                  <w:marTop w:val="0"/>
                  <w:marBottom w:val="0"/>
                  <w:divBdr>
                    <w:top w:val="none" w:sz="0" w:space="0" w:color="auto"/>
                    <w:left w:val="none" w:sz="0" w:space="0" w:color="auto"/>
                    <w:bottom w:val="none" w:sz="0" w:space="0" w:color="auto"/>
                    <w:right w:val="none" w:sz="0" w:space="0" w:color="auto"/>
                  </w:divBdr>
                  <w:divsChild>
                    <w:div w:id="1510102057">
                      <w:marLeft w:val="0"/>
                      <w:marRight w:val="0"/>
                      <w:marTop w:val="0"/>
                      <w:marBottom w:val="0"/>
                      <w:divBdr>
                        <w:top w:val="none" w:sz="0" w:space="0" w:color="auto"/>
                        <w:left w:val="none" w:sz="0" w:space="0" w:color="auto"/>
                        <w:bottom w:val="none" w:sz="0" w:space="0" w:color="auto"/>
                        <w:right w:val="none" w:sz="0" w:space="0" w:color="auto"/>
                      </w:divBdr>
                      <w:divsChild>
                        <w:div w:id="221143353">
                          <w:marLeft w:val="0"/>
                          <w:marRight w:val="0"/>
                          <w:marTop w:val="0"/>
                          <w:marBottom w:val="0"/>
                          <w:divBdr>
                            <w:top w:val="none" w:sz="0" w:space="0" w:color="auto"/>
                            <w:left w:val="none" w:sz="0" w:space="0" w:color="auto"/>
                            <w:bottom w:val="none" w:sz="0" w:space="0" w:color="auto"/>
                            <w:right w:val="none" w:sz="0" w:space="0" w:color="auto"/>
                          </w:divBdr>
                          <w:divsChild>
                            <w:div w:id="929433707">
                              <w:marLeft w:val="0"/>
                              <w:marRight w:val="0"/>
                              <w:marTop w:val="0"/>
                              <w:marBottom w:val="0"/>
                              <w:divBdr>
                                <w:top w:val="none" w:sz="0" w:space="0" w:color="auto"/>
                                <w:left w:val="none" w:sz="0" w:space="0" w:color="auto"/>
                                <w:bottom w:val="none" w:sz="0" w:space="0" w:color="auto"/>
                                <w:right w:val="none" w:sz="0" w:space="0" w:color="auto"/>
                              </w:divBdr>
                              <w:divsChild>
                                <w:div w:id="1636568480">
                                  <w:marLeft w:val="0"/>
                                  <w:marRight w:val="0"/>
                                  <w:marTop w:val="0"/>
                                  <w:marBottom w:val="0"/>
                                  <w:divBdr>
                                    <w:top w:val="none" w:sz="0" w:space="0" w:color="auto"/>
                                    <w:left w:val="none" w:sz="0" w:space="0" w:color="auto"/>
                                    <w:bottom w:val="none" w:sz="0" w:space="0" w:color="auto"/>
                                    <w:right w:val="none" w:sz="0" w:space="0" w:color="auto"/>
                                  </w:divBdr>
                                  <w:divsChild>
                                    <w:div w:id="1352336874">
                                      <w:marLeft w:val="0"/>
                                      <w:marRight w:val="0"/>
                                      <w:marTop w:val="0"/>
                                      <w:marBottom w:val="0"/>
                                      <w:divBdr>
                                        <w:top w:val="none" w:sz="0" w:space="0" w:color="auto"/>
                                        <w:left w:val="none" w:sz="0" w:space="0" w:color="auto"/>
                                        <w:bottom w:val="none" w:sz="0" w:space="0" w:color="auto"/>
                                        <w:right w:val="none" w:sz="0" w:space="0" w:color="auto"/>
                                      </w:divBdr>
                                      <w:divsChild>
                                        <w:div w:id="1816608234">
                                          <w:marLeft w:val="0"/>
                                          <w:marRight w:val="0"/>
                                          <w:marTop w:val="0"/>
                                          <w:marBottom w:val="0"/>
                                          <w:divBdr>
                                            <w:top w:val="none" w:sz="0" w:space="0" w:color="auto"/>
                                            <w:left w:val="none" w:sz="0" w:space="0" w:color="auto"/>
                                            <w:bottom w:val="none" w:sz="0" w:space="0" w:color="auto"/>
                                            <w:right w:val="none" w:sz="0" w:space="0" w:color="auto"/>
                                          </w:divBdr>
                                          <w:divsChild>
                                            <w:div w:id="1188643741">
                                              <w:marLeft w:val="0"/>
                                              <w:marRight w:val="0"/>
                                              <w:marTop w:val="0"/>
                                              <w:marBottom w:val="0"/>
                                              <w:divBdr>
                                                <w:top w:val="none" w:sz="0" w:space="0" w:color="auto"/>
                                                <w:left w:val="none" w:sz="0" w:space="0" w:color="auto"/>
                                                <w:bottom w:val="none" w:sz="0" w:space="0" w:color="auto"/>
                                                <w:right w:val="none" w:sz="0" w:space="0" w:color="auto"/>
                                              </w:divBdr>
                                              <w:divsChild>
                                                <w:div w:id="149442410">
                                                  <w:marLeft w:val="0"/>
                                                  <w:marRight w:val="0"/>
                                                  <w:marTop w:val="0"/>
                                                  <w:marBottom w:val="0"/>
                                                  <w:divBdr>
                                                    <w:top w:val="none" w:sz="0" w:space="0" w:color="auto"/>
                                                    <w:left w:val="none" w:sz="0" w:space="0" w:color="auto"/>
                                                    <w:bottom w:val="none" w:sz="0" w:space="0" w:color="auto"/>
                                                    <w:right w:val="none" w:sz="0" w:space="0" w:color="auto"/>
                                                  </w:divBdr>
                                                  <w:divsChild>
                                                    <w:div w:id="1654798377">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844977523">
      <w:bodyDiv w:val="1"/>
      <w:marLeft w:val="0"/>
      <w:marRight w:val="0"/>
      <w:marTop w:val="0"/>
      <w:marBottom w:val="0"/>
      <w:divBdr>
        <w:top w:val="none" w:sz="0" w:space="0" w:color="auto"/>
        <w:left w:val="none" w:sz="0" w:space="0" w:color="auto"/>
        <w:bottom w:val="none" w:sz="0" w:space="0" w:color="auto"/>
        <w:right w:val="none" w:sz="0" w:space="0" w:color="auto"/>
      </w:divBdr>
      <w:divsChild>
        <w:div w:id="886725089">
          <w:marLeft w:val="0"/>
          <w:marRight w:val="0"/>
          <w:marTop w:val="0"/>
          <w:marBottom w:val="0"/>
          <w:divBdr>
            <w:top w:val="none" w:sz="0" w:space="0" w:color="auto"/>
            <w:left w:val="none" w:sz="0" w:space="0" w:color="auto"/>
            <w:bottom w:val="none" w:sz="0" w:space="0" w:color="auto"/>
            <w:right w:val="none" w:sz="0" w:space="0" w:color="auto"/>
          </w:divBdr>
          <w:divsChild>
            <w:div w:id="549150955">
              <w:marLeft w:val="0"/>
              <w:marRight w:val="0"/>
              <w:marTop w:val="0"/>
              <w:marBottom w:val="0"/>
              <w:divBdr>
                <w:top w:val="none" w:sz="0" w:space="0" w:color="auto"/>
                <w:left w:val="none" w:sz="0" w:space="0" w:color="auto"/>
                <w:bottom w:val="none" w:sz="0" w:space="0" w:color="auto"/>
                <w:right w:val="none" w:sz="0" w:space="0" w:color="auto"/>
              </w:divBdr>
              <w:divsChild>
                <w:div w:id="1383366372">
                  <w:marLeft w:val="0"/>
                  <w:marRight w:val="0"/>
                  <w:marTop w:val="0"/>
                  <w:marBottom w:val="0"/>
                  <w:divBdr>
                    <w:top w:val="none" w:sz="0" w:space="0" w:color="auto"/>
                    <w:left w:val="none" w:sz="0" w:space="0" w:color="auto"/>
                    <w:bottom w:val="none" w:sz="0" w:space="0" w:color="auto"/>
                    <w:right w:val="none" w:sz="0" w:space="0" w:color="auto"/>
                  </w:divBdr>
                  <w:divsChild>
                    <w:div w:id="1968313114">
                      <w:marLeft w:val="0"/>
                      <w:marRight w:val="0"/>
                      <w:marTop w:val="0"/>
                      <w:marBottom w:val="0"/>
                      <w:divBdr>
                        <w:top w:val="none" w:sz="0" w:space="0" w:color="auto"/>
                        <w:left w:val="none" w:sz="0" w:space="0" w:color="auto"/>
                        <w:bottom w:val="none" w:sz="0" w:space="0" w:color="auto"/>
                        <w:right w:val="none" w:sz="0" w:space="0" w:color="auto"/>
                      </w:divBdr>
                      <w:divsChild>
                        <w:div w:id="582184361">
                          <w:marLeft w:val="0"/>
                          <w:marRight w:val="0"/>
                          <w:marTop w:val="0"/>
                          <w:marBottom w:val="0"/>
                          <w:divBdr>
                            <w:top w:val="none" w:sz="0" w:space="0" w:color="auto"/>
                            <w:left w:val="none" w:sz="0" w:space="0" w:color="auto"/>
                            <w:bottom w:val="none" w:sz="0" w:space="0" w:color="auto"/>
                            <w:right w:val="none" w:sz="0" w:space="0" w:color="auto"/>
                          </w:divBdr>
                          <w:divsChild>
                            <w:div w:id="2001350356">
                              <w:marLeft w:val="0"/>
                              <w:marRight w:val="0"/>
                              <w:marTop w:val="0"/>
                              <w:marBottom w:val="0"/>
                              <w:divBdr>
                                <w:top w:val="none" w:sz="0" w:space="0" w:color="auto"/>
                                <w:left w:val="none" w:sz="0" w:space="0" w:color="auto"/>
                                <w:bottom w:val="none" w:sz="0" w:space="0" w:color="auto"/>
                                <w:right w:val="none" w:sz="0" w:space="0" w:color="auto"/>
                              </w:divBdr>
                              <w:divsChild>
                                <w:div w:id="1457989601">
                                  <w:marLeft w:val="0"/>
                                  <w:marRight w:val="0"/>
                                  <w:marTop w:val="0"/>
                                  <w:marBottom w:val="0"/>
                                  <w:divBdr>
                                    <w:top w:val="none" w:sz="0" w:space="0" w:color="auto"/>
                                    <w:left w:val="none" w:sz="0" w:space="0" w:color="auto"/>
                                    <w:bottom w:val="none" w:sz="0" w:space="0" w:color="auto"/>
                                    <w:right w:val="none" w:sz="0" w:space="0" w:color="auto"/>
                                  </w:divBdr>
                                  <w:divsChild>
                                    <w:div w:id="288980416">
                                      <w:marLeft w:val="0"/>
                                      <w:marRight w:val="0"/>
                                      <w:marTop w:val="0"/>
                                      <w:marBottom w:val="0"/>
                                      <w:divBdr>
                                        <w:top w:val="none" w:sz="0" w:space="0" w:color="auto"/>
                                        <w:left w:val="none" w:sz="0" w:space="0" w:color="auto"/>
                                        <w:bottom w:val="none" w:sz="0" w:space="0" w:color="auto"/>
                                        <w:right w:val="none" w:sz="0" w:space="0" w:color="auto"/>
                                      </w:divBdr>
                                      <w:divsChild>
                                        <w:div w:id="10560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30119">
                          <w:marLeft w:val="0"/>
                          <w:marRight w:val="0"/>
                          <w:marTop w:val="0"/>
                          <w:marBottom w:val="0"/>
                          <w:divBdr>
                            <w:top w:val="none" w:sz="0" w:space="0" w:color="auto"/>
                            <w:left w:val="none" w:sz="0" w:space="0" w:color="auto"/>
                            <w:bottom w:val="none" w:sz="0" w:space="0" w:color="auto"/>
                            <w:right w:val="none" w:sz="0" w:space="0" w:color="auto"/>
                          </w:divBdr>
                          <w:divsChild>
                            <w:div w:id="91702966">
                              <w:marLeft w:val="0"/>
                              <w:marRight w:val="0"/>
                              <w:marTop w:val="0"/>
                              <w:marBottom w:val="0"/>
                              <w:divBdr>
                                <w:top w:val="none" w:sz="0" w:space="0" w:color="auto"/>
                                <w:left w:val="none" w:sz="0" w:space="0" w:color="auto"/>
                                <w:bottom w:val="none" w:sz="0" w:space="0" w:color="auto"/>
                                <w:right w:val="none" w:sz="0" w:space="0" w:color="auto"/>
                              </w:divBdr>
                              <w:divsChild>
                                <w:div w:id="608895410">
                                  <w:marLeft w:val="0"/>
                                  <w:marRight w:val="0"/>
                                  <w:marTop w:val="0"/>
                                  <w:marBottom w:val="0"/>
                                  <w:divBdr>
                                    <w:top w:val="none" w:sz="0" w:space="0" w:color="auto"/>
                                    <w:left w:val="none" w:sz="0" w:space="0" w:color="auto"/>
                                    <w:bottom w:val="none" w:sz="0" w:space="0" w:color="auto"/>
                                    <w:right w:val="none" w:sz="0" w:space="0" w:color="auto"/>
                                  </w:divBdr>
                                  <w:divsChild>
                                    <w:div w:id="1992169271">
                                      <w:marLeft w:val="0"/>
                                      <w:marRight w:val="0"/>
                                      <w:marTop w:val="0"/>
                                      <w:marBottom w:val="0"/>
                                      <w:divBdr>
                                        <w:top w:val="none" w:sz="0" w:space="0" w:color="auto"/>
                                        <w:left w:val="none" w:sz="0" w:space="0" w:color="auto"/>
                                        <w:bottom w:val="none" w:sz="0" w:space="0" w:color="auto"/>
                                        <w:right w:val="none" w:sz="0" w:space="0" w:color="auto"/>
                                      </w:divBdr>
                                      <w:divsChild>
                                        <w:div w:id="45880172">
                                          <w:marLeft w:val="0"/>
                                          <w:marRight w:val="0"/>
                                          <w:marTop w:val="0"/>
                                          <w:marBottom w:val="0"/>
                                          <w:divBdr>
                                            <w:top w:val="none" w:sz="0" w:space="0" w:color="auto"/>
                                            <w:left w:val="none" w:sz="0" w:space="0" w:color="auto"/>
                                            <w:bottom w:val="none" w:sz="0" w:space="0" w:color="auto"/>
                                            <w:right w:val="none" w:sz="0" w:space="0" w:color="auto"/>
                                          </w:divBdr>
                                          <w:divsChild>
                                            <w:div w:id="128059176">
                                              <w:marLeft w:val="0"/>
                                              <w:marRight w:val="0"/>
                                              <w:marTop w:val="0"/>
                                              <w:marBottom w:val="0"/>
                                              <w:divBdr>
                                                <w:top w:val="none" w:sz="0" w:space="0" w:color="auto"/>
                                                <w:left w:val="none" w:sz="0" w:space="0" w:color="auto"/>
                                                <w:bottom w:val="none" w:sz="0" w:space="0" w:color="auto"/>
                                                <w:right w:val="none" w:sz="0" w:space="0" w:color="auto"/>
                                              </w:divBdr>
                                              <w:divsChild>
                                                <w:div w:id="427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4418">
                                          <w:marLeft w:val="0"/>
                                          <w:marRight w:val="0"/>
                                          <w:marTop w:val="0"/>
                                          <w:marBottom w:val="0"/>
                                          <w:divBdr>
                                            <w:top w:val="none" w:sz="0" w:space="0" w:color="auto"/>
                                            <w:left w:val="none" w:sz="0" w:space="0" w:color="auto"/>
                                            <w:bottom w:val="none" w:sz="0" w:space="0" w:color="auto"/>
                                            <w:right w:val="none" w:sz="0" w:space="0" w:color="auto"/>
                                          </w:divBdr>
                                          <w:divsChild>
                                            <w:div w:id="684404083">
                                              <w:marLeft w:val="0"/>
                                              <w:marRight w:val="0"/>
                                              <w:marTop w:val="0"/>
                                              <w:marBottom w:val="0"/>
                                              <w:divBdr>
                                                <w:top w:val="none" w:sz="0" w:space="0" w:color="auto"/>
                                                <w:left w:val="none" w:sz="0" w:space="0" w:color="auto"/>
                                                <w:bottom w:val="none" w:sz="0" w:space="0" w:color="auto"/>
                                                <w:right w:val="none" w:sz="0" w:space="0" w:color="auto"/>
                                              </w:divBdr>
                                              <w:divsChild>
                                                <w:div w:id="2268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2768150">
      <w:bodyDiv w:val="1"/>
      <w:marLeft w:val="0"/>
      <w:marRight w:val="0"/>
      <w:marTop w:val="0"/>
      <w:marBottom w:val="0"/>
      <w:divBdr>
        <w:top w:val="none" w:sz="0" w:space="0" w:color="auto"/>
        <w:left w:val="none" w:sz="0" w:space="0" w:color="auto"/>
        <w:bottom w:val="none" w:sz="0" w:space="0" w:color="auto"/>
        <w:right w:val="none" w:sz="0" w:space="0" w:color="auto"/>
      </w:divBdr>
      <w:divsChild>
        <w:div w:id="1743679711">
          <w:marLeft w:val="0"/>
          <w:marRight w:val="0"/>
          <w:marTop w:val="0"/>
          <w:marBottom w:val="0"/>
          <w:divBdr>
            <w:top w:val="none" w:sz="0" w:space="0" w:color="auto"/>
            <w:left w:val="none" w:sz="0" w:space="0" w:color="auto"/>
            <w:bottom w:val="none" w:sz="0" w:space="0" w:color="auto"/>
            <w:right w:val="none" w:sz="0" w:space="0" w:color="auto"/>
          </w:divBdr>
          <w:divsChild>
            <w:div w:id="470947934">
              <w:marLeft w:val="0"/>
              <w:marRight w:val="0"/>
              <w:marTop w:val="0"/>
              <w:marBottom w:val="0"/>
              <w:divBdr>
                <w:top w:val="none" w:sz="0" w:space="0" w:color="auto"/>
                <w:left w:val="none" w:sz="0" w:space="0" w:color="auto"/>
                <w:bottom w:val="none" w:sz="0" w:space="0" w:color="auto"/>
                <w:right w:val="none" w:sz="0" w:space="0" w:color="auto"/>
              </w:divBdr>
              <w:divsChild>
                <w:div w:id="637225526">
                  <w:marLeft w:val="0"/>
                  <w:marRight w:val="0"/>
                  <w:marTop w:val="0"/>
                  <w:marBottom w:val="0"/>
                  <w:divBdr>
                    <w:top w:val="none" w:sz="0" w:space="0" w:color="auto"/>
                    <w:left w:val="none" w:sz="0" w:space="0" w:color="auto"/>
                    <w:bottom w:val="none" w:sz="0" w:space="0" w:color="auto"/>
                    <w:right w:val="none" w:sz="0" w:space="0" w:color="auto"/>
                  </w:divBdr>
                  <w:divsChild>
                    <w:div w:id="346834746">
                      <w:marLeft w:val="0"/>
                      <w:marRight w:val="0"/>
                      <w:marTop w:val="0"/>
                      <w:marBottom w:val="0"/>
                      <w:divBdr>
                        <w:top w:val="none" w:sz="0" w:space="0" w:color="auto"/>
                        <w:left w:val="none" w:sz="0" w:space="0" w:color="auto"/>
                        <w:bottom w:val="none" w:sz="0" w:space="0" w:color="auto"/>
                        <w:right w:val="none" w:sz="0" w:space="0" w:color="auto"/>
                      </w:divBdr>
                      <w:divsChild>
                        <w:div w:id="694623431">
                          <w:marLeft w:val="0"/>
                          <w:marRight w:val="0"/>
                          <w:marTop w:val="0"/>
                          <w:marBottom w:val="0"/>
                          <w:divBdr>
                            <w:top w:val="none" w:sz="0" w:space="0" w:color="auto"/>
                            <w:left w:val="none" w:sz="0" w:space="0" w:color="auto"/>
                            <w:bottom w:val="none" w:sz="0" w:space="0" w:color="auto"/>
                            <w:right w:val="none" w:sz="0" w:space="0" w:color="auto"/>
                          </w:divBdr>
                          <w:divsChild>
                            <w:div w:id="261568984">
                              <w:marLeft w:val="0"/>
                              <w:marRight w:val="0"/>
                              <w:marTop w:val="0"/>
                              <w:marBottom w:val="0"/>
                              <w:divBdr>
                                <w:top w:val="none" w:sz="0" w:space="0" w:color="auto"/>
                                <w:left w:val="none" w:sz="0" w:space="0" w:color="auto"/>
                                <w:bottom w:val="none" w:sz="0" w:space="0" w:color="auto"/>
                                <w:right w:val="none" w:sz="0" w:space="0" w:color="auto"/>
                              </w:divBdr>
                              <w:divsChild>
                                <w:div w:id="482090083">
                                  <w:marLeft w:val="0"/>
                                  <w:marRight w:val="0"/>
                                  <w:marTop w:val="0"/>
                                  <w:marBottom w:val="0"/>
                                  <w:divBdr>
                                    <w:top w:val="none" w:sz="0" w:space="0" w:color="auto"/>
                                    <w:left w:val="none" w:sz="0" w:space="0" w:color="auto"/>
                                    <w:bottom w:val="none" w:sz="0" w:space="0" w:color="auto"/>
                                    <w:right w:val="none" w:sz="0" w:space="0" w:color="auto"/>
                                  </w:divBdr>
                                  <w:divsChild>
                                    <w:div w:id="903880730">
                                      <w:marLeft w:val="0"/>
                                      <w:marRight w:val="0"/>
                                      <w:marTop w:val="0"/>
                                      <w:marBottom w:val="0"/>
                                      <w:divBdr>
                                        <w:top w:val="none" w:sz="0" w:space="0" w:color="auto"/>
                                        <w:left w:val="none" w:sz="0" w:space="0" w:color="auto"/>
                                        <w:bottom w:val="none" w:sz="0" w:space="0" w:color="auto"/>
                                        <w:right w:val="none" w:sz="0" w:space="0" w:color="auto"/>
                                      </w:divBdr>
                                      <w:divsChild>
                                        <w:div w:id="2049262378">
                                          <w:marLeft w:val="0"/>
                                          <w:marRight w:val="0"/>
                                          <w:marTop w:val="0"/>
                                          <w:marBottom w:val="0"/>
                                          <w:divBdr>
                                            <w:top w:val="none" w:sz="0" w:space="0" w:color="auto"/>
                                            <w:left w:val="none" w:sz="0" w:space="0" w:color="auto"/>
                                            <w:bottom w:val="none" w:sz="0" w:space="0" w:color="auto"/>
                                            <w:right w:val="none" w:sz="0" w:space="0" w:color="auto"/>
                                          </w:divBdr>
                                          <w:divsChild>
                                            <w:div w:id="1189903569">
                                              <w:marLeft w:val="0"/>
                                              <w:marRight w:val="0"/>
                                              <w:marTop w:val="0"/>
                                              <w:marBottom w:val="0"/>
                                              <w:divBdr>
                                                <w:top w:val="none" w:sz="0" w:space="0" w:color="auto"/>
                                                <w:left w:val="none" w:sz="0" w:space="0" w:color="auto"/>
                                                <w:bottom w:val="none" w:sz="0" w:space="0" w:color="auto"/>
                                                <w:right w:val="none" w:sz="0" w:space="0" w:color="auto"/>
                                              </w:divBdr>
                                              <w:divsChild>
                                                <w:div w:id="17176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2419967">
      <w:bodyDiv w:val="1"/>
      <w:marLeft w:val="0"/>
      <w:marRight w:val="0"/>
      <w:marTop w:val="0"/>
      <w:marBottom w:val="0"/>
      <w:divBdr>
        <w:top w:val="none" w:sz="0" w:space="0" w:color="auto"/>
        <w:left w:val="none" w:sz="0" w:space="0" w:color="auto"/>
        <w:bottom w:val="none" w:sz="0" w:space="0" w:color="auto"/>
        <w:right w:val="none" w:sz="0" w:space="0" w:color="auto"/>
      </w:divBdr>
      <w:divsChild>
        <w:div w:id="177813299">
          <w:marLeft w:val="0"/>
          <w:marRight w:val="0"/>
          <w:marTop w:val="0"/>
          <w:marBottom w:val="0"/>
          <w:divBdr>
            <w:top w:val="none" w:sz="0" w:space="0" w:color="auto"/>
            <w:left w:val="none" w:sz="0" w:space="0" w:color="auto"/>
            <w:bottom w:val="none" w:sz="0" w:space="0" w:color="auto"/>
            <w:right w:val="none" w:sz="0" w:space="0" w:color="auto"/>
          </w:divBdr>
          <w:divsChild>
            <w:div w:id="539439595">
              <w:marLeft w:val="0"/>
              <w:marRight w:val="0"/>
              <w:marTop w:val="0"/>
              <w:marBottom w:val="0"/>
              <w:divBdr>
                <w:top w:val="none" w:sz="0" w:space="0" w:color="auto"/>
                <w:left w:val="none" w:sz="0" w:space="0" w:color="auto"/>
                <w:bottom w:val="none" w:sz="0" w:space="0" w:color="auto"/>
                <w:right w:val="none" w:sz="0" w:space="0" w:color="auto"/>
              </w:divBdr>
              <w:divsChild>
                <w:div w:id="230165736">
                  <w:marLeft w:val="0"/>
                  <w:marRight w:val="0"/>
                  <w:marTop w:val="0"/>
                  <w:marBottom w:val="0"/>
                  <w:divBdr>
                    <w:top w:val="none" w:sz="0" w:space="0" w:color="auto"/>
                    <w:left w:val="none" w:sz="0" w:space="0" w:color="auto"/>
                    <w:bottom w:val="none" w:sz="0" w:space="0" w:color="auto"/>
                    <w:right w:val="none" w:sz="0" w:space="0" w:color="auto"/>
                  </w:divBdr>
                  <w:divsChild>
                    <w:div w:id="2128818166">
                      <w:marLeft w:val="0"/>
                      <w:marRight w:val="0"/>
                      <w:marTop w:val="0"/>
                      <w:marBottom w:val="0"/>
                      <w:divBdr>
                        <w:top w:val="none" w:sz="0" w:space="0" w:color="auto"/>
                        <w:left w:val="none" w:sz="0" w:space="0" w:color="auto"/>
                        <w:bottom w:val="none" w:sz="0" w:space="0" w:color="auto"/>
                        <w:right w:val="none" w:sz="0" w:space="0" w:color="auto"/>
                      </w:divBdr>
                      <w:divsChild>
                        <w:div w:id="482890923">
                          <w:marLeft w:val="0"/>
                          <w:marRight w:val="0"/>
                          <w:marTop w:val="0"/>
                          <w:marBottom w:val="0"/>
                          <w:divBdr>
                            <w:top w:val="none" w:sz="0" w:space="0" w:color="auto"/>
                            <w:left w:val="none" w:sz="0" w:space="0" w:color="auto"/>
                            <w:bottom w:val="none" w:sz="0" w:space="0" w:color="auto"/>
                            <w:right w:val="none" w:sz="0" w:space="0" w:color="auto"/>
                          </w:divBdr>
                          <w:divsChild>
                            <w:div w:id="630329576">
                              <w:marLeft w:val="0"/>
                              <w:marRight w:val="0"/>
                              <w:marTop w:val="0"/>
                              <w:marBottom w:val="0"/>
                              <w:divBdr>
                                <w:top w:val="none" w:sz="0" w:space="0" w:color="auto"/>
                                <w:left w:val="none" w:sz="0" w:space="0" w:color="auto"/>
                                <w:bottom w:val="none" w:sz="0" w:space="0" w:color="auto"/>
                                <w:right w:val="none" w:sz="0" w:space="0" w:color="auto"/>
                              </w:divBdr>
                              <w:divsChild>
                                <w:div w:id="741489839">
                                  <w:marLeft w:val="0"/>
                                  <w:marRight w:val="0"/>
                                  <w:marTop w:val="0"/>
                                  <w:marBottom w:val="0"/>
                                  <w:divBdr>
                                    <w:top w:val="none" w:sz="0" w:space="0" w:color="auto"/>
                                    <w:left w:val="none" w:sz="0" w:space="0" w:color="auto"/>
                                    <w:bottom w:val="none" w:sz="0" w:space="0" w:color="auto"/>
                                    <w:right w:val="none" w:sz="0" w:space="0" w:color="auto"/>
                                  </w:divBdr>
                                  <w:divsChild>
                                    <w:div w:id="811991912">
                                      <w:marLeft w:val="0"/>
                                      <w:marRight w:val="0"/>
                                      <w:marTop w:val="0"/>
                                      <w:marBottom w:val="0"/>
                                      <w:divBdr>
                                        <w:top w:val="none" w:sz="0" w:space="0" w:color="auto"/>
                                        <w:left w:val="none" w:sz="0" w:space="0" w:color="auto"/>
                                        <w:bottom w:val="none" w:sz="0" w:space="0" w:color="auto"/>
                                        <w:right w:val="none" w:sz="0" w:space="0" w:color="auto"/>
                                      </w:divBdr>
                                      <w:divsChild>
                                        <w:div w:id="20260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66742">
                          <w:marLeft w:val="0"/>
                          <w:marRight w:val="0"/>
                          <w:marTop w:val="0"/>
                          <w:marBottom w:val="0"/>
                          <w:divBdr>
                            <w:top w:val="none" w:sz="0" w:space="0" w:color="auto"/>
                            <w:left w:val="none" w:sz="0" w:space="0" w:color="auto"/>
                            <w:bottom w:val="none" w:sz="0" w:space="0" w:color="auto"/>
                            <w:right w:val="none" w:sz="0" w:space="0" w:color="auto"/>
                          </w:divBdr>
                          <w:divsChild>
                            <w:div w:id="661348703">
                              <w:marLeft w:val="0"/>
                              <w:marRight w:val="0"/>
                              <w:marTop w:val="0"/>
                              <w:marBottom w:val="0"/>
                              <w:divBdr>
                                <w:top w:val="none" w:sz="0" w:space="0" w:color="auto"/>
                                <w:left w:val="none" w:sz="0" w:space="0" w:color="auto"/>
                                <w:bottom w:val="none" w:sz="0" w:space="0" w:color="auto"/>
                                <w:right w:val="none" w:sz="0" w:space="0" w:color="auto"/>
                              </w:divBdr>
                              <w:divsChild>
                                <w:div w:id="1834711947">
                                  <w:marLeft w:val="0"/>
                                  <w:marRight w:val="0"/>
                                  <w:marTop w:val="0"/>
                                  <w:marBottom w:val="0"/>
                                  <w:divBdr>
                                    <w:top w:val="none" w:sz="0" w:space="0" w:color="auto"/>
                                    <w:left w:val="none" w:sz="0" w:space="0" w:color="auto"/>
                                    <w:bottom w:val="none" w:sz="0" w:space="0" w:color="auto"/>
                                    <w:right w:val="none" w:sz="0" w:space="0" w:color="auto"/>
                                  </w:divBdr>
                                  <w:divsChild>
                                    <w:div w:id="2025670844">
                                      <w:marLeft w:val="0"/>
                                      <w:marRight w:val="0"/>
                                      <w:marTop w:val="0"/>
                                      <w:marBottom w:val="0"/>
                                      <w:divBdr>
                                        <w:top w:val="none" w:sz="0" w:space="0" w:color="auto"/>
                                        <w:left w:val="none" w:sz="0" w:space="0" w:color="auto"/>
                                        <w:bottom w:val="none" w:sz="0" w:space="0" w:color="auto"/>
                                        <w:right w:val="none" w:sz="0" w:space="0" w:color="auto"/>
                                      </w:divBdr>
                                      <w:divsChild>
                                        <w:div w:id="1761681430">
                                          <w:marLeft w:val="0"/>
                                          <w:marRight w:val="0"/>
                                          <w:marTop w:val="0"/>
                                          <w:marBottom w:val="0"/>
                                          <w:divBdr>
                                            <w:top w:val="none" w:sz="0" w:space="0" w:color="auto"/>
                                            <w:left w:val="none" w:sz="0" w:space="0" w:color="auto"/>
                                            <w:bottom w:val="none" w:sz="0" w:space="0" w:color="auto"/>
                                            <w:right w:val="none" w:sz="0" w:space="0" w:color="auto"/>
                                          </w:divBdr>
                                          <w:divsChild>
                                            <w:div w:id="1850018296">
                                              <w:marLeft w:val="0"/>
                                              <w:marRight w:val="0"/>
                                              <w:marTop w:val="0"/>
                                              <w:marBottom w:val="0"/>
                                              <w:divBdr>
                                                <w:top w:val="none" w:sz="0" w:space="0" w:color="auto"/>
                                                <w:left w:val="none" w:sz="0" w:space="0" w:color="auto"/>
                                                <w:bottom w:val="none" w:sz="0" w:space="0" w:color="auto"/>
                                                <w:right w:val="none" w:sz="0" w:space="0" w:color="auto"/>
                                              </w:divBdr>
                                              <w:divsChild>
                                                <w:div w:id="7145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0611">
                                          <w:marLeft w:val="0"/>
                                          <w:marRight w:val="0"/>
                                          <w:marTop w:val="0"/>
                                          <w:marBottom w:val="0"/>
                                          <w:divBdr>
                                            <w:top w:val="none" w:sz="0" w:space="0" w:color="auto"/>
                                            <w:left w:val="none" w:sz="0" w:space="0" w:color="auto"/>
                                            <w:bottom w:val="none" w:sz="0" w:space="0" w:color="auto"/>
                                            <w:right w:val="none" w:sz="0" w:space="0" w:color="auto"/>
                                          </w:divBdr>
                                          <w:divsChild>
                                            <w:div w:id="1954240714">
                                              <w:marLeft w:val="0"/>
                                              <w:marRight w:val="0"/>
                                              <w:marTop w:val="0"/>
                                              <w:marBottom w:val="0"/>
                                              <w:divBdr>
                                                <w:top w:val="none" w:sz="0" w:space="0" w:color="auto"/>
                                                <w:left w:val="none" w:sz="0" w:space="0" w:color="auto"/>
                                                <w:bottom w:val="none" w:sz="0" w:space="0" w:color="auto"/>
                                                <w:right w:val="none" w:sz="0" w:space="0" w:color="auto"/>
                                              </w:divBdr>
                                              <w:divsChild>
                                                <w:div w:id="19538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448207">
      <w:bodyDiv w:val="1"/>
      <w:marLeft w:val="0"/>
      <w:marRight w:val="0"/>
      <w:marTop w:val="0"/>
      <w:marBottom w:val="0"/>
      <w:divBdr>
        <w:top w:val="none" w:sz="0" w:space="0" w:color="auto"/>
        <w:left w:val="none" w:sz="0" w:space="0" w:color="auto"/>
        <w:bottom w:val="none" w:sz="0" w:space="0" w:color="auto"/>
        <w:right w:val="none" w:sz="0" w:space="0" w:color="auto"/>
      </w:divBdr>
    </w:div>
    <w:div w:id="904997416">
      <w:bodyDiv w:val="1"/>
      <w:marLeft w:val="0"/>
      <w:marRight w:val="0"/>
      <w:marTop w:val="0"/>
      <w:marBottom w:val="0"/>
      <w:divBdr>
        <w:top w:val="none" w:sz="0" w:space="0" w:color="auto"/>
        <w:left w:val="none" w:sz="0" w:space="0" w:color="auto"/>
        <w:bottom w:val="none" w:sz="0" w:space="0" w:color="auto"/>
        <w:right w:val="none" w:sz="0" w:space="0" w:color="auto"/>
      </w:divBdr>
      <w:divsChild>
        <w:div w:id="1539389212">
          <w:marLeft w:val="0"/>
          <w:marRight w:val="0"/>
          <w:marTop w:val="0"/>
          <w:marBottom w:val="0"/>
          <w:divBdr>
            <w:top w:val="none" w:sz="0" w:space="0" w:color="auto"/>
            <w:left w:val="none" w:sz="0" w:space="0" w:color="auto"/>
            <w:bottom w:val="none" w:sz="0" w:space="0" w:color="auto"/>
            <w:right w:val="none" w:sz="0" w:space="0" w:color="auto"/>
          </w:divBdr>
          <w:divsChild>
            <w:div w:id="683023104">
              <w:marLeft w:val="0"/>
              <w:marRight w:val="0"/>
              <w:marTop w:val="0"/>
              <w:marBottom w:val="0"/>
              <w:divBdr>
                <w:top w:val="none" w:sz="0" w:space="0" w:color="auto"/>
                <w:left w:val="none" w:sz="0" w:space="0" w:color="auto"/>
                <w:bottom w:val="none" w:sz="0" w:space="0" w:color="auto"/>
                <w:right w:val="none" w:sz="0" w:space="0" w:color="auto"/>
              </w:divBdr>
              <w:divsChild>
                <w:div w:id="1921597472">
                  <w:marLeft w:val="0"/>
                  <w:marRight w:val="0"/>
                  <w:marTop w:val="0"/>
                  <w:marBottom w:val="0"/>
                  <w:divBdr>
                    <w:top w:val="none" w:sz="0" w:space="0" w:color="auto"/>
                    <w:left w:val="none" w:sz="0" w:space="0" w:color="auto"/>
                    <w:bottom w:val="none" w:sz="0" w:space="0" w:color="auto"/>
                    <w:right w:val="none" w:sz="0" w:space="0" w:color="auto"/>
                  </w:divBdr>
                  <w:divsChild>
                    <w:div w:id="750741844">
                      <w:marLeft w:val="0"/>
                      <w:marRight w:val="0"/>
                      <w:marTop w:val="0"/>
                      <w:marBottom w:val="0"/>
                      <w:divBdr>
                        <w:top w:val="none" w:sz="0" w:space="0" w:color="auto"/>
                        <w:left w:val="none" w:sz="0" w:space="0" w:color="auto"/>
                        <w:bottom w:val="none" w:sz="0" w:space="0" w:color="auto"/>
                        <w:right w:val="none" w:sz="0" w:space="0" w:color="auto"/>
                      </w:divBdr>
                      <w:divsChild>
                        <w:div w:id="1724330969">
                          <w:marLeft w:val="0"/>
                          <w:marRight w:val="0"/>
                          <w:marTop w:val="0"/>
                          <w:marBottom w:val="0"/>
                          <w:divBdr>
                            <w:top w:val="none" w:sz="0" w:space="0" w:color="auto"/>
                            <w:left w:val="none" w:sz="0" w:space="0" w:color="auto"/>
                            <w:bottom w:val="none" w:sz="0" w:space="0" w:color="auto"/>
                            <w:right w:val="none" w:sz="0" w:space="0" w:color="auto"/>
                          </w:divBdr>
                          <w:divsChild>
                            <w:div w:id="1278025339">
                              <w:marLeft w:val="0"/>
                              <w:marRight w:val="0"/>
                              <w:marTop w:val="0"/>
                              <w:marBottom w:val="0"/>
                              <w:divBdr>
                                <w:top w:val="none" w:sz="0" w:space="0" w:color="auto"/>
                                <w:left w:val="none" w:sz="0" w:space="0" w:color="auto"/>
                                <w:bottom w:val="none" w:sz="0" w:space="0" w:color="auto"/>
                                <w:right w:val="none" w:sz="0" w:space="0" w:color="auto"/>
                              </w:divBdr>
                              <w:divsChild>
                                <w:div w:id="943462854">
                                  <w:marLeft w:val="0"/>
                                  <w:marRight w:val="0"/>
                                  <w:marTop w:val="0"/>
                                  <w:marBottom w:val="0"/>
                                  <w:divBdr>
                                    <w:top w:val="none" w:sz="0" w:space="0" w:color="auto"/>
                                    <w:left w:val="none" w:sz="0" w:space="0" w:color="auto"/>
                                    <w:bottom w:val="none" w:sz="0" w:space="0" w:color="auto"/>
                                    <w:right w:val="none" w:sz="0" w:space="0" w:color="auto"/>
                                  </w:divBdr>
                                  <w:divsChild>
                                    <w:div w:id="680931116">
                                      <w:marLeft w:val="0"/>
                                      <w:marRight w:val="0"/>
                                      <w:marTop w:val="0"/>
                                      <w:marBottom w:val="0"/>
                                      <w:divBdr>
                                        <w:top w:val="none" w:sz="0" w:space="0" w:color="auto"/>
                                        <w:left w:val="none" w:sz="0" w:space="0" w:color="auto"/>
                                        <w:bottom w:val="none" w:sz="0" w:space="0" w:color="auto"/>
                                        <w:right w:val="none" w:sz="0" w:space="0" w:color="auto"/>
                                      </w:divBdr>
                                      <w:divsChild>
                                        <w:div w:id="1501197111">
                                          <w:marLeft w:val="0"/>
                                          <w:marRight w:val="0"/>
                                          <w:marTop w:val="0"/>
                                          <w:marBottom w:val="0"/>
                                          <w:divBdr>
                                            <w:top w:val="none" w:sz="0" w:space="0" w:color="auto"/>
                                            <w:left w:val="none" w:sz="0" w:space="0" w:color="auto"/>
                                            <w:bottom w:val="none" w:sz="0" w:space="0" w:color="auto"/>
                                            <w:right w:val="none" w:sz="0" w:space="0" w:color="auto"/>
                                          </w:divBdr>
                                          <w:divsChild>
                                            <w:div w:id="1997105555">
                                              <w:marLeft w:val="0"/>
                                              <w:marRight w:val="0"/>
                                              <w:marTop w:val="0"/>
                                              <w:marBottom w:val="0"/>
                                              <w:divBdr>
                                                <w:top w:val="none" w:sz="0" w:space="0" w:color="auto"/>
                                                <w:left w:val="none" w:sz="0" w:space="0" w:color="auto"/>
                                                <w:bottom w:val="none" w:sz="0" w:space="0" w:color="auto"/>
                                                <w:right w:val="none" w:sz="0" w:space="0" w:color="auto"/>
                                              </w:divBdr>
                                              <w:divsChild>
                                                <w:div w:id="1451049298">
                                                  <w:marLeft w:val="0"/>
                                                  <w:marRight w:val="0"/>
                                                  <w:marTop w:val="0"/>
                                                  <w:marBottom w:val="0"/>
                                                  <w:divBdr>
                                                    <w:top w:val="none" w:sz="0" w:space="0" w:color="auto"/>
                                                    <w:left w:val="none" w:sz="0" w:space="0" w:color="auto"/>
                                                    <w:bottom w:val="none" w:sz="0" w:space="0" w:color="auto"/>
                                                    <w:right w:val="none" w:sz="0" w:space="0" w:color="auto"/>
                                                  </w:divBdr>
                                                  <w:divsChild>
                                                    <w:div w:id="1969974721">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909390590">
      <w:bodyDiv w:val="1"/>
      <w:marLeft w:val="0"/>
      <w:marRight w:val="0"/>
      <w:marTop w:val="0"/>
      <w:marBottom w:val="0"/>
      <w:divBdr>
        <w:top w:val="none" w:sz="0" w:space="0" w:color="auto"/>
        <w:left w:val="none" w:sz="0" w:space="0" w:color="auto"/>
        <w:bottom w:val="none" w:sz="0" w:space="0" w:color="auto"/>
        <w:right w:val="none" w:sz="0" w:space="0" w:color="auto"/>
      </w:divBdr>
      <w:divsChild>
        <w:div w:id="196504485">
          <w:marLeft w:val="0"/>
          <w:marRight w:val="0"/>
          <w:marTop w:val="0"/>
          <w:marBottom w:val="0"/>
          <w:divBdr>
            <w:top w:val="none" w:sz="0" w:space="0" w:color="auto"/>
            <w:left w:val="none" w:sz="0" w:space="0" w:color="auto"/>
            <w:bottom w:val="none" w:sz="0" w:space="0" w:color="auto"/>
            <w:right w:val="none" w:sz="0" w:space="0" w:color="auto"/>
          </w:divBdr>
          <w:divsChild>
            <w:div w:id="798961677">
              <w:marLeft w:val="0"/>
              <w:marRight w:val="0"/>
              <w:marTop w:val="0"/>
              <w:marBottom w:val="0"/>
              <w:divBdr>
                <w:top w:val="none" w:sz="0" w:space="0" w:color="auto"/>
                <w:left w:val="none" w:sz="0" w:space="0" w:color="auto"/>
                <w:bottom w:val="none" w:sz="0" w:space="0" w:color="auto"/>
                <w:right w:val="none" w:sz="0" w:space="0" w:color="auto"/>
              </w:divBdr>
              <w:divsChild>
                <w:div w:id="476184974">
                  <w:marLeft w:val="0"/>
                  <w:marRight w:val="0"/>
                  <w:marTop w:val="0"/>
                  <w:marBottom w:val="0"/>
                  <w:divBdr>
                    <w:top w:val="none" w:sz="0" w:space="0" w:color="auto"/>
                    <w:left w:val="none" w:sz="0" w:space="0" w:color="auto"/>
                    <w:bottom w:val="none" w:sz="0" w:space="0" w:color="auto"/>
                    <w:right w:val="none" w:sz="0" w:space="0" w:color="auto"/>
                  </w:divBdr>
                  <w:divsChild>
                    <w:div w:id="1568609509">
                      <w:marLeft w:val="0"/>
                      <w:marRight w:val="0"/>
                      <w:marTop w:val="0"/>
                      <w:marBottom w:val="0"/>
                      <w:divBdr>
                        <w:top w:val="none" w:sz="0" w:space="0" w:color="auto"/>
                        <w:left w:val="none" w:sz="0" w:space="0" w:color="auto"/>
                        <w:bottom w:val="none" w:sz="0" w:space="0" w:color="auto"/>
                        <w:right w:val="none" w:sz="0" w:space="0" w:color="auto"/>
                      </w:divBdr>
                      <w:divsChild>
                        <w:div w:id="1358577934">
                          <w:marLeft w:val="0"/>
                          <w:marRight w:val="0"/>
                          <w:marTop w:val="0"/>
                          <w:marBottom w:val="0"/>
                          <w:divBdr>
                            <w:top w:val="none" w:sz="0" w:space="0" w:color="auto"/>
                            <w:left w:val="none" w:sz="0" w:space="0" w:color="auto"/>
                            <w:bottom w:val="none" w:sz="0" w:space="0" w:color="auto"/>
                            <w:right w:val="none" w:sz="0" w:space="0" w:color="auto"/>
                          </w:divBdr>
                          <w:divsChild>
                            <w:div w:id="42953170">
                              <w:marLeft w:val="0"/>
                              <w:marRight w:val="0"/>
                              <w:marTop w:val="0"/>
                              <w:marBottom w:val="0"/>
                              <w:divBdr>
                                <w:top w:val="none" w:sz="0" w:space="0" w:color="auto"/>
                                <w:left w:val="none" w:sz="0" w:space="0" w:color="auto"/>
                                <w:bottom w:val="none" w:sz="0" w:space="0" w:color="auto"/>
                                <w:right w:val="none" w:sz="0" w:space="0" w:color="auto"/>
                              </w:divBdr>
                              <w:divsChild>
                                <w:div w:id="1442409206">
                                  <w:marLeft w:val="0"/>
                                  <w:marRight w:val="0"/>
                                  <w:marTop w:val="0"/>
                                  <w:marBottom w:val="0"/>
                                  <w:divBdr>
                                    <w:top w:val="none" w:sz="0" w:space="0" w:color="auto"/>
                                    <w:left w:val="none" w:sz="0" w:space="0" w:color="auto"/>
                                    <w:bottom w:val="none" w:sz="0" w:space="0" w:color="auto"/>
                                    <w:right w:val="none" w:sz="0" w:space="0" w:color="auto"/>
                                  </w:divBdr>
                                  <w:divsChild>
                                    <w:div w:id="1976979777">
                                      <w:marLeft w:val="0"/>
                                      <w:marRight w:val="0"/>
                                      <w:marTop w:val="0"/>
                                      <w:marBottom w:val="0"/>
                                      <w:divBdr>
                                        <w:top w:val="none" w:sz="0" w:space="0" w:color="auto"/>
                                        <w:left w:val="none" w:sz="0" w:space="0" w:color="auto"/>
                                        <w:bottom w:val="none" w:sz="0" w:space="0" w:color="auto"/>
                                        <w:right w:val="none" w:sz="0" w:space="0" w:color="auto"/>
                                      </w:divBdr>
                                      <w:divsChild>
                                        <w:div w:id="1771268890">
                                          <w:marLeft w:val="0"/>
                                          <w:marRight w:val="0"/>
                                          <w:marTop w:val="0"/>
                                          <w:marBottom w:val="0"/>
                                          <w:divBdr>
                                            <w:top w:val="none" w:sz="0" w:space="0" w:color="auto"/>
                                            <w:left w:val="none" w:sz="0" w:space="0" w:color="auto"/>
                                            <w:bottom w:val="none" w:sz="0" w:space="0" w:color="auto"/>
                                            <w:right w:val="none" w:sz="0" w:space="0" w:color="auto"/>
                                          </w:divBdr>
                                          <w:divsChild>
                                            <w:div w:id="1500579333">
                                              <w:marLeft w:val="0"/>
                                              <w:marRight w:val="0"/>
                                              <w:marTop w:val="0"/>
                                              <w:marBottom w:val="0"/>
                                              <w:divBdr>
                                                <w:top w:val="none" w:sz="0" w:space="0" w:color="auto"/>
                                                <w:left w:val="none" w:sz="0" w:space="0" w:color="auto"/>
                                                <w:bottom w:val="none" w:sz="0" w:space="0" w:color="auto"/>
                                                <w:right w:val="none" w:sz="0" w:space="0" w:color="auto"/>
                                              </w:divBdr>
                                              <w:divsChild>
                                                <w:div w:id="9082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435127">
      <w:bodyDiv w:val="1"/>
      <w:marLeft w:val="0"/>
      <w:marRight w:val="0"/>
      <w:marTop w:val="0"/>
      <w:marBottom w:val="0"/>
      <w:divBdr>
        <w:top w:val="none" w:sz="0" w:space="0" w:color="auto"/>
        <w:left w:val="none" w:sz="0" w:space="0" w:color="auto"/>
        <w:bottom w:val="none" w:sz="0" w:space="0" w:color="auto"/>
        <w:right w:val="none" w:sz="0" w:space="0" w:color="auto"/>
      </w:divBdr>
    </w:div>
    <w:div w:id="959456650">
      <w:bodyDiv w:val="1"/>
      <w:marLeft w:val="0"/>
      <w:marRight w:val="0"/>
      <w:marTop w:val="0"/>
      <w:marBottom w:val="0"/>
      <w:divBdr>
        <w:top w:val="none" w:sz="0" w:space="0" w:color="auto"/>
        <w:left w:val="none" w:sz="0" w:space="0" w:color="auto"/>
        <w:bottom w:val="none" w:sz="0" w:space="0" w:color="auto"/>
        <w:right w:val="none" w:sz="0" w:space="0" w:color="auto"/>
      </w:divBdr>
    </w:div>
    <w:div w:id="980420757">
      <w:bodyDiv w:val="1"/>
      <w:marLeft w:val="0"/>
      <w:marRight w:val="0"/>
      <w:marTop w:val="0"/>
      <w:marBottom w:val="0"/>
      <w:divBdr>
        <w:top w:val="none" w:sz="0" w:space="0" w:color="auto"/>
        <w:left w:val="none" w:sz="0" w:space="0" w:color="auto"/>
        <w:bottom w:val="none" w:sz="0" w:space="0" w:color="auto"/>
        <w:right w:val="none" w:sz="0" w:space="0" w:color="auto"/>
      </w:divBdr>
    </w:div>
    <w:div w:id="1032460462">
      <w:bodyDiv w:val="1"/>
      <w:marLeft w:val="0"/>
      <w:marRight w:val="0"/>
      <w:marTop w:val="0"/>
      <w:marBottom w:val="0"/>
      <w:divBdr>
        <w:top w:val="none" w:sz="0" w:space="0" w:color="auto"/>
        <w:left w:val="none" w:sz="0" w:space="0" w:color="auto"/>
        <w:bottom w:val="none" w:sz="0" w:space="0" w:color="auto"/>
        <w:right w:val="none" w:sz="0" w:space="0" w:color="auto"/>
      </w:divBdr>
      <w:divsChild>
        <w:div w:id="1298493232">
          <w:marLeft w:val="0"/>
          <w:marRight w:val="0"/>
          <w:marTop w:val="0"/>
          <w:marBottom w:val="0"/>
          <w:divBdr>
            <w:top w:val="none" w:sz="0" w:space="0" w:color="auto"/>
            <w:left w:val="none" w:sz="0" w:space="0" w:color="auto"/>
            <w:bottom w:val="none" w:sz="0" w:space="0" w:color="auto"/>
            <w:right w:val="none" w:sz="0" w:space="0" w:color="auto"/>
          </w:divBdr>
          <w:divsChild>
            <w:div w:id="955062612">
              <w:marLeft w:val="0"/>
              <w:marRight w:val="0"/>
              <w:marTop w:val="0"/>
              <w:marBottom w:val="0"/>
              <w:divBdr>
                <w:top w:val="none" w:sz="0" w:space="0" w:color="auto"/>
                <w:left w:val="none" w:sz="0" w:space="0" w:color="auto"/>
                <w:bottom w:val="none" w:sz="0" w:space="0" w:color="auto"/>
                <w:right w:val="none" w:sz="0" w:space="0" w:color="auto"/>
              </w:divBdr>
              <w:divsChild>
                <w:div w:id="567881639">
                  <w:marLeft w:val="0"/>
                  <w:marRight w:val="0"/>
                  <w:marTop w:val="0"/>
                  <w:marBottom w:val="0"/>
                  <w:divBdr>
                    <w:top w:val="none" w:sz="0" w:space="0" w:color="auto"/>
                    <w:left w:val="none" w:sz="0" w:space="0" w:color="auto"/>
                    <w:bottom w:val="none" w:sz="0" w:space="0" w:color="auto"/>
                    <w:right w:val="none" w:sz="0" w:space="0" w:color="auto"/>
                  </w:divBdr>
                  <w:divsChild>
                    <w:div w:id="948851045">
                      <w:marLeft w:val="0"/>
                      <w:marRight w:val="0"/>
                      <w:marTop w:val="0"/>
                      <w:marBottom w:val="0"/>
                      <w:divBdr>
                        <w:top w:val="none" w:sz="0" w:space="0" w:color="auto"/>
                        <w:left w:val="none" w:sz="0" w:space="0" w:color="auto"/>
                        <w:bottom w:val="none" w:sz="0" w:space="0" w:color="auto"/>
                        <w:right w:val="none" w:sz="0" w:space="0" w:color="auto"/>
                      </w:divBdr>
                      <w:divsChild>
                        <w:div w:id="1442458041">
                          <w:marLeft w:val="0"/>
                          <w:marRight w:val="0"/>
                          <w:marTop w:val="0"/>
                          <w:marBottom w:val="0"/>
                          <w:divBdr>
                            <w:top w:val="none" w:sz="0" w:space="0" w:color="auto"/>
                            <w:left w:val="none" w:sz="0" w:space="0" w:color="auto"/>
                            <w:bottom w:val="none" w:sz="0" w:space="0" w:color="auto"/>
                            <w:right w:val="none" w:sz="0" w:space="0" w:color="auto"/>
                          </w:divBdr>
                          <w:divsChild>
                            <w:div w:id="902258166">
                              <w:marLeft w:val="0"/>
                              <w:marRight w:val="0"/>
                              <w:marTop w:val="0"/>
                              <w:marBottom w:val="0"/>
                              <w:divBdr>
                                <w:top w:val="none" w:sz="0" w:space="0" w:color="auto"/>
                                <w:left w:val="none" w:sz="0" w:space="0" w:color="auto"/>
                                <w:bottom w:val="none" w:sz="0" w:space="0" w:color="auto"/>
                                <w:right w:val="none" w:sz="0" w:space="0" w:color="auto"/>
                              </w:divBdr>
                              <w:divsChild>
                                <w:div w:id="1276138610">
                                  <w:marLeft w:val="0"/>
                                  <w:marRight w:val="0"/>
                                  <w:marTop w:val="0"/>
                                  <w:marBottom w:val="0"/>
                                  <w:divBdr>
                                    <w:top w:val="none" w:sz="0" w:space="0" w:color="auto"/>
                                    <w:left w:val="none" w:sz="0" w:space="0" w:color="auto"/>
                                    <w:bottom w:val="none" w:sz="0" w:space="0" w:color="auto"/>
                                    <w:right w:val="none" w:sz="0" w:space="0" w:color="auto"/>
                                  </w:divBdr>
                                  <w:divsChild>
                                    <w:div w:id="997073360">
                                      <w:marLeft w:val="0"/>
                                      <w:marRight w:val="0"/>
                                      <w:marTop w:val="0"/>
                                      <w:marBottom w:val="0"/>
                                      <w:divBdr>
                                        <w:top w:val="none" w:sz="0" w:space="0" w:color="auto"/>
                                        <w:left w:val="none" w:sz="0" w:space="0" w:color="auto"/>
                                        <w:bottom w:val="none" w:sz="0" w:space="0" w:color="auto"/>
                                        <w:right w:val="none" w:sz="0" w:space="0" w:color="auto"/>
                                      </w:divBdr>
                                      <w:divsChild>
                                        <w:div w:id="1870601510">
                                          <w:marLeft w:val="0"/>
                                          <w:marRight w:val="0"/>
                                          <w:marTop w:val="0"/>
                                          <w:marBottom w:val="0"/>
                                          <w:divBdr>
                                            <w:top w:val="none" w:sz="0" w:space="0" w:color="auto"/>
                                            <w:left w:val="none" w:sz="0" w:space="0" w:color="auto"/>
                                            <w:bottom w:val="none" w:sz="0" w:space="0" w:color="auto"/>
                                            <w:right w:val="none" w:sz="0" w:space="0" w:color="auto"/>
                                          </w:divBdr>
                                          <w:divsChild>
                                            <w:div w:id="1246766025">
                                              <w:marLeft w:val="0"/>
                                              <w:marRight w:val="0"/>
                                              <w:marTop w:val="0"/>
                                              <w:marBottom w:val="0"/>
                                              <w:divBdr>
                                                <w:top w:val="none" w:sz="0" w:space="0" w:color="auto"/>
                                                <w:left w:val="none" w:sz="0" w:space="0" w:color="auto"/>
                                                <w:bottom w:val="none" w:sz="0" w:space="0" w:color="auto"/>
                                                <w:right w:val="none" w:sz="0" w:space="0" w:color="auto"/>
                                              </w:divBdr>
                                              <w:divsChild>
                                                <w:div w:id="1866168097">
                                                  <w:marLeft w:val="0"/>
                                                  <w:marRight w:val="0"/>
                                                  <w:marTop w:val="0"/>
                                                  <w:marBottom w:val="0"/>
                                                  <w:divBdr>
                                                    <w:top w:val="none" w:sz="0" w:space="0" w:color="auto"/>
                                                    <w:left w:val="none" w:sz="0" w:space="0" w:color="auto"/>
                                                    <w:bottom w:val="none" w:sz="0" w:space="0" w:color="auto"/>
                                                    <w:right w:val="none" w:sz="0" w:space="0" w:color="auto"/>
                                                  </w:divBdr>
                                                  <w:divsChild>
                                                    <w:div w:id="1309553392">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051995876">
      <w:bodyDiv w:val="1"/>
      <w:marLeft w:val="0"/>
      <w:marRight w:val="0"/>
      <w:marTop w:val="0"/>
      <w:marBottom w:val="0"/>
      <w:divBdr>
        <w:top w:val="none" w:sz="0" w:space="0" w:color="auto"/>
        <w:left w:val="none" w:sz="0" w:space="0" w:color="auto"/>
        <w:bottom w:val="none" w:sz="0" w:space="0" w:color="auto"/>
        <w:right w:val="none" w:sz="0" w:space="0" w:color="auto"/>
      </w:divBdr>
      <w:divsChild>
        <w:div w:id="939266194">
          <w:marLeft w:val="0"/>
          <w:marRight w:val="0"/>
          <w:marTop w:val="0"/>
          <w:marBottom w:val="0"/>
          <w:divBdr>
            <w:top w:val="none" w:sz="0" w:space="0" w:color="auto"/>
            <w:left w:val="none" w:sz="0" w:space="0" w:color="auto"/>
            <w:bottom w:val="none" w:sz="0" w:space="0" w:color="auto"/>
            <w:right w:val="none" w:sz="0" w:space="0" w:color="auto"/>
          </w:divBdr>
          <w:divsChild>
            <w:div w:id="624625172">
              <w:marLeft w:val="0"/>
              <w:marRight w:val="0"/>
              <w:marTop w:val="0"/>
              <w:marBottom w:val="0"/>
              <w:divBdr>
                <w:top w:val="none" w:sz="0" w:space="0" w:color="auto"/>
                <w:left w:val="none" w:sz="0" w:space="0" w:color="auto"/>
                <w:bottom w:val="none" w:sz="0" w:space="0" w:color="auto"/>
                <w:right w:val="none" w:sz="0" w:space="0" w:color="auto"/>
              </w:divBdr>
              <w:divsChild>
                <w:div w:id="1972010948">
                  <w:marLeft w:val="0"/>
                  <w:marRight w:val="0"/>
                  <w:marTop w:val="0"/>
                  <w:marBottom w:val="0"/>
                  <w:divBdr>
                    <w:top w:val="none" w:sz="0" w:space="0" w:color="auto"/>
                    <w:left w:val="none" w:sz="0" w:space="0" w:color="auto"/>
                    <w:bottom w:val="none" w:sz="0" w:space="0" w:color="auto"/>
                    <w:right w:val="none" w:sz="0" w:space="0" w:color="auto"/>
                  </w:divBdr>
                  <w:divsChild>
                    <w:div w:id="2008555652">
                      <w:marLeft w:val="0"/>
                      <w:marRight w:val="0"/>
                      <w:marTop w:val="0"/>
                      <w:marBottom w:val="0"/>
                      <w:divBdr>
                        <w:top w:val="none" w:sz="0" w:space="0" w:color="auto"/>
                        <w:left w:val="none" w:sz="0" w:space="0" w:color="auto"/>
                        <w:bottom w:val="none" w:sz="0" w:space="0" w:color="auto"/>
                        <w:right w:val="none" w:sz="0" w:space="0" w:color="auto"/>
                      </w:divBdr>
                      <w:divsChild>
                        <w:div w:id="1416899967">
                          <w:marLeft w:val="0"/>
                          <w:marRight w:val="0"/>
                          <w:marTop w:val="0"/>
                          <w:marBottom w:val="0"/>
                          <w:divBdr>
                            <w:top w:val="none" w:sz="0" w:space="0" w:color="auto"/>
                            <w:left w:val="none" w:sz="0" w:space="0" w:color="auto"/>
                            <w:bottom w:val="none" w:sz="0" w:space="0" w:color="auto"/>
                            <w:right w:val="none" w:sz="0" w:space="0" w:color="auto"/>
                          </w:divBdr>
                          <w:divsChild>
                            <w:div w:id="1956911461">
                              <w:marLeft w:val="0"/>
                              <w:marRight w:val="0"/>
                              <w:marTop w:val="0"/>
                              <w:marBottom w:val="0"/>
                              <w:divBdr>
                                <w:top w:val="none" w:sz="0" w:space="0" w:color="auto"/>
                                <w:left w:val="none" w:sz="0" w:space="0" w:color="auto"/>
                                <w:bottom w:val="none" w:sz="0" w:space="0" w:color="auto"/>
                                <w:right w:val="none" w:sz="0" w:space="0" w:color="auto"/>
                              </w:divBdr>
                              <w:divsChild>
                                <w:div w:id="1075978899">
                                  <w:marLeft w:val="0"/>
                                  <w:marRight w:val="0"/>
                                  <w:marTop w:val="0"/>
                                  <w:marBottom w:val="0"/>
                                  <w:divBdr>
                                    <w:top w:val="none" w:sz="0" w:space="0" w:color="auto"/>
                                    <w:left w:val="none" w:sz="0" w:space="0" w:color="auto"/>
                                    <w:bottom w:val="none" w:sz="0" w:space="0" w:color="auto"/>
                                    <w:right w:val="none" w:sz="0" w:space="0" w:color="auto"/>
                                  </w:divBdr>
                                  <w:divsChild>
                                    <w:div w:id="1305088523">
                                      <w:marLeft w:val="0"/>
                                      <w:marRight w:val="0"/>
                                      <w:marTop w:val="0"/>
                                      <w:marBottom w:val="0"/>
                                      <w:divBdr>
                                        <w:top w:val="none" w:sz="0" w:space="0" w:color="auto"/>
                                        <w:left w:val="none" w:sz="0" w:space="0" w:color="auto"/>
                                        <w:bottom w:val="none" w:sz="0" w:space="0" w:color="auto"/>
                                        <w:right w:val="none" w:sz="0" w:space="0" w:color="auto"/>
                                      </w:divBdr>
                                      <w:divsChild>
                                        <w:div w:id="1287857617">
                                          <w:marLeft w:val="0"/>
                                          <w:marRight w:val="0"/>
                                          <w:marTop w:val="0"/>
                                          <w:marBottom w:val="0"/>
                                          <w:divBdr>
                                            <w:top w:val="none" w:sz="0" w:space="0" w:color="auto"/>
                                            <w:left w:val="none" w:sz="0" w:space="0" w:color="auto"/>
                                            <w:bottom w:val="none" w:sz="0" w:space="0" w:color="auto"/>
                                            <w:right w:val="none" w:sz="0" w:space="0" w:color="auto"/>
                                          </w:divBdr>
                                          <w:divsChild>
                                            <w:div w:id="794566547">
                                              <w:marLeft w:val="0"/>
                                              <w:marRight w:val="0"/>
                                              <w:marTop w:val="0"/>
                                              <w:marBottom w:val="0"/>
                                              <w:divBdr>
                                                <w:top w:val="none" w:sz="0" w:space="0" w:color="auto"/>
                                                <w:left w:val="none" w:sz="0" w:space="0" w:color="auto"/>
                                                <w:bottom w:val="none" w:sz="0" w:space="0" w:color="auto"/>
                                                <w:right w:val="none" w:sz="0" w:space="0" w:color="auto"/>
                                              </w:divBdr>
                                              <w:divsChild>
                                                <w:div w:id="15486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347790">
      <w:bodyDiv w:val="1"/>
      <w:marLeft w:val="0"/>
      <w:marRight w:val="0"/>
      <w:marTop w:val="0"/>
      <w:marBottom w:val="0"/>
      <w:divBdr>
        <w:top w:val="none" w:sz="0" w:space="0" w:color="auto"/>
        <w:left w:val="none" w:sz="0" w:space="0" w:color="auto"/>
        <w:bottom w:val="none" w:sz="0" w:space="0" w:color="auto"/>
        <w:right w:val="none" w:sz="0" w:space="0" w:color="auto"/>
      </w:divBdr>
    </w:div>
    <w:div w:id="1097865527">
      <w:bodyDiv w:val="1"/>
      <w:marLeft w:val="0"/>
      <w:marRight w:val="0"/>
      <w:marTop w:val="0"/>
      <w:marBottom w:val="0"/>
      <w:divBdr>
        <w:top w:val="none" w:sz="0" w:space="0" w:color="auto"/>
        <w:left w:val="none" w:sz="0" w:space="0" w:color="auto"/>
        <w:bottom w:val="none" w:sz="0" w:space="0" w:color="auto"/>
        <w:right w:val="none" w:sz="0" w:space="0" w:color="auto"/>
      </w:divBdr>
    </w:div>
    <w:div w:id="1174104868">
      <w:bodyDiv w:val="1"/>
      <w:marLeft w:val="0"/>
      <w:marRight w:val="0"/>
      <w:marTop w:val="0"/>
      <w:marBottom w:val="0"/>
      <w:divBdr>
        <w:top w:val="none" w:sz="0" w:space="0" w:color="auto"/>
        <w:left w:val="none" w:sz="0" w:space="0" w:color="auto"/>
        <w:bottom w:val="none" w:sz="0" w:space="0" w:color="auto"/>
        <w:right w:val="none" w:sz="0" w:space="0" w:color="auto"/>
      </w:divBdr>
    </w:div>
    <w:div w:id="1194348134">
      <w:bodyDiv w:val="1"/>
      <w:marLeft w:val="0"/>
      <w:marRight w:val="0"/>
      <w:marTop w:val="0"/>
      <w:marBottom w:val="0"/>
      <w:divBdr>
        <w:top w:val="none" w:sz="0" w:space="0" w:color="auto"/>
        <w:left w:val="none" w:sz="0" w:space="0" w:color="auto"/>
        <w:bottom w:val="none" w:sz="0" w:space="0" w:color="auto"/>
        <w:right w:val="none" w:sz="0" w:space="0" w:color="auto"/>
      </w:divBdr>
    </w:div>
    <w:div w:id="1246303873">
      <w:bodyDiv w:val="1"/>
      <w:marLeft w:val="0"/>
      <w:marRight w:val="0"/>
      <w:marTop w:val="0"/>
      <w:marBottom w:val="0"/>
      <w:divBdr>
        <w:top w:val="none" w:sz="0" w:space="0" w:color="auto"/>
        <w:left w:val="none" w:sz="0" w:space="0" w:color="auto"/>
        <w:bottom w:val="none" w:sz="0" w:space="0" w:color="auto"/>
        <w:right w:val="none" w:sz="0" w:space="0" w:color="auto"/>
      </w:divBdr>
      <w:divsChild>
        <w:div w:id="188103616">
          <w:marLeft w:val="0"/>
          <w:marRight w:val="0"/>
          <w:marTop w:val="0"/>
          <w:marBottom w:val="0"/>
          <w:divBdr>
            <w:top w:val="none" w:sz="0" w:space="0" w:color="auto"/>
            <w:left w:val="none" w:sz="0" w:space="0" w:color="auto"/>
            <w:bottom w:val="none" w:sz="0" w:space="0" w:color="auto"/>
            <w:right w:val="none" w:sz="0" w:space="0" w:color="auto"/>
          </w:divBdr>
          <w:divsChild>
            <w:div w:id="223027806">
              <w:marLeft w:val="0"/>
              <w:marRight w:val="0"/>
              <w:marTop w:val="0"/>
              <w:marBottom w:val="0"/>
              <w:divBdr>
                <w:top w:val="none" w:sz="0" w:space="0" w:color="auto"/>
                <w:left w:val="none" w:sz="0" w:space="0" w:color="auto"/>
                <w:bottom w:val="none" w:sz="0" w:space="0" w:color="auto"/>
                <w:right w:val="none" w:sz="0" w:space="0" w:color="auto"/>
              </w:divBdr>
              <w:divsChild>
                <w:div w:id="443041220">
                  <w:marLeft w:val="0"/>
                  <w:marRight w:val="0"/>
                  <w:marTop w:val="0"/>
                  <w:marBottom w:val="0"/>
                  <w:divBdr>
                    <w:top w:val="none" w:sz="0" w:space="0" w:color="auto"/>
                    <w:left w:val="none" w:sz="0" w:space="0" w:color="auto"/>
                    <w:bottom w:val="none" w:sz="0" w:space="0" w:color="auto"/>
                    <w:right w:val="none" w:sz="0" w:space="0" w:color="auto"/>
                  </w:divBdr>
                  <w:divsChild>
                    <w:div w:id="908879433">
                      <w:marLeft w:val="0"/>
                      <w:marRight w:val="0"/>
                      <w:marTop w:val="0"/>
                      <w:marBottom w:val="0"/>
                      <w:divBdr>
                        <w:top w:val="none" w:sz="0" w:space="0" w:color="auto"/>
                        <w:left w:val="none" w:sz="0" w:space="0" w:color="auto"/>
                        <w:bottom w:val="none" w:sz="0" w:space="0" w:color="auto"/>
                        <w:right w:val="none" w:sz="0" w:space="0" w:color="auto"/>
                      </w:divBdr>
                      <w:divsChild>
                        <w:div w:id="1616254779">
                          <w:marLeft w:val="0"/>
                          <w:marRight w:val="0"/>
                          <w:marTop w:val="0"/>
                          <w:marBottom w:val="0"/>
                          <w:divBdr>
                            <w:top w:val="none" w:sz="0" w:space="0" w:color="auto"/>
                            <w:left w:val="none" w:sz="0" w:space="0" w:color="auto"/>
                            <w:bottom w:val="none" w:sz="0" w:space="0" w:color="auto"/>
                            <w:right w:val="none" w:sz="0" w:space="0" w:color="auto"/>
                          </w:divBdr>
                          <w:divsChild>
                            <w:div w:id="1749645203">
                              <w:marLeft w:val="0"/>
                              <w:marRight w:val="0"/>
                              <w:marTop w:val="0"/>
                              <w:marBottom w:val="0"/>
                              <w:divBdr>
                                <w:top w:val="none" w:sz="0" w:space="0" w:color="auto"/>
                                <w:left w:val="none" w:sz="0" w:space="0" w:color="auto"/>
                                <w:bottom w:val="none" w:sz="0" w:space="0" w:color="auto"/>
                                <w:right w:val="none" w:sz="0" w:space="0" w:color="auto"/>
                              </w:divBdr>
                              <w:divsChild>
                                <w:div w:id="499463074">
                                  <w:marLeft w:val="0"/>
                                  <w:marRight w:val="0"/>
                                  <w:marTop w:val="0"/>
                                  <w:marBottom w:val="0"/>
                                  <w:divBdr>
                                    <w:top w:val="none" w:sz="0" w:space="0" w:color="auto"/>
                                    <w:left w:val="none" w:sz="0" w:space="0" w:color="auto"/>
                                    <w:bottom w:val="none" w:sz="0" w:space="0" w:color="auto"/>
                                    <w:right w:val="none" w:sz="0" w:space="0" w:color="auto"/>
                                  </w:divBdr>
                                  <w:divsChild>
                                    <w:div w:id="1168714222">
                                      <w:marLeft w:val="0"/>
                                      <w:marRight w:val="0"/>
                                      <w:marTop w:val="0"/>
                                      <w:marBottom w:val="0"/>
                                      <w:divBdr>
                                        <w:top w:val="none" w:sz="0" w:space="0" w:color="auto"/>
                                        <w:left w:val="none" w:sz="0" w:space="0" w:color="auto"/>
                                        <w:bottom w:val="none" w:sz="0" w:space="0" w:color="auto"/>
                                        <w:right w:val="none" w:sz="0" w:space="0" w:color="auto"/>
                                      </w:divBdr>
                                      <w:divsChild>
                                        <w:div w:id="1156803650">
                                          <w:marLeft w:val="0"/>
                                          <w:marRight w:val="0"/>
                                          <w:marTop w:val="0"/>
                                          <w:marBottom w:val="0"/>
                                          <w:divBdr>
                                            <w:top w:val="none" w:sz="0" w:space="0" w:color="auto"/>
                                            <w:left w:val="none" w:sz="0" w:space="0" w:color="auto"/>
                                            <w:bottom w:val="none" w:sz="0" w:space="0" w:color="auto"/>
                                            <w:right w:val="none" w:sz="0" w:space="0" w:color="auto"/>
                                          </w:divBdr>
                                          <w:divsChild>
                                            <w:div w:id="626011177">
                                              <w:marLeft w:val="0"/>
                                              <w:marRight w:val="0"/>
                                              <w:marTop w:val="0"/>
                                              <w:marBottom w:val="0"/>
                                              <w:divBdr>
                                                <w:top w:val="none" w:sz="0" w:space="0" w:color="auto"/>
                                                <w:left w:val="none" w:sz="0" w:space="0" w:color="auto"/>
                                                <w:bottom w:val="none" w:sz="0" w:space="0" w:color="auto"/>
                                                <w:right w:val="none" w:sz="0" w:space="0" w:color="auto"/>
                                              </w:divBdr>
                                              <w:divsChild>
                                                <w:div w:id="1101729474">
                                                  <w:marLeft w:val="0"/>
                                                  <w:marRight w:val="0"/>
                                                  <w:marTop w:val="0"/>
                                                  <w:marBottom w:val="0"/>
                                                  <w:divBdr>
                                                    <w:top w:val="none" w:sz="0" w:space="0" w:color="auto"/>
                                                    <w:left w:val="none" w:sz="0" w:space="0" w:color="auto"/>
                                                    <w:bottom w:val="none" w:sz="0" w:space="0" w:color="auto"/>
                                                    <w:right w:val="none" w:sz="0" w:space="0" w:color="auto"/>
                                                  </w:divBdr>
                                                  <w:divsChild>
                                                    <w:div w:id="259215425">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250968515">
      <w:bodyDiv w:val="1"/>
      <w:marLeft w:val="0"/>
      <w:marRight w:val="0"/>
      <w:marTop w:val="0"/>
      <w:marBottom w:val="0"/>
      <w:divBdr>
        <w:top w:val="none" w:sz="0" w:space="0" w:color="auto"/>
        <w:left w:val="none" w:sz="0" w:space="0" w:color="auto"/>
        <w:bottom w:val="none" w:sz="0" w:space="0" w:color="auto"/>
        <w:right w:val="none" w:sz="0" w:space="0" w:color="auto"/>
      </w:divBdr>
    </w:div>
    <w:div w:id="1257010463">
      <w:bodyDiv w:val="1"/>
      <w:marLeft w:val="0"/>
      <w:marRight w:val="0"/>
      <w:marTop w:val="0"/>
      <w:marBottom w:val="0"/>
      <w:divBdr>
        <w:top w:val="none" w:sz="0" w:space="0" w:color="auto"/>
        <w:left w:val="none" w:sz="0" w:space="0" w:color="auto"/>
        <w:bottom w:val="none" w:sz="0" w:space="0" w:color="auto"/>
        <w:right w:val="none" w:sz="0" w:space="0" w:color="auto"/>
      </w:divBdr>
    </w:div>
    <w:div w:id="1275600747">
      <w:bodyDiv w:val="1"/>
      <w:marLeft w:val="0"/>
      <w:marRight w:val="0"/>
      <w:marTop w:val="0"/>
      <w:marBottom w:val="0"/>
      <w:divBdr>
        <w:top w:val="none" w:sz="0" w:space="0" w:color="auto"/>
        <w:left w:val="none" w:sz="0" w:space="0" w:color="auto"/>
        <w:bottom w:val="none" w:sz="0" w:space="0" w:color="auto"/>
        <w:right w:val="none" w:sz="0" w:space="0" w:color="auto"/>
      </w:divBdr>
    </w:div>
    <w:div w:id="1305158660">
      <w:bodyDiv w:val="1"/>
      <w:marLeft w:val="0"/>
      <w:marRight w:val="0"/>
      <w:marTop w:val="0"/>
      <w:marBottom w:val="0"/>
      <w:divBdr>
        <w:top w:val="none" w:sz="0" w:space="0" w:color="auto"/>
        <w:left w:val="none" w:sz="0" w:space="0" w:color="auto"/>
        <w:bottom w:val="none" w:sz="0" w:space="0" w:color="auto"/>
        <w:right w:val="none" w:sz="0" w:space="0" w:color="auto"/>
      </w:divBdr>
    </w:div>
    <w:div w:id="1312293388">
      <w:bodyDiv w:val="1"/>
      <w:marLeft w:val="0"/>
      <w:marRight w:val="0"/>
      <w:marTop w:val="0"/>
      <w:marBottom w:val="0"/>
      <w:divBdr>
        <w:top w:val="none" w:sz="0" w:space="0" w:color="auto"/>
        <w:left w:val="none" w:sz="0" w:space="0" w:color="auto"/>
        <w:bottom w:val="none" w:sz="0" w:space="0" w:color="auto"/>
        <w:right w:val="none" w:sz="0" w:space="0" w:color="auto"/>
      </w:divBdr>
    </w:div>
    <w:div w:id="1315179416">
      <w:bodyDiv w:val="1"/>
      <w:marLeft w:val="0"/>
      <w:marRight w:val="0"/>
      <w:marTop w:val="0"/>
      <w:marBottom w:val="0"/>
      <w:divBdr>
        <w:top w:val="none" w:sz="0" w:space="0" w:color="auto"/>
        <w:left w:val="none" w:sz="0" w:space="0" w:color="auto"/>
        <w:bottom w:val="none" w:sz="0" w:space="0" w:color="auto"/>
        <w:right w:val="none" w:sz="0" w:space="0" w:color="auto"/>
      </w:divBdr>
    </w:div>
    <w:div w:id="1320234569">
      <w:bodyDiv w:val="1"/>
      <w:marLeft w:val="0"/>
      <w:marRight w:val="0"/>
      <w:marTop w:val="0"/>
      <w:marBottom w:val="0"/>
      <w:divBdr>
        <w:top w:val="none" w:sz="0" w:space="0" w:color="auto"/>
        <w:left w:val="none" w:sz="0" w:space="0" w:color="auto"/>
        <w:bottom w:val="none" w:sz="0" w:space="0" w:color="auto"/>
        <w:right w:val="none" w:sz="0" w:space="0" w:color="auto"/>
      </w:divBdr>
    </w:div>
    <w:div w:id="1326670206">
      <w:bodyDiv w:val="1"/>
      <w:marLeft w:val="0"/>
      <w:marRight w:val="0"/>
      <w:marTop w:val="0"/>
      <w:marBottom w:val="0"/>
      <w:divBdr>
        <w:top w:val="none" w:sz="0" w:space="0" w:color="auto"/>
        <w:left w:val="none" w:sz="0" w:space="0" w:color="auto"/>
        <w:bottom w:val="none" w:sz="0" w:space="0" w:color="auto"/>
        <w:right w:val="none" w:sz="0" w:space="0" w:color="auto"/>
      </w:divBdr>
    </w:div>
    <w:div w:id="1340042873">
      <w:bodyDiv w:val="1"/>
      <w:marLeft w:val="0"/>
      <w:marRight w:val="0"/>
      <w:marTop w:val="0"/>
      <w:marBottom w:val="0"/>
      <w:divBdr>
        <w:top w:val="none" w:sz="0" w:space="0" w:color="auto"/>
        <w:left w:val="none" w:sz="0" w:space="0" w:color="auto"/>
        <w:bottom w:val="none" w:sz="0" w:space="0" w:color="auto"/>
        <w:right w:val="none" w:sz="0" w:space="0" w:color="auto"/>
      </w:divBdr>
    </w:div>
    <w:div w:id="1369834494">
      <w:bodyDiv w:val="1"/>
      <w:marLeft w:val="0"/>
      <w:marRight w:val="0"/>
      <w:marTop w:val="0"/>
      <w:marBottom w:val="0"/>
      <w:divBdr>
        <w:top w:val="none" w:sz="0" w:space="0" w:color="auto"/>
        <w:left w:val="none" w:sz="0" w:space="0" w:color="auto"/>
        <w:bottom w:val="none" w:sz="0" w:space="0" w:color="auto"/>
        <w:right w:val="none" w:sz="0" w:space="0" w:color="auto"/>
      </w:divBdr>
      <w:divsChild>
        <w:div w:id="116264856">
          <w:marLeft w:val="0"/>
          <w:marRight w:val="0"/>
          <w:marTop w:val="0"/>
          <w:marBottom w:val="0"/>
          <w:divBdr>
            <w:top w:val="none" w:sz="0" w:space="0" w:color="auto"/>
            <w:left w:val="none" w:sz="0" w:space="0" w:color="auto"/>
            <w:bottom w:val="none" w:sz="0" w:space="0" w:color="auto"/>
            <w:right w:val="none" w:sz="0" w:space="0" w:color="auto"/>
          </w:divBdr>
          <w:divsChild>
            <w:div w:id="1792164999">
              <w:marLeft w:val="0"/>
              <w:marRight w:val="0"/>
              <w:marTop w:val="0"/>
              <w:marBottom w:val="0"/>
              <w:divBdr>
                <w:top w:val="none" w:sz="0" w:space="0" w:color="auto"/>
                <w:left w:val="none" w:sz="0" w:space="0" w:color="auto"/>
                <w:bottom w:val="none" w:sz="0" w:space="0" w:color="auto"/>
                <w:right w:val="none" w:sz="0" w:space="0" w:color="auto"/>
              </w:divBdr>
              <w:divsChild>
                <w:div w:id="509566782">
                  <w:marLeft w:val="0"/>
                  <w:marRight w:val="0"/>
                  <w:marTop w:val="0"/>
                  <w:marBottom w:val="0"/>
                  <w:divBdr>
                    <w:top w:val="none" w:sz="0" w:space="0" w:color="auto"/>
                    <w:left w:val="none" w:sz="0" w:space="0" w:color="auto"/>
                    <w:bottom w:val="none" w:sz="0" w:space="0" w:color="auto"/>
                    <w:right w:val="none" w:sz="0" w:space="0" w:color="auto"/>
                  </w:divBdr>
                  <w:divsChild>
                    <w:div w:id="1146043857">
                      <w:marLeft w:val="0"/>
                      <w:marRight w:val="0"/>
                      <w:marTop w:val="0"/>
                      <w:marBottom w:val="0"/>
                      <w:divBdr>
                        <w:top w:val="none" w:sz="0" w:space="0" w:color="auto"/>
                        <w:left w:val="none" w:sz="0" w:space="0" w:color="auto"/>
                        <w:bottom w:val="none" w:sz="0" w:space="0" w:color="auto"/>
                        <w:right w:val="none" w:sz="0" w:space="0" w:color="auto"/>
                      </w:divBdr>
                      <w:divsChild>
                        <w:div w:id="1155104291">
                          <w:marLeft w:val="0"/>
                          <w:marRight w:val="0"/>
                          <w:marTop w:val="0"/>
                          <w:marBottom w:val="0"/>
                          <w:divBdr>
                            <w:top w:val="none" w:sz="0" w:space="0" w:color="auto"/>
                            <w:left w:val="none" w:sz="0" w:space="0" w:color="auto"/>
                            <w:bottom w:val="none" w:sz="0" w:space="0" w:color="auto"/>
                            <w:right w:val="none" w:sz="0" w:space="0" w:color="auto"/>
                          </w:divBdr>
                          <w:divsChild>
                            <w:div w:id="951326560">
                              <w:marLeft w:val="0"/>
                              <w:marRight w:val="0"/>
                              <w:marTop w:val="0"/>
                              <w:marBottom w:val="0"/>
                              <w:divBdr>
                                <w:top w:val="none" w:sz="0" w:space="0" w:color="auto"/>
                                <w:left w:val="none" w:sz="0" w:space="0" w:color="auto"/>
                                <w:bottom w:val="none" w:sz="0" w:space="0" w:color="auto"/>
                                <w:right w:val="none" w:sz="0" w:space="0" w:color="auto"/>
                              </w:divBdr>
                              <w:divsChild>
                                <w:div w:id="1432359792">
                                  <w:marLeft w:val="0"/>
                                  <w:marRight w:val="0"/>
                                  <w:marTop w:val="0"/>
                                  <w:marBottom w:val="0"/>
                                  <w:divBdr>
                                    <w:top w:val="none" w:sz="0" w:space="0" w:color="auto"/>
                                    <w:left w:val="none" w:sz="0" w:space="0" w:color="auto"/>
                                    <w:bottom w:val="none" w:sz="0" w:space="0" w:color="auto"/>
                                    <w:right w:val="none" w:sz="0" w:space="0" w:color="auto"/>
                                  </w:divBdr>
                                  <w:divsChild>
                                    <w:div w:id="645479464">
                                      <w:marLeft w:val="0"/>
                                      <w:marRight w:val="0"/>
                                      <w:marTop w:val="0"/>
                                      <w:marBottom w:val="0"/>
                                      <w:divBdr>
                                        <w:top w:val="none" w:sz="0" w:space="0" w:color="auto"/>
                                        <w:left w:val="none" w:sz="0" w:space="0" w:color="auto"/>
                                        <w:bottom w:val="none" w:sz="0" w:space="0" w:color="auto"/>
                                        <w:right w:val="none" w:sz="0" w:space="0" w:color="auto"/>
                                      </w:divBdr>
                                      <w:divsChild>
                                        <w:div w:id="1091969424">
                                          <w:marLeft w:val="0"/>
                                          <w:marRight w:val="0"/>
                                          <w:marTop w:val="0"/>
                                          <w:marBottom w:val="0"/>
                                          <w:divBdr>
                                            <w:top w:val="none" w:sz="0" w:space="0" w:color="auto"/>
                                            <w:left w:val="none" w:sz="0" w:space="0" w:color="auto"/>
                                            <w:bottom w:val="none" w:sz="0" w:space="0" w:color="auto"/>
                                            <w:right w:val="none" w:sz="0" w:space="0" w:color="auto"/>
                                          </w:divBdr>
                                          <w:divsChild>
                                            <w:div w:id="1329598700">
                                              <w:marLeft w:val="0"/>
                                              <w:marRight w:val="0"/>
                                              <w:marTop w:val="0"/>
                                              <w:marBottom w:val="0"/>
                                              <w:divBdr>
                                                <w:top w:val="none" w:sz="0" w:space="0" w:color="auto"/>
                                                <w:left w:val="none" w:sz="0" w:space="0" w:color="auto"/>
                                                <w:bottom w:val="none" w:sz="0" w:space="0" w:color="auto"/>
                                                <w:right w:val="none" w:sz="0" w:space="0" w:color="auto"/>
                                              </w:divBdr>
                                              <w:divsChild>
                                                <w:div w:id="1787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863727">
      <w:bodyDiv w:val="1"/>
      <w:marLeft w:val="0"/>
      <w:marRight w:val="0"/>
      <w:marTop w:val="0"/>
      <w:marBottom w:val="0"/>
      <w:divBdr>
        <w:top w:val="none" w:sz="0" w:space="0" w:color="auto"/>
        <w:left w:val="none" w:sz="0" w:space="0" w:color="auto"/>
        <w:bottom w:val="none" w:sz="0" w:space="0" w:color="auto"/>
        <w:right w:val="none" w:sz="0" w:space="0" w:color="auto"/>
      </w:divBdr>
    </w:div>
    <w:div w:id="1411924277">
      <w:bodyDiv w:val="1"/>
      <w:marLeft w:val="0"/>
      <w:marRight w:val="0"/>
      <w:marTop w:val="0"/>
      <w:marBottom w:val="0"/>
      <w:divBdr>
        <w:top w:val="none" w:sz="0" w:space="0" w:color="auto"/>
        <w:left w:val="none" w:sz="0" w:space="0" w:color="auto"/>
        <w:bottom w:val="none" w:sz="0" w:space="0" w:color="auto"/>
        <w:right w:val="none" w:sz="0" w:space="0" w:color="auto"/>
      </w:divBdr>
      <w:divsChild>
        <w:div w:id="729815454">
          <w:marLeft w:val="0"/>
          <w:marRight w:val="0"/>
          <w:marTop w:val="0"/>
          <w:marBottom w:val="0"/>
          <w:divBdr>
            <w:top w:val="none" w:sz="0" w:space="0" w:color="auto"/>
            <w:left w:val="none" w:sz="0" w:space="0" w:color="auto"/>
            <w:bottom w:val="none" w:sz="0" w:space="0" w:color="auto"/>
            <w:right w:val="none" w:sz="0" w:space="0" w:color="auto"/>
          </w:divBdr>
          <w:divsChild>
            <w:div w:id="1331904347">
              <w:marLeft w:val="0"/>
              <w:marRight w:val="0"/>
              <w:marTop w:val="0"/>
              <w:marBottom w:val="0"/>
              <w:divBdr>
                <w:top w:val="none" w:sz="0" w:space="0" w:color="auto"/>
                <w:left w:val="none" w:sz="0" w:space="0" w:color="auto"/>
                <w:bottom w:val="none" w:sz="0" w:space="0" w:color="auto"/>
                <w:right w:val="none" w:sz="0" w:space="0" w:color="auto"/>
              </w:divBdr>
              <w:divsChild>
                <w:div w:id="1163662176">
                  <w:marLeft w:val="0"/>
                  <w:marRight w:val="0"/>
                  <w:marTop w:val="0"/>
                  <w:marBottom w:val="0"/>
                  <w:divBdr>
                    <w:top w:val="none" w:sz="0" w:space="0" w:color="auto"/>
                    <w:left w:val="none" w:sz="0" w:space="0" w:color="auto"/>
                    <w:bottom w:val="none" w:sz="0" w:space="0" w:color="auto"/>
                    <w:right w:val="none" w:sz="0" w:space="0" w:color="auto"/>
                  </w:divBdr>
                  <w:divsChild>
                    <w:div w:id="886768669">
                      <w:marLeft w:val="0"/>
                      <w:marRight w:val="0"/>
                      <w:marTop w:val="0"/>
                      <w:marBottom w:val="0"/>
                      <w:divBdr>
                        <w:top w:val="none" w:sz="0" w:space="0" w:color="auto"/>
                        <w:left w:val="none" w:sz="0" w:space="0" w:color="auto"/>
                        <w:bottom w:val="none" w:sz="0" w:space="0" w:color="auto"/>
                        <w:right w:val="none" w:sz="0" w:space="0" w:color="auto"/>
                      </w:divBdr>
                      <w:divsChild>
                        <w:div w:id="1042438392">
                          <w:marLeft w:val="0"/>
                          <w:marRight w:val="0"/>
                          <w:marTop w:val="0"/>
                          <w:marBottom w:val="0"/>
                          <w:divBdr>
                            <w:top w:val="none" w:sz="0" w:space="0" w:color="auto"/>
                            <w:left w:val="none" w:sz="0" w:space="0" w:color="auto"/>
                            <w:bottom w:val="none" w:sz="0" w:space="0" w:color="auto"/>
                            <w:right w:val="none" w:sz="0" w:space="0" w:color="auto"/>
                          </w:divBdr>
                          <w:divsChild>
                            <w:div w:id="760373937">
                              <w:marLeft w:val="0"/>
                              <w:marRight w:val="0"/>
                              <w:marTop w:val="0"/>
                              <w:marBottom w:val="0"/>
                              <w:divBdr>
                                <w:top w:val="none" w:sz="0" w:space="0" w:color="auto"/>
                                <w:left w:val="none" w:sz="0" w:space="0" w:color="auto"/>
                                <w:bottom w:val="none" w:sz="0" w:space="0" w:color="auto"/>
                                <w:right w:val="none" w:sz="0" w:space="0" w:color="auto"/>
                              </w:divBdr>
                              <w:divsChild>
                                <w:div w:id="1508595095">
                                  <w:marLeft w:val="0"/>
                                  <w:marRight w:val="0"/>
                                  <w:marTop w:val="0"/>
                                  <w:marBottom w:val="0"/>
                                  <w:divBdr>
                                    <w:top w:val="none" w:sz="0" w:space="0" w:color="auto"/>
                                    <w:left w:val="none" w:sz="0" w:space="0" w:color="auto"/>
                                    <w:bottom w:val="none" w:sz="0" w:space="0" w:color="auto"/>
                                    <w:right w:val="none" w:sz="0" w:space="0" w:color="auto"/>
                                  </w:divBdr>
                                  <w:divsChild>
                                    <w:div w:id="2119829236">
                                      <w:marLeft w:val="0"/>
                                      <w:marRight w:val="0"/>
                                      <w:marTop w:val="0"/>
                                      <w:marBottom w:val="0"/>
                                      <w:divBdr>
                                        <w:top w:val="none" w:sz="0" w:space="0" w:color="auto"/>
                                        <w:left w:val="none" w:sz="0" w:space="0" w:color="auto"/>
                                        <w:bottom w:val="none" w:sz="0" w:space="0" w:color="auto"/>
                                        <w:right w:val="none" w:sz="0" w:space="0" w:color="auto"/>
                                      </w:divBdr>
                                      <w:divsChild>
                                        <w:div w:id="1872717014">
                                          <w:marLeft w:val="0"/>
                                          <w:marRight w:val="0"/>
                                          <w:marTop w:val="0"/>
                                          <w:marBottom w:val="0"/>
                                          <w:divBdr>
                                            <w:top w:val="none" w:sz="0" w:space="0" w:color="auto"/>
                                            <w:left w:val="none" w:sz="0" w:space="0" w:color="auto"/>
                                            <w:bottom w:val="none" w:sz="0" w:space="0" w:color="auto"/>
                                            <w:right w:val="none" w:sz="0" w:space="0" w:color="auto"/>
                                          </w:divBdr>
                                          <w:divsChild>
                                            <w:div w:id="2040007897">
                                              <w:marLeft w:val="0"/>
                                              <w:marRight w:val="0"/>
                                              <w:marTop w:val="0"/>
                                              <w:marBottom w:val="0"/>
                                              <w:divBdr>
                                                <w:top w:val="none" w:sz="0" w:space="0" w:color="auto"/>
                                                <w:left w:val="none" w:sz="0" w:space="0" w:color="auto"/>
                                                <w:bottom w:val="none" w:sz="0" w:space="0" w:color="auto"/>
                                                <w:right w:val="none" w:sz="0" w:space="0" w:color="auto"/>
                                              </w:divBdr>
                                              <w:divsChild>
                                                <w:div w:id="7103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4011439">
      <w:bodyDiv w:val="1"/>
      <w:marLeft w:val="0"/>
      <w:marRight w:val="0"/>
      <w:marTop w:val="0"/>
      <w:marBottom w:val="0"/>
      <w:divBdr>
        <w:top w:val="none" w:sz="0" w:space="0" w:color="auto"/>
        <w:left w:val="none" w:sz="0" w:space="0" w:color="auto"/>
        <w:bottom w:val="none" w:sz="0" w:space="0" w:color="auto"/>
        <w:right w:val="none" w:sz="0" w:space="0" w:color="auto"/>
      </w:divBdr>
    </w:div>
    <w:div w:id="1477146949">
      <w:bodyDiv w:val="1"/>
      <w:marLeft w:val="0"/>
      <w:marRight w:val="0"/>
      <w:marTop w:val="0"/>
      <w:marBottom w:val="0"/>
      <w:divBdr>
        <w:top w:val="none" w:sz="0" w:space="0" w:color="auto"/>
        <w:left w:val="none" w:sz="0" w:space="0" w:color="auto"/>
        <w:bottom w:val="none" w:sz="0" w:space="0" w:color="auto"/>
        <w:right w:val="none" w:sz="0" w:space="0" w:color="auto"/>
      </w:divBdr>
      <w:divsChild>
        <w:div w:id="1338070638">
          <w:marLeft w:val="0"/>
          <w:marRight w:val="0"/>
          <w:marTop w:val="0"/>
          <w:marBottom w:val="0"/>
          <w:divBdr>
            <w:top w:val="none" w:sz="0" w:space="0" w:color="auto"/>
            <w:left w:val="none" w:sz="0" w:space="0" w:color="auto"/>
            <w:bottom w:val="none" w:sz="0" w:space="0" w:color="auto"/>
            <w:right w:val="none" w:sz="0" w:space="0" w:color="auto"/>
          </w:divBdr>
          <w:divsChild>
            <w:div w:id="1245454811">
              <w:marLeft w:val="0"/>
              <w:marRight w:val="0"/>
              <w:marTop w:val="0"/>
              <w:marBottom w:val="0"/>
              <w:divBdr>
                <w:top w:val="none" w:sz="0" w:space="0" w:color="auto"/>
                <w:left w:val="none" w:sz="0" w:space="0" w:color="auto"/>
                <w:bottom w:val="none" w:sz="0" w:space="0" w:color="auto"/>
                <w:right w:val="none" w:sz="0" w:space="0" w:color="auto"/>
              </w:divBdr>
              <w:divsChild>
                <w:div w:id="890189566">
                  <w:marLeft w:val="0"/>
                  <w:marRight w:val="0"/>
                  <w:marTop w:val="0"/>
                  <w:marBottom w:val="0"/>
                  <w:divBdr>
                    <w:top w:val="none" w:sz="0" w:space="0" w:color="auto"/>
                    <w:left w:val="none" w:sz="0" w:space="0" w:color="auto"/>
                    <w:bottom w:val="none" w:sz="0" w:space="0" w:color="auto"/>
                    <w:right w:val="none" w:sz="0" w:space="0" w:color="auto"/>
                  </w:divBdr>
                  <w:divsChild>
                    <w:div w:id="1278022121">
                      <w:marLeft w:val="0"/>
                      <w:marRight w:val="0"/>
                      <w:marTop w:val="0"/>
                      <w:marBottom w:val="0"/>
                      <w:divBdr>
                        <w:top w:val="none" w:sz="0" w:space="0" w:color="auto"/>
                        <w:left w:val="none" w:sz="0" w:space="0" w:color="auto"/>
                        <w:bottom w:val="none" w:sz="0" w:space="0" w:color="auto"/>
                        <w:right w:val="none" w:sz="0" w:space="0" w:color="auto"/>
                      </w:divBdr>
                      <w:divsChild>
                        <w:div w:id="2125298311">
                          <w:marLeft w:val="0"/>
                          <w:marRight w:val="0"/>
                          <w:marTop w:val="0"/>
                          <w:marBottom w:val="0"/>
                          <w:divBdr>
                            <w:top w:val="none" w:sz="0" w:space="0" w:color="auto"/>
                            <w:left w:val="none" w:sz="0" w:space="0" w:color="auto"/>
                            <w:bottom w:val="none" w:sz="0" w:space="0" w:color="auto"/>
                            <w:right w:val="none" w:sz="0" w:space="0" w:color="auto"/>
                          </w:divBdr>
                          <w:divsChild>
                            <w:div w:id="1376198878">
                              <w:marLeft w:val="0"/>
                              <w:marRight w:val="0"/>
                              <w:marTop w:val="0"/>
                              <w:marBottom w:val="0"/>
                              <w:divBdr>
                                <w:top w:val="none" w:sz="0" w:space="0" w:color="auto"/>
                                <w:left w:val="none" w:sz="0" w:space="0" w:color="auto"/>
                                <w:bottom w:val="none" w:sz="0" w:space="0" w:color="auto"/>
                                <w:right w:val="none" w:sz="0" w:space="0" w:color="auto"/>
                              </w:divBdr>
                              <w:divsChild>
                                <w:div w:id="702705000">
                                  <w:marLeft w:val="0"/>
                                  <w:marRight w:val="0"/>
                                  <w:marTop w:val="0"/>
                                  <w:marBottom w:val="0"/>
                                  <w:divBdr>
                                    <w:top w:val="none" w:sz="0" w:space="0" w:color="auto"/>
                                    <w:left w:val="none" w:sz="0" w:space="0" w:color="auto"/>
                                    <w:bottom w:val="none" w:sz="0" w:space="0" w:color="auto"/>
                                    <w:right w:val="none" w:sz="0" w:space="0" w:color="auto"/>
                                  </w:divBdr>
                                  <w:divsChild>
                                    <w:div w:id="76101310">
                                      <w:marLeft w:val="0"/>
                                      <w:marRight w:val="0"/>
                                      <w:marTop w:val="0"/>
                                      <w:marBottom w:val="0"/>
                                      <w:divBdr>
                                        <w:top w:val="none" w:sz="0" w:space="0" w:color="auto"/>
                                        <w:left w:val="none" w:sz="0" w:space="0" w:color="auto"/>
                                        <w:bottom w:val="none" w:sz="0" w:space="0" w:color="auto"/>
                                        <w:right w:val="none" w:sz="0" w:space="0" w:color="auto"/>
                                      </w:divBdr>
                                      <w:divsChild>
                                        <w:div w:id="1565990384">
                                          <w:marLeft w:val="0"/>
                                          <w:marRight w:val="0"/>
                                          <w:marTop w:val="0"/>
                                          <w:marBottom w:val="0"/>
                                          <w:divBdr>
                                            <w:top w:val="none" w:sz="0" w:space="0" w:color="auto"/>
                                            <w:left w:val="none" w:sz="0" w:space="0" w:color="auto"/>
                                            <w:bottom w:val="none" w:sz="0" w:space="0" w:color="auto"/>
                                            <w:right w:val="none" w:sz="0" w:space="0" w:color="auto"/>
                                          </w:divBdr>
                                          <w:divsChild>
                                            <w:div w:id="155531927">
                                              <w:marLeft w:val="0"/>
                                              <w:marRight w:val="0"/>
                                              <w:marTop w:val="0"/>
                                              <w:marBottom w:val="0"/>
                                              <w:divBdr>
                                                <w:top w:val="none" w:sz="0" w:space="0" w:color="auto"/>
                                                <w:left w:val="none" w:sz="0" w:space="0" w:color="auto"/>
                                                <w:bottom w:val="none" w:sz="0" w:space="0" w:color="auto"/>
                                                <w:right w:val="none" w:sz="0" w:space="0" w:color="auto"/>
                                              </w:divBdr>
                                              <w:divsChild>
                                                <w:div w:id="669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716032">
      <w:bodyDiv w:val="1"/>
      <w:marLeft w:val="0"/>
      <w:marRight w:val="0"/>
      <w:marTop w:val="0"/>
      <w:marBottom w:val="0"/>
      <w:divBdr>
        <w:top w:val="none" w:sz="0" w:space="0" w:color="auto"/>
        <w:left w:val="none" w:sz="0" w:space="0" w:color="auto"/>
        <w:bottom w:val="none" w:sz="0" w:space="0" w:color="auto"/>
        <w:right w:val="none" w:sz="0" w:space="0" w:color="auto"/>
      </w:divBdr>
      <w:divsChild>
        <w:div w:id="729108498">
          <w:marLeft w:val="0"/>
          <w:marRight w:val="0"/>
          <w:marTop w:val="0"/>
          <w:marBottom w:val="0"/>
          <w:divBdr>
            <w:top w:val="none" w:sz="0" w:space="0" w:color="auto"/>
            <w:left w:val="none" w:sz="0" w:space="0" w:color="auto"/>
            <w:bottom w:val="none" w:sz="0" w:space="0" w:color="auto"/>
            <w:right w:val="none" w:sz="0" w:space="0" w:color="auto"/>
          </w:divBdr>
          <w:divsChild>
            <w:div w:id="1381324871">
              <w:marLeft w:val="0"/>
              <w:marRight w:val="0"/>
              <w:marTop w:val="0"/>
              <w:marBottom w:val="0"/>
              <w:divBdr>
                <w:top w:val="none" w:sz="0" w:space="0" w:color="auto"/>
                <w:left w:val="none" w:sz="0" w:space="0" w:color="auto"/>
                <w:bottom w:val="none" w:sz="0" w:space="0" w:color="auto"/>
                <w:right w:val="none" w:sz="0" w:space="0" w:color="auto"/>
              </w:divBdr>
              <w:divsChild>
                <w:div w:id="879365463">
                  <w:marLeft w:val="0"/>
                  <w:marRight w:val="0"/>
                  <w:marTop w:val="0"/>
                  <w:marBottom w:val="0"/>
                  <w:divBdr>
                    <w:top w:val="none" w:sz="0" w:space="0" w:color="auto"/>
                    <w:left w:val="none" w:sz="0" w:space="0" w:color="auto"/>
                    <w:bottom w:val="none" w:sz="0" w:space="0" w:color="auto"/>
                    <w:right w:val="none" w:sz="0" w:space="0" w:color="auto"/>
                  </w:divBdr>
                  <w:divsChild>
                    <w:div w:id="270549562">
                      <w:marLeft w:val="0"/>
                      <w:marRight w:val="0"/>
                      <w:marTop w:val="0"/>
                      <w:marBottom w:val="0"/>
                      <w:divBdr>
                        <w:top w:val="none" w:sz="0" w:space="0" w:color="auto"/>
                        <w:left w:val="none" w:sz="0" w:space="0" w:color="auto"/>
                        <w:bottom w:val="none" w:sz="0" w:space="0" w:color="auto"/>
                        <w:right w:val="none" w:sz="0" w:space="0" w:color="auto"/>
                      </w:divBdr>
                      <w:divsChild>
                        <w:div w:id="1101755554">
                          <w:marLeft w:val="0"/>
                          <w:marRight w:val="0"/>
                          <w:marTop w:val="0"/>
                          <w:marBottom w:val="0"/>
                          <w:divBdr>
                            <w:top w:val="none" w:sz="0" w:space="0" w:color="auto"/>
                            <w:left w:val="none" w:sz="0" w:space="0" w:color="auto"/>
                            <w:bottom w:val="none" w:sz="0" w:space="0" w:color="auto"/>
                            <w:right w:val="none" w:sz="0" w:space="0" w:color="auto"/>
                          </w:divBdr>
                          <w:divsChild>
                            <w:div w:id="580914989">
                              <w:marLeft w:val="0"/>
                              <w:marRight w:val="0"/>
                              <w:marTop w:val="0"/>
                              <w:marBottom w:val="0"/>
                              <w:divBdr>
                                <w:top w:val="none" w:sz="0" w:space="0" w:color="auto"/>
                                <w:left w:val="none" w:sz="0" w:space="0" w:color="auto"/>
                                <w:bottom w:val="none" w:sz="0" w:space="0" w:color="auto"/>
                                <w:right w:val="none" w:sz="0" w:space="0" w:color="auto"/>
                              </w:divBdr>
                              <w:divsChild>
                                <w:div w:id="790051054">
                                  <w:marLeft w:val="0"/>
                                  <w:marRight w:val="0"/>
                                  <w:marTop w:val="0"/>
                                  <w:marBottom w:val="0"/>
                                  <w:divBdr>
                                    <w:top w:val="none" w:sz="0" w:space="0" w:color="auto"/>
                                    <w:left w:val="none" w:sz="0" w:space="0" w:color="auto"/>
                                    <w:bottom w:val="none" w:sz="0" w:space="0" w:color="auto"/>
                                    <w:right w:val="none" w:sz="0" w:space="0" w:color="auto"/>
                                  </w:divBdr>
                                  <w:divsChild>
                                    <w:div w:id="1449740411">
                                      <w:marLeft w:val="0"/>
                                      <w:marRight w:val="0"/>
                                      <w:marTop w:val="0"/>
                                      <w:marBottom w:val="0"/>
                                      <w:divBdr>
                                        <w:top w:val="none" w:sz="0" w:space="0" w:color="auto"/>
                                        <w:left w:val="none" w:sz="0" w:space="0" w:color="auto"/>
                                        <w:bottom w:val="none" w:sz="0" w:space="0" w:color="auto"/>
                                        <w:right w:val="none" w:sz="0" w:space="0" w:color="auto"/>
                                      </w:divBdr>
                                      <w:divsChild>
                                        <w:div w:id="226376368">
                                          <w:marLeft w:val="0"/>
                                          <w:marRight w:val="0"/>
                                          <w:marTop w:val="0"/>
                                          <w:marBottom w:val="0"/>
                                          <w:divBdr>
                                            <w:top w:val="none" w:sz="0" w:space="0" w:color="auto"/>
                                            <w:left w:val="none" w:sz="0" w:space="0" w:color="auto"/>
                                            <w:bottom w:val="none" w:sz="0" w:space="0" w:color="auto"/>
                                            <w:right w:val="none" w:sz="0" w:space="0" w:color="auto"/>
                                          </w:divBdr>
                                          <w:divsChild>
                                            <w:div w:id="109054180">
                                              <w:marLeft w:val="0"/>
                                              <w:marRight w:val="0"/>
                                              <w:marTop w:val="0"/>
                                              <w:marBottom w:val="0"/>
                                              <w:divBdr>
                                                <w:top w:val="none" w:sz="0" w:space="0" w:color="auto"/>
                                                <w:left w:val="none" w:sz="0" w:space="0" w:color="auto"/>
                                                <w:bottom w:val="none" w:sz="0" w:space="0" w:color="auto"/>
                                                <w:right w:val="none" w:sz="0" w:space="0" w:color="auto"/>
                                              </w:divBdr>
                                              <w:divsChild>
                                                <w:div w:id="4433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6217">
                                          <w:marLeft w:val="0"/>
                                          <w:marRight w:val="0"/>
                                          <w:marTop w:val="0"/>
                                          <w:marBottom w:val="0"/>
                                          <w:divBdr>
                                            <w:top w:val="none" w:sz="0" w:space="0" w:color="auto"/>
                                            <w:left w:val="none" w:sz="0" w:space="0" w:color="auto"/>
                                            <w:bottom w:val="none" w:sz="0" w:space="0" w:color="auto"/>
                                            <w:right w:val="none" w:sz="0" w:space="0" w:color="auto"/>
                                          </w:divBdr>
                                          <w:divsChild>
                                            <w:div w:id="1657606185">
                                              <w:marLeft w:val="0"/>
                                              <w:marRight w:val="0"/>
                                              <w:marTop w:val="0"/>
                                              <w:marBottom w:val="0"/>
                                              <w:divBdr>
                                                <w:top w:val="none" w:sz="0" w:space="0" w:color="auto"/>
                                                <w:left w:val="none" w:sz="0" w:space="0" w:color="auto"/>
                                                <w:bottom w:val="none" w:sz="0" w:space="0" w:color="auto"/>
                                                <w:right w:val="none" w:sz="0" w:space="0" w:color="auto"/>
                                              </w:divBdr>
                                              <w:divsChild>
                                                <w:div w:id="317462952">
                                                  <w:marLeft w:val="0"/>
                                                  <w:marRight w:val="0"/>
                                                  <w:marTop w:val="0"/>
                                                  <w:marBottom w:val="0"/>
                                                  <w:divBdr>
                                                    <w:top w:val="none" w:sz="0" w:space="0" w:color="auto"/>
                                                    <w:left w:val="none" w:sz="0" w:space="0" w:color="auto"/>
                                                    <w:bottom w:val="none" w:sz="0" w:space="0" w:color="auto"/>
                                                    <w:right w:val="none" w:sz="0" w:space="0" w:color="auto"/>
                                                  </w:divBdr>
                                                  <w:divsChild>
                                                    <w:div w:id="2061200978">
                                                      <w:marLeft w:val="0"/>
                                                      <w:marRight w:val="0"/>
                                                      <w:marTop w:val="0"/>
                                                      <w:marBottom w:val="0"/>
                                                      <w:divBdr>
                                                        <w:top w:val="none" w:sz="0" w:space="0" w:color="auto"/>
                                                        <w:left w:val="none" w:sz="0" w:space="0" w:color="auto"/>
                                                        <w:bottom w:val="none" w:sz="0" w:space="0" w:color="auto"/>
                                                        <w:right w:val="none" w:sz="0" w:space="0" w:color="auto"/>
                                                      </w:divBdr>
                                                    </w:div>
                                                    <w:div w:id="4207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5273">
                                              <w:marLeft w:val="0"/>
                                              <w:marRight w:val="0"/>
                                              <w:marTop w:val="0"/>
                                              <w:marBottom w:val="0"/>
                                              <w:divBdr>
                                                <w:top w:val="none" w:sz="0" w:space="0" w:color="auto"/>
                                                <w:left w:val="none" w:sz="0" w:space="0" w:color="auto"/>
                                                <w:bottom w:val="none" w:sz="0" w:space="0" w:color="auto"/>
                                                <w:right w:val="none" w:sz="0" w:space="0" w:color="auto"/>
                                              </w:divBdr>
                                              <w:divsChild>
                                                <w:div w:id="701058521">
                                                  <w:marLeft w:val="0"/>
                                                  <w:marRight w:val="0"/>
                                                  <w:marTop w:val="0"/>
                                                  <w:marBottom w:val="0"/>
                                                  <w:divBdr>
                                                    <w:top w:val="none" w:sz="0" w:space="0" w:color="auto"/>
                                                    <w:left w:val="none" w:sz="0" w:space="0" w:color="auto"/>
                                                    <w:bottom w:val="none" w:sz="0" w:space="0" w:color="auto"/>
                                                    <w:right w:val="none" w:sz="0" w:space="0" w:color="auto"/>
                                                  </w:divBdr>
                                                  <w:divsChild>
                                                    <w:div w:id="1533610151">
                                                      <w:marLeft w:val="0"/>
                                                      <w:marRight w:val="0"/>
                                                      <w:marTop w:val="0"/>
                                                      <w:marBottom w:val="0"/>
                                                      <w:divBdr>
                                                        <w:top w:val="none" w:sz="0" w:space="0" w:color="auto"/>
                                                        <w:left w:val="none" w:sz="0" w:space="0" w:color="auto"/>
                                                        <w:bottom w:val="none" w:sz="0" w:space="0" w:color="auto"/>
                                                        <w:right w:val="none" w:sz="0" w:space="0" w:color="auto"/>
                                                      </w:divBdr>
                                                    </w:div>
                                                    <w:div w:id="10016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397487">
      <w:bodyDiv w:val="1"/>
      <w:marLeft w:val="0"/>
      <w:marRight w:val="0"/>
      <w:marTop w:val="0"/>
      <w:marBottom w:val="0"/>
      <w:divBdr>
        <w:top w:val="none" w:sz="0" w:space="0" w:color="auto"/>
        <w:left w:val="none" w:sz="0" w:space="0" w:color="auto"/>
        <w:bottom w:val="none" w:sz="0" w:space="0" w:color="auto"/>
        <w:right w:val="none" w:sz="0" w:space="0" w:color="auto"/>
      </w:divBdr>
    </w:div>
    <w:div w:id="1570068940">
      <w:bodyDiv w:val="1"/>
      <w:marLeft w:val="0"/>
      <w:marRight w:val="0"/>
      <w:marTop w:val="0"/>
      <w:marBottom w:val="0"/>
      <w:divBdr>
        <w:top w:val="none" w:sz="0" w:space="0" w:color="auto"/>
        <w:left w:val="none" w:sz="0" w:space="0" w:color="auto"/>
        <w:bottom w:val="none" w:sz="0" w:space="0" w:color="auto"/>
        <w:right w:val="none" w:sz="0" w:space="0" w:color="auto"/>
      </w:divBdr>
      <w:divsChild>
        <w:div w:id="936838036">
          <w:marLeft w:val="0"/>
          <w:marRight w:val="0"/>
          <w:marTop w:val="0"/>
          <w:marBottom w:val="0"/>
          <w:divBdr>
            <w:top w:val="none" w:sz="0" w:space="0" w:color="auto"/>
            <w:left w:val="none" w:sz="0" w:space="0" w:color="auto"/>
            <w:bottom w:val="none" w:sz="0" w:space="0" w:color="auto"/>
            <w:right w:val="none" w:sz="0" w:space="0" w:color="auto"/>
          </w:divBdr>
          <w:divsChild>
            <w:div w:id="346249330">
              <w:marLeft w:val="0"/>
              <w:marRight w:val="0"/>
              <w:marTop w:val="0"/>
              <w:marBottom w:val="0"/>
              <w:divBdr>
                <w:top w:val="none" w:sz="0" w:space="0" w:color="auto"/>
                <w:left w:val="none" w:sz="0" w:space="0" w:color="auto"/>
                <w:bottom w:val="none" w:sz="0" w:space="0" w:color="auto"/>
                <w:right w:val="none" w:sz="0" w:space="0" w:color="auto"/>
              </w:divBdr>
              <w:divsChild>
                <w:div w:id="1075665036">
                  <w:marLeft w:val="0"/>
                  <w:marRight w:val="0"/>
                  <w:marTop w:val="0"/>
                  <w:marBottom w:val="0"/>
                  <w:divBdr>
                    <w:top w:val="none" w:sz="0" w:space="0" w:color="auto"/>
                    <w:left w:val="none" w:sz="0" w:space="0" w:color="auto"/>
                    <w:bottom w:val="none" w:sz="0" w:space="0" w:color="auto"/>
                    <w:right w:val="none" w:sz="0" w:space="0" w:color="auto"/>
                  </w:divBdr>
                  <w:divsChild>
                    <w:div w:id="978269036">
                      <w:marLeft w:val="0"/>
                      <w:marRight w:val="0"/>
                      <w:marTop w:val="0"/>
                      <w:marBottom w:val="0"/>
                      <w:divBdr>
                        <w:top w:val="none" w:sz="0" w:space="0" w:color="auto"/>
                        <w:left w:val="none" w:sz="0" w:space="0" w:color="auto"/>
                        <w:bottom w:val="none" w:sz="0" w:space="0" w:color="auto"/>
                        <w:right w:val="none" w:sz="0" w:space="0" w:color="auto"/>
                      </w:divBdr>
                      <w:divsChild>
                        <w:div w:id="2069180561">
                          <w:marLeft w:val="0"/>
                          <w:marRight w:val="0"/>
                          <w:marTop w:val="0"/>
                          <w:marBottom w:val="0"/>
                          <w:divBdr>
                            <w:top w:val="none" w:sz="0" w:space="0" w:color="auto"/>
                            <w:left w:val="none" w:sz="0" w:space="0" w:color="auto"/>
                            <w:bottom w:val="none" w:sz="0" w:space="0" w:color="auto"/>
                            <w:right w:val="none" w:sz="0" w:space="0" w:color="auto"/>
                          </w:divBdr>
                          <w:divsChild>
                            <w:div w:id="1186820961">
                              <w:marLeft w:val="0"/>
                              <w:marRight w:val="0"/>
                              <w:marTop w:val="0"/>
                              <w:marBottom w:val="0"/>
                              <w:divBdr>
                                <w:top w:val="none" w:sz="0" w:space="0" w:color="auto"/>
                                <w:left w:val="none" w:sz="0" w:space="0" w:color="auto"/>
                                <w:bottom w:val="none" w:sz="0" w:space="0" w:color="auto"/>
                                <w:right w:val="none" w:sz="0" w:space="0" w:color="auto"/>
                              </w:divBdr>
                              <w:divsChild>
                                <w:div w:id="447235192">
                                  <w:marLeft w:val="0"/>
                                  <w:marRight w:val="0"/>
                                  <w:marTop w:val="0"/>
                                  <w:marBottom w:val="0"/>
                                  <w:divBdr>
                                    <w:top w:val="none" w:sz="0" w:space="0" w:color="auto"/>
                                    <w:left w:val="none" w:sz="0" w:space="0" w:color="auto"/>
                                    <w:bottom w:val="none" w:sz="0" w:space="0" w:color="auto"/>
                                    <w:right w:val="none" w:sz="0" w:space="0" w:color="auto"/>
                                  </w:divBdr>
                                  <w:divsChild>
                                    <w:div w:id="1268998775">
                                      <w:marLeft w:val="0"/>
                                      <w:marRight w:val="0"/>
                                      <w:marTop w:val="0"/>
                                      <w:marBottom w:val="0"/>
                                      <w:divBdr>
                                        <w:top w:val="none" w:sz="0" w:space="0" w:color="auto"/>
                                        <w:left w:val="none" w:sz="0" w:space="0" w:color="auto"/>
                                        <w:bottom w:val="none" w:sz="0" w:space="0" w:color="auto"/>
                                        <w:right w:val="none" w:sz="0" w:space="0" w:color="auto"/>
                                      </w:divBdr>
                                      <w:divsChild>
                                        <w:div w:id="1197307571">
                                          <w:marLeft w:val="0"/>
                                          <w:marRight w:val="0"/>
                                          <w:marTop w:val="0"/>
                                          <w:marBottom w:val="0"/>
                                          <w:divBdr>
                                            <w:top w:val="none" w:sz="0" w:space="0" w:color="auto"/>
                                            <w:left w:val="none" w:sz="0" w:space="0" w:color="auto"/>
                                            <w:bottom w:val="none" w:sz="0" w:space="0" w:color="auto"/>
                                            <w:right w:val="none" w:sz="0" w:space="0" w:color="auto"/>
                                          </w:divBdr>
                                          <w:divsChild>
                                            <w:div w:id="1104227533">
                                              <w:marLeft w:val="0"/>
                                              <w:marRight w:val="0"/>
                                              <w:marTop w:val="0"/>
                                              <w:marBottom w:val="0"/>
                                              <w:divBdr>
                                                <w:top w:val="none" w:sz="0" w:space="0" w:color="auto"/>
                                                <w:left w:val="none" w:sz="0" w:space="0" w:color="auto"/>
                                                <w:bottom w:val="none" w:sz="0" w:space="0" w:color="auto"/>
                                                <w:right w:val="none" w:sz="0" w:space="0" w:color="auto"/>
                                              </w:divBdr>
                                              <w:divsChild>
                                                <w:div w:id="19029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460076">
      <w:bodyDiv w:val="1"/>
      <w:marLeft w:val="0"/>
      <w:marRight w:val="0"/>
      <w:marTop w:val="0"/>
      <w:marBottom w:val="0"/>
      <w:divBdr>
        <w:top w:val="none" w:sz="0" w:space="0" w:color="auto"/>
        <w:left w:val="none" w:sz="0" w:space="0" w:color="auto"/>
        <w:bottom w:val="none" w:sz="0" w:space="0" w:color="auto"/>
        <w:right w:val="none" w:sz="0" w:space="0" w:color="auto"/>
      </w:divBdr>
    </w:div>
    <w:div w:id="1622762214">
      <w:bodyDiv w:val="1"/>
      <w:marLeft w:val="0"/>
      <w:marRight w:val="0"/>
      <w:marTop w:val="0"/>
      <w:marBottom w:val="0"/>
      <w:divBdr>
        <w:top w:val="none" w:sz="0" w:space="0" w:color="auto"/>
        <w:left w:val="none" w:sz="0" w:space="0" w:color="auto"/>
        <w:bottom w:val="none" w:sz="0" w:space="0" w:color="auto"/>
        <w:right w:val="none" w:sz="0" w:space="0" w:color="auto"/>
      </w:divBdr>
      <w:divsChild>
        <w:div w:id="1409617133">
          <w:marLeft w:val="0"/>
          <w:marRight w:val="0"/>
          <w:marTop w:val="0"/>
          <w:marBottom w:val="0"/>
          <w:divBdr>
            <w:top w:val="none" w:sz="0" w:space="0" w:color="auto"/>
            <w:left w:val="none" w:sz="0" w:space="0" w:color="auto"/>
            <w:bottom w:val="none" w:sz="0" w:space="0" w:color="auto"/>
            <w:right w:val="none" w:sz="0" w:space="0" w:color="auto"/>
          </w:divBdr>
          <w:divsChild>
            <w:div w:id="1917477316">
              <w:marLeft w:val="0"/>
              <w:marRight w:val="0"/>
              <w:marTop w:val="0"/>
              <w:marBottom w:val="0"/>
              <w:divBdr>
                <w:top w:val="none" w:sz="0" w:space="0" w:color="auto"/>
                <w:left w:val="none" w:sz="0" w:space="0" w:color="auto"/>
                <w:bottom w:val="none" w:sz="0" w:space="0" w:color="auto"/>
                <w:right w:val="none" w:sz="0" w:space="0" w:color="auto"/>
              </w:divBdr>
              <w:divsChild>
                <w:div w:id="470514896">
                  <w:marLeft w:val="0"/>
                  <w:marRight w:val="0"/>
                  <w:marTop w:val="0"/>
                  <w:marBottom w:val="0"/>
                  <w:divBdr>
                    <w:top w:val="none" w:sz="0" w:space="0" w:color="auto"/>
                    <w:left w:val="none" w:sz="0" w:space="0" w:color="auto"/>
                    <w:bottom w:val="none" w:sz="0" w:space="0" w:color="auto"/>
                    <w:right w:val="none" w:sz="0" w:space="0" w:color="auto"/>
                  </w:divBdr>
                  <w:divsChild>
                    <w:div w:id="114256110">
                      <w:marLeft w:val="0"/>
                      <w:marRight w:val="0"/>
                      <w:marTop w:val="0"/>
                      <w:marBottom w:val="0"/>
                      <w:divBdr>
                        <w:top w:val="none" w:sz="0" w:space="0" w:color="auto"/>
                        <w:left w:val="none" w:sz="0" w:space="0" w:color="auto"/>
                        <w:bottom w:val="none" w:sz="0" w:space="0" w:color="auto"/>
                        <w:right w:val="none" w:sz="0" w:space="0" w:color="auto"/>
                      </w:divBdr>
                      <w:divsChild>
                        <w:div w:id="1121143106">
                          <w:marLeft w:val="0"/>
                          <w:marRight w:val="0"/>
                          <w:marTop w:val="0"/>
                          <w:marBottom w:val="0"/>
                          <w:divBdr>
                            <w:top w:val="none" w:sz="0" w:space="0" w:color="auto"/>
                            <w:left w:val="none" w:sz="0" w:space="0" w:color="auto"/>
                            <w:bottom w:val="none" w:sz="0" w:space="0" w:color="auto"/>
                            <w:right w:val="none" w:sz="0" w:space="0" w:color="auto"/>
                          </w:divBdr>
                          <w:divsChild>
                            <w:div w:id="73861879">
                              <w:marLeft w:val="0"/>
                              <w:marRight w:val="0"/>
                              <w:marTop w:val="0"/>
                              <w:marBottom w:val="0"/>
                              <w:divBdr>
                                <w:top w:val="none" w:sz="0" w:space="0" w:color="auto"/>
                                <w:left w:val="none" w:sz="0" w:space="0" w:color="auto"/>
                                <w:bottom w:val="none" w:sz="0" w:space="0" w:color="auto"/>
                                <w:right w:val="none" w:sz="0" w:space="0" w:color="auto"/>
                              </w:divBdr>
                              <w:divsChild>
                                <w:div w:id="1369254745">
                                  <w:marLeft w:val="0"/>
                                  <w:marRight w:val="0"/>
                                  <w:marTop w:val="0"/>
                                  <w:marBottom w:val="0"/>
                                  <w:divBdr>
                                    <w:top w:val="none" w:sz="0" w:space="0" w:color="auto"/>
                                    <w:left w:val="none" w:sz="0" w:space="0" w:color="auto"/>
                                    <w:bottom w:val="none" w:sz="0" w:space="0" w:color="auto"/>
                                    <w:right w:val="none" w:sz="0" w:space="0" w:color="auto"/>
                                  </w:divBdr>
                                  <w:divsChild>
                                    <w:div w:id="310334602">
                                      <w:marLeft w:val="0"/>
                                      <w:marRight w:val="0"/>
                                      <w:marTop w:val="0"/>
                                      <w:marBottom w:val="0"/>
                                      <w:divBdr>
                                        <w:top w:val="none" w:sz="0" w:space="0" w:color="auto"/>
                                        <w:left w:val="none" w:sz="0" w:space="0" w:color="auto"/>
                                        <w:bottom w:val="none" w:sz="0" w:space="0" w:color="auto"/>
                                        <w:right w:val="none" w:sz="0" w:space="0" w:color="auto"/>
                                      </w:divBdr>
                                      <w:divsChild>
                                        <w:div w:id="694186209">
                                          <w:marLeft w:val="0"/>
                                          <w:marRight w:val="0"/>
                                          <w:marTop w:val="0"/>
                                          <w:marBottom w:val="0"/>
                                          <w:divBdr>
                                            <w:top w:val="none" w:sz="0" w:space="0" w:color="auto"/>
                                            <w:left w:val="none" w:sz="0" w:space="0" w:color="auto"/>
                                            <w:bottom w:val="none" w:sz="0" w:space="0" w:color="auto"/>
                                            <w:right w:val="none" w:sz="0" w:space="0" w:color="auto"/>
                                          </w:divBdr>
                                          <w:divsChild>
                                            <w:div w:id="1722484734">
                                              <w:marLeft w:val="0"/>
                                              <w:marRight w:val="0"/>
                                              <w:marTop w:val="0"/>
                                              <w:marBottom w:val="0"/>
                                              <w:divBdr>
                                                <w:top w:val="none" w:sz="0" w:space="0" w:color="auto"/>
                                                <w:left w:val="none" w:sz="0" w:space="0" w:color="auto"/>
                                                <w:bottom w:val="none" w:sz="0" w:space="0" w:color="auto"/>
                                                <w:right w:val="none" w:sz="0" w:space="0" w:color="auto"/>
                                              </w:divBdr>
                                              <w:divsChild>
                                                <w:div w:id="1130170047">
                                                  <w:marLeft w:val="0"/>
                                                  <w:marRight w:val="0"/>
                                                  <w:marTop w:val="0"/>
                                                  <w:marBottom w:val="0"/>
                                                  <w:divBdr>
                                                    <w:top w:val="none" w:sz="0" w:space="0" w:color="auto"/>
                                                    <w:left w:val="none" w:sz="0" w:space="0" w:color="auto"/>
                                                    <w:bottom w:val="none" w:sz="0" w:space="0" w:color="auto"/>
                                                    <w:right w:val="none" w:sz="0" w:space="0" w:color="auto"/>
                                                  </w:divBdr>
                                                  <w:divsChild>
                                                    <w:div w:id="214242377">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635062994">
      <w:bodyDiv w:val="1"/>
      <w:marLeft w:val="0"/>
      <w:marRight w:val="0"/>
      <w:marTop w:val="0"/>
      <w:marBottom w:val="0"/>
      <w:divBdr>
        <w:top w:val="none" w:sz="0" w:space="0" w:color="auto"/>
        <w:left w:val="none" w:sz="0" w:space="0" w:color="auto"/>
        <w:bottom w:val="none" w:sz="0" w:space="0" w:color="auto"/>
        <w:right w:val="none" w:sz="0" w:space="0" w:color="auto"/>
      </w:divBdr>
    </w:div>
    <w:div w:id="1686327380">
      <w:bodyDiv w:val="1"/>
      <w:marLeft w:val="0"/>
      <w:marRight w:val="0"/>
      <w:marTop w:val="0"/>
      <w:marBottom w:val="0"/>
      <w:divBdr>
        <w:top w:val="none" w:sz="0" w:space="0" w:color="auto"/>
        <w:left w:val="none" w:sz="0" w:space="0" w:color="auto"/>
        <w:bottom w:val="none" w:sz="0" w:space="0" w:color="auto"/>
        <w:right w:val="none" w:sz="0" w:space="0" w:color="auto"/>
      </w:divBdr>
    </w:div>
    <w:div w:id="1714887476">
      <w:bodyDiv w:val="1"/>
      <w:marLeft w:val="0"/>
      <w:marRight w:val="0"/>
      <w:marTop w:val="0"/>
      <w:marBottom w:val="0"/>
      <w:divBdr>
        <w:top w:val="none" w:sz="0" w:space="0" w:color="auto"/>
        <w:left w:val="none" w:sz="0" w:space="0" w:color="auto"/>
        <w:bottom w:val="none" w:sz="0" w:space="0" w:color="auto"/>
        <w:right w:val="none" w:sz="0" w:space="0" w:color="auto"/>
      </w:divBdr>
      <w:divsChild>
        <w:div w:id="2091155144">
          <w:marLeft w:val="0"/>
          <w:marRight w:val="0"/>
          <w:marTop w:val="0"/>
          <w:marBottom w:val="0"/>
          <w:divBdr>
            <w:top w:val="none" w:sz="0" w:space="0" w:color="auto"/>
            <w:left w:val="none" w:sz="0" w:space="0" w:color="auto"/>
            <w:bottom w:val="none" w:sz="0" w:space="0" w:color="auto"/>
            <w:right w:val="none" w:sz="0" w:space="0" w:color="auto"/>
          </w:divBdr>
          <w:divsChild>
            <w:div w:id="588662532">
              <w:marLeft w:val="0"/>
              <w:marRight w:val="0"/>
              <w:marTop w:val="0"/>
              <w:marBottom w:val="0"/>
              <w:divBdr>
                <w:top w:val="none" w:sz="0" w:space="0" w:color="auto"/>
                <w:left w:val="none" w:sz="0" w:space="0" w:color="auto"/>
                <w:bottom w:val="none" w:sz="0" w:space="0" w:color="auto"/>
                <w:right w:val="none" w:sz="0" w:space="0" w:color="auto"/>
              </w:divBdr>
              <w:divsChild>
                <w:div w:id="1771312557">
                  <w:marLeft w:val="0"/>
                  <w:marRight w:val="0"/>
                  <w:marTop w:val="0"/>
                  <w:marBottom w:val="0"/>
                  <w:divBdr>
                    <w:top w:val="none" w:sz="0" w:space="0" w:color="auto"/>
                    <w:left w:val="none" w:sz="0" w:space="0" w:color="auto"/>
                    <w:bottom w:val="none" w:sz="0" w:space="0" w:color="auto"/>
                    <w:right w:val="none" w:sz="0" w:space="0" w:color="auto"/>
                  </w:divBdr>
                  <w:divsChild>
                    <w:div w:id="1727873098">
                      <w:marLeft w:val="0"/>
                      <w:marRight w:val="0"/>
                      <w:marTop w:val="0"/>
                      <w:marBottom w:val="0"/>
                      <w:divBdr>
                        <w:top w:val="none" w:sz="0" w:space="0" w:color="auto"/>
                        <w:left w:val="none" w:sz="0" w:space="0" w:color="auto"/>
                        <w:bottom w:val="none" w:sz="0" w:space="0" w:color="auto"/>
                        <w:right w:val="none" w:sz="0" w:space="0" w:color="auto"/>
                      </w:divBdr>
                      <w:divsChild>
                        <w:div w:id="381515583">
                          <w:marLeft w:val="0"/>
                          <w:marRight w:val="0"/>
                          <w:marTop w:val="0"/>
                          <w:marBottom w:val="0"/>
                          <w:divBdr>
                            <w:top w:val="none" w:sz="0" w:space="0" w:color="auto"/>
                            <w:left w:val="none" w:sz="0" w:space="0" w:color="auto"/>
                            <w:bottom w:val="none" w:sz="0" w:space="0" w:color="auto"/>
                            <w:right w:val="none" w:sz="0" w:space="0" w:color="auto"/>
                          </w:divBdr>
                          <w:divsChild>
                            <w:div w:id="1318604773">
                              <w:marLeft w:val="0"/>
                              <w:marRight w:val="0"/>
                              <w:marTop w:val="0"/>
                              <w:marBottom w:val="0"/>
                              <w:divBdr>
                                <w:top w:val="none" w:sz="0" w:space="0" w:color="auto"/>
                                <w:left w:val="none" w:sz="0" w:space="0" w:color="auto"/>
                                <w:bottom w:val="none" w:sz="0" w:space="0" w:color="auto"/>
                                <w:right w:val="none" w:sz="0" w:space="0" w:color="auto"/>
                              </w:divBdr>
                              <w:divsChild>
                                <w:div w:id="1944533401">
                                  <w:marLeft w:val="0"/>
                                  <w:marRight w:val="0"/>
                                  <w:marTop w:val="0"/>
                                  <w:marBottom w:val="0"/>
                                  <w:divBdr>
                                    <w:top w:val="none" w:sz="0" w:space="0" w:color="auto"/>
                                    <w:left w:val="none" w:sz="0" w:space="0" w:color="auto"/>
                                    <w:bottom w:val="none" w:sz="0" w:space="0" w:color="auto"/>
                                    <w:right w:val="none" w:sz="0" w:space="0" w:color="auto"/>
                                  </w:divBdr>
                                  <w:divsChild>
                                    <w:div w:id="1832215332">
                                      <w:marLeft w:val="0"/>
                                      <w:marRight w:val="0"/>
                                      <w:marTop w:val="0"/>
                                      <w:marBottom w:val="0"/>
                                      <w:divBdr>
                                        <w:top w:val="none" w:sz="0" w:space="0" w:color="auto"/>
                                        <w:left w:val="none" w:sz="0" w:space="0" w:color="auto"/>
                                        <w:bottom w:val="none" w:sz="0" w:space="0" w:color="auto"/>
                                        <w:right w:val="none" w:sz="0" w:space="0" w:color="auto"/>
                                      </w:divBdr>
                                      <w:divsChild>
                                        <w:div w:id="178280604">
                                          <w:marLeft w:val="0"/>
                                          <w:marRight w:val="0"/>
                                          <w:marTop w:val="0"/>
                                          <w:marBottom w:val="0"/>
                                          <w:divBdr>
                                            <w:top w:val="none" w:sz="0" w:space="0" w:color="auto"/>
                                            <w:left w:val="none" w:sz="0" w:space="0" w:color="auto"/>
                                            <w:bottom w:val="none" w:sz="0" w:space="0" w:color="auto"/>
                                            <w:right w:val="none" w:sz="0" w:space="0" w:color="auto"/>
                                          </w:divBdr>
                                          <w:divsChild>
                                            <w:div w:id="1131243244">
                                              <w:marLeft w:val="0"/>
                                              <w:marRight w:val="0"/>
                                              <w:marTop w:val="0"/>
                                              <w:marBottom w:val="0"/>
                                              <w:divBdr>
                                                <w:top w:val="none" w:sz="0" w:space="0" w:color="auto"/>
                                                <w:left w:val="none" w:sz="0" w:space="0" w:color="auto"/>
                                                <w:bottom w:val="none" w:sz="0" w:space="0" w:color="auto"/>
                                                <w:right w:val="none" w:sz="0" w:space="0" w:color="auto"/>
                                              </w:divBdr>
                                              <w:divsChild>
                                                <w:div w:id="1703046133">
                                                  <w:marLeft w:val="0"/>
                                                  <w:marRight w:val="0"/>
                                                  <w:marTop w:val="0"/>
                                                  <w:marBottom w:val="0"/>
                                                  <w:divBdr>
                                                    <w:top w:val="none" w:sz="0" w:space="0" w:color="auto"/>
                                                    <w:left w:val="none" w:sz="0" w:space="0" w:color="auto"/>
                                                    <w:bottom w:val="none" w:sz="0" w:space="0" w:color="auto"/>
                                                    <w:right w:val="none" w:sz="0" w:space="0" w:color="auto"/>
                                                  </w:divBdr>
                                                  <w:divsChild>
                                                    <w:div w:id="1967656954">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842701311">
      <w:bodyDiv w:val="1"/>
      <w:marLeft w:val="0"/>
      <w:marRight w:val="0"/>
      <w:marTop w:val="0"/>
      <w:marBottom w:val="0"/>
      <w:divBdr>
        <w:top w:val="none" w:sz="0" w:space="0" w:color="auto"/>
        <w:left w:val="none" w:sz="0" w:space="0" w:color="auto"/>
        <w:bottom w:val="none" w:sz="0" w:space="0" w:color="auto"/>
        <w:right w:val="none" w:sz="0" w:space="0" w:color="auto"/>
      </w:divBdr>
      <w:divsChild>
        <w:div w:id="1008023135">
          <w:marLeft w:val="0"/>
          <w:marRight w:val="0"/>
          <w:marTop w:val="0"/>
          <w:marBottom w:val="0"/>
          <w:divBdr>
            <w:top w:val="none" w:sz="0" w:space="0" w:color="auto"/>
            <w:left w:val="none" w:sz="0" w:space="0" w:color="auto"/>
            <w:bottom w:val="none" w:sz="0" w:space="0" w:color="auto"/>
            <w:right w:val="none" w:sz="0" w:space="0" w:color="auto"/>
          </w:divBdr>
          <w:divsChild>
            <w:div w:id="1392264909">
              <w:marLeft w:val="0"/>
              <w:marRight w:val="0"/>
              <w:marTop w:val="0"/>
              <w:marBottom w:val="0"/>
              <w:divBdr>
                <w:top w:val="none" w:sz="0" w:space="0" w:color="auto"/>
                <w:left w:val="none" w:sz="0" w:space="0" w:color="auto"/>
                <w:bottom w:val="none" w:sz="0" w:space="0" w:color="auto"/>
                <w:right w:val="none" w:sz="0" w:space="0" w:color="auto"/>
              </w:divBdr>
              <w:divsChild>
                <w:div w:id="1949316589">
                  <w:marLeft w:val="0"/>
                  <w:marRight w:val="0"/>
                  <w:marTop w:val="0"/>
                  <w:marBottom w:val="0"/>
                  <w:divBdr>
                    <w:top w:val="none" w:sz="0" w:space="0" w:color="auto"/>
                    <w:left w:val="none" w:sz="0" w:space="0" w:color="auto"/>
                    <w:bottom w:val="none" w:sz="0" w:space="0" w:color="auto"/>
                    <w:right w:val="none" w:sz="0" w:space="0" w:color="auto"/>
                  </w:divBdr>
                  <w:divsChild>
                    <w:div w:id="622075986">
                      <w:marLeft w:val="0"/>
                      <w:marRight w:val="0"/>
                      <w:marTop w:val="0"/>
                      <w:marBottom w:val="0"/>
                      <w:divBdr>
                        <w:top w:val="none" w:sz="0" w:space="0" w:color="auto"/>
                        <w:left w:val="none" w:sz="0" w:space="0" w:color="auto"/>
                        <w:bottom w:val="none" w:sz="0" w:space="0" w:color="auto"/>
                        <w:right w:val="none" w:sz="0" w:space="0" w:color="auto"/>
                      </w:divBdr>
                      <w:divsChild>
                        <w:div w:id="238828252">
                          <w:marLeft w:val="0"/>
                          <w:marRight w:val="0"/>
                          <w:marTop w:val="0"/>
                          <w:marBottom w:val="0"/>
                          <w:divBdr>
                            <w:top w:val="none" w:sz="0" w:space="0" w:color="auto"/>
                            <w:left w:val="none" w:sz="0" w:space="0" w:color="auto"/>
                            <w:bottom w:val="none" w:sz="0" w:space="0" w:color="auto"/>
                            <w:right w:val="none" w:sz="0" w:space="0" w:color="auto"/>
                          </w:divBdr>
                          <w:divsChild>
                            <w:div w:id="1493832412">
                              <w:marLeft w:val="0"/>
                              <w:marRight w:val="0"/>
                              <w:marTop w:val="0"/>
                              <w:marBottom w:val="0"/>
                              <w:divBdr>
                                <w:top w:val="none" w:sz="0" w:space="0" w:color="auto"/>
                                <w:left w:val="none" w:sz="0" w:space="0" w:color="auto"/>
                                <w:bottom w:val="none" w:sz="0" w:space="0" w:color="auto"/>
                                <w:right w:val="none" w:sz="0" w:space="0" w:color="auto"/>
                              </w:divBdr>
                              <w:divsChild>
                                <w:div w:id="1812138510">
                                  <w:marLeft w:val="0"/>
                                  <w:marRight w:val="0"/>
                                  <w:marTop w:val="0"/>
                                  <w:marBottom w:val="0"/>
                                  <w:divBdr>
                                    <w:top w:val="none" w:sz="0" w:space="0" w:color="auto"/>
                                    <w:left w:val="none" w:sz="0" w:space="0" w:color="auto"/>
                                    <w:bottom w:val="none" w:sz="0" w:space="0" w:color="auto"/>
                                    <w:right w:val="none" w:sz="0" w:space="0" w:color="auto"/>
                                  </w:divBdr>
                                  <w:divsChild>
                                    <w:div w:id="1639645550">
                                      <w:marLeft w:val="0"/>
                                      <w:marRight w:val="0"/>
                                      <w:marTop w:val="0"/>
                                      <w:marBottom w:val="0"/>
                                      <w:divBdr>
                                        <w:top w:val="none" w:sz="0" w:space="0" w:color="auto"/>
                                        <w:left w:val="none" w:sz="0" w:space="0" w:color="auto"/>
                                        <w:bottom w:val="none" w:sz="0" w:space="0" w:color="auto"/>
                                        <w:right w:val="none" w:sz="0" w:space="0" w:color="auto"/>
                                      </w:divBdr>
                                      <w:divsChild>
                                        <w:div w:id="1350522785">
                                          <w:marLeft w:val="0"/>
                                          <w:marRight w:val="0"/>
                                          <w:marTop w:val="0"/>
                                          <w:marBottom w:val="0"/>
                                          <w:divBdr>
                                            <w:top w:val="none" w:sz="0" w:space="0" w:color="auto"/>
                                            <w:left w:val="none" w:sz="0" w:space="0" w:color="auto"/>
                                            <w:bottom w:val="none" w:sz="0" w:space="0" w:color="auto"/>
                                            <w:right w:val="none" w:sz="0" w:space="0" w:color="auto"/>
                                          </w:divBdr>
                                          <w:divsChild>
                                            <w:div w:id="1881161618">
                                              <w:marLeft w:val="0"/>
                                              <w:marRight w:val="0"/>
                                              <w:marTop w:val="0"/>
                                              <w:marBottom w:val="0"/>
                                              <w:divBdr>
                                                <w:top w:val="none" w:sz="0" w:space="0" w:color="auto"/>
                                                <w:left w:val="none" w:sz="0" w:space="0" w:color="auto"/>
                                                <w:bottom w:val="none" w:sz="0" w:space="0" w:color="auto"/>
                                                <w:right w:val="none" w:sz="0" w:space="0" w:color="auto"/>
                                              </w:divBdr>
                                              <w:divsChild>
                                                <w:div w:id="271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47459">
      <w:bodyDiv w:val="1"/>
      <w:marLeft w:val="0"/>
      <w:marRight w:val="0"/>
      <w:marTop w:val="0"/>
      <w:marBottom w:val="0"/>
      <w:divBdr>
        <w:top w:val="none" w:sz="0" w:space="0" w:color="auto"/>
        <w:left w:val="none" w:sz="0" w:space="0" w:color="auto"/>
        <w:bottom w:val="none" w:sz="0" w:space="0" w:color="auto"/>
        <w:right w:val="none" w:sz="0" w:space="0" w:color="auto"/>
      </w:divBdr>
      <w:divsChild>
        <w:div w:id="440800884">
          <w:marLeft w:val="0"/>
          <w:marRight w:val="0"/>
          <w:marTop w:val="0"/>
          <w:marBottom w:val="0"/>
          <w:divBdr>
            <w:top w:val="none" w:sz="0" w:space="0" w:color="auto"/>
            <w:left w:val="none" w:sz="0" w:space="0" w:color="auto"/>
            <w:bottom w:val="none" w:sz="0" w:space="0" w:color="auto"/>
            <w:right w:val="none" w:sz="0" w:space="0" w:color="auto"/>
          </w:divBdr>
          <w:divsChild>
            <w:div w:id="1534272528">
              <w:marLeft w:val="0"/>
              <w:marRight w:val="0"/>
              <w:marTop w:val="0"/>
              <w:marBottom w:val="0"/>
              <w:divBdr>
                <w:top w:val="none" w:sz="0" w:space="0" w:color="auto"/>
                <w:left w:val="none" w:sz="0" w:space="0" w:color="auto"/>
                <w:bottom w:val="none" w:sz="0" w:space="0" w:color="auto"/>
                <w:right w:val="none" w:sz="0" w:space="0" w:color="auto"/>
              </w:divBdr>
              <w:divsChild>
                <w:div w:id="704450163">
                  <w:marLeft w:val="0"/>
                  <w:marRight w:val="0"/>
                  <w:marTop w:val="0"/>
                  <w:marBottom w:val="0"/>
                  <w:divBdr>
                    <w:top w:val="none" w:sz="0" w:space="0" w:color="auto"/>
                    <w:left w:val="none" w:sz="0" w:space="0" w:color="auto"/>
                    <w:bottom w:val="none" w:sz="0" w:space="0" w:color="auto"/>
                    <w:right w:val="none" w:sz="0" w:space="0" w:color="auto"/>
                  </w:divBdr>
                  <w:divsChild>
                    <w:div w:id="1028213846">
                      <w:marLeft w:val="0"/>
                      <w:marRight w:val="0"/>
                      <w:marTop w:val="0"/>
                      <w:marBottom w:val="0"/>
                      <w:divBdr>
                        <w:top w:val="none" w:sz="0" w:space="0" w:color="auto"/>
                        <w:left w:val="none" w:sz="0" w:space="0" w:color="auto"/>
                        <w:bottom w:val="none" w:sz="0" w:space="0" w:color="auto"/>
                        <w:right w:val="none" w:sz="0" w:space="0" w:color="auto"/>
                      </w:divBdr>
                      <w:divsChild>
                        <w:div w:id="649679139">
                          <w:marLeft w:val="0"/>
                          <w:marRight w:val="0"/>
                          <w:marTop w:val="0"/>
                          <w:marBottom w:val="0"/>
                          <w:divBdr>
                            <w:top w:val="none" w:sz="0" w:space="0" w:color="auto"/>
                            <w:left w:val="none" w:sz="0" w:space="0" w:color="auto"/>
                            <w:bottom w:val="none" w:sz="0" w:space="0" w:color="auto"/>
                            <w:right w:val="none" w:sz="0" w:space="0" w:color="auto"/>
                          </w:divBdr>
                          <w:divsChild>
                            <w:div w:id="358361052">
                              <w:marLeft w:val="0"/>
                              <w:marRight w:val="0"/>
                              <w:marTop w:val="0"/>
                              <w:marBottom w:val="0"/>
                              <w:divBdr>
                                <w:top w:val="none" w:sz="0" w:space="0" w:color="auto"/>
                                <w:left w:val="none" w:sz="0" w:space="0" w:color="auto"/>
                                <w:bottom w:val="none" w:sz="0" w:space="0" w:color="auto"/>
                                <w:right w:val="none" w:sz="0" w:space="0" w:color="auto"/>
                              </w:divBdr>
                              <w:divsChild>
                                <w:div w:id="1047029704">
                                  <w:marLeft w:val="0"/>
                                  <w:marRight w:val="0"/>
                                  <w:marTop w:val="0"/>
                                  <w:marBottom w:val="0"/>
                                  <w:divBdr>
                                    <w:top w:val="none" w:sz="0" w:space="0" w:color="auto"/>
                                    <w:left w:val="none" w:sz="0" w:space="0" w:color="auto"/>
                                    <w:bottom w:val="none" w:sz="0" w:space="0" w:color="auto"/>
                                    <w:right w:val="none" w:sz="0" w:space="0" w:color="auto"/>
                                  </w:divBdr>
                                  <w:divsChild>
                                    <w:div w:id="1178692090">
                                      <w:marLeft w:val="0"/>
                                      <w:marRight w:val="0"/>
                                      <w:marTop w:val="0"/>
                                      <w:marBottom w:val="0"/>
                                      <w:divBdr>
                                        <w:top w:val="none" w:sz="0" w:space="0" w:color="auto"/>
                                        <w:left w:val="none" w:sz="0" w:space="0" w:color="auto"/>
                                        <w:bottom w:val="none" w:sz="0" w:space="0" w:color="auto"/>
                                        <w:right w:val="none" w:sz="0" w:space="0" w:color="auto"/>
                                      </w:divBdr>
                                      <w:divsChild>
                                        <w:div w:id="800615126">
                                          <w:marLeft w:val="0"/>
                                          <w:marRight w:val="0"/>
                                          <w:marTop w:val="0"/>
                                          <w:marBottom w:val="0"/>
                                          <w:divBdr>
                                            <w:top w:val="none" w:sz="0" w:space="0" w:color="auto"/>
                                            <w:left w:val="none" w:sz="0" w:space="0" w:color="auto"/>
                                            <w:bottom w:val="none" w:sz="0" w:space="0" w:color="auto"/>
                                            <w:right w:val="none" w:sz="0" w:space="0" w:color="auto"/>
                                          </w:divBdr>
                                          <w:divsChild>
                                            <w:div w:id="537157603">
                                              <w:marLeft w:val="0"/>
                                              <w:marRight w:val="0"/>
                                              <w:marTop w:val="0"/>
                                              <w:marBottom w:val="0"/>
                                              <w:divBdr>
                                                <w:top w:val="none" w:sz="0" w:space="0" w:color="auto"/>
                                                <w:left w:val="none" w:sz="0" w:space="0" w:color="auto"/>
                                                <w:bottom w:val="none" w:sz="0" w:space="0" w:color="auto"/>
                                                <w:right w:val="none" w:sz="0" w:space="0" w:color="auto"/>
                                              </w:divBdr>
                                              <w:divsChild>
                                                <w:div w:id="16021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666817">
      <w:bodyDiv w:val="1"/>
      <w:marLeft w:val="0"/>
      <w:marRight w:val="0"/>
      <w:marTop w:val="0"/>
      <w:marBottom w:val="0"/>
      <w:divBdr>
        <w:top w:val="none" w:sz="0" w:space="0" w:color="auto"/>
        <w:left w:val="none" w:sz="0" w:space="0" w:color="auto"/>
        <w:bottom w:val="none" w:sz="0" w:space="0" w:color="auto"/>
        <w:right w:val="none" w:sz="0" w:space="0" w:color="auto"/>
      </w:divBdr>
    </w:div>
    <w:div w:id="1965383013">
      <w:bodyDiv w:val="1"/>
      <w:marLeft w:val="0"/>
      <w:marRight w:val="0"/>
      <w:marTop w:val="0"/>
      <w:marBottom w:val="0"/>
      <w:divBdr>
        <w:top w:val="none" w:sz="0" w:space="0" w:color="auto"/>
        <w:left w:val="none" w:sz="0" w:space="0" w:color="auto"/>
        <w:bottom w:val="none" w:sz="0" w:space="0" w:color="auto"/>
        <w:right w:val="none" w:sz="0" w:space="0" w:color="auto"/>
      </w:divBdr>
    </w:div>
    <w:div w:id="1966034590">
      <w:bodyDiv w:val="1"/>
      <w:marLeft w:val="0"/>
      <w:marRight w:val="0"/>
      <w:marTop w:val="0"/>
      <w:marBottom w:val="0"/>
      <w:divBdr>
        <w:top w:val="none" w:sz="0" w:space="0" w:color="auto"/>
        <w:left w:val="none" w:sz="0" w:space="0" w:color="auto"/>
        <w:bottom w:val="none" w:sz="0" w:space="0" w:color="auto"/>
        <w:right w:val="none" w:sz="0" w:space="0" w:color="auto"/>
      </w:divBdr>
      <w:divsChild>
        <w:div w:id="800002376">
          <w:marLeft w:val="0"/>
          <w:marRight w:val="0"/>
          <w:marTop w:val="0"/>
          <w:marBottom w:val="0"/>
          <w:divBdr>
            <w:top w:val="none" w:sz="0" w:space="0" w:color="auto"/>
            <w:left w:val="none" w:sz="0" w:space="0" w:color="auto"/>
            <w:bottom w:val="none" w:sz="0" w:space="0" w:color="auto"/>
            <w:right w:val="none" w:sz="0" w:space="0" w:color="auto"/>
          </w:divBdr>
          <w:divsChild>
            <w:div w:id="1199318196">
              <w:marLeft w:val="0"/>
              <w:marRight w:val="0"/>
              <w:marTop w:val="0"/>
              <w:marBottom w:val="0"/>
              <w:divBdr>
                <w:top w:val="none" w:sz="0" w:space="0" w:color="auto"/>
                <w:left w:val="none" w:sz="0" w:space="0" w:color="auto"/>
                <w:bottom w:val="none" w:sz="0" w:space="0" w:color="auto"/>
                <w:right w:val="none" w:sz="0" w:space="0" w:color="auto"/>
              </w:divBdr>
              <w:divsChild>
                <w:div w:id="1125393225">
                  <w:marLeft w:val="0"/>
                  <w:marRight w:val="0"/>
                  <w:marTop w:val="0"/>
                  <w:marBottom w:val="0"/>
                  <w:divBdr>
                    <w:top w:val="none" w:sz="0" w:space="0" w:color="auto"/>
                    <w:left w:val="none" w:sz="0" w:space="0" w:color="auto"/>
                    <w:bottom w:val="none" w:sz="0" w:space="0" w:color="auto"/>
                    <w:right w:val="none" w:sz="0" w:space="0" w:color="auto"/>
                  </w:divBdr>
                  <w:divsChild>
                    <w:div w:id="1890264492">
                      <w:marLeft w:val="0"/>
                      <w:marRight w:val="0"/>
                      <w:marTop w:val="0"/>
                      <w:marBottom w:val="0"/>
                      <w:divBdr>
                        <w:top w:val="none" w:sz="0" w:space="0" w:color="auto"/>
                        <w:left w:val="none" w:sz="0" w:space="0" w:color="auto"/>
                        <w:bottom w:val="none" w:sz="0" w:space="0" w:color="auto"/>
                        <w:right w:val="none" w:sz="0" w:space="0" w:color="auto"/>
                      </w:divBdr>
                      <w:divsChild>
                        <w:div w:id="1555387167">
                          <w:marLeft w:val="0"/>
                          <w:marRight w:val="0"/>
                          <w:marTop w:val="0"/>
                          <w:marBottom w:val="0"/>
                          <w:divBdr>
                            <w:top w:val="none" w:sz="0" w:space="0" w:color="auto"/>
                            <w:left w:val="none" w:sz="0" w:space="0" w:color="auto"/>
                            <w:bottom w:val="none" w:sz="0" w:space="0" w:color="auto"/>
                            <w:right w:val="none" w:sz="0" w:space="0" w:color="auto"/>
                          </w:divBdr>
                          <w:divsChild>
                            <w:div w:id="450395494">
                              <w:marLeft w:val="0"/>
                              <w:marRight w:val="0"/>
                              <w:marTop w:val="0"/>
                              <w:marBottom w:val="0"/>
                              <w:divBdr>
                                <w:top w:val="none" w:sz="0" w:space="0" w:color="auto"/>
                                <w:left w:val="none" w:sz="0" w:space="0" w:color="auto"/>
                                <w:bottom w:val="none" w:sz="0" w:space="0" w:color="auto"/>
                                <w:right w:val="none" w:sz="0" w:space="0" w:color="auto"/>
                              </w:divBdr>
                              <w:divsChild>
                                <w:div w:id="104352150">
                                  <w:marLeft w:val="0"/>
                                  <w:marRight w:val="0"/>
                                  <w:marTop w:val="0"/>
                                  <w:marBottom w:val="0"/>
                                  <w:divBdr>
                                    <w:top w:val="none" w:sz="0" w:space="0" w:color="auto"/>
                                    <w:left w:val="none" w:sz="0" w:space="0" w:color="auto"/>
                                    <w:bottom w:val="none" w:sz="0" w:space="0" w:color="auto"/>
                                    <w:right w:val="none" w:sz="0" w:space="0" w:color="auto"/>
                                  </w:divBdr>
                                  <w:divsChild>
                                    <w:div w:id="429937810">
                                      <w:marLeft w:val="0"/>
                                      <w:marRight w:val="0"/>
                                      <w:marTop w:val="0"/>
                                      <w:marBottom w:val="0"/>
                                      <w:divBdr>
                                        <w:top w:val="none" w:sz="0" w:space="0" w:color="auto"/>
                                        <w:left w:val="none" w:sz="0" w:space="0" w:color="auto"/>
                                        <w:bottom w:val="none" w:sz="0" w:space="0" w:color="auto"/>
                                        <w:right w:val="none" w:sz="0" w:space="0" w:color="auto"/>
                                      </w:divBdr>
                                      <w:divsChild>
                                        <w:div w:id="1833059093">
                                          <w:marLeft w:val="0"/>
                                          <w:marRight w:val="0"/>
                                          <w:marTop w:val="0"/>
                                          <w:marBottom w:val="0"/>
                                          <w:divBdr>
                                            <w:top w:val="none" w:sz="0" w:space="0" w:color="auto"/>
                                            <w:left w:val="none" w:sz="0" w:space="0" w:color="auto"/>
                                            <w:bottom w:val="none" w:sz="0" w:space="0" w:color="auto"/>
                                            <w:right w:val="none" w:sz="0" w:space="0" w:color="auto"/>
                                          </w:divBdr>
                                          <w:divsChild>
                                            <w:div w:id="1392847601">
                                              <w:marLeft w:val="0"/>
                                              <w:marRight w:val="0"/>
                                              <w:marTop w:val="0"/>
                                              <w:marBottom w:val="0"/>
                                              <w:divBdr>
                                                <w:top w:val="none" w:sz="0" w:space="0" w:color="auto"/>
                                                <w:left w:val="none" w:sz="0" w:space="0" w:color="auto"/>
                                                <w:bottom w:val="none" w:sz="0" w:space="0" w:color="auto"/>
                                                <w:right w:val="none" w:sz="0" w:space="0" w:color="auto"/>
                                              </w:divBdr>
                                              <w:divsChild>
                                                <w:div w:id="15280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062891">
      <w:bodyDiv w:val="1"/>
      <w:marLeft w:val="0"/>
      <w:marRight w:val="0"/>
      <w:marTop w:val="0"/>
      <w:marBottom w:val="0"/>
      <w:divBdr>
        <w:top w:val="none" w:sz="0" w:space="0" w:color="auto"/>
        <w:left w:val="none" w:sz="0" w:space="0" w:color="auto"/>
        <w:bottom w:val="none" w:sz="0" w:space="0" w:color="auto"/>
        <w:right w:val="none" w:sz="0" w:space="0" w:color="auto"/>
      </w:divBdr>
      <w:divsChild>
        <w:div w:id="597835770">
          <w:marLeft w:val="0"/>
          <w:marRight w:val="0"/>
          <w:marTop w:val="0"/>
          <w:marBottom w:val="0"/>
          <w:divBdr>
            <w:top w:val="none" w:sz="0" w:space="0" w:color="auto"/>
            <w:left w:val="none" w:sz="0" w:space="0" w:color="auto"/>
            <w:bottom w:val="none" w:sz="0" w:space="0" w:color="auto"/>
            <w:right w:val="none" w:sz="0" w:space="0" w:color="auto"/>
          </w:divBdr>
          <w:divsChild>
            <w:div w:id="1795370008">
              <w:marLeft w:val="0"/>
              <w:marRight w:val="0"/>
              <w:marTop w:val="0"/>
              <w:marBottom w:val="0"/>
              <w:divBdr>
                <w:top w:val="none" w:sz="0" w:space="0" w:color="auto"/>
                <w:left w:val="none" w:sz="0" w:space="0" w:color="auto"/>
                <w:bottom w:val="none" w:sz="0" w:space="0" w:color="auto"/>
                <w:right w:val="none" w:sz="0" w:space="0" w:color="auto"/>
              </w:divBdr>
              <w:divsChild>
                <w:div w:id="987976032">
                  <w:marLeft w:val="0"/>
                  <w:marRight w:val="0"/>
                  <w:marTop w:val="0"/>
                  <w:marBottom w:val="0"/>
                  <w:divBdr>
                    <w:top w:val="none" w:sz="0" w:space="0" w:color="auto"/>
                    <w:left w:val="none" w:sz="0" w:space="0" w:color="auto"/>
                    <w:bottom w:val="none" w:sz="0" w:space="0" w:color="auto"/>
                    <w:right w:val="none" w:sz="0" w:space="0" w:color="auto"/>
                  </w:divBdr>
                  <w:divsChild>
                    <w:div w:id="1518426343">
                      <w:marLeft w:val="0"/>
                      <w:marRight w:val="0"/>
                      <w:marTop w:val="0"/>
                      <w:marBottom w:val="0"/>
                      <w:divBdr>
                        <w:top w:val="none" w:sz="0" w:space="0" w:color="auto"/>
                        <w:left w:val="none" w:sz="0" w:space="0" w:color="auto"/>
                        <w:bottom w:val="none" w:sz="0" w:space="0" w:color="auto"/>
                        <w:right w:val="none" w:sz="0" w:space="0" w:color="auto"/>
                      </w:divBdr>
                      <w:divsChild>
                        <w:div w:id="508907482">
                          <w:marLeft w:val="0"/>
                          <w:marRight w:val="0"/>
                          <w:marTop w:val="0"/>
                          <w:marBottom w:val="0"/>
                          <w:divBdr>
                            <w:top w:val="none" w:sz="0" w:space="0" w:color="auto"/>
                            <w:left w:val="none" w:sz="0" w:space="0" w:color="auto"/>
                            <w:bottom w:val="none" w:sz="0" w:space="0" w:color="auto"/>
                            <w:right w:val="none" w:sz="0" w:space="0" w:color="auto"/>
                          </w:divBdr>
                          <w:divsChild>
                            <w:div w:id="1063916656">
                              <w:marLeft w:val="0"/>
                              <w:marRight w:val="0"/>
                              <w:marTop w:val="0"/>
                              <w:marBottom w:val="0"/>
                              <w:divBdr>
                                <w:top w:val="none" w:sz="0" w:space="0" w:color="auto"/>
                                <w:left w:val="none" w:sz="0" w:space="0" w:color="auto"/>
                                <w:bottom w:val="none" w:sz="0" w:space="0" w:color="auto"/>
                                <w:right w:val="none" w:sz="0" w:space="0" w:color="auto"/>
                              </w:divBdr>
                              <w:divsChild>
                                <w:div w:id="1217350913">
                                  <w:marLeft w:val="0"/>
                                  <w:marRight w:val="0"/>
                                  <w:marTop w:val="0"/>
                                  <w:marBottom w:val="0"/>
                                  <w:divBdr>
                                    <w:top w:val="none" w:sz="0" w:space="0" w:color="auto"/>
                                    <w:left w:val="none" w:sz="0" w:space="0" w:color="auto"/>
                                    <w:bottom w:val="none" w:sz="0" w:space="0" w:color="auto"/>
                                    <w:right w:val="none" w:sz="0" w:space="0" w:color="auto"/>
                                  </w:divBdr>
                                  <w:divsChild>
                                    <w:div w:id="1023020909">
                                      <w:marLeft w:val="0"/>
                                      <w:marRight w:val="0"/>
                                      <w:marTop w:val="0"/>
                                      <w:marBottom w:val="0"/>
                                      <w:divBdr>
                                        <w:top w:val="none" w:sz="0" w:space="0" w:color="auto"/>
                                        <w:left w:val="none" w:sz="0" w:space="0" w:color="auto"/>
                                        <w:bottom w:val="none" w:sz="0" w:space="0" w:color="auto"/>
                                        <w:right w:val="none" w:sz="0" w:space="0" w:color="auto"/>
                                      </w:divBdr>
                                      <w:divsChild>
                                        <w:div w:id="18502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7706">
                          <w:marLeft w:val="0"/>
                          <w:marRight w:val="0"/>
                          <w:marTop w:val="0"/>
                          <w:marBottom w:val="0"/>
                          <w:divBdr>
                            <w:top w:val="none" w:sz="0" w:space="0" w:color="auto"/>
                            <w:left w:val="none" w:sz="0" w:space="0" w:color="auto"/>
                            <w:bottom w:val="none" w:sz="0" w:space="0" w:color="auto"/>
                            <w:right w:val="none" w:sz="0" w:space="0" w:color="auto"/>
                          </w:divBdr>
                          <w:divsChild>
                            <w:div w:id="182211705">
                              <w:marLeft w:val="0"/>
                              <w:marRight w:val="0"/>
                              <w:marTop w:val="0"/>
                              <w:marBottom w:val="0"/>
                              <w:divBdr>
                                <w:top w:val="none" w:sz="0" w:space="0" w:color="auto"/>
                                <w:left w:val="none" w:sz="0" w:space="0" w:color="auto"/>
                                <w:bottom w:val="none" w:sz="0" w:space="0" w:color="auto"/>
                                <w:right w:val="none" w:sz="0" w:space="0" w:color="auto"/>
                              </w:divBdr>
                              <w:divsChild>
                                <w:div w:id="1529491540">
                                  <w:marLeft w:val="0"/>
                                  <w:marRight w:val="0"/>
                                  <w:marTop w:val="0"/>
                                  <w:marBottom w:val="0"/>
                                  <w:divBdr>
                                    <w:top w:val="none" w:sz="0" w:space="0" w:color="auto"/>
                                    <w:left w:val="none" w:sz="0" w:space="0" w:color="auto"/>
                                    <w:bottom w:val="none" w:sz="0" w:space="0" w:color="auto"/>
                                    <w:right w:val="none" w:sz="0" w:space="0" w:color="auto"/>
                                  </w:divBdr>
                                  <w:divsChild>
                                    <w:div w:id="1081609389">
                                      <w:marLeft w:val="0"/>
                                      <w:marRight w:val="0"/>
                                      <w:marTop w:val="0"/>
                                      <w:marBottom w:val="0"/>
                                      <w:divBdr>
                                        <w:top w:val="none" w:sz="0" w:space="0" w:color="auto"/>
                                        <w:left w:val="none" w:sz="0" w:space="0" w:color="auto"/>
                                        <w:bottom w:val="none" w:sz="0" w:space="0" w:color="auto"/>
                                        <w:right w:val="none" w:sz="0" w:space="0" w:color="auto"/>
                                      </w:divBdr>
                                      <w:divsChild>
                                        <w:div w:id="1452899119">
                                          <w:marLeft w:val="0"/>
                                          <w:marRight w:val="0"/>
                                          <w:marTop w:val="0"/>
                                          <w:marBottom w:val="0"/>
                                          <w:divBdr>
                                            <w:top w:val="none" w:sz="0" w:space="0" w:color="auto"/>
                                            <w:left w:val="none" w:sz="0" w:space="0" w:color="auto"/>
                                            <w:bottom w:val="none" w:sz="0" w:space="0" w:color="auto"/>
                                            <w:right w:val="none" w:sz="0" w:space="0" w:color="auto"/>
                                          </w:divBdr>
                                          <w:divsChild>
                                            <w:div w:id="1464880733">
                                              <w:marLeft w:val="0"/>
                                              <w:marRight w:val="0"/>
                                              <w:marTop w:val="0"/>
                                              <w:marBottom w:val="0"/>
                                              <w:divBdr>
                                                <w:top w:val="none" w:sz="0" w:space="0" w:color="auto"/>
                                                <w:left w:val="none" w:sz="0" w:space="0" w:color="auto"/>
                                                <w:bottom w:val="none" w:sz="0" w:space="0" w:color="auto"/>
                                                <w:right w:val="none" w:sz="0" w:space="0" w:color="auto"/>
                                              </w:divBdr>
                                              <w:divsChild>
                                                <w:div w:id="2559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871">
                                          <w:marLeft w:val="0"/>
                                          <w:marRight w:val="0"/>
                                          <w:marTop w:val="0"/>
                                          <w:marBottom w:val="0"/>
                                          <w:divBdr>
                                            <w:top w:val="none" w:sz="0" w:space="0" w:color="auto"/>
                                            <w:left w:val="none" w:sz="0" w:space="0" w:color="auto"/>
                                            <w:bottom w:val="none" w:sz="0" w:space="0" w:color="auto"/>
                                            <w:right w:val="none" w:sz="0" w:space="0" w:color="auto"/>
                                          </w:divBdr>
                                          <w:divsChild>
                                            <w:div w:id="918904698">
                                              <w:marLeft w:val="0"/>
                                              <w:marRight w:val="0"/>
                                              <w:marTop w:val="0"/>
                                              <w:marBottom w:val="0"/>
                                              <w:divBdr>
                                                <w:top w:val="none" w:sz="0" w:space="0" w:color="auto"/>
                                                <w:left w:val="none" w:sz="0" w:space="0" w:color="auto"/>
                                                <w:bottom w:val="none" w:sz="0" w:space="0" w:color="auto"/>
                                                <w:right w:val="none" w:sz="0" w:space="0" w:color="auto"/>
                                              </w:divBdr>
                                              <w:divsChild>
                                                <w:div w:id="15260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518070">
      <w:bodyDiv w:val="1"/>
      <w:marLeft w:val="0"/>
      <w:marRight w:val="0"/>
      <w:marTop w:val="0"/>
      <w:marBottom w:val="0"/>
      <w:divBdr>
        <w:top w:val="none" w:sz="0" w:space="0" w:color="auto"/>
        <w:left w:val="none" w:sz="0" w:space="0" w:color="auto"/>
        <w:bottom w:val="none" w:sz="0" w:space="0" w:color="auto"/>
        <w:right w:val="none" w:sz="0" w:space="0" w:color="auto"/>
      </w:divBdr>
    </w:div>
    <w:div w:id="1982688307">
      <w:bodyDiv w:val="1"/>
      <w:marLeft w:val="0"/>
      <w:marRight w:val="0"/>
      <w:marTop w:val="0"/>
      <w:marBottom w:val="0"/>
      <w:divBdr>
        <w:top w:val="none" w:sz="0" w:space="0" w:color="auto"/>
        <w:left w:val="none" w:sz="0" w:space="0" w:color="auto"/>
        <w:bottom w:val="none" w:sz="0" w:space="0" w:color="auto"/>
        <w:right w:val="none" w:sz="0" w:space="0" w:color="auto"/>
      </w:divBdr>
    </w:div>
    <w:div w:id="1990085533">
      <w:bodyDiv w:val="1"/>
      <w:marLeft w:val="0"/>
      <w:marRight w:val="0"/>
      <w:marTop w:val="0"/>
      <w:marBottom w:val="0"/>
      <w:divBdr>
        <w:top w:val="none" w:sz="0" w:space="0" w:color="auto"/>
        <w:left w:val="none" w:sz="0" w:space="0" w:color="auto"/>
        <w:bottom w:val="none" w:sz="0" w:space="0" w:color="auto"/>
        <w:right w:val="none" w:sz="0" w:space="0" w:color="auto"/>
      </w:divBdr>
    </w:div>
    <w:div w:id="2010910263">
      <w:bodyDiv w:val="1"/>
      <w:marLeft w:val="0"/>
      <w:marRight w:val="0"/>
      <w:marTop w:val="0"/>
      <w:marBottom w:val="0"/>
      <w:divBdr>
        <w:top w:val="none" w:sz="0" w:space="0" w:color="auto"/>
        <w:left w:val="none" w:sz="0" w:space="0" w:color="auto"/>
        <w:bottom w:val="none" w:sz="0" w:space="0" w:color="auto"/>
        <w:right w:val="none" w:sz="0" w:space="0" w:color="auto"/>
      </w:divBdr>
      <w:divsChild>
        <w:div w:id="932012402">
          <w:marLeft w:val="0"/>
          <w:marRight w:val="0"/>
          <w:marTop w:val="0"/>
          <w:marBottom w:val="0"/>
          <w:divBdr>
            <w:top w:val="none" w:sz="0" w:space="0" w:color="auto"/>
            <w:left w:val="none" w:sz="0" w:space="0" w:color="auto"/>
            <w:bottom w:val="none" w:sz="0" w:space="0" w:color="auto"/>
            <w:right w:val="none" w:sz="0" w:space="0" w:color="auto"/>
          </w:divBdr>
          <w:divsChild>
            <w:div w:id="2109809257">
              <w:marLeft w:val="0"/>
              <w:marRight w:val="0"/>
              <w:marTop w:val="0"/>
              <w:marBottom w:val="0"/>
              <w:divBdr>
                <w:top w:val="none" w:sz="0" w:space="0" w:color="auto"/>
                <w:left w:val="none" w:sz="0" w:space="0" w:color="auto"/>
                <w:bottom w:val="none" w:sz="0" w:space="0" w:color="auto"/>
                <w:right w:val="none" w:sz="0" w:space="0" w:color="auto"/>
              </w:divBdr>
              <w:divsChild>
                <w:div w:id="712273764">
                  <w:marLeft w:val="0"/>
                  <w:marRight w:val="0"/>
                  <w:marTop w:val="0"/>
                  <w:marBottom w:val="0"/>
                  <w:divBdr>
                    <w:top w:val="none" w:sz="0" w:space="0" w:color="auto"/>
                    <w:left w:val="none" w:sz="0" w:space="0" w:color="auto"/>
                    <w:bottom w:val="none" w:sz="0" w:space="0" w:color="auto"/>
                    <w:right w:val="none" w:sz="0" w:space="0" w:color="auto"/>
                  </w:divBdr>
                  <w:divsChild>
                    <w:div w:id="1408108689">
                      <w:marLeft w:val="0"/>
                      <w:marRight w:val="0"/>
                      <w:marTop w:val="0"/>
                      <w:marBottom w:val="0"/>
                      <w:divBdr>
                        <w:top w:val="none" w:sz="0" w:space="0" w:color="auto"/>
                        <w:left w:val="none" w:sz="0" w:space="0" w:color="auto"/>
                        <w:bottom w:val="none" w:sz="0" w:space="0" w:color="auto"/>
                        <w:right w:val="none" w:sz="0" w:space="0" w:color="auto"/>
                      </w:divBdr>
                      <w:divsChild>
                        <w:div w:id="813721836">
                          <w:marLeft w:val="0"/>
                          <w:marRight w:val="0"/>
                          <w:marTop w:val="0"/>
                          <w:marBottom w:val="0"/>
                          <w:divBdr>
                            <w:top w:val="none" w:sz="0" w:space="0" w:color="auto"/>
                            <w:left w:val="none" w:sz="0" w:space="0" w:color="auto"/>
                            <w:bottom w:val="none" w:sz="0" w:space="0" w:color="auto"/>
                            <w:right w:val="none" w:sz="0" w:space="0" w:color="auto"/>
                          </w:divBdr>
                          <w:divsChild>
                            <w:div w:id="1829782410">
                              <w:marLeft w:val="0"/>
                              <w:marRight w:val="0"/>
                              <w:marTop w:val="0"/>
                              <w:marBottom w:val="0"/>
                              <w:divBdr>
                                <w:top w:val="none" w:sz="0" w:space="0" w:color="auto"/>
                                <w:left w:val="none" w:sz="0" w:space="0" w:color="auto"/>
                                <w:bottom w:val="none" w:sz="0" w:space="0" w:color="auto"/>
                                <w:right w:val="none" w:sz="0" w:space="0" w:color="auto"/>
                              </w:divBdr>
                              <w:divsChild>
                                <w:div w:id="1674528472">
                                  <w:marLeft w:val="0"/>
                                  <w:marRight w:val="0"/>
                                  <w:marTop w:val="0"/>
                                  <w:marBottom w:val="0"/>
                                  <w:divBdr>
                                    <w:top w:val="none" w:sz="0" w:space="0" w:color="auto"/>
                                    <w:left w:val="none" w:sz="0" w:space="0" w:color="auto"/>
                                    <w:bottom w:val="none" w:sz="0" w:space="0" w:color="auto"/>
                                    <w:right w:val="none" w:sz="0" w:space="0" w:color="auto"/>
                                  </w:divBdr>
                                  <w:divsChild>
                                    <w:div w:id="166676861">
                                      <w:marLeft w:val="0"/>
                                      <w:marRight w:val="0"/>
                                      <w:marTop w:val="0"/>
                                      <w:marBottom w:val="0"/>
                                      <w:divBdr>
                                        <w:top w:val="none" w:sz="0" w:space="0" w:color="auto"/>
                                        <w:left w:val="none" w:sz="0" w:space="0" w:color="auto"/>
                                        <w:bottom w:val="none" w:sz="0" w:space="0" w:color="auto"/>
                                        <w:right w:val="none" w:sz="0" w:space="0" w:color="auto"/>
                                      </w:divBdr>
                                      <w:divsChild>
                                        <w:div w:id="1161964717">
                                          <w:marLeft w:val="0"/>
                                          <w:marRight w:val="0"/>
                                          <w:marTop w:val="0"/>
                                          <w:marBottom w:val="0"/>
                                          <w:divBdr>
                                            <w:top w:val="none" w:sz="0" w:space="0" w:color="auto"/>
                                            <w:left w:val="none" w:sz="0" w:space="0" w:color="auto"/>
                                            <w:bottom w:val="none" w:sz="0" w:space="0" w:color="auto"/>
                                            <w:right w:val="none" w:sz="0" w:space="0" w:color="auto"/>
                                          </w:divBdr>
                                          <w:divsChild>
                                            <w:div w:id="1453787298">
                                              <w:marLeft w:val="0"/>
                                              <w:marRight w:val="0"/>
                                              <w:marTop w:val="0"/>
                                              <w:marBottom w:val="0"/>
                                              <w:divBdr>
                                                <w:top w:val="none" w:sz="0" w:space="0" w:color="auto"/>
                                                <w:left w:val="none" w:sz="0" w:space="0" w:color="auto"/>
                                                <w:bottom w:val="none" w:sz="0" w:space="0" w:color="auto"/>
                                                <w:right w:val="none" w:sz="0" w:space="0" w:color="auto"/>
                                              </w:divBdr>
                                              <w:divsChild>
                                                <w:div w:id="15721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171817">
      <w:bodyDiv w:val="1"/>
      <w:marLeft w:val="0"/>
      <w:marRight w:val="0"/>
      <w:marTop w:val="0"/>
      <w:marBottom w:val="0"/>
      <w:divBdr>
        <w:top w:val="none" w:sz="0" w:space="0" w:color="auto"/>
        <w:left w:val="none" w:sz="0" w:space="0" w:color="auto"/>
        <w:bottom w:val="none" w:sz="0" w:space="0" w:color="auto"/>
        <w:right w:val="none" w:sz="0" w:space="0" w:color="auto"/>
      </w:divBdr>
      <w:divsChild>
        <w:div w:id="1222794466">
          <w:marLeft w:val="0"/>
          <w:marRight w:val="0"/>
          <w:marTop w:val="0"/>
          <w:marBottom w:val="0"/>
          <w:divBdr>
            <w:top w:val="none" w:sz="0" w:space="0" w:color="auto"/>
            <w:left w:val="none" w:sz="0" w:space="0" w:color="auto"/>
            <w:bottom w:val="none" w:sz="0" w:space="0" w:color="auto"/>
            <w:right w:val="none" w:sz="0" w:space="0" w:color="auto"/>
          </w:divBdr>
          <w:divsChild>
            <w:div w:id="326519261">
              <w:marLeft w:val="0"/>
              <w:marRight w:val="0"/>
              <w:marTop w:val="0"/>
              <w:marBottom w:val="0"/>
              <w:divBdr>
                <w:top w:val="none" w:sz="0" w:space="0" w:color="auto"/>
                <w:left w:val="none" w:sz="0" w:space="0" w:color="auto"/>
                <w:bottom w:val="none" w:sz="0" w:space="0" w:color="auto"/>
                <w:right w:val="none" w:sz="0" w:space="0" w:color="auto"/>
              </w:divBdr>
              <w:divsChild>
                <w:div w:id="344407495">
                  <w:marLeft w:val="0"/>
                  <w:marRight w:val="0"/>
                  <w:marTop w:val="0"/>
                  <w:marBottom w:val="0"/>
                  <w:divBdr>
                    <w:top w:val="none" w:sz="0" w:space="0" w:color="auto"/>
                    <w:left w:val="none" w:sz="0" w:space="0" w:color="auto"/>
                    <w:bottom w:val="none" w:sz="0" w:space="0" w:color="auto"/>
                    <w:right w:val="none" w:sz="0" w:space="0" w:color="auto"/>
                  </w:divBdr>
                  <w:divsChild>
                    <w:div w:id="183593024">
                      <w:marLeft w:val="0"/>
                      <w:marRight w:val="0"/>
                      <w:marTop w:val="0"/>
                      <w:marBottom w:val="0"/>
                      <w:divBdr>
                        <w:top w:val="none" w:sz="0" w:space="0" w:color="auto"/>
                        <w:left w:val="none" w:sz="0" w:space="0" w:color="auto"/>
                        <w:bottom w:val="none" w:sz="0" w:space="0" w:color="auto"/>
                        <w:right w:val="none" w:sz="0" w:space="0" w:color="auto"/>
                      </w:divBdr>
                      <w:divsChild>
                        <w:div w:id="1952931763">
                          <w:marLeft w:val="0"/>
                          <w:marRight w:val="0"/>
                          <w:marTop w:val="0"/>
                          <w:marBottom w:val="0"/>
                          <w:divBdr>
                            <w:top w:val="none" w:sz="0" w:space="0" w:color="auto"/>
                            <w:left w:val="none" w:sz="0" w:space="0" w:color="auto"/>
                            <w:bottom w:val="none" w:sz="0" w:space="0" w:color="auto"/>
                            <w:right w:val="none" w:sz="0" w:space="0" w:color="auto"/>
                          </w:divBdr>
                          <w:divsChild>
                            <w:div w:id="1423839713">
                              <w:marLeft w:val="0"/>
                              <w:marRight w:val="0"/>
                              <w:marTop w:val="0"/>
                              <w:marBottom w:val="0"/>
                              <w:divBdr>
                                <w:top w:val="none" w:sz="0" w:space="0" w:color="auto"/>
                                <w:left w:val="none" w:sz="0" w:space="0" w:color="auto"/>
                                <w:bottom w:val="none" w:sz="0" w:space="0" w:color="auto"/>
                                <w:right w:val="none" w:sz="0" w:space="0" w:color="auto"/>
                              </w:divBdr>
                              <w:divsChild>
                                <w:div w:id="78335013">
                                  <w:marLeft w:val="0"/>
                                  <w:marRight w:val="0"/>
                                  <w:marTop w:val="0"/>
                                  <w:marBottom w:val="0"/>
                                  <w:divBdr>
                                    <w:top w:val="none" w:sz="0" w:space="0" w:color="auto"/>
                                    <w:left w:val="none" w:sz="0" w:space="0" w:color="auto"/>
                                    <w:bottom w:val="none" w:sz="0" w:space="0" w:color="auto"/>
                                    <w:right w:val="none" w:sz="0" w:space="0" w:color="auto"/>
                                  </w:divBdr>
                                  <w:divsChild>
                                    <w:div w:id="62143359">
                                      <w:marLeft w:val="0"/>
                                      <w:marRight w:val="0"/>
                                      <w:marTop w:val="0"/>
                                      <w:marBottom w:val="0"/>
                                      <w:divBdr>
                                        <w:top w:val="none" w:sz="0" w:space="0" w:color="auto"/>
                                        <w:left w:val="none" w:sz="0" w:space="0" w:color="auto"/>
                                        <w:bottom w:val="none" w:sz="0" w:space="0" w:color="auto"/>
                                        <w:right w:val="none" w:sz="0" w:space="0" w:color="auto"/>
                                      </w:divBdr>
                                      <w:divsChild>
                                        <w:div w:id="193349046">
                                          <w:marLeft w:val="0"/>
                                          <w:marRight w:val="0"/>
                                          <w:marTop w:val="0"/>
                                          <w:marBottom w:val="0"/>
                                          <w:divBdr>
                                            <w:top w:val="none" w:sz="0" w:space="0" w:color="auto"/>
                                            <w:left w:val="none" w:sz="0" w:space="0" w:color="auto"/>
                                            <w:bottom w:val="none" w:sz="0" w:space="0" w:color="auto"/>
                                            <w:right w:val="none" w:sz="0" w:space="0" w:color="auto"/>
                                          </w:divBdr>
                                          <w:divsChild>
                                            <w:div w:id="1855262841">
                                              <w:marLeft w:val="0"/>
                                              <w:marRight w:val="0"/>
                                              <w:marTop w:val="0"/>
                                              <w:marBottom w:val="0"/>
                                              <w:divBdr>
                                                <w:top w:val="none" w:sz="0" w:space="0" w:color="auto"/>
                                                <w:left w:val="none" w:sz="0" w:space="0" w:color="auto"/>
                                                <w:bottom w:val="none" w:sz="0" w:space="0" w:color="auto"/>
                                                <w:right w:val="none" w:sz="0" w:space="0" w:color="auto"/>
                                              </w:divBdr>
                                              <w:divsChild>
                                                <w:div w:id="5257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719150">
      <w:bodyDiv w:val="1"/>
      <w:marLeft w:val="0"/>
      <w:marRight w:val="0"/>
      <w:marTop w:val="0"/>
      <w:marBottom w:val="0"/>
      <w:divBdr>
        <w:top w:val="none" w:sz="0" w:space="0" w:color="auto"/>
        <w:left w:val="none" w:sz="0" w:space="0" w:color="auto"/>
        <w:bottom w:val="none" w:sz="0" w:space="0" w:color="auto"/>
        <w:right w:val="none" w:sz="0" w:space="0" w:color="auto"/>
      </w:divBdr>
    </w:div>
    <w:div w:id="2093970982">
      <w:bodyDiv w:val="1"/>
      <w:marLeft w:val="0"/>
      <w:marRight w:val="0"/>
      <w:marTop w:val="0"/>
      <w:marBottom w:val="0"/>
      <w:divBdr>
        <w:top w:val="none" w:sz="0" w:space="0" w:color="auto"/>
        <w:left w:val="none" w:sz="0" w:space="0" w:color="auto"/>
        <w:bottom w:val="none" w:sz="0" w:space="0" w:color="auto"/>
        <w:right w:val="none" w:sz="0" w:space="0" w:color="auto"/>
      </w:divBdr>
      <w:divsChild>
        <w:div w:id="335116390">
          <w:marLeft w:val="0"/>
          <w:marRight w:val="0"/>
          <w:marTop w:val="0"/>
          <w:marBottom w:val="0"/>
          <w:divBdr>
            <w:top w:val="none" w:sz="0" w:space="0" w:color="auto"/>
            <w:left w:val="none" w:sz="0" w:space="0" w:color="auto"/>
            <w:bottom w:val="none" w:sz="0" w:space="0" w:color="auto"/>
            <w:right w:val="none" w:sz="0" w:space="0" w:color="auto"/>
          </w:divBdr>
          <w:divsChild>
            <w:div w:id="611090338">
              <w:marLeft w:val="0"/>
              <w:marRight w:val="0"/>
              <w:marTop w:val="0"/>
              <w:marBottom w:val="0"/>
              <w:divBdr>
                <w:top w:val="none" w:sz="0" w:space="0" w:color="auto"/>
                <w:left w:val="none" w:sz="0" w:space="0" w:color="auto"/>
                <w:bottom w:val="none" w:sz="0" w:space="0" w:color="auto"/>
                <w:right w:val="none" w:sz="0" w:space="0" w:color="auto"/>
              </w:divBdr>
              <w:divsChild>
                <w:div w:id="978264721">
                  <w:marLeft w:val="0"/>
                  <w:marRight w:val="0"/>
                  <w:marTop w:val="0"/>
                  <w:marBottom w:val="0"/>
                  <w:divBdr>
                    <w:top w:val="none" w:sz="0" w:space="0" w:color="auto"/>
                    <w:left w:val="none" w:sz="0" w:space="0" w:color="auto"/>
                    <w:bottom w:val="none" w:sz="0" w:space="0" w:color="auto"/>
                    <w:right w:val="none" w:sz="0" w:space="0" w:color="auto"/>
                  </w:divBdr>
                  <w:divsChild>
                    <w:div w:id="2005472929">
                      <w:marLeft w:val="0"/>
                      <w:marRight w:val="0"/>
                      <w:marTop w:val="0"/>
                      <w:marBottom w:val="0"/>
                      <w:divBdr>
                        <w:top w:val="none" w:sz="0" w:space="0" w:color="auto"/>
                        <w:left w:val="none" w:sz="0" w:space="0" w:color="auto"/>
                        <w:bottom w:val="none" w:sz="0" w:space="0" w:color="auto"/>
                        <w:right w:val="none" w:sz="0" w:space="0" w:color="auto"/>
                      </w:divBdr>
                      <w:divsChild>
                        <w:div w:id="153956181">
                          <w:marLeft w:val="0"/>
                          <w:marRight w:val="0"/>
                          <w:marTop w:val="0"/>
                          <w:marBottom w:val="0"/>
                          <w:divBdr>
                            <w:top w:val="none" w:sz="0" w:space="0" w:color="auto"/>
                            <w:left w:val="none" w:sz="0" w:space="0" w:color="auto"/>
                            <w:bottom w:val="none" w:sz="0" w:space="0" w:color="auto"/>
                            <w:right w:val="none" w:sz="0" w:space="0" w:color="auto"/>
                          </w:divBdr>
                          <w:divsChild>
                            <w:div w:id="104271516">
                              <w:marLeft w:val="0"/>
                              <w:marRight w:val="0"/>
                              <w:marTop w:val="0"/>
                              <w:marBottom w:val="0"/>
                              <w:divBdr>
                                <w:top w:val="none" w:sz="0" w:space="0" w:color="auto"/>
                                <w:left w:val="none" w:sz="0" w:space="0" w:color="auto"/>
                                <w:bottom w:val="none" w:sz="0" w:space="0" w:color="auto"/>
                                <w:right w:val="none" w:sz="0" w:space="0" w:color="auto"/>
                              </w:divBdr>
                              <w:divsChild>
                                <w:div w:id="1116825080">
                                  <w:marLeft w:val="0"/>
                                  <w:marRight w:val="0"/>
                                  <w:marTop w:val="0"/>
                                  <w:marBottom w:val="0"/>
                                  <w:divBdr>
                                    <w:top w:val="none" w:sz="0" w:space="0" w:color="auto"/>
                                    <w:left w:val="none" w:sz="0" w:space="0" w:color="auto"/>
                                    <w:bottom w:val="none" w:sz="0" w:space="0" w:color="auto"/>
                                    <w:right w:val="none" w:sz="0" w:space="0" w:color="auto"/>
                                  </w:divBdr>
                                  <w:divsChild>
                                    <w:div w:id="565650116">
                                      <w:marLeft w:val="0"/>
                                      <w:marRight w:val="0"/>
                                      <w:marTop w:val="0"/>
                                      <w:marBottom w:val="0"/>
                                      <w:divBdr>
                                        <w:top w:val="none" w:sz="0" w:space="0" w:color="auto"/>
                                        <w:left w:val="none" w:sz="0" w:space="0" w:color="auto"/>
                                        <w:bottom w:val="none" w:sz="0" w:space="0" w:color="auto"/>
                                        <w:right w:val="none" w:sz="0" w:space="0" w:color="auto"/>
                                      </w:divBdr>
                                      <w:divsChild>
                                        <w:div w:id="2018774832">
                                          <w:marLeft w:val="0"/>
                                          <w:marRight w:val="0"/>
                                          <w:marTop w:val="0"/>
                                          <w:marBottom w:val="0"/>
                                          <w:divBdr>
                                            <w:top w:val="none" w:sz="0" w:space="0" w:color="auto"/>
                                            <w:left w:val="none" w:sz="0" w:space="0" w:color="auto"/>
                                            <w:bottom w:val="none" w:sz="0" w:space="0" w:color="auto"/>
                                            <w:right w:val="none" w:sz="0" w:space="0" w:color="auto"/>
                                          </w:divBdr>
                                          <w:divsChild>
                                            <w:div w:id="410546314">
                                              <w:marLeft w:val="0"/>
                                              <w:marRight w:val="0"/>
                                              <w:marTop w:val="0"/>
                                              <w:marBottom w:val="0"/>
                                              <w:divBdr>
                                                <w:top w:val="none" w:sz="0" w:space="0" w:color="auto"/>
                                                <w:left w:val="none" w:sz="0" w:space="0" w:color="auto"/>
                                                <w:bottom w:val="none" w:sz="0" w:space="0" w:color="auto"/>
                                                <w:right w:val="none" w:sz="0" w:space="0" w:color="auto"/>
                                              </w:divBdr>
                                              <w:divsChild>
                                                <w:div w:id="989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836106">
      <w:bodyDiv w:val="1"/>
      <w:marLeft w:val="0"/>
      <w:marRight w:val="0"/>
      <w:marTop w:val="0"/>
      <w:marBottom w:val="0"/>
      <w:divBdr>
        <w:top w:val="none" w:sz="0" w:space="0" w:color="auto"/>
        <w:left w:val="none" w:sz="0" w:space="0" w:color="auto"/>
        <w:bottom w:val="none" w:sz="0" w:space="0" w:color="auto"/>
        <w:right w:val="none" w:sz="0" w:space="0" w:color="auto"/>
      </w:divBdr>
    </w:div>
    <w:div w:id="2124962278">
      <w:bodyDiv w:val="1"/>
      <w:marLeft w:val="0"/>
      <w:marRight w:val="0"/>
      <w:marTop w:val="0"/>
      <w:marBottom w:val="0"/>
      <w:divBdr>
        <w:top w:val="none" w:sz="0" w:space="0" w:color="auto"/>
        <w:left w:val="none" w:sz="0" w:space="0" w:color="auto"/>
        <w:bottom w:val="none" w:sz="0" w:space="0" w:color="auto"/>
        <w:right w:val="none" w:sz="0" w:space="0" w:color="auto"/>
      </w:divBdr>
    </w:div>
    <w:div w:id="214061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08847399/AppData/Local/Microsoft/Windows/INetCache/Content.Outlook/6VLVMRXI/Determning%20Rurality%20Parameters.docx" TargetMode="External"/><Relationship Id="rId21" Type="http://schemas.openxmlformats.org/officeDocument/2006/relationships/hyperlink" Target="https://www2.education.vic.gov.au/pal/students-disability/policy" TargetMode="External"/><Relationship Id="rId42" Type="http://schemas.openxmlformats.org/officeDocument/2006/relationships/hyperlink" Target="tel:0370221111" TargetMode="External"/><Relationship Id="rId63" Type="http://schemas.openxmlformats.org/officeDocument/2006/relationships/hyperlink" Target="https://www.education.vic.gov.au/school/teachers/learningneeds/Pages/medical-intervention-support.aspx" TargetMode="External"/><Relationship Id="rId84" Type="http://schemas.openxmlformats.org/officeDocument/2006/relationships/hyperlink" Target="mailto:business@redenergy.com.au" TargetMode="External"/><Relationship Id="rId138" Type="http://schemas.openxmlformats.org/officeDocument/2006/relationships/hyperlink" Target="https://www2.education.vic.gov.au/pal/re-engagement-programs/policy" TargetMode="External"/><Relationship Id="rId159" Type="http://schemas.openxmlformats.org/officeDocument/2006/relationships/hyperlink" Target="https://www.education.vic.gov.au/about/programs/Pages/doctors.aspx" TargetMode="External"/><Relationship Id="rId170" Type="http://schemas.openxmlformats.org/officeDocument/2006/relationships/hyperlink" Target="tel:0370220019&#8203;" TargetMode="External"/><Relationship Id="rId191" Type="http://schemas.openxmlformats.org/officeDocument/2006/relationships/hyperlink" Target="https://www2.education.vic.gov.au/pal/student-resource-package-srp-managing-budget/guidance/2-relief-staffing" TargetMode="External"/><Relationship Id="rId205" Type="http://schemas.openxmlformats.org/officeDocument/2006/relationships/hyperlink" Target="https://www2.education.vic.gov.au/pal/recruitment-schools" TargetMode="External"/><Relationship Id="rId226" Type="http://schemas.openxmlformats.org/officeDocument/2006/relationships/hyperlink" Target="https://www.education.vic.gov.au/Documents/school/teachers/management/finance/2020-excel-calculator.xlsx" TargetMode="External"/><Relationship Id="rId247" Type="http://schemas.openxmlformats.org/officeDocument/2006/relationships/hyperlink" Target="https://www2.education.vic.gov.au/pal/student-resource-package-srp-school-infrastructure/guidance/contract-cleaning-reference-28" TargetMode="External"/><Relationship Id="rId107" Type="http://schemas.openxmlformats.org/officeDocument/2006/relationships/hyperlink" Target="https://www2.education.vic.gov.au/pal/student-resource-package-srp-school-specific-programs/guidance/location-index-funding-reference" TargetMode="External"/><Relationship Id="rId11" Type="http://schemas.openxmlformats.org/officeDocument/2006/relationships/hyperlink" Target="https://www2.education.vic.gov.au/pal/student-resource-package-srp-equity-funding-student-based-funding/policy" TargetMode="External"/><Relationship Id="rId32" Type="http://schemas.openxmlformats.org/officeDocument/2006/relationships/hyperlink" Target="https://www2.education.vic.gov.au/pal/student-resource-package-srp-managing-budget/policy" TargetMode="External"/><Relationship Id="rId53" Type="http://schemas.openxmlformats.org/officeDocument/2006/relationships/hyperlink" Target="https://www2.education.vic.gov.au/pal/disability-inclusion-funding-support/policy" TargetMode="External"/><Relationship Id="rId74" Type="http://schemas.openxmlformats.org/officeDocument/2006/relationships/hyperlink" Target="https://www2.education.vic.gov.au/pal/student-resource-package-srp-equity-funding-student-based-funding/guidance/4-program-students-0" TargetMode="External"/><Relationship Id="rId128" Type="http://schemas.openxmlformats.org/officeDocument/2006/relationships/hyperlink" Target="https://www2.education.vic.gov.au/pal/student-resource-package-srp-targeted-initiatives/guidance/student-excellence-program" TargetMode="External"/><Relationship Id="rId149" Type="http://schemas.openxmlformats.org/officeDocument/2006/relationships/hyperlink" Target="https://www.education.vic.gov.au/school/teachers/teachingresources/discipline/capabilities/personal/Pages/respectfulrelschools.aspx" TargetMode="External"/><Relationship Id="rId5" Type="http://schemas.openxmlformats.org/officeDocument/2006/relationships/numbering" Target="numbering.xml"/><Relationship Id="rId95" Type="http://schemas.openxmlformats.org/officeDocument/2006/relationships/hyperlink" Target="tel:96280301" TargetMode="External"/><Relationship Id="rId160" Type="http://schemas.openxmlformats.org/officeDocument/2006/relationships/hyperlink" Target="https://www2.education.vic.gov.au/pal/child-safe-standards" TargetMode="External"/><Relationship Id="rId181" Type="http://schemas.openxmlformats.org/officeDocument/2006/relationships/hyperlink" Target="https://www.education.vic.gov.au/PAL/SRP-PLC-handbook.pdf" TargetMode="External"/><Relationship Id="rId216" Type="http://schemas.openxmlformats.org/officeDocument/2006/relationships/hyperlink" Target="https://www2.education.vic.gov.au/pal/student-resource-package-srp-managing-budget/guidance/4-reports" TargetMode="External"/><Relationship Id="rId237" Type="http://schemas.openxmlformats.org/officeDocument/2006/relationships/hyperlink" Target="https://www.eduweb.vic.gov.au/srp/login.aspx?returnUrl=%2fSRP%2fplanner%2fdefault.aspx" TargetMode="External"/><Relationship Id="rId22" Type="http://schemas.openxmlformats.org/officeDocument/2006/relationships/hyperlink" Target="https://www2.education.vic.gov.au/pal/student-resource-package-srp-core-student-learning-allocation-funding-student-based-funding-0" TargetMode="External"/><Relationship Id="rId43" Type="http://schemas.openxmlformats.org/officeDocument/2006/relationships/hyperlink" Target="mailto:eal@education.vic.gov.au" TargetMode="External"/><Relationship Id="rId64" Type="http://schemas.openxmlformats.org/officeDocument/2006/relationships/hyperlink" Target="https://www2.education.vic.gov.au/pal/student-resource-package-srp-equity-funding-student-based-funding/guidance/10-eal-contingency" TargetMode="External"/><Relationship Id="rId118" Type="http://schemas.openxmlformats.org/officeDocument/2006/relationships/hyperlink" Target="https://www2.education.vic.gov.au/pal/languages-education/guidance/language-assistants-program" TargetMode="External"/><Relationship Id="rId139" Type="http://schemas.openxmlformats.org/officeDocument/2006/relationships/hyperlink" Target="https://www2.education.vic.gov.au/pal/student-resource-package-srp-targeted-initiatives/guidance/vocational-education-and-training" TargetMode="External"/><Relationship Id="rId85" Type="http://schemas.openxmlformats.org/officeDocument/2006/relationships/hyperlink" Target="tel:1300322067" TargetMode="External"/><Relationship Id="rId150" Type="http://schemas.openxmlformats.org/officeDocument/2006/relationships/hyperlink" Target="http://www.education.vic.gov.au/about/programs/pages/respectfulrelationships.aspx" TargetMode="External"/><Relationship Id="rId171" Type="http://schemas.openxmlformats.org/officeDocument/2006/relationships/hyperlink" Target="https://www.education.vic.gov.au/school/teachers/teachingresources/discipline/english/Pages/litnumstrategy.aspx" TargetMode="External"/><Relationship Id="rId192" Type="http://schemas.openxmlformats.org/officeDocument/2006/relationships/hyperlink" Target="https://www2.education.vic.gov.au/pal/student-resource-package-srp-managing-budget/guidance/3-surplus-or-deficit" TargetMode="External"/><Relationship Id="rId206" Type="http://schemas.openxmlformats.org/officeDocument/2006/relationships/hyperlink" Target="https://www2.education.vic.gov.au/pal/higher-duties-teaching-service" TargetMode="External"/><Relationship Id="rId227" Type="http://schemas.openxmlformats.org/officeDocument/2006/relationships/hyperlink" Target="https://www.smartsalary.com.au/" TargetMode="External"/><Relationship Id="rId248" Type="http://schemas.openxmlformats.org/officeDocument/2006/relationships/hyperlink" Target="mailto:cashmanagement@eduction.vic.gov.au" TargetMode="External"/><Relationship Id="rId12" Type="http://schemas.openxmlformats.org/officeDocument/2006/relationships/hyperlink" Target="https://www.education.vic.gov.au/PAL/srp-rurality-rates.xlsx" TargetMode="External"/><Relationship Id="rId33" Type="http://schemas.openxmlformats.org/officeDocument/2006/relationships/hyperlink" Target="https://www2.education.vic.gov.au/pal/student-resource-package-srp-school-infrastructure/policy" TargetMode="External"/><Relationship Id="rId108" Type="http://schemas.openxmlformats.org/officeDocument/2006/relationships/hyperlink" Target="https://www2.education.vic.gov.au/pal/student-resource-package-srp-school-specific-programs/guidance/marc/macc-teachers-science-and" TargetMode="External"/><Relationship Id="rId129" Type="http://schemas.openxmlformats.org/officeDocument/2006/relationships/hyperlink" Target="https://www2.education.vic.gov.au/pal/student-resource-package-srp-targeted-initiatives/guidance/vce-revision-lectures-reference-121" TargetMode="External"/><Relationship Id="rId54" Type="http://schemas.openxmlformats.org/officeDocument/2006/relationships/hyperlink" Target="https://www2.education.vic.gov.au/pal/student-support-groups/policy" TargetMode="External"/><Relationship Id="rId75" Type="http://schemas.openxmlformats.org/officeDocument/2006/relationships/hyperlink" Target="https://www2.education.vic.gov.au/pal/disability-inclusion-profile/policy" TargetMode="External"/><Relationship Id="rId96" Type="http://schemas.openxmlformats.org/officeDocument/2006/relationships/hyperlink" Target="https://www2.education.vic.gov.au/pal/school-maintenance-plans-rfe/policy" TargetMode="External"/><Relationship Id="rId140" Type="http://schemas.openxmlformats.org/officeDocument/2006/relationships/hyperlink" Target="mailto:youth.participation@education.vic.gov.au" TargetMode="External"/><Relationship Id="rId161" Type="http://schemas.openxmlformats.org/officeDocument/2006/relationships/hyperlink" Target="https://www.education.vic.gov.au/about/programs/Pages/doctors.aspx" TargetMode="External"/><Relationship Id="rId182" Type="http://schemas.openxmlformats.org/officeDocument/2006/relationships/hyperlink" Target="https://edugate.eduweb.vic.gov.au/edrms/keyprocess/stfg/Pages/default.aspx" TargetMode="External"/><Relationship Id="rId217" Type="http://schemas.openxmlformats.org/officeDocument/2006/relationships/hyperlink" Target="https://www2.education.vic.gov.au/pal/student-resource-package-srp-managing-budget/guidance/4-reports" TargetMode="External"/><Relationship Id="rId6" Type="http://schemas.openxmlformats.org/officeDocument/2006/relationships/styles" Target="styles.xml"/><Relationship Id="rId238" Type="http://schemas.openxmlformats.org/officeDocument/2006/relationships/hyperlink" Target="https://www.eduweb.vic.gov.au/SRP/reports/report.aspx?id=22" TargetMode="External"/><Relationship Id="rId23" Type="http://schemas.openxmlformats.org/officeDocument/2006/relationships/hyperlink" Target="https://www2.education.vic.gov.au/pal/student-resource-package-srp-equity-funding-student-based-funding/guidance" TargetMode="External"/><Relationship Id="rId119" Type="http://schemas.openxmlformats.org/officeDocument/2006/relationships/hyperlink" Target="https://itt.abs.gov.au/itt/r.jsp?ABSMaps" TargetMode="External"/><Relationship Id="rId44" Type="http://schemas.openxmlformats.org/officeDocument/2006/relationships/hyperlink" Target="https://edugate.eduweb.vic.gov.au/Services/Finance/Pages/SFO.aspx" TargetMode="External"/><Relationship Id="rId65" Type="http://schemas.openxmlformats.org/officeDocument/2006/relationships/hyperlink" Target="https://www2.education.vic.gov.au/pal/student-resource-package-srp-equity-funding-student-based-funding/guidance/10-eal-contingency" TargetMode="External"/><Relationship Id="rId86" Type="http://schemas.openxmlformats.org/officeDocument/2006/relationships/hyperlink" Target="mailto:vicgov@agl.com.au" TargetMode="External"/><Relationship Id="rId130" Type="http://schemas.openxmlformats.org/officeDocument/2006/relationships/hyperlink" Target="https://www2.education.vic.gov.au/pal/student-resource-package-srp-targeted-initiatives/guidance/professional-learning-communities" TargetMode="External"/><Relationship Id="rId151" Type="http://schemas.openxmlformats.org/officeDocument/2006/relationships/hyperlink" Target="mailto:respectful.relationships@education.vic.gov.au" TargetMode="External"/><Relationship Id="rId172" Type="http://schemas.openxmlformats.org/officeDocument/2006/relationships/hyperlink" Target="https://www2.education.vic.gov.au/pal/mylns-initiative/policy" TargetMode="External"/><Relationship Id="rId193" Type="http://schemas.openxmlformats.org/officeDocument/2006/relationships/hyperlink" Target="https://www2.education.vic.gov.au/pal/student-resource-package-srp-managing-budget/guidance/4-reports" TargetMode="External"/><Relationship Id="rId207" Type="http://schemas.openxmlformats.org/officeDocument/2006/relationships/hyperlink" Target="https://www2.education.vic.gov.au/pal/transfer-and-promotion-teaching-service/overview" TargetMode="External"/><Relationship Id="rId228" Type="http://schemas.openxmlformats.org/officeDocument/2006/relationships/hyperlink" Target="mailto:studentresourcepackage@education.vic.gov.au" TargetMode="External"/><Relationship Id="rId249" Type="http://schemas.openxmlformats.org/officeDocument/2006/relationships/hyperlink" Target="https://www2.education.vic.gov.au/pal/student-resource-package-srp-managing-budget/guidance/servicegateway.eduweb.vic.gov.au" TargetMode="External"/><Relationship Id="rId13" Type="http://schemas.openxmlformats.org/officeDocument/2006/relationships/hyperlink" Target="https://www.abs.gov.au/AUSSTATS/abs@.nsf/Latestproducts/1270.0.55.005Main%20Features15July%202016" TargetMode="External"/><Relationship Id="rId109" Type="http://schemas.openxmlformats.org/officeDocument/2006/relationships/hyperlink" Target="https://www2.education.vic.gov.au/pal/student-resource-package-srp-school-specific-programs/guidance/instrumental-music-programs" TargetMode="External"/><Relationship Id="rId34" Type="http://schemas.openxmlformats.org/officeDocument/2006/relationships/hyperlink" Target="https://www2.education.vic.gov.au/pal/student-resource-package-srp-school-specific-programs/policy" TargetMode="External"/><Relationship Id="rId55" Type="http://schemas.openxmlformats.org/officeDocument/2006/relationships/hyperlink" Target="https://www.eduweb.vic.gov.au/PSDMS/Home.aspx" TargetMode="External"/><Relationship Id="rId76" Type="http://schemas.openxmlformats.org/officeDocument/2006/relationships/hyperlink" Target="https://www2.education.vic.gov.au/pal/disability-inclusion-funding-support/guidance/tier-3-student-level-funding" TargetMode="External"/><Relationship Id="rId97" Type="http://schemas.openxmlformats.org/officeDocument/2006/relationships/hyperlink" Target="mailto:vsba.asset.management@education.vic.gov.au" TargetMode="External"/><Relationship Id="rId120" Type="http://schemas.openxmlformats.org/officeDocument/2006/relationships/hyperlink" Target="https://www.education.vic.gov.au/PAL/student-resource-package-determning-rurality-parameters.docx" TargetMode="External"/><Relationship Id="rId141" Type="http://schemas.openxmlformats.org/officeDocument/2006/relationships/hyperlink" Target="https://www2.education.vic.gov.au/pal/vocational-education-and-training-vet-delivered-secondary-students/resources" TargetMode="External"/><Relationship Id="rId7" Type="http://schemas.openxmlformats.org/officeDocument/2006/relationships/settings" Target="settings.xml"/><Relationship Id="rId162" Type="http://schemas.openxmlformats.org/officeDocument/2006/relationships/hyperlink" Target="mailto:doctors.in.schools@education.vic.gov.au" TargetMode="External"/><Relationship Id="rId183" Type="http://schemas.openxmlformats.org/officeDocument/2006/relationships/hyperlink" Target="https://www2.education.vic.gov.au/pal/vocational-and-applied-learning-coordination/policy" TargetMode="External"/><Relationship Id="rId218" Type="http://schemas.openxmlformats.org/officeDocument/2006/relationships/hyperlink" Target="https://www2.education.vic.gov.au/pal/student-resource-package-srp-managing-budget/guidance/4-reports" TargetMode="External"/><Relationship Id="rId239" Type="http://schemas.openxmlformats.org/officeDocument/2006/relationships/hyperlink" Target="https://www.eduweb.vic.gov.au/SRP/reports/default.aspx?DisplayContext=1" TargetMode="External"/><Relationship Id="rId250" Type="http://schemas.openxmlformats.org/officeDocument/2006/relationships/hyperlink" Target="tel:031800641943" TargetMode="External"/><Relationship Id="rId24" Type="http://schemas.openxmlformats.org/officeDocument/2006/relationships/hyperlink" Target="https://www.schoolbuildings.vic.gov.au/blog/Pages/Supported-Inclusion-Schools.aspx" TargetMode="External"/><Relationship Id="rId45" Type="http://schemas.openxmlformats.org/officeDocument/2006/relationships/hyperlink" Target="https://www.education.vic.gov.au/school/teachers/learningneeds/Pages/student-support-groups.aspx" TargetMode="External"/><Relationship Id="rId66" Type="http://schemas.openxmlformats.org/officeDocument/2006/relationships/hyperlink" Target="mailto:eal@education.vic.gov.au" TargetMode="External"/><Relationship Id="rId87" Type="http://schemas.openxmlformats.org/officeDocument/2006/relationships/hyperlink" Target="tel:1300793477" TargetMode="External"/><Relationship Id="rId110" Type="http://schemas.openxmlformats.org/officeDocument/2006/relationships/hyperlink" Target="https://www2.education.vic.gov.au/pal/student-resource-package-srp-school-specific-programs/guidance/country-area-program-grant" TargetMode="External"/><Relationship Id="rId131" Type="http://schemas.openxmlformats.org/officeDocument/2006/relationships/hyperlink" Target="https://www2.education.vic.gov.au/pal/student-engagement" TargetMode="External"/><Relationship Id="rId152" Type="http://schemas.openxmlformats.org/officeDocument/2006/relationships/hyperlink" Target="https://www.eduweb.vic.gov.au/forms/school/spreports/default.asp" TargetMode="External"/><Relationship Id="rId173" Type="http://schemas.openxmlformats.org/officeDocument/2006/relationships/hyperlink" Target="https://www2.education.vic.gov.au/pal/mylns-initiative/policy" TargetMode="External"/><Relationship Id="rId194" Type="http://schemas.openxmlformats.org/officeDocument/2006/relationships/hyperlink" Target="https://www2.education.vic.gov.au/pal/student-resource-package-srp-managing-budget/guidance/5-planning" TargetMode="External"/><Relationship Id="rId208" Type="http://schemas.openxmlformats.org/officeDocument/2006/relationships/hyperlink" Target="https://www2.education.vic.gov.au/pal/student-resource-package-srp-managing-budget/guidance/2-relief-staffing" TargetMode="External"/><Relationship Id="rId229" Type="http://schemas.openxmlformats.org/officeDocument/2006/relationships/hyperlink" Target="tel:1800641943" TargetMode="External"/><Relationship Id="rId240" Type="http://schemas.openxmlformats.org/officeDocument/2006/relationships/hyperlink" Target="https://www.eduweb.vic.gov.au/srp/login.aspx?returnUrl=%2fSRP%2freports%2freport.aspx%3fid%3d25" TargetMode="External"/><Relationship Id="rId14" Type="http://schemas.openxmlformats.org/officeDocument/2006/relationships/hyperlink" Target="https://www.abs.gov.au/ausstats/abs@.nsf/Latestproducts/05773C1D8C9F2022CA257A98001399F7?opendocument" TargetMode="External"/><Relationship Id="rId35" Type="http://schemas.openxmlformats.org/officeDocument/2006/relationships/hyperlink" Target="https://www2.education.vic.gov.au/pal/student-resource-package-srp-targeted-initiatives/policy" TargetMode="External"/><Relationship Id="rId56" Type="http://schemas.openxmlformats.org/officeDocument/2006/relationships/hyperlink" Target="https://services.educationapps.vic.gov.au/dp" TargetMode="External"/><Relationship Id="rId77" Type="http://schemas.openxmlformats.org/officeDocument/2006/relationships/hyperlink" Target="mailto:disability.inclusion.outcomes@education.vic.gov.au" TargetMode="External"/><Relationship Id="rId100" Type="http://schemas.openxmlformats.org/officeDocument/2006/relationships/hyperlink" Target="mailto:vsba.annual.contracts@education.vic.gov.au" TargetMode="External"/><Relationship Id="rId8" Type="http://schemas.openxmlformats.org/officeDocument/2006/relationships/webSettings" Target="webSettings.xml"/><Relationship Id="rId98" Type="http://schemas.openxmlformats.org/officeDocument/2006/relationships/hyperlink" Target="https://www2.education.vic.gov.au/pal/essential-safety-measures/policy" TargetMode="External"/><Relationship Id="rId121" Type="http://schemas.openxmlformats.org/officeDocument/2006/relationships/hyperlink" Target="https://www2.education.vic.gov.au/pal/student-resource-package-srp-school-specific-programs/guidance/marc/macc-teachers-science-and" TargetMode="External"/><Relationship Id="rId142" Type="http://schemas.openxmlformats.org/officeDocument/2006/relationships/hyperlink" Target="https://www.education.vic.gov.au/school/teachers/teachingresources/careers/work/Pages/apprentice.aspx" TargetMode="External"/><Relationship Id="rId163" Type="http://schemas.openxmlformats.org/officeDocument/2006/relationships/hyperlink" Target="https://www2.education.vic.gov.au/pal/career-education-funding-accountability-and-reporting-requirements/policy" TargetMode="External"/><Relationship Id="rId184" Type="http://schemas.openxmlformats.org/officeDocument/2006/relationships/hyperlink" Target="mailto:pathways.reform@education.vic.gov.au" TargetMode="External"/><Relationship Id="rId219" Type="http://schemas.openxmlformats.org/officeDocument/2006/relationships/hyperlink" Target="https://servicegateway.eduweb.vic.gov.au/MSMSelfService/AutoGen.aspx?page=22" TargetMode="External"/><Relationship Id="rId230" Type="http://schemas.openxmlformats.org/officeDocument/2006/relationships/hyperlink" Target="https://www2.education.vic.gov.au/pal/salary-rates" TargetMode="External"/><Relationship Id="rId251" Type="http://schemas.openxmlformats.org/officeDocument/2006/relationships/hyperlink" Target="https://www2.education.vic.gov.au/pal/student-resource-package-srp-managing-budget/guidance/servicegateway.eduweb.vic.gov.au" TargetMode="External"/><Relationship Id="rId25" Type="http://schemas.openxmlformats.org/officeDocument/2006/relationships/hyperlink" Target="https://www2.education.vic.gov.au/pal/student-resource-package/policy" TargetMode="External"/><Relationship Id="rId46" Type="http://schemas.openxmlformats.org/officeDocument/2006/relationships/hyperlink" Target="https://www.education.vic.gov.au/school/teachers/management/finance/Pages/swdsystems.aspx" TargetMode="External"/><Relationship Id="rId67" Type="http://schemas.openxmlformats.org/officeDocument/2006/relationships/hyperlink" Target="mailto:eal@education.vic.gov.au" TargetMode="External"/><Relationship Id="rId88" Type="http://schemas.openxmlformats.org/officeDocument/2006/relationships/hyperlink" Target="mailto:vicgovernment@originenergy.com.au" TargetMode="External"/><Relationship Id="rId111" Type="http://schemas.openxmlformats.org/officeDocument/2006/relationships/hyperlink" Target="https://www2.education.vic.gov.au/pal/student-resource-package-srp-school-specific-programs/guidance/marc/macc-grant-reference-46" TargetMode="External"/><Relationship Id="rId132" Type="http://schemas.openxmlformats.org/officeDocument/2006/relationships/hyperlink" Target="https://www2.education.vic.gov.au/pal/individual-education-plans-ieps/resources" TargetMode="External"/><Relationship Id="rId153" Type="http://schemas.openxmlformats.org/officeDocument/2006/relationships/hyperlink" Target="https://edugate.eduweb.vic.gov.au/edrms/KOD/Pages/KLNP.aspx" TargetMode="External"/><Relationship Id="rId174" Type="http://schemas.openxmlformats.org/officeDocument/2006/relationships/hyperlink" Target="https://www2.education.vic.gov.au/pal/mylns-initiative/policy" TargetMode="External"/><Relationship Id="rId195" Type="http://schemas.openxmlformats.org/officeDocument/2006/relationships/hyperlink" Target="https://www2.education.vic.gov.au/pal/student-resource-package-srp-managing-budget/guidance/6-reconciliation" TargetMode="External"/><Relationship Id="rId209" Type="http://schemas.openxmlformats.org/officeDocument/2006/relationships/hyperlink" Target="https://www.eduweb.vic.gov.au/srp/login.aspx?returnUrl=/srp/SalaryMischargeAmendment/default.aspx" TargetMode="External"/><Relationship Id="rId220" Type="http://schemas.openxmlformats.org/officeDocument/2006/relationships/hyperlink" Target="https://servicegateway.eduweb.vic.gov.au/MSMSelfService/AutoGen.aspx?page=22" TargetMode="External"/><Relationship Id="rId241" Type="http://schemas.openxmlformats.org/officeDocument/2006/relationships/hyperlink" Target="https://www.eduweb.vic.gov.au/SRP/reports/default.aspx?DisplayContext=1" TargetMode="External"/><Relationship Id="rId15" Type="http://schemas.openxmlformats.org/officeDocument/2006/relationships/hyperlink" Target="https://dbr.abs.gov.au/absmaps/index.html" TargetMode="External"/><Relationship Id="rId36" Type="http://schemas.openxmlformats.org/officeDocument/2006/relationships/hyperlink" Target="https://www2.education.vic.gov.au/pal/students-disability/policy" TargetMode="External"/><Relationship Id="rId57" Type="http://schemas.openxmlformats.org/officeDocument/2006/relationships/hyperlink" Target="https://www2.education.vic.gov.au/pal/students-disability/policy" TargetMode="External"/><Relationship Id="rId78" Type="http://schemas.openxmlformats.org/officeDocument/2006/relationships/hyperlink" Target="https://www.eduweb.vic.gov.au/SchoolFacilitiesProfile/SFPW3.aspx" TargetMode="External"/><Relationship Id="rId99" Type="http://schemas.openxmlformats.org/officeDocument/2006/relationships/hyperlink" Target="https://www.nathers.gov.au/" TargetMode="External"/><Relationship Id="rId101" Type="http://schemas.openxmlformats.org/officeDocument/2006/relationships/hyperlink" Target="mailto:essential.safety.measures@education.vic.gov.au" TargetMode="External"/><Relationship Id="rId122" Type="http://schemas.openxmlformats.org/officeDocument/2006/relationships/hyperlink" Target="https://www2.education.vic.gov.au/pal/re-engagement-programs/policy" TargetMode="External"/><Relationship Id="rId143" Type="http://schemas.openxmlformats.org/officeDocument/2006/relationships/hyperlink" Target="http://www.education.vic.gov.au/about/programs/Pages/headstart.aspx" TargetMode="External"/><Relationship Id="rId164" Type="http://schemas.openxmlformats.org/officeDocument/2006/relationships/hyperlink" Target="https://lsv.com.au/education/order-victorian-water-safety-certificates/" TargetMode="External"/><Relationship Id="rId185" Type="http://schemas.openxmlformats.org/officeDocument/2006/relationships/hyperlink" Target="https://www2.education.vic.gov.au/pal/tutor-learning-initiative-2021/policy" TargetMode="External"/><Relationship Id="rId9" Type="http://schemas.openxmlformats.org/officeDocument/2006/relationships/footnotes" Target="footnotes.xml"/><Relationship Id="rId210" Type="http://schemas.openxmlformats.org/officeDocument/2006/relationships/hyperlink" Target="https://www2.education.vic.gov.au/pal/student-resource-package-srp-managing-budget/guidance/4-reports" TargetMode="External"/><Relationship Id="rId26" Type="http://schemas.openxmlformats.org/officeDocument/2006/relationships/hyperlink" Target="https://www2.education.vic.gov.au/pal/eal-support/policy" TargetMode="External"/><Relationship Id="rId231" Type="http://schemas.openxmlformats.org/officeDocument/2006/relationships/hyperlink" Target="https://www.education.vic.gov.au/Documents/school/teachers/management/finance/srp-leave-portal-user-guide.pdf" TargetMode="External"/><Relationship Id="rId252" Type="http://schemas.openxmlformats.org/officeDocument/2006/relationships/hyperlink" Target="https://www.eduweb.vic.gov.au/srp/login.aspx?returnUrl=/srp/SalaryMischargeAmendment/default.aspx" TargetMode="External"/><Relationship Id="rId47" Type="http://schemas.openxmlformats.org/officeDocument/2006/relationships/hyperlink" Target="https://www.eduweb.vic.gov.au/PSDMS/Home.aspx" TargetMode="External"/><Relationship Id="rId68" Type="http://schemas.openxmlformats.org/officeDocument/2006/relationships/hyperlink" Target="https://www2.education.vic.gov.au/pal/student-resource-package-srp-core-student-learning-allocation-funding-student-based-funding-0" TargetMode="External"/><Relationship Id="rId89" Type="http://schemas.openxmlformats.org/officeDocument/2006/relationships/hyperlink" Target="tel:1800319299" TargetMode="External"/><Relationship Id="rId112" Type="http://schemas.openxmlformats.org/officeDocument/2006/relationships/hyperlink" Target="https://www2.education.vic.gov.au/pal/student-resource-package-srp-school-specific-programs/guidance/alternative-settings-teachers" TargetMode="External"/><Relationship Id="rId133" Type="http://schemas.openxmlformats.org/officeDocument/2006/relationships/hyperlink" Target="https://www.education.vic.gov.au/Documents/school/teachers/learningneeds/IEP_Template.pdf" TargetMode="External"/><Relationship Id="rId154" Type="http://schemas.openxmlformats.org/officeDocument/2006/relationships/hyperlink" Target="https://edugate.eduweb.vic.gov.au/edrms/KOD/Pages/KLNP.aspx" TargetMode="External"/><Relationship Id="rId175" Type="http://schemas.openxmlformats.org/officeDocument/2006/relationships/hyperlink" Target="https://www2.education.vic.gov.au/pal/student-resource-package-srp-targeted-initiatives/resources" TargetMode="External"/><Relationship Id="rId196" Type="http://schemas.openxmlformats.org/officeDocument/2006/relationships/hyperlink" Target="https://www2.education.vic.gov.au/pal/student-resource-package-srp-managing-budget/guidance/7-cash" TargetMode="External"/><Relationship Id="rId200" Type="http://schemas.openxmlformats.org/officeDocument/2006/relationships/hyperlink" Target="https://www2.education.vic.gov.au/pal/student-resource-package-srp-managing-budget/guidance/7-cash" TargetMode="External"/><Relationship Id="rId16" Type="http://schemas.openxmlformats.org/officeDocument/2006/relationships/hyperlink" Target="https://www.education.vic.gov.au/PAL/student-resource-package-determning-rurality-parameters.docx" TargetMode="External"/><Relationship Id="rId221" Type="http://schemas.openxmlformats.org/officeDocument/2006/relationships/hyperlink" Target="https://servicegateway.eduweb.vic.gov.au/MSMSelfService/AutoGen.aspx?page=22" TargetMode="External"/><Relationship Id="rId242" Type="http://schemas.openxmlformats.org/officeDocument/2006/relationships/hyperlink" Target="https://www.eduweb.vic.gov.au/SRP/reports/default.aspx?DisplayContext=1" TargetMode="External"/><Relationship Id="rId37" Type="http://schemas.openxmlformats.org/officeDocument/2006/relationships/hyperlink" Target="tel:1800641943" TargetMode="External"/><Relationship Id="rId58" Type="http://schemas.openxmlformats.org/officeDocument/2006/relationships/hyperlink" Target="http://www.education.vic.gov.au/school/teachers/management/finance/Pages/swdsystems.aspx" TargetMode="External"/><Relationship Id="rId79" Type="http://schemas.openxmlformats.org/officeDocument/2006/relationships/hyperlink" Target="https://www.education.vic.gov.au/Documents/school/principals/finance/ref28contclean.xls" TargetMode="External"/><Relationship Id="rId102" Type="http://schemas.openxmlformats.org/officeDocument/2006/relationships/hyperlink" Target="https://www.eduweb.vic.gov.au/SRP/reports/" TargetMode="External"/><Relationship Id="rId123" Type="http://schemas.openxmlformats.org/officeDocument/2006/relationships/hyperlink" Target="https://www2.education.vic.gov.au/pal/student-resource-package-srp-targeted-initiatives/guidance" TargetMode="External"/><Relationship Id="rId144" Type="http://schemas.openxmlformats.org/officeDocument/2006/relationships/hyperlink" Target="https://www2.education.vic.gov.au/pal/purchasing-secondary-courses" TargetMode="External"/><Relationship Id="rId90" Type="http://schemas.openxmlformats.org/officeDocument/2006/relationships/hyperlink" Target="https://www.eduweb.vic.gov.au/SRP/reports/default.aspx?DisplayContext=1" TargetMode="External"/><Relationship Id="rId165" Type="http://schemas.openxmlformats.org/officeDocument/2006/relationships/hyperlink" Target="https://www.education.vic.gov.au/about/programs/Pages/headstart.aspx" TargetMode="External"/><Relationship Id="rId186" Type="http://schemas.openxmlformats.org/officeDocument/2006/relationships/hyperlink" Target="mailto:tutor@education.vic.gov.au" TargetMode="External"/><Relationship Id="rId211" Type="http://schemas.openxmlformats.org/officeDocument/2006/relationships/hyperlink" Target="https://www2.education.vic.gov.au/pal/student-resource-package-srp-managing-budget/guidance/7-cash" TargetMode="External"/><Relationship Id="rId232" Type="http://schemas.openxmlformats.org/officeDocument/2006/relationships/hyperlink" Target="https://www.education.vic.gov.au/Documents/school/teachers/management/finance/srp-leave-portal-user-guide.docx" TargetMode="External"/><Relationship Id="rId253" Type="http://schemas.openxmlformats.org/officeDocument/2006/relationships/hyperlink" Target="https://www2.education.vic.gov.au/pal/school-merger-or-closure" TargetMode="External"/><Relationship Id="rId27" Type="http://schemas.openxmlformats.org/officeDocument/2006/relationships/hyperlink" Target="https://www2.education.vic.gov.au/pal/finance-manual/policy" TargetMode="External"/><Relationship Id="rId48" Type="http://schemas.openxmlformats.org/officeDocument/2006/relationships/hyperlink" Target="http://www.education.vic.gov.au/school/teachers/learningneeds/Pages/psdhandbook.aspx" TargetMode="External"/><Relationship Id="rId69" Type="http://schemas.openxmlformats.org/officeDocument/2006/relationships/hyperlink" Target="https://www2.education.vic.gov.au/pal/disability-inclusion-funding-support/guidance" TargetMode="External"/><Relationship Id="rId113" Type="http://schemas.openxmlformats.org/officeDocument/2006/relationships/hyperlink" Target="https://www2.education.vic.gov.au/pal/student-resource-package-srp-school-specific-programs/guidance/ancillary-settings-teachers" TargetMode="External"/><Relationship Id="rId134" Type="http://schemas.openxmlformats.org/officeDocument/2006/relationships/hyperlink" Target="https://edupay.eduweb.vic.gov.au/" TargetMode="External"/><Relationship Id="rId80" Type="http://schemas.openxmlformats.org/officeDocument/2006/relationships/hyperlink" Target="mailto:sams@education.vic.gov.au" TargetMode="External"/><Relationship Id="rId155" Type="http://schemas.openxmlformats.org/officeDocument/2006/relationships/hyperlink" Target="https://edugate.eduweb.vic.gov.au/edrms/KOD/KLNP/Attachments_and_Downloads/KLNP_Eligibility_Criteria.docx?Web=1" TargetMode="External"/><Relationship Id="rId176" Type="http://schemas.openxmlformats.org/officeDocument/2006/relationships/hyperlink" Target="https://www.education.vic.gov.au/school/teachers/teachingresources/high-ability-toolkit/Pages/student-excellence-programs.aspx?Redirect=1" TargetMode="External"/><Relationship Id="rId197" Type="http://schemas.openxmlformats.org/officeDocument/2006/relationships/hyperlink" Target="https://www2.education.vic.gov.au/pal/student-resource-package-srp-managing-budget/guidance/8-deficit-management-and-workforce" TargetMode="External"/><Relationship Id="rId201" Type="http://schemas.openxmlformats.org/officeDocument/2006/relationships/hyperlink" Target="https://www2.education.vic.gov.au/pal/student-resource-package-srp-managing-budget/guidance/4-reports" TargetMode="External"/><Relationship Id="rId222" Type="http://schemas.openxmlformats.org/officeDocument/2006/relationships/hyperlink" Target="https://www2.education.vic.gov.au/pal/leave-defence-reserve-service" TargetMode="External"/><Relationship Id="rId243" Type="http://schemas.openxmlformats.org/officeDocument/2006/relationships/hyperlink" Target="https://www.education.vic.gov.au/Documents/school/teachers/management/finance/planner-srp-budget-tool.pptx" TargetMode="External"/><Relationship Id="rId17" Type="http://schemas.openxmlformats.org/officeDocument/2006/relationships/hyperlink" Target="https://victoriancurriculum.vcaa.vic.edu.au/" TargetMode="External"/><Relationship Id="rId38" Type="http://schemas.openxmlformats.org/officeDocument/2006/relationships/hyperlink" Target="mailto:studentresourcepackage@education.vic.gov.au" TargetMode="External"/><Relationship Id="rId59" Type="http://schemas.openxmlformats.org/officeDocument/2006/relationships/hyperlink" Target="http://www.eduweb.vic.gov.au/psdms" TargetMode="External"/><Relationship Id="rId103" Type="http://schemas.openxmlformats.org/officeDocument/2006/relationships/hyperlink" Target="mailto:workers.compensation.corporate@education.vic.gov.au" TargetMode="External"/><Relationship Id="rId124" Type="http://schemas.openxmlformats.org/officeDocument/2006/relationships/hyperlink" Target="https://www2.education.vic.gov.au/pal/student-resource-package-srp-targeted-initiatives/guidance/primary-welfare-reference-50" TargetMode="External"/><Relationship Id="rId70" Type="http://schemas.openxmlformats.org/officeDocument/2006/relationships/hyperlink" Target="https://www2.education.vic.gov.au/pal/students-disability/policy" TargetMode="External"/><Relationship Id="rId91" Type="http://schemas.openxmlformats.org/officeDocument/2006/relationships/hyperlink" Target="mailto:" TargetMode="External"/><Relationship Id="rId145" Type="http://schemas.openxmlformats.org/officeDocument/2006/relationships/hyperlink" Target="tel:0390321758" TargetMode="External"/><Relationship Id="rId166" Type="http://schemas.openxmlformats.org/officeDocument/2006/relationships/hyperlink" Target="https://edugate.eduweb.vic.gov.au/edrms/keyprocess/stfg/Pages/default.aspx" TargetMode="External"/><Relationship Id="rId187" Type="http://schemas.openxmlformats.org/officeDocument/2006/relationships/hyperlink" Target="mailto:graduate.induction@education.vic.gov.au" TargetMode="External"/><Relationship Id="rId1" Type="http://schemas.openxmlformats.org/officeDocument/2006/relationships/customXml" Target="../customXml/item1.xml"/><Relationship Id="rId212" Type="http://schemas.openxmlformats.org/officeDocument/2006/relationships/hyperlink" Target="https://www2.education.vic.gov.au/pal/student-resource-package-srp-managing-budget/guidance/4-reports" TargetMode="External"/><Relationship Id="rId233" Type="http://schemas.openxmlformats.org/officeDocument/2006/relationships/hyperlink" Target="https://www.education.vic.gov.au/Documents/school/teachers/management/finance/leave-replacement-sample.xls" TargetMode="External"/><Relationship Id="rId254" Type="http://schemas.openxmlformats.org/officeDocument/2006/relationships/hyperlink" Target="https://www.eduweb.vic.gov.au/srp/login.aspx?returnUrl=%2fSRP%2fplanner%2fdefault.aspx" TargetMode="External"/><Relationship Id="rId28" Type="http://schemas.openxmlformats.org/officeDocument/2006/relationships/hyperlink" Target="https://www2.education.vic.gov.au/pal/fiso/policy" TargetMode="External"/><Relationship Id="rId49" Type="http://schemas.openxmlformats.org/officeDocument/2006/relationships/hyperlink" Target="https://www.education.vic.gov.au/school/teachers/learningneeds/Pages/student-support-groups.aspx" TargetMode="External"/><Relationship Id="rId114" Type="http://schemas.openxmlformats.org/officeDocument/2006/relationships/hyperlink" Target="https://www2.education.vic.gov.au/pal/student-resource-package-srp-school-specific-programs/guidance/alternative-programs-regional" TargetMode="External"/><Relationship Id="rId60" Type="http://schemas.openxmlformats.org/officeDocument/2006/relationships/hyperlink" Target="https://services.educationapps.vic.gov.au/dp" TargetMode="External"/><Relationship Id="rId81" Type="http://schemas.openxmlformats.org/officeDocument/2006/relationships/hyperlink" Target="mailto:cleaning@education.vic.gov.au" TargetMode="External"/><Relationship Id="rId135" Type="http://schemas.openxmlformats.org/officeDocument/2006/relationships/hyperlink" Target="https://aus01.safelinks.protection.outlook.com/?url=https%3A%2F%2Farc.educationapps.vic.gov.au%2Feventhub%2Fproviders%2FIEP&amp;data=04%7C01%7COsman.Ali-Khelil%40education.vic.gov.au%7C95767ce2b61442c0000e08da03126333%7Cd96cb3371a8744cfb69b3cec334a4c1f%7C0%7C0%7C637825674751047123%7CUnknown%7CTWFpbGZsb3d8eyJWIjoiMC4wLjAwMDAiLCJQIjoiV2luMzIiLCJBTiI6Ik1haWwiLCJXVCI6Mn0%3D%7C3000&amp;sdata=zzf1vA2nFtd1cVwfQgOnM9ETMLBwAz3TYJdgXsMfrc4%3D&amp;reserved=0" TargetMode="External"/><Relationship Id="rId156" Type="http://schemas.openxmlformats.org/officeDocument/2006/relationships/hyperlink" Target="mailto:koorielitnum@education.vic.gov.au" TargetMode="External"/><Relationship Id="rId177" Type="http://schemas.openxmlformats.org/officeDocument/2006/relationships/hyperlink" Target="https://edugate.eduweb.vic.gov.au/sites/i/Pages/production.aspx" TargetMode="External"/><Relationship Id="rId198" Type="http://schemas.openxmlformats.org/officeDocument/2006/relationships/hyperlink" Target="https://www2.education.vic.gov.au/pal/student-resource-package-srp-managing-budget/guidance/10-principal-classification-budget" TargetMode="External"/><Relationship Id="rId202" Type="http://schemas.openxmlformats.org/officeDocument/2006/relationships/hyperlink" Target="https://www2.education.vic.gov.au/pal/recruitment-schools" TargetMode="External"/><Relationship Id="rId223" Type="http://schemas.openxmlformats.org/officeDocument/2006/relationships/hyperlink" Target="https://www2.education.vic.gov.au/pal/recruitment-schools" TargetMode="External"/><Relationship Id="rId244" Type="http://schemas.openxmlformats.org/officeDocument/2006/relationships/hyperlink" Target="https://www2.education.vic.gov.au/pal/student-resource-package-srp-equity-funding-student-based-funding/guidance/4-program-students" TargetMode="External"/><Relationship Id="rId18" Type="http://schemas.openxmlformats.org/officeDocument/2006/relationships/hyperlink" Target="https://www.vit.vic.edu.au/registered-teacher/special-needs-plan" TargetMode="External"/><Relationship Id="rId39" Type="http://schemas.openxmlformats.org/officeDocument/2006/relationships/hyperlink" Target="https://services.educationapps.vic.gov.au/dp" TargetMode="External"/><Relationship Id="rId50" Type="http://schemas.openxmlformats.org/officeDocument/2006/relationships/hyperlink" Target="http://www.education.vic.gov.au/school/teachers/management/finance/Pages/swdsystems.aspx" TargetMode="External"/><Relationship Id="rId104" Type="http://schemas.openxmlformats.org/officeDocument/2006/relationships/hyperlink" Target="mailto:workers.compensation.advisory@edumail.vic.gov.au" TargetMode="External"/><Relationship Id="rId125" Type="http://schemas.openxmlformats.org/officeDocument/2006/relationships/hyperlink" Target="https://www2.education.vic.gov.au/pal/student-resource-package-srp-targeted-initiatives/guidance/doctors-secondary-schools-school" TargetMode="External"/><Relationship Id="rId146" Type="http://schemas.openxmlformats.org/officeDocument/2006/relationships/hyperlink" Target="tel:1800623681" TargetMode="External"/><Relationship Id="rId167" Type="http://schemas.openxmlformats.org/officeDocument/2006/relationships/hyperlink" Target="https://www.education.vic.gov.au/about/programs/Pages/headstart.aspx" TargetMode="External"/><Relationship Id="rId188" Type="http://schemas.openxmlformats.org/officeDocument/2006/relationships/hyperlink" Target="https://www.vic.gov.au/career-start-transforming-first-years-teaching-career" TargetMode="External"/><Relationship Id="rId71" Type="http://schemas.openxmlformats.org/officeDocument/2006/relationships/hyperlink" Target="https://www2.education.vic.gov.au/pal/disability-inclusion-funding-support/policy" TargetMode="External"/><Relationship Id="rId92" Type="http://schemas.openxmlformats.org/officeDocument/2006/relationships/hyperlink" Target="mailto:%20Brett.Duff@education.vic.gov.au" TargetMode="External"/><Relationship Id="rId213" Type="http://schemas.openxmlformats.org/officeDocument/2006/relationships/hyperlink" Target="https://www2.education.vic.gov.au/pal/travel-and-personal-expenses-teaching-service" TargetMode="External"/><Relationship Id="rId234" Type="http://schemas.openxmlformats.org/officeDocument/2006/relationships/hyperlink" Target="https://www2.education.vic.gov.au/pal/student-resource-package-srp-managing-budget/guidance/4-reports" TargetMode="External"/><Relationship Id="rId2" Type="http://schemas.openxmlformats.org/officeDocument/2006/relationships/customXml" Target="../customXml/item2.xml"/><Relationship Id="rId29" Type="http://schemas.openxmlformats.org/officeDocument/2006/relationships/hyperlink" Target="https://www2.education.vic.gov.au/pal/student-enrolment-census/policy" TargetMode="External"/><Relationship Id="rId255" Type="http://schemas.openxmlformats.org/officeDocument/2006/relationships/hyperlink" Target="https://www2.education.vic.gov.au/pal/career-structure-teaching-service/policy-and-guidelines" TargetMode="External"/><Relationship Id="rId40" Type="http://schemas.openxmlformats.org/officeDocument/2006/relationships/hyperlink" Target="tel:1800641943" TargetMode="External"/><Relationship Id="rId115" Type="http://schemas.openxmlformats.org/officeDocument/2006/relationships/hyperlink" Target="https://www2.education.vic.gov.au/pal/career-structure-teaching-service" TargetMode="External"/><Relationship Id="rId136" Type="http://schemas.openxmlformats.org/officeDocument/2006/relationships/hyperlink" Target="https://www.education.vic.gov.au/PAL/iep-quality-checklist-rubric.pdf" TargetMode="External"/><Relationship Id="rId157" Type="http://schemas.openxmlformats.org/officeDocument/2006/relationships/hyperlink" Target="https://edugate.eduweb.vic.gov.au/edrms/KOD/Pages/KLNP.aspx" TargetMode="External"/><Relationship Id="rId178" Type="http://schemas.openxmlformats.org/officeDocument/2006/relationships/hyperlink" Target="mailto:student.excellence@education.vic.gov.au" TargetMode="External"/><Relationship Id="rId61" Type="http://schemas.openxmlformats.org/officeDocument/2006/relationships/hyperlink" Target="https://www2.education.vic.gov.au/pal/behaviour-students/guidance/6-behaviour-support-plans" TargetMode="External"/><Relationship Id="rId82" Type="http://schemas.openxmlformats.org/officeDocument/2006/relationships/hyperlink" Target="https://www2.education.vic.gov.au/pal/school-maintenance-plans-rfe/policy" TargetMode="External"/><Relationship Id="rId199" Type="http://schemas.openxmlformats.org/officeDocument/2006/relationships/hyperlink" Target="http://www.education.vic.gov.au/hrweb/Documents/Staffing_policy-mergerclosure.pdf" TargetMode="External"/><Relationship Id="rId203" Type="http://schemas.openxmlformats.org/officeDocument/2006/relationships/hyperlink" Target="https://www2.education.vic.gov.au/pal/cessation-employment-teaching-service" TargetMode="External"/><Relationship Id="rId19" Type="http://schemas.openxmlformats.org/officeDocument/2006/relationships/hyperlink" Target="https://www2.education.vic.gov.au/pal/fiso" TargetMode="External"/><Relationship Id="rId224" Type="http://schemas.openxmlformats.org/officeDocument/2006/relationships/hyperlink" Target="https://www2.education.vic.gov.au/pal/casual-relief-teachers" TargetMode="External"/><Relationship Id="rId245" Type="http://schemas.openxmlformats.org/officeDocument/2006/relationships/hyperlink" Target="https://www.eduweb.vic.gov.au/psdms/Home.aspx" TargetMode="External"/><Relationship Id="rId30" Type="http://schemas.openxmlformats.org/officeDocument/2006/relationships/hyperlink" Target="https://www2.education.vic.gov.au/pal/student-resource-package/policy" TargetMode="External"/><Relationship Id="rId105" Type="http://schemas.openxmlformats.org/officeDocument/2006/relationships/hyperlink" Target="https://www2.education.vic.gov.au/pal/student-resource-package-srp-school-infrastructure/policy" TargetMode="External"/><Relationship Id="rId126" Type="http://schemas.openxmlformats.org/officeDocument/2006/relationships/hyperlink" Target="https://www2.education.vic.gov.au/pal/student-resource-package-srp-targeted-initiatives/guidance/head-start-reference-116" TargetMode="External"/><Relationship Id="rId147" Type="http://schemas.openxmlformats.org/officeDocument/2006/relationships/hyperlink" Target="mailto:vass.support@education.vic.gov.au" TargetMode="External"/><Relationship Id="rId168" Type="http://schemas.openxmlformats.org/officeDocument/2006/relationships/hyperlink" Target="https://www.education.vic.gov.au/school/teachers/health/mentalhealth/Pages/nscpchaplaincy.aspx" TargetMode="External"/><Relationship Id="rId51" Type="http://schemas.openxmlformats.org/officeDocument/2006/relationships/hyperlink" Target="http://www.eduweb.vic.gov.au/psdms" TargetMode="External"/><Relationship Id="rId72" Type="http://schemas.openxmlformats.org/officeDocument/2006/relationships/hyperlink" Target="https://www2.education.vic.gov.au/pal/student-resource-package-srp-core-student-learning-allocation-funding-student-based-funding-0" TargetMode="External"/><Relationship Id="rId93" Type="http://schemas.openxmlformats.org/officeDocument/2006/relationships/hyperlink" Target="https://www.myswep.com.au/" TargetMode="External"/><Relationship Id="rId189" Type="http://schemas.openxmlformats.org/officeDocument/2006/relationships/hyperlink" Target="mailto:innovative.ite@education.vic.gov.au" TargetMode="External"/><Relationship Id="rId3" Type="http://schemas.openxmlformats.org/officeDocument/2006/relationships/customXml" Target="../customXml/item3.xml"/><Relationship Id="rId214" Type="http://schemas.openxmlformats.org/officeDocument/2006/relationships/hyperlink" Target="https://www2.education.vic.gov.au/pal/student-resource-package-srp-managing-budget/guidance/4-reports" TargetMode="External"/><Relationship Id="rId235" Type="http://schemas.openxmlformats.org/officeDocument/2006/relationships/hyperlink" Target="https://www2.education.vic.gov.au/pal/student-resource-package-srp-managing-budget/guidance/4-reports" TargetMode="External"/><Relationship Id="rId256" Type="http://schemas.openxmlformats.org/officeDocument/2006/relationships/fontTable" Target="fontTable.xml"/><Relationship Id="rId116" Type="http://schemas.openxmlformats.org/officeDocument/2006/relationships/hyperlink" Target="https://itt.abs.gov.au/itt/r.jsp?ABSMaps" TargetMode="External"/><Relationship Id="rId137" Type="http://schemas.openxmlformats.org/officeDocument/2006/relationships/hyperlink" Target="https://edugate.eduweb.vic.gov.au/edrms/keyprocess/LEF/Pages/Home.aspx" TargetMode="External"/><Relationship Id="rId158" Type="http://schemas.openxmlformats.org/officeDocument/2006/relationships/hyperlink" Target="mailto:koorielitnum@education.vic.gov.au" TargetMode="External"/><Relationship Id="rId20" Type="http://schemas.openxmlformats.org/officeDocument/2006/relationships/hyperlink" Target="https://www2.education.vic.gov.au/pal/student-support-groups" TargetMode="External"/><Relationship Id="rId41" Type="http://schemas.openxmlformats.org/officeDocument/2006/relationships/hyperlink" Target="https://services.educationapps.vic.gov.au/dp" TargetMode="External"/><Relationship Id="rId62" Type="http://schemas.openxmlformats.org/officeDocument/2006/relationships/hyperlink" Target="https://www2.education.vic.gov.au/pal/health-care-needs/policy" TargetMode="External"/><Relationship Id="rId83" Type="http://schemas.openxmlformats.org/officeDocument/2006/relationships/hyperlink" Target="https://www2.education.vic.gov.au/pal/student-resource-package-srp-core-student-learning-allocation-funding-student-based-funding-3-3" TargetMode="External"/><Relationship Id="rId179" Type="http://schemas.openxmlformats.org/officeDocument/2006/relationships/hyperlink" Target="https://www.education.vic.gov.au/Documents/school/pal/VCElectures-SchoolImplementationGuide.docx" TargetMode="External"/><Relationship Id="rId190" Type="http://schemas.openxmlformats.org/officeDocument/2006/relationships/hyperlink" Target="https://www2.education.vic.gov.au/pal/student-resource-package-srp-managing-budget/guidance/1-salary-and-related-expenditure" TargetMode="External"/><Relationship Id="rId204" Type="http://schemas.openxmlformats.org/officeDocument/2006/relationships/hyperlink" Target="https://www2.education.vic.gov.au/pal/recruitment-schools" TargetMode="External"/><Relationship Id="rId225" Type="http://schemas.openxmlformats.org/officeDocument/2006/relationships/hyperlink" Target="https://www2.education.vic.gov.au/pal/student-resource-package-srp-managing-budget/guidance/4-reports" TargetMode="External"/><Relationship Id="rId246" Type="http://schemas.openxmlformats.org/officeDocument/2006/relationships/hyperlink" Target="https://services.educationapps.vic.gov.au/dp" TargetMode="External"/><Relationship Id="rId106" Type="http://schemas.openxmlformats.org/officeDocument/2006/relationships/hyperlink" Target="https://www2.education.vic.gov.au/pal/student-resource-package-srp-school-specific-programs/guidance/p-12-complexity-allowance" TargetMode="External"/><Relationship Id="rId127" Type="http://schemas.openxmlformats.org/officeDocument/2006/relationships/hyperlink" Target="https://www2.education.vic.gov.au/pal/student-resource-package-srp-targeted-initiatives/guidance/middle-years-literacy-and-numeracy" TargetMode="External"/><Relationship Id="rId10" Type="http://schemas.openxmlformats.org/officeDocument/2006/relationships/endnotes" Target="endnotes.xml"/><Relationship Id="rId31" Type="http://schemas.openxmlformats.org/officeDocument/2006/relationships/hyperlink" Target="https://www2.education.vic.gov.au/pal/student-resource-package-srp-core-student-learning-allocation-funding-student-based-funding-0" TargetMode="External"/><Relationship Id="rId52" Type="http://schemas.openxmlformats.org/officeDocument/2006/relationships/hyperlink" Target="https://services.educationapps.vic.gov.au/dp?id=dp_homepage" TargetMode="External"/><Relationship Id="rId73" Type="http://schemas.openxmlformats.org/officeDocument/2006/relationships/hyperlink" Target="https://www2.education.vic.gov.au/pal/student-resource-package-srp-equity-funding-student-based-funding/guidance/disability-inclusion" TargetMode="External"/><Relationship Id="rId94" Type="http://schemas.openxmlformats.org/officeDocument/2006/relationships/hyperlink" Target="https://www.sro.vic.gov.au/forms/apply-water-and-sewerage-rebate" TargetMode="External"/><Relationship Id="rId148" Type="http://schemas.openxmlformats.org/officeDocument/2006/relationships/hyperlink" Target="https://www.education.vic.gov.au/about/programs/pages/respectfulrelationships.aspx" TargetMode="External"/><Relationship Id="rId169" Type="http://schemas.openxmlformats.org/officeDocument/2006/relationships/hyperlink" Target="mailto:student.engagement@education.vic.gov.au" TargetMode="External"/><Relationship Id="rId4" Type="http://schemas.openxmlformats.org/officeDocument/2006/relationships/customXml" Target="../customXml/item4.xml"/><Relationship Id="rId180" Type="http://schemas.openxmlformats.org/officeDocument/2006/relationships/hyperlink" Target="mailto:rural.regional.reform@education.vic.gov.au" TargetMode="External"/><Relationship Id="rId215" Type="http://schemas.openxmlformats.org/officeDocument/2006/relationships/hyperlink" Target="https://www.eduweb.vic.gov.au/srp/" TargetMode="External"/><Relationship Id="rId236" Type="http://schemas.openxmlformats.org/officeDocument/2006/relationships/hyperlink" Target="https://www.eduweb.vic.gov.au/srp/login.aspx?returnUrl=%2fSRP%2fplanner%2fdefault.aspx" TargetMode="External"/><Relationship Id="rId2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xpired xmlns="bb5ce4db-eb21-467d-b968-528655912a38">false</Expired>
    <Topic xmlns="bb5ce4db-eb21-467d-b968-528655912a38">350</Topic>
  </documentManagement>
</p:properties>
</file>

<file path=customXml/itemProps1.xml><?xml version="1.0" encoding="utf-8"?>
<ds:datastoreItem xmlns:ds="http://schemas.openxmlformats.org/officeDocument/2006/customXml" ds:itemID="{4038272C-A540-4CFD-8D16-92C1FFA95DAF}">
  <ds:schemaRefs>
    <ds:schemaRef ds:uri="http://schemas.openxmlformats.org/officeDocument/2006/bibliography"/>
  </ds:schemaRefs>
</ds:datastoreItem>
</file>

<file path=customXml/itemProps2.xml><?xml version="1.0" encoding="utf-8"?>
<ds:datastoreItem xmlns:ds="http://schemas.openxmlformats.org/officeDocument/2006/customXml" ds:itemID="{AD84B14C-ACE9-425A-85C9-FCB28428A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268BD-87BF-438E-B26A-3183313946D4}">
  <ds:schemaRefs>
    <ds:schemaRef ds:uri="http://schemas.microsoft.com/sharepoint/v3/contenttype/forms"/>
  </ds:schemaRefs>
</ds:datastoreItem>
</file>

<file path=customXml/itemProps4.xml><?xml version="1.0" encoding="utf-8"?>
<ds:datastoreItem xmlns:ds="http://schemas.openxmlformats.org/officeDocument/2006/customXml" ds:itemID="{CA0DC295-8CD6-47DD-9A9D-1D7831805C33}">
  <ds:schemaRefs>
    <ds:schemaRef ds:uri="http://schemas.microsoft.com/office/2006/metadata/properties"/>
    <ds:schemaRef ds:uri="http://schemas.microsoft.com/office/infopath/2007/PartnerControls"/>
    <ds:schemaRef ds:uri="bb5ce4db-eb21-467d-b968-528655912a3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217</Pages>
  <Words>42647</Words>
  <Characters>268055</Characters>
  <Application>Microsoft Office Word</Application>
  <DocSecurity>0</DocSecurity>
  <Lines>2233</Lines>
  <Paragraphs>620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2022-06-22T03:45:00Z</dcterms:created>
  <dcterms:modified xsi:type="dcterms:W3CDTF">2022-06-22T03:45:00Z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ies>
</file>