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1C1E" w14:textId="73548950" w:rsidR="00DC5B1F" w:rsidRDefault="00DC5B1F" w:rsidP="00DC5B1F">
      <w:pPr>
        <w:pStyle w:val="Title"/>
        <w:jc w:val="center"/>
        <w:rPr>
          <w:rFonts w:eastAsia="Times New Roman"/>
          <w:lang w:val="en" w:eastAsia="en-AU"/>
        </w:rPr>
      </w:pPr>
      <w:bookmarkStart w:id="0" w:name="_top"/>
      <w:bookmarkEnd w:id="0"/>
    </w:p>
    <w:p w14:paraId="02B8CC95" w14:textId="77777777" w:rsidR="00DC5B1F" w:rsidRDefault="00DC5B1F" w:rsidP="00DC5B1F">
      <w:pPr>
        <w:pStyle w:val="Title"/>
        <w:jc w:val="center"/>
        <w:rPr>
          <w:rFonts w:eastAsia="Times New Roman"/>
          <w:lang w:val="en" w:eastAsia="en-AU"/>
        </w:rPr>
      </w:pPr>
    </w:p>
    <w:p w14:paraId="71DAA91D" w14:textId="77777777" w:rsidR="00DC5B1F" w:rsidRDefault="00DC5B1F" w:rsidP="00DC5B1F">
      <w:pPr>
        <w:pStyle w:val="Title"/>
        <w:jc w:val="center"/>
        <w:rPr>
          <w:rFonts w:eastAsia="Times New Roman"/>
          <w:lang w:val="en" w:eastAsia="en-AU"/>
        </w:rPr>
      </w:pPr>
    </w:p>
    <w:p w14:paraId="6E91CA9D" w14:textId="77777777" w:rsidR="00DC5B1F" w:rsidRDefault="00DC5B1F" w:rsidP="00DC5B1F">
      <w:pPr>
        <w:pStyle w:val="Title"/>
        <w:jc w:val="center"/>
        <w:rPr>
          <w:rFonts w:eastAsia="Times New Roman"/>
          <w:lang w:val="en" w:eastAsia="en-AU"/>
        </w:rPr>
      </w:pPr>
    </w:p>
    <w:p w14:paraId="09B9F509" w14:textId="77777777" w:rsidR="00DC5B1F" w:rsidRDefault="00DC5B1F" w:rsidP="00DC5B1F">
      <w:pPr>
        <w:pStyle w:val="Title"/>
        <w:jc w:val="center"/>
        <w:rPr>
          <w:rFonts w:eastAsia="Times New Roman"/>
          <w:lang w:val="en" w:eastAsia="en-AU"/>
        </w:rPr>
      </w:pPr>
    </w:p>
    <w:p w14:paraId="3C2D92B9" w14:textId="77777777" w:rsidR="00DC5B1F" w:rsidRDefault="00DC5B1F" w:rsidP="00DC5B1F">
      <w:pPr>
        <w:pStyle w:val="Title"/>
        <w:jc w:val="center"/>
        <w:rPr>
          <w:rFonts w:eastAsia="Times New Roman"/>
          <w:lang w:val="en" w:eastAsia="en-AU"/>
        </w:rPr>
      </w:pPr>
    </w:p>
    <w:p w14:paraId="5240BABF" w14:textId="77777777" w:rsidR="00DC5B1F" w:rsidRDefault="00DC5B1F" w:rsidP="00DC5B1F">
      <w:pPr>
        <w:pStyle w:val="Title"/>
        <w:jc w:val="center"/>
        <w:rPr>
          <w:rFonts w:eastAsia="Times New Roman"/>
          <w:lang w:val="en" w:eastAsia="en-AU"/>
        </w:rPr>
      </w:pPr>
    </w:p>
    <w:p w14:paraId="44017019" w14:textId="36978441" w:rsidR="00DC5B1F" w:rsidRDefault="00DC5B1F" w:rsidP="00C13317">
      <w:pPr>
        <w:pStyle w:val="Title"/>
        <w:tabs>
          <w:tab w:val="left" w:pos="5715"/>
        </w:tabs>
        <w:jc w:val="center"/>
        <w:rPr>
          <w:rFonts w:eastAsia="Times New Roman"/>
          <w:lang w:val="en" w:eastAsia="en-AU"/>
        </w:rPr>
      </w:pPr>
    </w:p>
    <w:p w14:paraId="3FD14CF6" w14:textId="39AB7624" w:rsidR="004E59C0" w:rsidRPr="004D307F" w:rsidRDefault="002A5C97" w:rsidP="00AA54CC">
      <w:pPr>
        <w:pStyle w:val="Title"/>
        <w:jc w:val="center"/>
        <w:rPr>
          <w:rFonts w:eastAsia="Times New Roman"/>
          <w:b/>
          <w:bCs/>
          <w:color w:val="323E4F" w:themeColor="text2" w:themeShade="BF"/>
          <w:sz w:val="72"/>
          <w:szCs w:val="72"/>
          <w:lang w:val="en" w:eastAsia="en-AU"/>
        </w:rPr>
      </w:pPr>
      <w:r w:rsidRPr="004D307F">
        <w:rPr>
          <w:rFonts w:eastAsia="Times New Roman"/>
          <w:b/>
          <w:bCs/>
          <w:color w:val="323E4F" w:themeColor="text2" w:themeShade="BF"/>
          <w:sz w:val="72"/>
          <w:szCs w:val="72"/>
          <w:lang w:val="en" w:eastAsia="en-AU"/>
        </w:rPr>
        <w:t>202</w:t>
      </w:r>
      <w:r w:rsidR="00845A32" w:rsidRPr="004D307F">
        <w:rPr>
          <w:rFonts w:eastAsia="Times New Roman"/>
          <w:b/>
          <w:bCs/>
          <w:color w:val="323E4F" w:themeColor="text2" w:themeShade="BF"/>
          <w:sz w:val="72"/>
          <w:szCs w:val="72"/>
          <w:lang w:val="en" w:eastAsia="en-AU"/>
        </w:rPr>
        <w:t>2</w:t>
      </w:r>
      <w:r w:rsidRPr="004D307F">
        <w:rPr>
          <w:rFonts w:eastAsia="Times New Roman"/>
          <w:b/>
          <w:bCs/>
          <w:color w:val="323E4F" w:themeColor="text2" w:themeShade="BF"/>
          <w:sz w:val="72"/>
          <w:szCs w:val="72"/>
          <w:lang w:val="en" w:eastAsia="en-AU"/>
        </w:rPr>
        <w:t xml:space="preserve"> </w:t>
      </w:r>
      <w:r w:rsidR="003D0744" w:rsidRPr="004D307F">
        <w:rPr>
          <w:rFonts w:eastAsia="Times New Roman"/>
          <w:b/>
          <w:bCs/>
          <w:color w:val="323E4F" w:themeColor="text2" w:themeShade="BF"/>
          <w:sz w:val="72"/>
          <w:szCs w:val="72"/>
          <w:lang w:val="en" w:eastAsia="en-AU"/>
        </w:rPr>
        <w:t xml:space="preserve">CONFIRMED </w:t>
      </w:r>
    </w:p>
    <w:p w14:paraId="02E21818" w14:textId="77777777" w:rsidR="00C13317" w:rsidRDefault="001E6AD4" w:rsidP="00C13317">
      <w:pPr>
        <w:pStyle w:val="Title"/>
        <w:jc w:val="center"/>
        <w:rPr>
          <w:lang w:val="en" w:eastAsia="en-AU"/>
        </w:rPr>
      </w:pPr>
      <w:r w:rsidRPr="004D307F">
        <w:rPr>
          <w:rFonts w:eastAsia="Times New Roman"/>
          <w:b/>
          <w:bCs/>
          <w:color w:val="323E4F" w:themeColor="text2" w:themeShade="BF"/>
          <w:sz w:val="72"/>
          <w:szCs w:val="72"/>
          <w:lang w:val="en" w:eastAsia="en-AU"/>
        </w:rPr>
        <w:t>STUDENT RESOURCE PACKAGE</w:t>
      </w:r>
      <w:r w:rsidR="00194BEE" w:rsidRPr="004D307F">
        <w:rPr>
          <w:rFonts w:eastAsia="Times New Roman"/>
          <w:b/>
          <w:bCs/>
          <w:color w:val="323E4F" w:themeColor="text2" w:themeShade="BF"/>
          <w:sz w:val="72"/>
          <w:szCs w:val="72"/>
          <w:lang w:val="en" w:eastAsia="en-AU"/>
        </w:rPr>
        <w:t xml:space="preserve"> GUIDE </w:t>
      </w:r>
      <w:r w:rsidRPr="004D307F">
        <w:rPr>
          <w:rFonts w:eastAsia="Times New Roman"/>
          <w:b/>
          <w:bCs/>
          <w:sz w:val="72"/>
          <w:szCs w:val="72"/>
          <w:lang w:val="en" w:eastAsia="en-AU"/>
        </w:rPr>
        <w:br/>
      </w:r>
    </w:p>
    <w:p w14:paraId="67918995" w14:textId="5B41B5A3" w:rsidR="00C13317" w:rsidRDefault="00C13317" w:rsidP="00C13317">
      <w:pPr>
        <w:pStyle w:val="Title"/>
        <w:jc w:val="center"/>
        <w:rPr>
          <w:lang w:val="en" w:eastAsia="en-AU"/>
        </w:rPr>
      </w:pPr>
      <w:r>
        <w:rPr>
          <w:lang w:val="en" w:eastAsia="en-AU"/>
        </w:rPr>
        <w:br w:type="page"/>
      </w:r>
    </w:p>
    <w:p w14:paraId="56ED9C61" w14:textId="0A77E11E" w:rsidR="00DC5B1F" w:rsidRPr="004D307F" w:rsidRDefault="00DC5B1F" w:rsidP="001E6AD4">
      <w:pPr>
        <w:rPr>
          <w:lang w:val="en" w:eastAsia="en-AU"/>
        </w:rPr>
      </w:pPr>
    </w:p>
    <w:sdt>
      <w:sdtPr>
        <w:rPr>
          <w:rFonts w:asciiTheme="minorHAnsi" w:eastAsiaTheme="minorHAnsi" w:hAnsiTheme="minorHAnsi" w:cstheme="minorBidi"/>
          <w:color w:val="000000"/>
          <w:sz w:val="22"/>
          <w:szCs w:val="22"/>
          <w:lang w:val="en-AU"/>
          <w14:textFill>
            <w14:solidFill>
              <w14:srgbClr w14:val="000000">
                <w14:lumMod w14:val="75000"/>
              </w14:srgbClr>
            </w14:solidFill>
          </w14:textFill>
        </w:rPr>
        <w:id w:val="84042412"/>
        <w:docPartObj>
          <w:docPartGallery w:val="Table of Contents"/>
          <w:docPartUnique/>
        </w:docPartObj>
      </w:sdtPr>
      <w:sdtEndPr>
        <w:rPr>
          <w:b/>
          <w:bCs/>
          <w:noProof/>
        </w:rPr>
      </w:sdtEndPr>
      <w:sdtContent>
        <w:p w14:paraId="1DBFF339" w14:textId="7A64A7AB" w:rsidR="00787CC6" w:rsidRPr="004D307F" w:rsidRDefault="00787CC6" w:rsidP="000F3581">
          <w:pPr>
            <w:pStyle w:val="TOCHeading"/>
          </w:pPr>
          <w:r w:rsidRPr="004D307F">
            <w:t>Contents</w:t>
          </w:r>
        </w:p>
        <w:p w14:paraId="4D1A46BB" w14:textId="6BFBC4B8" w:rsidR="000F3581" w:rsidRPr="004D307F" w:rsidRDefault="007016CD" w:rsidP="000F3581">
          <w:pPr>
            <w:pStyle w:val="TOC1"/>
            <w:rPr>
              <w:rFonts w:eastAsiaTheme="minorEastAsia"/>
              <w:noProof/>
              <w:lang w:eastAsia="en-AU"/>
            </w:rPr>
          </w:pPr>
          <w:r w:rsidRPr="004D307F">
            <w:rPr>
              <w:color w:val="222A35" w:themeColor="text2" w:themeShade="80"/>
            </w:rPr>
            <w:fldChar w:fldCharType="begin"/>
          </w:r>
          <w:r w:rsidRPr="004D307F">
            <w:rPr>
              <w:color w:val="222A35" w:themeColor="text2" w:themeShade="80"/>
            </w:rPr>
            <w:instrText xml:space="preserve"> TOC \o "1-2" \h \z </w:instrText>
          </w:r>
          <w:r w:rsidRPr="004D307F">
            <w:rPr>
              <w:color w:val="222A35" w:themeColor="text2" w:themeShade="80"/>
            </w:rPr>
            <w:fldChar w:fldCharType="separate"/>
          </w:r>
          <w:hyperlink w:anchor="_Toc99882721" w:history="1">
            <w:r w:rsidR="000F3581" w:rsidRPr="004D307F">
              <w:rPr>
                <w:rStyle w:val="Hyperlink"/>
                <w:noProof/>
                <w:lang w:val="en"/>
              </w:rPr>
              <w:t>Core Student Learning Allocation funding (Student Based Funding)</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_Toc99882721 \h </w:instrText>
            </w:r>
            <w:r w:rsidR="000F3581" w:rsidRPr="004D307F">
              <w:rPr>
                <w:noProof/>
                <w:webHidden/>
              </w:rPr>
            </w:r>
            <w:r w:rsidR="000F3581" w:rsidRPr="004D307F">
              <w:rPr>
                <w:noProof/>
                <w:webHidden/>
              </w:rPr>
              <w:fldChar w:fldCharType="separate"/>
            </w:r>
            <w:r w:rsidR="00237A8F">
              <w:rPr>
                <w:noProof/>
                <w:webHidden/>
              </w:rPr>
              <w:t>5</w:t>
            </w:r>
            <w:r w:rsidR="000F3581" w:rsidRPr="004D307F">
              <w:rPr>
                <w:noProof/>
                <w:webHidden/>
              </w:rPr>
              <w:fldChar w:fldCharType="end"/>
            </w:r>
          </w:hyperlink>
        </w:p>
        <w:p w14:paraId="0418429D" w14:textId="051DCF13" w:rsidR="000F3581" w:rsidRPr="004D307F" w:rsidRDefault="00A35420" w:rsidP="000F3581">
          <w:pPr>
            <w:pStyle w:val="TOC2"/>
            <w:rPr>
              <w:rFonts w:eastAsiaTheme="minorEastAsia"/>
              <w:noProof/>
              <w:lang w:eastAsia="en-AU"/>
            </w:rPr>
          </w:pPr>
          <w:hyperlink w:anchor="_Toc99882722" w:history="1">
            <w:r w:rsidR="000F3581" w:rsidRPr="004D307F">
              <w:rPr>
                <w:rStyle w:val="Hyperlink"/>
                <w:noProof/>
              </w:rPr>
              <w:t>Student per capita Funding Years Prep-12 Students (Reference 1)</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_Toc99882722 \h </w:instrText>
            </w:r>
            <w:r w:rsidR="000F3581" w:rsidRPr="004D307F">
              <w:rPr>
                <w:noProof/>
                <w:webHidden/>
              </w:rPr>
            </w:r>
            <w:r w:rsidR="000F3581" w:rsidRPr="004D307F">
              <w:rPr>
                <w:noProof/>
                <w:webHidden/>
              </w:rPr>
              <w:fldChar w:fldCharType="separate"/>
            </w:r>
            <w:r w:rsidR="00237A8F">
              <w:rPr>
                <w:noProof/>
                <w:webHidden/>
              </w:rPr>
              <w:t>7</w:t>
            </w:r>
            <w:r w:rsidR="000F3581" w:rsidRPr="004D307F">
              <w:rPr>
                <w:noProof/>
                <w:webHidden/>
              </w:rPr>
              <w:fldChar w:fldCharType="end"/>
            </w:r>
          </w:hyperlink>
        </w:p>
        <w:p w14:paraId="31C029DF" w14:textId="352B7043" w:rsidR="000F3581" w:rsidRPr="004D307F" w:rsidRDefault="00A35420" w:rsidP="000F3581">
          <w:pPr>
            <w:pStyle w:val="TOC2"/>
            <w:rPr>
              <w:rFonts w:eastAsiaTheme="minorEastAsia"/>
              <w:noProof/>
              <w:lang w:eastAsia="en-AU"/>
            </w:rPr>
          </w:pPr>
          <w:hyperlink w:anchor="_Toc99882723" w:history="1">
            <w:r w:rsidR="000F3581" w:rsidRPr="004D307F">
              <w:rPr>
                <w:rStyle w:val="Hyperlink"/>
                <w:noProof/>
              </w:rPr>
              <w:t>Enrolment Linked Base (Reference 2)</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_Toc99882723 \h </w:instrText>
            </w:r>
            <w:r w:rsidR="000F3581" w:rsidRPr="004D307F">
              <w:rPr>
                <w:noProof/>
                <w:webHidden/>
              </w:rPr>
            </w:r>
            <w:r w:rsidR="000F3581" w:rsidRPr="004D307F">
              <w:rPr>
                <w:noProof/>
                <w:webHidden/>
              </w:rPr>
              <w:fldChar w:fldCharType="separate"/>
            </w:r>
            <w:r w:rsidR="00237A8F">
              <w:rPr>
                <w:noProof/>
                <w:webHidden/>
              </w:rPr>
              <w:t>8</w:t>
            </w:r>
            <w:r w:rsidR="000F3581" w:rsidRPr="004D307F">
              <w:rPr>
                <w:noProof/>
                <w:webHidden/>
              </w:rPr>
              <w:fldChar w:fldCharType="end"/>
            </w:r>
          </w:hyperlink>
        </w:p>
        <w:p w14:paraId="341329A1" w14:textId="3841234F" w:rsidR="000F3581" w:rsidRPr="004D307F" w:rsidRDefault="00A35420" w:rsidP="000F3581">
          <w:pPr>
            <w:pStyle w:val="TOC2"/>
            <w:rPr>
              <w:rFonts w:eastAsiaTheme="minorEastAsia"/>
              <w:noProof/>
              <w:lang w:eastAsia="en-AU"/>
            </w:rPr>
          </w:pPr>
          <w:hyperlink w:anchor="_Toc99882724" w:history="1">
            <w:r w:rsidR="000F3581" w:rsidRPr="004D307F">
              <w:rPr>
                <w:rStyle w:val="Hyperlink"/>
                <w:noProof/>
              </w:rPr>
              <w:t>Small School Base (Reference 3)</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_Toc99882724 \h </w:instrText>
            </w:r>
            <w:r w:rsidR="000F3581" w:rsidRPr="004D307F">
              <w:rPr>
                <w:noProof/>
                <w:webHidden/>
              </w:rPr>
            </w:r>
            <w:r w:rsidR="000F3581" w:rsidRPr="004D307F">
              <w:rPr>
                <w:noProof/>
                <w:webHidden/>
              </w:rPr>
              <w:fldChar w:fldCharType="separate"/>
            </w:r>
            <w:r w:rsidR="00237A8F">
              <w:rPr>
                <w:noProof/>
                <w:webHidden/>
              </w:rPr>
              <w:t>10</w:t>
            </w:r>
            <w:r w:rsidR="000F3581" w:rsidRPr="004D307F">
              <w:rPr>
                <w:noProof/>
                <w:webHidden/>
              </w:rPr>
              <w:fldChar w:fldCharType="end"/>
            </w:r>
          </w:hyperlink>
        </w:p>
        <w:p w14:paraId="5E30C241" w14:textId="78C27281" w:rsidR="000F3581" w:rsidRPr="004D307F" w:rsidRDefault="00A35420" w:rsidP="000F3581">
          <w:pPr>
            <w:pStyle w:val="TOC2"/>
            <w:rPr>
              <w:rFonts w:eastAsiaTheme="minorEastAsia"/>
              <w:noProof/>
              <w:lang w:eastAsia="en-AU"/>
            </w:rPr>
          </w:pPr>
          <w:hyperlink w:anchor="_Toc99882725" w:history="1">
            <w:r w:rsidR="000F3581" w:rsidRPr="004D307F">
              <w:rPr>
                <w:rStyle w:val="Hyperlink"/>
                <w:noProof/>
              </w:rPr>
              <w:t>Rural School Size Adjustment Factor (Reference 4)</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_Toc99882725 \h </w:instrText>
            </w:r>
            <w:r w:rsidR="000F3581" w:rsidRPr="004D307F">
              <w:rPr>
                <w:noProof/>
                <w:webHidden/>
              </w:rPr>
            </w:r>
            <w:r w:rsidR="000F3581" w:rsidRPr="004D307F">
              <w:rPr>
                <w:noProof/>
                <w:webHidden/>
              </w:rPr>
              <w:fldChar w:fldCharType="separate"/>
            </w:r>
            <w:r w:rsidR="00237A8F">
              <w:rPr>
                <w:noProof/>
                <w:webHidden/>
              </w:rPr>
              <w:t>12</w:t>
            </w:r>
            <w:r w:rsidR="000F3581" w:rsidRPr="004D307F">
              <w:rPr>
                <w:noProof/>
                <w:webHidden/>
              </w:rPr>
              <w:fldChar w:fldCharType="end"/>
            </w:r>
          </w:hyperlink>
        </w:p>
        <w:p w14:paraId="0F991D5F" w14:textId="2F10E333" w:rsidR="000F3581" w:rsidRPr="004D307F" w:rsidRDefault="00A35420" w:rsidP="000F3581">
          <w:pPr>
            <w:pStyle w:val="TOC2"/>
            <w:rPr>
              <w:rFonts w:eastAsiaTheme="minorEastAsia"/>
              <w:noProof/>
              <w:lang w:eastAsia="en-AU"/>
            </w:rPr>
          </w:pPr>
          <w:hyperlink w:anchor="_Toc99882726" w:history="1">
            <w:r w:rsidR="000F3581" w:rsidRPr="004D307F">
              <w:rPr>
                <w:rStyle w:val="Hyperlink"/>
                <w:noProof/>
              </w:rPr>
              <w:t>Core Index Stages 1-3 (Reference 5)</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_Toc99882726 \h </w:instrText>
            </w:r>
            <w:r w:rsidR="000F3581" w:rsidRPr="004D307F">
              <w:rPr>
                <w:noProof/>
                <w:webHidden/>
              </w:rPr>
            </w:r>
            <w:r w:rsidR="000F3581" w:rsidRPr="004D307F">
              <w:rPr>
                <w:noProof/>
                <w:webHidden/>
              </w:rPr>
              <w:fldChar w:fldCharType="separate"/>
            </w:r>
            <w:r w:rsidR="00237A8F">
              <w:rPr>
                <w:noProof/>
                <w:webHidden/>
              </w:rPr>
              <w:t>15</w:t>
            </w:r>
            <w:r w:rsidR="000F3581" w:rsidRPr="004D307F">
              <w:rPr>
                <w:noProof/>
                <w:webHidden/>
              </w:rPr>
              <w:fldChar w:fldCharType="end"/>
            </w:r>
          </w:hyperlink>
        </w:p>
        <w:p w14:paraId="00086C41" w14:textId="405FBF44" w:rsidR="000F3581" w:rsidRPr="004D307F" w:rsidRDefault="00A35420" w:rsidP="000F3581">
          <w:pPr>
            <w:pStyle w:val="TOC2"/>
            <w:rPr>
              <w:rFonts w:eastAsiaTheme="minorEastAsia"/>
              <w:noProof/>
              <w:lang w:eastAsia="en-AU"/>
            </w:rPr>
          </w:pPr>
          <w:hyperlink w:anchor="_Toc99882727" w:history="1">
            <w:r w:rsidR="000F3581" w:rsidRPr="004D307F">
              <w:rPr>
                <w:rStyle w:val="Hyperlink"/>
                <w:noProof/>
              </w:rPr>
              <w:t>Size Adjustment Supplementation (Reference 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_Toc99882727 \h </w:instrText>
            </w:r>
            <w:r w:rsidR="000F3581" w:rsidRPr="004D307F">
              <w:rPr>
                <w:noProof/>
                <w:webHidden/>
              </w:rPr>
            </w:r>
            <w:r w:rsidR="000F3581" w:rsidRPr="004D307F">
              <w:rPr>
                <w:noProof/>
                <w:webHidden/>
              </w:rPr>
              <w:fldChar w:fldCharType="separate"/>
            </w:r>
            <w:r w:rsidR="00237A8F">
              <w:rPr>
                <w:noProof/>
                <w:webHidden/>
              </w:rPr>
              <w:t>17</w:t>
            </w:r>
            <w:r w:rsidR="000F3581" w:rsidRPr="004D307F">
              <w:rPr>
                <w:noProof/>
                <w:webHidden/>
              </w:rPr>
              <w:fldChar w:fldCharType="end"/>
            </w:r>
          </w:hyperlink>
        </w:p>
        <w:p w14:paraId="5E2DA991" w14:textId="1B659113" w:rsidR="000F3581" w:rsidRPr="004D307F" w:rsidRDefault="00A35420" w:rsidP="000F3581">
          <w:pPr>
            <w:pStyle w:val="TOC2"/>
            <w:rPr>
              <w:rFonts w:eastAsiaTheme="minorEastAsia"/>
              <w:noProof/>
              <w:lang w:eastAsia="en-AU"/>
            </w:rPr>
          </w:pPr>
          <w:hyperlink w:anchor="_Toc99882728" w:history="1">
            <w:r w:rsidR="000F3581" w:rsidRPr="004D307F">
              <w:rPr>
                <w:rStyle w:val="Hyperlink"/>
                <w:noProof/>
              </w:rPr>
              <w:t>Approved Early Education Program (Reference 7)</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_Toc99882728 \h </w:instrText>
            </w:r>
            <w:r w:rsidR="000F3581" w:rsidRPr="004D307F">
              <w:rPr>
                <w:noProof/>
                <w:webHidden/>
              </w:rPr>
            </w:r>
            <w:r w:rsidR="000F3581" w:rsidRPr="004D307F">
              <w:rPr>
                <w:noProof/>
                <w:webHidden/>
              </w:rPr>
              <w:fldChar w:fldCharType="separate"/>
            </w:r>
            <w:r w:rsidR="00237A8F">
              <w:rPr>
                <w:noProof/>
                <w:webHidden/>
              </w:rPr>
              <w:t>18</w:t>
            </w:r>
            <w:r w:rsidR="000F3581" w:rsidRPr="004D307F">
              <w:rPr>
                <w:noProof/>
                <w:webHidden/>
              </w:rPr>
              <w:fldChar w:fldCharType="end"/>
            </w:r>
          </w:hyperlink>
        </w:p>
        <w:p w14:paraId="18CF031C" w14:textId="6DF01D6A" w:rsidR="000F3581" w:rsidRPr="004D307F" w:rsidRDefault="00A35420" w:rsidP="000F3581">
          <w:pPr>
            <w:pStyle w:val="TOC2"/>
            <w:rPr>
              <w:rFonts w:eastAsiaTheme="minorEastAsia"/>
              <w:noProof/>
              <w:lang w:eastAsia="en-AU"/>
            </w:rPr>
          </w:pPr>
          <w:hyperlink w:anchor="_Toc99882729" w:history="1">
            <w:r w:rsidR="000F3581" w:rsidRPr="004D307F">
              <w:rPr>
                <w:rStyle w:val="Hyperlink"/>
                <w:noProof/>
              </w:rPr>
              <w:t>Principal Salary Adjustment (Reference 8)</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_Toc99882729 \h </w:instrText>
            </w:r>
            <w:r w:rsidR="000F3581" w:rsidRPr="004D307F">
              <w:rPr>
                <w:noProof/>
                <w:webHidden/>
              </w:rPr>
            </w:r>
            <w:r w:rsidR="000F3581" w:rsidRPr="004D307F">
              <w:rPr>
                <w:noProof/>
                <w:webHidden/>
              </w:rPr>
              <w:fldChar w:fldCharType="separate"/>
            </w:r>
            <w:r w:rsidR="00237A8F">
              <w:rPr>
                <w:noProof/>
                <w:webHidden/>
              </w:rPr>
              <w:t>19</w:t>
            </w:r>
            <w:r w:rsidR="000F3581" w:rsidRPr="004D307F">
              <w:rPr>
                <w:noProof/>
                <w:webHidden/>
              </w:rPr>
              <w:fldChar w:fldCharType="end"/>
            </w:r>
          </w:hyperlink>
        </w:p>
        <w:p w14:paraId="58B70BB5" w14:textId="75FCEF7D" w:rsidR="000F3581" w:rsidRPr="004D307F" w:rsidRDefault="00A35420" w:rsidP="000F3581">
          <w:pPr>
            <w:pStyle w:val="TOC2"/>
            <w:rPr>
              <w:rFonts w:eastAsiaTheme="minorEastAsia"/>
              <w:noProof/>
              <w:lang w:eastAsia="en-AU"/>
            </w:rPr>
          </w:pPr>
          <w:hyperlink w:anchor="_Toc99882730" w:history="1">
            <w:r w:rsidR="000F3581" w:rsidRPr="004D307F">
              <w:rPr>
                <w:rStyle w:val="Hyperlink"/>
                <w:noProof/>
              </w:rPr>
              <w:t>Language and Learning Disabilities Support Program (Reference 10)</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_Toc99882730 \h </w:instrText>
            </w:r>
            <w:r w:rsidR="000F3581" w:rsidRPr="004D307F">
              <w:rPr>
                <w:noProof/>
                <w:webHidden/>
              </w:rPr>
            </w:r>
            <w:r w:rsidR="000F3581" w:rsidRPr="004D307F">
              <w:rPr>
                <w:noProof/>
                <w:webHidden/>
              </w:rPr>
              <w:fldChar w:fldCharType="separate"/>
            </w:r>
            <w:r w:rsidR="00237A8F">
              <w:rPr>
                <w:noProof/>
                <w:webHidden/>
              </w:rPr>
              <w:t>20</w:t>
            </w:r>
            <w:r w:rsidR="000F3581" w:rsidRPr="004D307F">
              <w:rPr>
                <w:noProof/>
                <w:webHidden/>
              </w:rPr>
              <w:fldChar w:fldCharType="end"/>
            </w:r>
          </w:hyperlink>
        </w:p>
        <w:p w14:paraId="014903FC" w14:textId="59A0AF93" w:rsidR="000F3581" w:rsidRPr="004D307F" w:rsidRDefault="00A35420" w:rsidP="000F3581">
          <w:pPr>
            <w:pStyle w:val="TOC2"/>
            <w:rPr>
              <w:rFonts w:eastAsiaTheme="minorEastAsia"/>
              <w:noProof/>
              <w:lang w:eastAsia="en-AU"/>
            </w:rPr>
          </w:pPr>
          <w:hyperlink w:anchor="_Toc99882731" w:history="1">
            <w:r w:rsidR="000F3581" w:rsidRPr="004D307F">
              <w:rPr>
                <w:rStyle w:val="Hyperlink"/>
                <w:noProof/>
              </w:rPr>
              <w:t>Mental Health Practitioners (Reference 119)</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_Toc99882731 \h </w:instrText>
            </w:r>
            <w:r w:rsidR="000F3581" w:rsidRPr="004D307F">
              <w:rPr>
                <w:noProof/>
                <w:webHidden/>
              </w:rPr>
            </w:r>
            <w:r w:rsidR="000F3581" w:rsidRPr="004D307F">
              <w:rPr>
                <w:noProof/>
                <w:webHidden/>
              </w:rPr>
              <w:fldChar w:fldCharType="separate"/>
            </w:r>
            <w:r w:rsidR="00237A8F">
              <w:rPr>
                <w:noProof/>
                <w:webHidden/>
              </w:rPr>
              <w:t>22</w:t>
            </w:r>
            <w:r w:rsidR="000F3581" w:rsidRPr="004D307F">
              <w:rPr>
                <w:noProof/>
                <w:webHidden/>
              </w:rPr>
              <w:fldChar w:fldCharType="end"/>
            </w:r>
          </w:hyperlink>
        </w:p>
        <w:p w14:paraId="692A9D3B" w14:textId="388F3D26" w:rsidR="000F3581" w:rsidRPr="004D307F" w:rsidRDefault="00A35420" w:rsidP="000F3581">
          <w:pPr>
            <w:pStyle w:val="TOC1"/>
            <w:rPr>
              <w:rFonts w:eastAsiaTheme="minorEastAsia"/>
              <w:noProof/>
              <w:lang w:eastAsia="en-AU"/>
            </w:rPr>
          </w:pPr>
          <w:hyperlink w:anchor="_Toc99882732" w:history="1">
            <w:r w:rsidR="000F3581" w:rsidRPr="004D307F">
              <w:rPr>
                <w:rStyle w:val="Hyperlink"/>
                <w:noProof/>
              </w:rPr>
              <w:t>Equity Funding (Student Based Funding)</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_Toc99882732 \h </w:instrText>
            </w:r>
            <w:r w:rsidR="000F3581" w:rsidRPr="004D307F">
              <w:rPr>
                <w:noProof/>
                <w:webHidden/>
              </w:rPr>
            </w:r>
            <w:r w:rsidR="000F3581" w:rsidRPr="004D307F">
              <w:rPr>
                <w:noProof/>
                <w:webHidden/>
              </w:rPr>
              <w:fldChar w:fldCharType="separate"/>
            </w:r>
            <w:r w:rsidR="00237A8F">
              <w:rPr>
                <w:noProof/>
                <w:webHidden/>
              </w:rPr>
              <w:t>24</w:t>
            </w:r>
            <w:r w:rsidR="000F3581" w:rsidRPr="004D307F">
              <w:rPr>
                <w:noProof/>
                <w:webHidden/>
              </w:rPr>
              <w:fldChar w:fldCharType="end"/>
            </w:r>
          </w:hyperlink>
        </w:p>
        <w:p w14:paraId="22DED39A" w14:textId="5C4ED7C2" w:rsidR="000F3581" w:rsidRPr="004D307F" w:rsidRDefault="00A35420" w:rsidP="000F3581">
          <w:pPr>
            <w:pStyle w:val="TOC2"/>
            <w:rPr>
              <w:rFonts w:eastAsiaTheme="minorEastAsia"/>
              <w:noProof/>
              <w:lang w:eastAsia="en-AU"/>
            </w:rPr>
          </w:pPr>
          <w:hyperlink w:anchor="_Toc99882733" w:history="1">
            <w:r w:rsidR="000F3581" w:rsidRPr="004D307F">
              <w:rPr>
                <w:rStyle w:val="Hyperlink"/>
                <w:noProof/>
              </w:rPr>
              <w:t>Equity (Social Disadvantage) (Reference 11)</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_Toc99882733 \h </w:instrText>
            </w:r>
            <w:r w:rsidR="000F3581" w:rsidRPr="004D307F">
              <w:rPr>
                <w:noProof/>
                <w:webHidden/>
              </w:rPr>
            </w:r>
            <w:r w:rsidR="000F3581" w:rsidRPr="004D307F">
              <w:rPr>
                <w:noProof/>
                <w:webHidden/>
              </w:rPr>
              <w:fldChar w:fldCharType="separate"/>
            </w:r>
            <w:r w:rsidR="00237A8F">
              <w:rPr>
                <w:noProof/>
                <w:webHidden/>
              </w:rPr>
              <w:t>26</w:t>
            </w:r>
            <w:r w:rsidR="000F3581" w:rsidRPr="004D307F">
              <w:rPr>
                <w:noProof/>
                <w:webHidden/>
              </w:rPr>
              <w:fldChar w:fldCharType="end"/>
            </w:r>
          </w:hyperlink>
        </w:p>
        <w:p w14:paraId="596880DA" w14:textId="4E55EE0C" w:rsidR="000F3581" w:rsidRPr="004D307F" w:rsidRDefault="00A35420" w:rsidP="000F3581">
          <w:pPr>
            <w:pStyle w:val="TOC2"/>
            <w:rPr>
              <w:rFonts w:eastAsiaTheme="minorEastAsia"/>
              <w:noProof/>
              <w:lang w:eastAsia="en-AU"/>
            </w:rPr>
          </w:pPr>
          <w:hyperlink w:anchor="_Toc99882734" w:history="1">
            <w:r w:rsidR="000F3581" w:rsidRPr="004D307F">
              <w:rPr>
                <w:rStyle w:val="Hyperlink"/>
                <w:noProof/>
              </w:rPr>
              <w:t>Equity (Catch Up) (Reference 12)</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_Toc99882734 \h </w:instrText>
            </w:r>
            <w:r w:rsidR="000F3581" w:rsidRPr="004D307F">
              <w:rPr>
                <w:noProof/>
                <w:webHidden/>
              </w:rPr>
            </w:r>
            <w:r w:rsidR="000F3581" w:rsidRPr="004D307F">
              <w:rPr>
                <w:noProof/>
                <w:webHidden/>
              </w:rPr>
              <w:fldChar w:fldCharType="separate"/>
            </w:r>
            <w:r w:rsidR="00237A8F">
              <w:rPr>
                <w:noProof/>
                <w:webHidden/>
              </w:rPr>
              <w:t>32</w:t>
            </w:r>
            <w:r w:rsidR="000F3581" w:rsidRPr="004D307F">
              <w:rPr>
                <w:noProof/>
                <w:webHidden/>
              </w:rPr>
              <w:fldChar w:fldCharType="end"/>
            </w:r>
          </w:hyperlink>
        </w:p>
        <w:p w14:paraId="19241718" w14:textId="229CE6A8" w:rsidR="000F3581" w:rsidRPr="004D307F" w:rsidRDefault="00A35420" w:rsidP="000F3581">
          <w:pPr>
            <w:pStyle w:val="TOC2"/>
            <w:rPr>
              <w:rFonts w:eastAsiaTheme="minorEastAsia"/>
              <w:noProof/>
              <w:lang w:eastAsia="en-AU"/>
            </w:rPr>
          </w:pPr>
          <w:hyperlink w:anchor="_Toc99882735" w:history="1">
            <w:r w:rsidR="000F3581" w:rsidRPr="004D307F">
              <w:rPr>
                <w:rStyle w:val="Hyperlink"/>
                <w:noProof/>
              </w:rPr>
              <w:t>Mobility (Reference 14)</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_Toc99882735 \h </w:instrText>
            </w:r>
            <w:r w:rsidR="000F3581" w:rsidRPr="004D307F">
              <w:rPr>
                <w:noProof/>
                <w:webHidden/>
              </w:rPr>
            </w:r>
            <w:r w:rsidR="000F3581" w:rsidRPr="004D307F">
              <w:rPr>
                <w:noProof/>
                <w:webHidden/>
              </w:rPr>
              <w:fldChar w:fldCharType="separate"/>
            </w:r>
            <w:r w:rsidR="00237A8F">
              <w:rPr>
                <w:noProof/>
                <w:webHidden/>
              </w:rPr>
              <w:t>36</w:t>
            </w:r>
            <w:r w:rsidR="000F3581" w:rsidRPr="004D307F">
              <w:rPr>
                <w:noProof/>
                <w:webHidden/>
              </w:rPr>
              <w:fldChar w:fldCharType="end"/>
            </w:r>
          </w:hyperlink>
        </w:p>
        <w:p w14:paraId="1896BCC7" w14:textId="34BF5BC9" w:rsidR="000F3581" w:rsidRPr="004D307F" w:rsidRDefault="00A35420" w:rsidP="000F3581">
          <w:pPr>
            <w:pStyle w:val="TOC2"/>
            <w:rPr>
              <w:rFonts w:eastAsiaTheme="minorEastAsia"/>
              <w:noProof/>
              <w:lang w:eastAsia="en-AU"/>
            </w:rPr>
          </w:pPr>
          <w:hyperlink w:anchor="_Toc99882736" w:history="1">
            <w:r w:rsidR="000F3581" w:rsidRPr="004D307F">
              <w:rPr>
                <w:rStyle w:val="Hyperlink"/>
                <w:noProof/>
              </w:rPr>
              <w:t>Program for Students with Disabilities Levels 1-6 (Reference 15)</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_Toc99882736 \h </w:instrText>
            </w:r>
            <w:r w:rsidR="000F3581" w:rsidRPr="004D307F">
              <w:rPr>
                <w:noProof/>
                <w:webHidden/>
              </w:rPr>
            </w:r>
            <w:r w:rsidR="000F3581" w:rsidRPr="004D307F">
              <w:rPr>
                <w:noProof/>
                <w:webHidden/>
              </w:rPr>
              <w:fldChar w:fldCharType="separate"/>
            </w:r>
            <w:r w:rsidR="00237A8F">
              <w:rPr>
                <w:noProof/>
                <w:webHidden/>
              </w:rPr>
              <w:t>38</w:t>
            </w:r>
            <w:r w:rsidR="000F3581" w:rsidRPr="004D307F">
              <w:rPr>
                <w:noProof/>
                <w:webHidden/>
              </w:rPr>
              <w:fldChar w:fldCharType="end"/>
            </w:r>
          </w:hyperlink>
        </w:p>
        <w:p w14:paraId="69D4D596" w14:textId="70800F29" w:rsidR="000F3581" w:rsidRPr="004D307F" w:rsidRDefault="00A35420" w:rsidP="000F3581">
          <w:pPr>
            <w:pStyle w:val="TOC2"/>
            <w:rPr>
              <w:rFonts w:eastAsiaTheme="minorEastAsia"/>
              <w:noProof/>
              <w:lang w:eastAsia="en-AU"/>
            </w:rPr>
          </w:pPr>
          <w:hyperlink w:anchor="_Toc99882737" w:history="1">
            <w:r w:rsidR="000F3581" w:rsidRPr="004D307F">
              <w:rPr>
                <w:rStyle w:val="Hyperlink"/>
                <w:noProof/>
              </w:rPr>
              <w:t>Program for Students with Disabilities — Transition Support Funding (Reference 66)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_Toc99882737 \h </w:instrText>
            </w:r>
            <w:r w:rsidR="000F3581" w:rsidRPr="004D307F">
              <w:rPr>
                <w:noProof/>
                <w:webHidden/>
              </w:rPr>
            </w:r>
            <w:r w:rsidR="000F3581" w:rsidRPr="004D307F">
              <w:rPr>
                <w:noProof/>
                <w:webHidden/>
              </w:rPr>
              <w:fldChar w:fldCharType="separate"/>
            </w:r>
            <w:r w:rsidR="00237A8F">
              <w:rPr>
                <w:noProof/>
                <w:webHidden/>
              </w:rPr>
              <w:t>41</w:t>
            </w:r>
            <w:r w:rsidR="000F3581" w:rsidRPr="004D307F">
              <w:rPr>
                <w:noProof/>
                <w:webHidden/>
              </w:rPr>
              <w:fldChar w:fldCharType="end"/>
            </w:r>
          </w:hyperlink>
        </w:p>
        <w:p w14:paraId="2512DDA5" w14:textId="561F6B7D" w:rsidR="000F3581" w:rsidRPr="004D307F" w:rsidRDefault="00A35420" w:rsidP="000F3581">
          <w:pPr>
            <w:pStyle w:val="TOC2"/>
            <w:rPr>
              <w:rFonts w:eastAsiaTheme="minorEastAsia"/>
              <w:noProof/>
              <w:lang w:eastAsia="en-AU"/>
            </w:rPr>
          </w:pPr>
          <w:hyperlink w:anchor="_Toc99882738" w:history="1">
            <w:r w:rsidR="000F3581" w:rsidRPr="004D307F">
              <w:rPr>
                <w:rStyle w:val="Hyperlink"/>
                <w:noProof/>
              </w:rPr>
              <w:t>Special School Complexity Allowance (Reference 18)</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_Toc99882738 \h </w:instrText>
            </w:r>
            <w:r w:rsidR="000F3581" w:rsidRPr="004D307F">
              <w:rPr>
                <w:noProof/>
                <w:webHidden/>
              </w:rPr>
            </w:r>
            <w:r w:rsidR="000F3581" w:rsidRPr="004D307F">
              <w:rPr>
                <w:noProof/>
                <w:webHidden/>
              </w:rPr>
              <w:fldChar w:fldCharType="separate"/>
            </w:r>
            <w:r w:rsidR="00237A8F">
              <w:rPr>
                <w:noProof/>
                <w:webHidden/>
              </w:rPr>
              <w:t>44</w:t>
            </w:r>
            <w:r w:rsidR="000F3581" w:rsidRPr="004D307F">
              <w:rPr>
                <w:noProof/>
                <w:webHidden/>
              </w:rPr>
              <w:fldChar w:fldCharType="end"/>
            </w:r>
          </w:hyperlink>
        </w:p>
        <w:p w14:paraId="5FCDC9F9" w14:textId="4B1E0F82" w:rsidR="000F3581" w:rsidRPr="004D307F" w:rsidRDefault="00A35420" w:rsidP="000F3581">
          <w:pPr>
            <w:pStyle w:val="TOC2"/>
            <w:rPr>
              <w:rFonts w:eastAsiaTheme="minorEastAsia"/>
              <w:noProof/>
              <w:lang w:eastAsia="en-AU"/>
            </w:rPr>
          </w:pPr>
          <w:hyperlink w:anchor="_Toc99882739" w:history="1">
            <w:r w:rsidR="000F3581" w:rsidRPr="004D307F">
              <w:rPr>
                <w:rStyle w:val="Hyperlink"/>
                <w:noProof/>
              </w:rPr>
              <w:t>Paramedical and Interpreter Staff Salaries (Reference 19)</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_Toc99882739 \h </w:instrText>
            </w:r>
            <w:r w:rsidR="000F3581" w:rsidRPr="004D307F">
              <w:rPr>
                <w:noProof/>
                <w:webHidden/>
              </w:rPr>
            </w:r>
            <w:r w:rsidR="000F3581" w:rsidRPr="004D307F">
              <w:rPr>
                <w:noProof/>
                <w:webHidden/>
              </w:rPr>
              <w:fldChar w:fldCharType="separate"/>
            </w:r>
            <w:r w:rsidR="00237A8F">
              <w:rPr>
                <w:noProof/>
                <w:webHidden/>
              </w:rPr>
              <w:t>46</w:t>
            </w:r>
            <w:r w:rsidR="000F3581" w:rsidRPr="004D307F">
              <w:rPr>
                <w:noProof/>
                <w:webHidden/>
              </w:rPr>
              <w:fldChar w:fldCharType="end"/>
            </w:r>
          </w:hyperlink>
        </w:p>
        <w:p w14:paraId="74CA36C9" w14:textId="1FE23CCC" w:rsidR="000F3581" w:rsidRPr="004D307F" w:rsidRDefault="00A35420" w:rsidP="000F3581">
          <w:pPr>
            <w:pStyle w:val="TOC2"/>
            <w:rPr>
              <w:rFonts w:eastAsiaTheme="minorEastAsia"/>
              <w:noProof/>
              <w:lang w:eastAsia="en-AU"/>
            </w:rPr>
          </w:pPr>
          <w:hyperlink w:anchor="_Toc99882740" w:history="1">
            <w:r w:rsidR="000F3581" w:rsidRPr="004D307F">
              <w:rPr>
                <w:rStyle w:val="Hyperlink"/>
                <w:noProof/>
              </w:rPr>
              <w:t>Medical Intervention Support (Reference 20)</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_Toc99882740 \h </w:instrText>
            </w:r>
            <w:r w:rsidR="000F3581" w:rsidRPr="004D307F">
              <w:rPr>
                <w:noProof/>
                <w:webHidden/>
              </w:rPr>
            </w:r>
            <w:r w:rsidR="000F3581" w:rsidRPr="004D307F">
              <w:rPr>
                <w:noProof/>
                <w:webHidden/>
              </w:rPr>
              <w:fldChar w:fldCharType="separate"/>
            </w:r>
            <w:r w:rsidR="00237A8F">
              <w:rPr>
                <w:noProof/>
                <w:webHidden/>
              </w:rPr>
              <w:t>47</w:t>
            </w:r>
            <w:r w:rsidR="000F3581" w:rsidRPr="004D307F">
              <w:rPr>
                <w:noProof/>
                <w:webHidden/>
              </w:rPr>
              <w:fldChar w:fldCharType="end"/>
            </w:r>
          </w:hyperlink>
        </w:p>
        <w:p w14:paraId="0CA4BB5A" w14:textId="3BB85A20" w:rsidR="000F3581" w:rsidRPr="004D307F" w:rsidRDefault="00A35420" w:rsidP="000F3581">
          <w:pPr>
            <w:pStyle w:val="TOC2"/>
            <w:rPr>
              <w:rFonts w:eastAsiaTheme="minorEastAsia"/>
              <w:noProof/>
              <w:lang w:eastAsia="en-AU"/>
            </w:rPr>
          </w:pPr>
          <w:hyperlink w:anchor="_Toc99882741" w:history="1">
            <w:r w:rsidR="000F3581" w:rsidRPr="004D307F">
              <w:rPr>
                <w:rStyle w:val="Hyperlink"/>
                <w:noProof/>
              </w:rPr>
              <w:t>Special School Transport Administration (Reference 25)</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_Toc99882741 \h </w:instrText>
            </w:r>
            <w:r w:rsidR="000F3581" w:rsidRPr="004D307F">
              <w:rPr>
                <w:noProof/>
                <w:webHidden/>
              </w:rPr>
            </w:r>
            <w:r w:rsidR="000F3581" w:rsidRPr="004D307F">
              <w:rPr>
                <w:noProof/>
                <w:webHidden/>
              </w:rPr>
              <w:fldChar w:fldCharType="separate"/>
            </w:r>
            <w:r w:rsidR="00237A8F">
              <w:rPr>
                <w:noProof/>
                <w:webHidden/>
              </w:rPr>
              <w:t>48</w:t>
            </w:r>
            <w:r w:rsidR="000F3581" w:rsidRPr="004D307F">
              <w:rPr>
                <w:noProof/>
                <w:webHidden/>
              </w:rPr>
              <w:fldChar w:fldCharType="end"/>
            </w:r>
          </w:hyperlink>
        </w:p>
        <w:p w14:paraId="26B428C4" w14:textId="3466F432" w:rsidR="000F3581" w:rsidRPr="004D307F" w:rsidRDefault="00A35420" w:rsidP="000F3581">
          <w:pPr>
            <w:pStyle w:val="TOC2"/>
            <w:rPr>
              <w:rFonts w:eastAsiaTheme="minorEastAsia"/>
              <w:noProof/>
              <w:lang w:eastAsia="en-AU"/>
            </w:rPr>
          </w:pPr>
          <w:hyperlink w:anchor="_Toc99882742" w:history="1">
            <w:r w:rsidR="000F3581" w:rsidRPr="004D307F">
              <w:rPr>
                <w:rStyle w:val="Hyperlink"/>
                <w:noProof/>
              </w:rPr>
              <w:t>EAL Program Funding (Reference 26)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_Toc99882742 \h </w:instrText>
            </w:r>
            <w:r w:rsidR="000F3581" w:rsidRPr="004D307F">
              <w:rPr>
                <w:noProof/>
                <w:webHidden/>
              </w:rPr>
            </w:r>
            <w:r w:rsidR="000F3581" w:rsidRPr="004D307F">
              <w:rPr>
                <w:noProof/>
                <w:webHidden/>
              </w:rPr>
              <w:fldChar w:fldCharType="separate"/>
            </w:r>
            <w:r w:rsidR="00237A8F">
              <w:rPr>
                <w:noProof/>
                <w:webHidden/>
              </w:rPr>
              <w:t>49</w:t>
            </w:r>
            <w:r w:rsidR="000F3581" w:rsidRPr="004D307F">
              <w:rPr>
                <w:noProof/>
                <w:webHidden/>
              </w:rPr>
              <w:fldChar w:fldCharType="end"/>
            </w:r>
          </w:hyperlink>
        </w:p>
        <w:p w14:paraId="688C9C1A" w14:textId="27301E6B" w:rsidR="000F3581" w:rsidRPr="004D307F" w:rsidRDefault="00A35420" w:rsidP="000F3581">
          <w:pPr>
            <w:pStyle w:val="TOC2"/>
            <w:rPr>
              <w:rFonts w:eastAsiaTheme="minorEastAsia"/>
              <w:noProof/>
              <w:lang w:eastAsia="en-AU"/>
            </w:rPr>
          </w:pPr>
          <w:hyperlink w:anchor="_Toc99882743" w:history="1">
            <w:r w:rsidR="000F3581" w:rsidRPr="004D307F">
              <w:rPr>
                <w:rStyle w:val="Hyperlink"/>
                <w:noProof/>
              </w:rPr>
              <w:t>EAL Contingency (Reference 27)</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_Toc99882743 \h </w:instrText>
            </w:r>
            <w:r w:rsidR="000F3581" w:rsidRPr="004D307F">
              <w:rPr>
                <w:noProof/>
                <w:webHidden/>
              </w:rPr>
            </w:r>
            <w:r w:rsidR="000F3581" w:rsidRPr="004D307F">
              <w:rPr>
                <w:noProof/>
                <w:webHidden/>
              </w:rPr>
              <w:fldChar w:fldCharType="separate"/>
            </w:r>
            <w:r w:rsidR="00237A8F">
              <w:rPr>
                <w:noProof/>
                <w:webHidden/>
              </w:rPr>
              <w:t>55</w:t>
            </w:r>
            <w:r w:rsidR="000F3581" w:rsidRPr="004D307F">
              <w:rPr>
                <w:noProof/>
                <w:webHidden/>
              </w:rPr>
              <w:fldChar w:fldCharType="end"/>
            </w:r>
          </w:hyperlink>
        </w:p>
        <w:p w14:paraId="754D746C" w14:textId="6A95C5FF" w:rsidR="000F3581" w:rsidRPr="004D307F" w:rsidRDefault="00A35420" w:rsidP="000F3581">
          <w:pPr>
            <w:pStyle w:val="TOC2"/>
            <w:rPr>
              <w:rFonts w:eastAsiaTheme="minorEastAsia"/>
              <w:noProof/>
              <w:lang w:eastAsia="en-AU"/>
            </w:rPr>
          </w:pPr>
          <w:hyperlink w:anchor="_Toc99882744" w:history="1">
            <w:r w:rsidR="000F3581" w:rsidRPr="004D307F">
              <w:rPr>
                <w:rStyle w:val="Hyperlink"/>
                <w:noProof/>
              </w:rPr>
              <w:t>Disability Inclusion Tier 2 School Level Funding (Reference 137)</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_Toc99882744 \h </w:instrText>
            </w:r>
            <w:r w:rsidR="000F3581" w:rsidRPr="004D307F">
              <w:rPr>
                <w:noProof/>
                <w:webHidden/>
              </w:rPr>
            </w:r>
            <w:r w:rsidR="000F3581" w:rsidRPr="004D307F">
              <w:rPr>
                <w:noProof/>
                <w:webHidden/>
              </w:rPr>
              <w:fldChar w:fldCharType="separate"/>
            </w:r>
            <w:r w:rsidR="00237A8F">
              <w:rPr>
                <w:noProof/>
                <w:webHidden/>
              </w:rPr>
              <w:t>58</w:t>
            </w:r>
            <w:r w:rsidR="000F3581" w:rsidRPr="004D307F">
              <w:rPr>
                <w:noProof/>
                <w:webHidden/>
              </w:rPr>
              <w:fldChar w:fldCharType="end"/>
            </w:r>
          </w:hyperlink>
        </w:p>
        <w:p w14:paraId="3778516A" w14:textId="4EEF0D2A" w:rsidR="000F3581" w:rsidRPr="004D307F" w:rsidRDefault="00A35420" w:rsidP="000F3581">
          <w:pPr>
            <w:pStyle w:val="TOC2"/>
            <w:rPr>
              <w:rFonts w:eastAsiaTheme="minorEastAsia"/>
              <w:noProof/>
              <w:lang w:eastAsia="en-AU"/>
            </w:rPr>
          </w:pPr>
          <w:hyperlink w:anchor="_Toc99882745" w:history="1">
            <w:r w:rsidR="000F3581" w:rsidRPr="004D307F">
              <w:rPr>
                <w:rStyle w:val="Hyperlink"/>
                <w:noProof/>
              </w:rPr>
              <w:t>Disability Inclusion Tier 3 student-level funding (Reference 138)</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_Toc99882745 \h </w:instrText>
            </w:r>
            <w:r w:rsidR="000F3581" w:rsidRPr="004D307F">
              <w:rPr>
                <w:noProof/>
                <w:webHidden/>
              </w:rPr>
            </w:r>
            <w:r w:rsidR="000F3581" w:rsidRPr="004D307F">
              <w:rPr>
                <w:noProof/>
                <w:webHidden/>
              </w:rPr>
              <w:fldChar w:fldCharType="separate"/>
            </w:r>
            <w:r w:rsidR="00237A8F">
              <w:rPr>
                <w:noProof/>
                <w:webHidden/>
              </w:rPr>
              <w:t>62</w:t>
            </w:r>
            <w:r w:rsidR="000F3581" w:rsidRPr="004D307F">
              <w:rPr>
                <w:noProof/>
                <w:webHidden/>
              </w:rPr>
              <w:fldChar w:fldCharType="end"/>
            </w:r>
          </w:hyperlink>
        </w:p>
        <w:p w14:paraId="1DD824DB" w14:textId="70CA8264" w:rsidR="000F3581" w:rsidRPr="004D307F" w:rsidRDefault="00A35420" w:rsidP="000F3581">
          <w:pPr>
            <w:pStyle w:val="TOC1"/>
            <w:rPr>
              <w:rFonts w:eastAsiaTheme="minorEastAsia"/>
              <w:noProof/>
              <w:lang w:eastAsia="en-AU"/>
            </w:rPr>
          </w:pPr>
          <w:hyperlink w:anchor="_Toc99882746" w:history="1">
            <w:r w:rsidR="000F3581" w:rsidRPr="004D307F">
              <w:rPr>
                <w:rStyle w:val="Hyperlink"/>
                <w:noProof/>
              </w:rPr>
              <w:t>School Infrastructure</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_Toc99882746 \h </w:instrText>
            </w:r>
            <w:r w:rsidR="000F3581" w:rsidRPr="004D307F">
              <w:rPr>
                <w:noProof/>
                <w:webHidden/>
              </w:rPr>
            </w:r>
            <w:r w:rsidR="000F3581" w:rsidRPr="004D307F">
              <w:rPr>
                <w:noProof/>
                <w:webHidden/>
              </w:rPr>
              <w:fldChar w:fldCharType="separate"/>
            </w:r>
            <w:r w:rsidR="00237A8F">
              <w:rPr>
                <w:noProof/>
                <w:webHidden/>
              </w:rPr>
              <w:t>66</w:t>
            </w:r>
            <w:r w:rsidR="000F3581" w:rsidRPr="004D307F">
              <w:rPr>
                <w:noProof/>
                <w:webHidden/>
              </w:rPr>
              <w:fldChar w:fldCharType="end"/>
            </w:r>
          </w:hyperlink>
        </w:p>
        <w:p w14:paraId="080A94C4" w14:textId="28B3E7EB" w:rsidR="000F3581" w:rsidRPr="004D307F" w:rsidRDefault="00A35420" w:rsidP="000F3581">
          <w:pPr>
            <w:pStyle w:val="TOC2"/>
            <w:rPr>
              <w:rFonts w:eastAsiaTheme="minorEastAsia"/>
              <w:noProof/>
              <w:lang w:eastAsia="en-AU"/>
            </w:rPr>
          </w:pPr>
          <w:hyperlink w:anchor="_Toc99882747" w:history="1">
            <w:r w:rsidR="000F3581" w:rsidRPr="004D307F">
              <w:rPr>
                <w:rStyle w:val="Hyperlink"/>
                <w:noProof/>
              </w:rPr>
              <w:t>Cross Infection Prevention Allowance (Reference 29)</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_Toc99882747 \h </w:instrText>
            </w:r>
            <w:r w:rsidR="000F3581" w:rsidRPr="004D307F">
              <w:rPr>
                <w:noProof/>
                <w:webHidden/>
              </w:rPr>
            </w:r>
            <w:r w:rsidR="000F3581" w:rsidRPr="004D307F">
              <w:rPr>
                <w:noProof/>
                <w:webHidden/>
              </w:rPr>
              <w:fldChar w:fldCharType="separate"/>
            </w:r>
            <w:r w:rsidR="00237A8F">
              <w:rPr>
                <w:noProof/>
                <w:webHidden/>
              </w:rPr>
              <w:t>70</w:t>
            </w:r>
            <w:r w:rsidR="000F3581" w:rsidRPr="004D307F">
              <w:rPr>
                <w:noProof/>
                <w:webHidden/>
              </w:rPr>
              <w:fldChar w:fldCharType="end"/>
            </w:r>
          </w:hyperlink>
        </w:p>
        <w:p w14:paraId="18F9E751" w14:textId="388CD276" w:rsidR="000F3581" w:rsidRPr="004D307F" w:rsidRDefault="00A35420" w:rsidP="000F3581">
          <w:pPr>
            <w:pStyle w:val="TOC2"/>
            <w:rPr>
              <w:rFonts w:eastAsiaTheme="minorEastAsia"/>
              <w:noProof/>
              <w:lang w:eastAsia="en-AU"/>
            </w:rPr>
          </w:pPr>
          <w:hyperlink w:anchor="_Toc99882748" w:history="1">
            <w:r w:rsidR="000F3581" w:rsidRPr="004D307F">
              <w:rPr>
                <w:rStyle w:val="Hyperlink"/>
                <w:noProof/>
              </w:rPr>
              <w:t>Cleaning Minimum Allowance (Reference 30)</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_Toc99882748 \h </w:instrText>
            </w:r>
            <w:r w:rsidR="000F3581" w:rsidRPr="004D307F">
              <w:rPr>
                <w:noProof/>
                <w:webHidden/>
              </w:rPr>
            </w:r>
            <w:r w:rsidR="000F3581" w:rsidRPr="004D307F">
              <w:rPr>
                <w:noProof/>
                <w:webHidden/>
              </w:rPr>
              <w:fldChar w:fldCharType="separate"/>
            </w:r>
            <w:r w:rsidR="00237A8F">
              <w:rPr>
                <w:noProof/>
                <w:webHidden/>
              </w:rPr>
              <w:t>71</w:t>
            </w:r>
            <w:r w:rsidR="000F3581" w:rsidRPr="004D307F">
              <w:rPr>
                <w:noProof/>
                <w:webHidden/>
              </w:rPr>
              <w:fldChar w:fldCharType="end"/>
            </w:r>
          </w:hyperlink>
        </w:p>
        <w:p w14:paraId="462BC62C" w14:textId="07E228C0" w:rsidR="000F3581" w:rsidRPr="004D307F" w:rsidRDefault="00A35420" w:rsidP="000F3581">
          <w:pPr>
            <w:pStyle w:val="TOC2"/>
            <w:rPr>
              <w:rFonts w:eastAsiaTheme="minorEastAsia"/>
              <w:noProof/>
              <w:lang w:eastAsia="en-AU"/>
            </w:rPr>
          </w:pPr>
          <w:hyperlink w:anchor="_Toc99882749" w:history="1">
            <w:r w:rsidR="000F3581" w:rsidRPr="004D307F">
              <w:rPr>
                <w:rStyle w:val="Hyperlink"/>
                <w:noProof/>
              </w:rPr>
              <w:t>Split-Site/Multi-Site Allowance (Reference 33)</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_Toc99882749 \h </w:instrText>
            </w:r>
            <w:r w:rsidR="000F3581" w:rsidRPr="004D307F">
              <w:rPr>
                <w:noProof/>
                <w:webHidden/>
              </w:rPr>
            </w:r>
            <w:r w:rsidR="000F3581" w:rsidRPr="004D307F">
              <w:rPr>
                <w:noProof/>
                <w:webHidden/>
              </w:rPr>
              <w:fldChar w:fldCharType="separate"/>
            </w:r>
            <w:r w:rsidR="00237A8F">
              <w:rPr>
                <w:noProof/>
                <w:webHidden/>
              </w:rPr>
              <w:t>74</w:t>
            </w:r>
            <w:r w:rsidR="000F3581" w:rsidRPr="004D307F">
              <w:rPr>
                <w:noProof/>
                <w:webHidden/>
              </w:rPr>
              <w:fldChar w:fldCharType="end"/>
            </w:r>
          </w:hyperlink>
        </w:p>
        <w:p w14:paraId="185E6539" w14:textId="21837C41" w:rsidR="000F3581" w:rsidRPr="004D307F" w:rsidRDefault="00A35420" w:rsidP="000F3581">
          <w:pPr>
            <w:pStyle w:val="TOC2"/>
            <w:rPr>
              <w:rFonts w:eastAsiaTheme="minorEastAsia"/>
              <w:noProof/>
              <w:lang w:eastAsia="en-AU"/>
            </w:rPr>
          </w:pPr>
          <w:hyperlink w:anchor="_Toc99882750" w:history="1">
            <w:r w:rsidR="000F3581" w:rsidRPr="004D307F">
              <w:rPr>
                <w:rStyle w:val="Hyperlink"/>
                <w:noProof/>
              </w:rPr>
              <w:t>Utilities (Reference 34)</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_Toc99882750 \h </w:instrText>
            </w:r>
            <w:r w:rsidR="000F3581" w:rsidRPr="004D307F">
              <w:rPr>
                <w:noProof/>
                <w:webHidden/>
              </w:rPr>
            </w:r>
            <w:r w:rsidR="000F3581" w:rsidRPr="004D307F">
              <w:rPr>
                <w:noProof/>
                <w:webHidden/>
              </w:rPr>
              <w:fldChar w:fldCharType="separate"/>
            </w:r>
            <w:r w:rsidR="00237A8F">
              <w:rPr>
                <w:noProof/>
                <w:webHidden/>
              </w:rPr>
              <w:t>76</w:t>
            </w:r>
            <w:r w:rsidR="000F3581" w:rsidRPr="004D307F">
              <w:rPr>
                <w:noProof/>
                <w:webHidden/>
              </w:rPr>
              <w:fldChar w:fldCharType="end"/>
            </w:r>
          </w:hyperlink>
        </w:p>
        <w:p w14:paraId="785DEA02" w14:textId="2E470736" w:rsidR="000F3581" w:rsidRPr="004D307F" w:rsidRDefault="00A35420" w:rsidP="000F3581">
          <w:pPr>
            <w:pStyle w:val="TOC2"/>
            <w:rPr>
              <w:rFonts w:eastAsiaTheme="minorEastAsia"/>
              <w:noProof/>
              <w:lang w:eastAsia="en-AU"/>
            </w:rPr>
          </w:pPr>
          <w:hyperlink w:anchor="_Toc99882751" w:history="1">
            <w:r w:rsidR="000F3581" w:rsidRPr="004D307F">
              <w:rPr>
                <w:rStyle w:val="Hyperlink"/>
                <w:noProof/>
              </w:rPr>
              <w:t>Maintenance (Reference 35)</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_Toc99882751 \h </w:instrText>
            </w:r>
            <w:r w:rsidR="000F3581" w:rsidRPr="004D307F">
              <w:rPr>
                <w:noProof/>
                <w:webHidden/>
              </w:rPr>
            </w:r>
            <w:r w:rsidR="000F3581" w:rsidRPr="004D307F">
              <w:rPr>
                <w:noProof/>
                <w:webHidden/>
              </w:rPr>
              <w:fldChar w:fldCharType="separate"/>
            </w:r>
            <w:r w:rsidR="00237A8F">
              <w:rPr>
                <w:noProof/>
                <w:webHidden/>
              </w:rPr>
              <w:t>79</w:t>
            </w:r>
            <w:r w:rsidR="000F3581" w:rsidRPr="004D307F">
              <w:rPr>
                <w:noProof/>
                <w:webHidden/>
              </w:rPr>
              <w:fldChar w:fldCharType="end"/>
            </w:r>
          </w:hyperlink>
        </w:p>
        <w:p w14:paraId="45E758AB" w14:textId="0792BE2D" w:rsidR="000F3581" w:rsidRPr="004D307F" w:rsidRDefault="00A35420" w:rsidP="000F3581">
          <w:pPr>
            <w:pStyle w:val="TOC2"/>
            <w:rPr>
              <w:rFonts w:eastAsiaTheme="minorEastAsia"/>
              <w:noProof/>
              <w:lang w:eastAsia="en-AU"/>
            </w:rPr>
          </w:pPr>
          <w:hyperlink w:anchor="_Toc99882752" w:history="1">
            <w:r w:rsidR="000F3581" w:rsidRPr="004D307F">
              <w:rPr>
                <w:rStyle w:val="Hyperlink"/>
                <w:noProof/>
              </w:rPr>
              <w:t>Annual Contracts and Essential Safety Measures (ACES) (Reference 36)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_Toc99882752 \h </w:instrText>
            </w:r>
            <w:r w:rsidR="000F3581" w:rsidRPr="004D307F">
              <w:rPr>
                <w:noProof/>
                <w:webHidden/>
              </w:rPr>
            </w:r>
            <w:r w:rsidR="000F3581" w:rsidRPr="004D307F">
              <w:rPr>
                <w:noProof/>
                <w:webHidden/>
              </w:rPr>
              <w:fldChar w:fldCharType="separate"/>
            </w:r>
            <w:r w:rsidR="00237A8F">
              <w:rPr>
                <w:noProof/>
                <w:webHidden/>
              </w:rPr>
              <w:t>81</w:t>
            </w:r>
            <w:r w:rsidR="000F3581" w:rsidRPr="004D307F">
              <w:rPr>
                <w:noProof/>
                <w:webHidden/>
              </w:rPr>
              <w:fldChar w:fldCharType="end"/>
            </w:r>
          </w:hyperlink>
        </w:p>
        <w:p w14:paraId="57418165" w14:textId="616549F5" w:rsidR="000F3581" w:rsidRPr="004D307F" w:rsidRDefault="00A35420" w:rsidP="000F3581">
          <w:pPr>
            <w:pStyle w:val="TOC2"/>
            <w:rPr>
              <w:rFonts w:eastAsiaTheme="minorEastAsia"/>
              <w:noProof/>
              <w:lang w:eastAsia="en-AU"/>
            </w:rPr>
          </w:pPr>
          <w:hyperlink w:anchor="_Toc99882753" w:history="1">
            <w:r w:rsidR="000F3581" w:rsidRPr="004D307F">
              <w:rPr>
                <w:rStyle w:val="Hyperlink"/>
                <w:noProof/>
              </w:rPr>
              <w:t>Workers’ Compensation (Reference 37)</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_Toc99882753 \h </w:instrText>
            </w:r>
            <w:r w:rsidR="000F3581" w:rsidRPr="004D307F">
              <w:rPr>
                <w:noProof/>
                <w:webHidden/>
              </w:rPr>
            </w:r>
            <w:r w:rsidR="000F3581" w:rsidRPr="004D307F">
              <w:rPr>
                <w:noProof/>
                <w:webHidden/>
              </w:rPr>
              <w:fldChar w:fldCharType="separate"/>
            </w:r>
            <w:r w:rsidR="00237A8F">
              <w:rPr>
                <w:noProof/>
                <w:webHidden/>
              </w:rPr>
              <w:t>83</w:t>
            </w:r>
            <w:r w:rsidR="000F3581" w:rsidRPr="004D307F">
              <w:rPr>
                <w:noProof/>
                <w:webHidden/>
              </w:rPr>
              <w:fldChar w:fldCharType="end"/>
            </w:r>
          </w:hyperlink>
        </w:p>
        <w:p w14:paraId="070DE167" w14:textId="0F8C3F0A" w:rsidR="000F3581" w:rsidRPr="004D307F" w:rsidRDefault="00A35420" w:rsidP="000F3581">
          <w:pPr>
            <w:pStyle w:val="TOC1"/>
            <w:rPr>
              <w:rFonts w:eastAsiaTheme="minorEastAsia"/>
              <w:noProof/>
              <w:lang w:eastAsia="en-AU"/>
            </w:rPr>
          </w:pPr>
          <w:hyperlink w:anchor="_Toc99882754" w:history="1">
            <w:r w:rsidR="000F3581" w:rsidRPr="004D307F">
              <w:rPr>
                <w:rStyle w:val="Hyperlink"/>
                <w:noProof/>
              </w:rPr>
              <w:t>School Specific Programs</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_Toc99882754 \h </w:instrText>
            </w:r>
            <w:r w:rsidR="000F3581" w:rsidRPr="004D307F">
              <w:rPr>
                <w:noProof/>
                <w:webHidden/>
              </w:rPr>
            </w:r>
            <w:r w:rsidR="000F3581" w:rsidRPr="004D307F">
              <w:rPr>
                <w:noProof/>
                <w:webHidden/>
              </w:rPr>
              <w:fldChar w:fldCharType="separate"/>
            </w:r>
            <w:r w:rsidR="00237A8F">
              <w:rPr>
                <w:noProof/>
                <w:webHidden/>
              </w:rPr>
              <w:t>85</w:t>
            </w:r>
            <w:r w:rsidR="000F3581" w:rsidRPr="004D307F">
              <w:rPr>
                <w:noProof/>
                <w:webHidden/>
              </w:rPr>
              <w:fldChar w:fldCharType="end"/>
            </w:r>
          </w:hyperlink>
        </w:p>
        <w:p w14:paraId="3A8CDA80" w14:textId="4B214535" w:rsidR="000F3581" w:rsidRPr="004D307F" w:rsidRDefault="00A35420" w:rsidP="000F3581">
          <w:pPr>
            <w:pStyle w:val="TOC2"/>
            <w:rPr>
              <w:rFonts w:eastAsiaTheme="minorEastAsia"/>
              <w:noProof/>
              <w:lang w:eastAsia="en-AU"/>
            </w:rPr>
          </w:pPr>
          <w:hyperlink w:anchor="_Toc99882755" w:history="1">
            <w:r w:rsidR="000F3581" w:rsidRPr="004D307F">
              <w:rPr>
                <w:rStyle w:val="Hyperlink"/>
                <w:noProof/>
              </w:rPr>
              <w:t>P-12 Complexity Allowance (Reference 38)</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_Toc99882755 \h </w:instrText>
            </w:r>
            <w:r w:rsidR="000F3581" w:rsidRPr="004D307F">
              <w:rPr>
                <w:noProof/>
                <w:webHidden/>
              </w:rPr>
            </w:r>
            <w:r w:rsidR="000F3581" w:rsidRPr="004D307F">
              <w:rPr>
                <w:noProof/>
                <w:webHidden/>
              </w:rPr>
              <w:fldChar w:fldCharType="separate"/>
            </w:r>
            <w:r w:rsidR="00237A8F">
              <w:rPr>
                <w:noProof/>
                <w:webHidden/>
              </w:rPr>
              <w:t>86</w:t>
            </w:r>
            <w:r w:rsidR="000F3581" w:rsidRPr="004D307F">
              <w:rPr>
                <w:noProof/>
                <w:webHidden/>
              </w:rPr>
              <w:fldChar w:fldCharType="end"/>
            </w:r>
          </w:hyperlink>
        </w:p>
        <w:p w14:paraId="48A72F2D" w14:textId="0E8E64E1" w:rsidR="000F3581" w:rsidRPr="004D307F" w:rsidRDefault="00A35420" w:rsidP="000F3581">
          <w:pPr>
            <w:pStyle w:val="TOC2"/>
            <w:rPr>
              <w:rStyle w:val="Hyperlink"/>
              <w:noProof/>
            </w:rPr>
          </w:pPr>
          <w:hyperlink w:anchor="_Toc99882756" w:history="1">
            <w:r w:rsidR="000F3581" w:rsidRPr="004D307F">
              <w:rPr>
                <w:rStyle w:val="Hyperlink"/>
                <w:noProof/>
              </w:rPr>
              <w:t>Location Index funding (Reference 39)</w:t>
            </w:r>
            <w:r w:rsidR="000F3581" w:rsidRPr="004D307F">
              <w:rPr>
                <w:rStyle w:val="Hyperlink"/>
                <w:noProof/>
                <w:webHidden/>
              </w:rPr>
              <w:tab/>
            </w:r>
            <w:r w:rsidR="000F3581" w:rsidRPr="004D307F">
              <w:rPr>
                <w:rStyle w:val="Hyperlink"/>
                <w:noProof/>
                <w:webHidden/>
              </w:rPr>
              <w:fldChar w:fldCharType="begin"/>
            </w:r>
            <w:r w:rsidR="000F3581" w:rsidRPr="004D307F">
              <w:rPr>
                <w:rStyle w:val="Hyperlink"/>
                <w:noProof/>
                <w:webHidden/>
              </w:rPr>
              <w:instrText xml:space="preserve"> PAGEREF _Toc99882756 \h </w:instrText>
            </w:r>
            <w:r w:rsidR="000F3581" w:rsidRPr="004D307F">
              <w:rPr>
                <w:rStyle w:val="Hyperlink"/>
                <w:noProof/>
                <w:webHidden/>
              </w:rPr>
            </w:r>
            <w:r w:rsidR="000F3581" w:rsidRPr="004D307F">
              <w:rPr>
                <w:rStyle w:val="Hyperlink"/>
                <w:noProof/>
                <w:webHidden/>
              </w:rPr>
              <w:fldChar w:fldCharType="separate"/>
            </w:r>
            <w:r w:rsidR="00237A8F">
              <w:rPr>
                <w:rStyle w:val="Hyperlink"/>
                <w:noProof/>
                <w:webHidden/>
              </w:rPr>
              <w:t>87</w:t>
            </w:r>
            <w:r w:rsidR="000F3581" w:rsidRPr="004D307F">
              <w:rPr>
                <w:rStyle w:val="Hyperlink"/>
                <w:noProof/>
                <w:webHidden/>
              </w:rPr>
              <w:fldChar w:fldCharType="end"/>
            </w:r>
          </w:hyperlink>
        </w:p>
        <w:p w14:paraId="50C9A08C" w14:textId="0891315D" w:rsidR="000F3581" w:rsidRPr="004D307F" w:rsidRDefault="00A35420" w:rsidP="000F3581">
          <w:pPr>
            <w:pStyle w:val="TOC2"/>
            <w:rPr>
              <w:rStyle w:val="Hyperlink"/>
              <w:noProof/>
            </w:rPr>
          </w:pPr>
          <w:hyperlink w:anchor="_Toc99882757" w:history="1">
            <w:r w:rsidR="000F3581" w:rsidRPr="004D307F">
              <w:rPr>
                <w:rStyle w:val="Hyperlink"/>
                <w:noProof/>
              </w:rPr>
              <w:t>MARC/MACC Teachers (Reference 40)</w:t>
            </w:r>
            <w:r w:rsidR="000F3581" w:rsidRPr="004D307F">
              <w:rPr>
                <w:rStyle w:val="Hyperlink"/>
                <w:noProof/>
                <w:webHidden/>
              </w:rPr>
              <w:tab/>
            </w:r>
            <w:r w:rsidR="000F3581" w:rsidRPr="004D307F">
              <w:rPr>
                <w:rStyle w:val="Hyperlink"/>
                <w:noProof/>
                <w:webHidden/>
              </w:rPr>
              <w:fldChar w:fldCharType="begin"/>
            </w:r>
            <w:r w:rsidR="000F3581" w:rsidRPr="004D307F">
              <w:rPr>
                <w:rStyle w:val="Hyperlink"/>
                <w:noProof/>
                <w:webHidden/>
              </w:rPr>
              <w:instrText xml:space="preserve"> PAGEREF _Toc99882757 \h </w:instrText>
            </w:r>
            <w:r w:rsidR="000F3581" w:rsidRPr="004D307F">
              <w:rPr>
                <w:rStyle w:val="Hyperlink"/>
                <w:noProof/>
                <w:webHidden/>
              </w:rPr>
            </w:r>
            <w:r w:rsidR="000F3581" w:rsidRPr="004D307F">
              <w:rPr>
                <w:rStyle w:val="Hyperlink"/>
                <w:noProof/>
                <w:webHidden/>
              </w:rPr>
              <w:fldChar w:fldCharType="separate"/>
            </w:r>
            <w:r w:rsidR="00237A8F">
              <w:rPr>
                <w:rStyle w:val="Hyperlink"/>
                <w:noProof/>
                <w:webHidden/>
              </w:rPr>
              <w:t>89</w:t>
            </w:r>
            <w:r w:rsidR="000F3581" w:rsidRPr="004D307F">
              <w:rPr>
                <w:rStyle w:val="Hyperlink"/>
                <w:noProof/>
                <w:webHidden/>
              </w:rPr>
              <w:fldChar w:fldCharType="end"/>
            </w:r>
          </w:hyperlink>
        </w:p>
        <w:p w14:paraId="6220F479" w14:textId="61A411B3" w:rsidR="000F3581" w:rsidRPr="004D307F" w:rsidRDefault="00A35420" w:rsidP="000F3581">
          <w:pPr>
            <w:pStyle w:val="TOC2"/>
            <w:rPr>
              <w:rFonts w:eastAsiaTheme="minorEastAsia"/>
              <w:noProof/>
              <w:lang w:eastAsia="en-AU"/>
            </w:rPr>
          </w:pPr>
          <w:hyperlink w:anchor="_Toc99882758" w:history="1">
            <w:r w:rsidR="000F3581" w:rsidRPr="004D307F">
              <w:rPr>
                <w:rStyle w:val="Hyperlink"/>
                <w:noProof/>
              </w:rPr>
              <w:t>Instrumental Music Programs (Reference 41)</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_Toc99882758 \h </w:instrText>
            </w:r>
            <w:r w:rsidR="000F3581" w:rsidRPr="004D307F">
              <w:rPr>
                <w:noProof/>
                <w:webHidden/>
              </w:rPr>
            </w:r>
            <w:r w:rsidR="000F3581" w:rsidRPr="004D307F">
              <w:rPr>
                <w:noProof/>
                <w:webHidden/>
              </w:rPr>
              <w:fldChar w:fldCharType="separate"/>
            </w:r>
            <w:r w:rsidR="00237A8F">
              <w:rPr>
                <w:noProof/>
                <w:webHidden/>
              </w:rPr>
              <w:t>92</w:t>
            </w:r>
            <w:r w:rsidR="000F3581" w:rsidRPr="004D307F">
              <w:rPr>
                <w:noProof/>
                <w:webHidden/>
              </w:rPr>
              <w:fldChar w:fldCharType="end"/>
            </w:r>
          </w:hyperlink>
        </w:p>
        <w:p w14:paraId="254FA917" w14:textId="5999FBFC" w:rsidR="000F3581" w:rsidRPr="004D307F" w:rsidRDefault="00A35420" w:rsidP="000F3581">
          <w:pPr>
            <w:pStyle w:val="TOC2"/>
            <w:rPr>
              <w:rFonts w:eastAsiaTheme="minorEastAsia"/>
              <w:noProof/>
              <w:lang w:eastAsia="en-AU"/>
            </w:rPr>
          </w:pPr>
          <w:hyperlink w:anchor="_Toc99882759" w:history="1">
            <w:r w:rsidR="000F3581" w:rsidRPr="004D307F">
              <w:rPr>
                <w:rStyle w:val="Hyperlink"/>
                <w:noProof/>
              </w:rPr>
              <w:t>Local Native-speaker Language Assistants Program  (Reference 42)</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_Toc99882759 \h </w:instrText>
            </w:r>
            <w:r w:rsidR="000F3581" w:rsidRPr="004D307F">
              <w:rPr>
                <w:noProof/>
                <w:webHidden/>
              </w:rPr>
            </w:r>
            <w:r w:rsidR="000F3581" w:rsidRPr="004D307F">
              <w:rPr>
                <w:noProof/>
                <w:webHidden/>
              </w:rPr>
              <w:fldChar w:fldCharType="separate"/>
            </w:r>
            <w:r w:rsidR="00237A8F">
              <w:rPr>
                <w:noProof/>
                <w:webHidden/>
              </w:rPr>
              <w:t>93</w:t>
            </w:r>
            <w:r w:rsidR="000F3581" w:rsidRPr="004D307F">
              <w:rPr>
                <w:noProof/>
                <w:webHidden/>
              </w:rPr>
              <w:fldChar w:fldCharType="end"/>
            </w:r>
          </w:hyperlink>
        </w:p>
        <w:p w14:paraId="7C1696BE" w14:textId="50DE9726" w:rsidR="000F3581" w:rsidRPr="004D307F" w:rsidRDefault="00A35420" w:rsidP="000F3581">
          <w:pPr>
            <w:pStyle w:val="TOC2"/>
            <w:rPr>
              <w:rFonts w:eastAsiaTheme="minorEastAsia"/>
              <w:noProof/>
              <w:lang w:eastAsia="en-AU"/>
            </w:rPr>
          </w:pPr>
          <w:hyperlink w:anchor="_Toc99882760" w:history="1">
            <w:r w:rsidR="000F3581" w:rsidRPr="004D307F">
              <w:rPr>
                <w:rStyle w:val="Hyperlink"/>
                <w:noProof/>
              </w:rPr>
              <w:t>Bus coordination (Reference 43)</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_Toc99882760 \h </w:instrText>
            </w:r>
            <w:r w:rsidR="000F3581" w:rsidRPr="004D307F">
              <w:rPr>
                <w:noProof/>
                <w:webHidden/>
              </w:rPr>
            </w:r>
            <w:r w:rsidR="000F3581" w:rsidRPr="004D307F">
              <w:rPr>
                <w:noProof/>
                <w:webHidden/>
              </w:rPr>
              <w:fldChar w:fldCharType="separate"/>
            </w:r>
            <w:r w:rsidR="00237A8F">
              <w:rPr>
                <w:noProof/>
                <w:webHidden/>
              </w:rPr>
              <w:t>94</w:t>
            </w:r>
            <w:r w:rsidR="000F3581" w:rsidRPr="004D307F">
              <w:rPr>
                <w:noProof/>
                <w:webHidden/>
              </w:rPr>
              <w:fldChar w:fldCharType="end"/>
            </w:r>
          </w:hyperlink>
        </w:p>
        <w:p w14:paraId="09A1EA7E" w14:textId="2EF75749" w:rsidR="000F3581" w:rsidRPr="004D307F" w:rsidRDefault="00A35420" w:rsidP="000F3581">
          <w:pPr>
            <w:pStyle w:val="TOC2"/>
            <w:rPr>
              <w:rFonts w:eastAsiaTheme="minorEastAsia"/>
              <w:noProof/>
              <w:lang w:eastAsia="en-AU"/>
            </w:rPr>
          </w:pPr>
          <w:hyperlink w:anchor="_Toc99882761" w:history="1">
            <w:r w:rsidR="000F3581" w:rsidRPr="004D307F">
              <w:rPr>
                <w:rStyle w:val="Hyperlink"/>
                <w:noProof/>
              </w:rPr>
              <w:t>Country Area Program Grant (Reference 45)</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_Toc99882761 \h </w:instrText>
            </w:r>
            <w:r w:rsidR="000F3581" w:rsidRPr="004D307F">
              <w:rPr>
                <w:noProof/>
                <w:webHidden/>
              </w:rPr>
            </w:r>
            <w:r w:rsidR="000F3581" w:rsidRPr="004D307F">
              <w:rPr>
                <w:noProof/>
                <w:webHidden/>
              </w:rPr>
              <w:fldChar w:fldCharType="separate"/>
            </w:r>
            <w:r w:rsidR="00237A8F">
              <w:rPr>
                <w:noProof/>
                <w:webHidden/>
              </w:rPr>
              <w:t>95</w:t>
            </w:r>
            <w:r w:rsidR="000F3581" w:rsidRPr="004D307F">
              <w:rPr>
                <w:noProof/>
                <w:webHidden/>
              </w:rPr>
              <w:fldChar w:fldCharType="end"/>
            </w:r>
          </w:hyperlink>
        </w:p>
        <w:p w14:paraId="23AD93CE" w14:textId="5F79C879" w:rsidR="000F3581" w:rsidRPr="004D307F" w:rsidRDefault="00A35420" w:rsidP="000F3581">
          <w:pPr>
            <w:pStyle w:val="TOC2"/>
            <w:rPr>
              <w:rFonts w:eastAsiaTheme="minorEastAsia"/>
              <w:noProof/>
              <w:lang w:eastAsia="en-AU"/>
            </w:rPr>
          </w:pPr>
          <w:hyperlink w:anchor="_Toc99882762" w:history="1">
            <w:r w:rsidR="000F3581" w:rsidRPr="004D307F">
              <w:rPr>
                <w:rStyle w:val="Hyperlink"/>
                <w:noProof/>
              </w:rPr>
              <w:t>MARC/MACC Grant (Reference 46)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_Toc99882762 \h </w:instrText>
            </w:r>
            <w:r w:rsidR="000F3581" w:rsidRPr="004D307F">
              <w:rPr>
                <w:noProof/>
                <w:webHidden/>
              </w:rPr>
            </w:r>
            <w:r w:rsidR="000F3581" w:rsidRPr="004D307F">
              <w:rPr>
                <w:noProof/>
                <w:webHidden/>
              </w:rPr>
              <w:fldChar w:fldCharType="separate"/>
            </w:r>
            <w:r w:rsidR="00237A8F">
              <w:rPr>
                <w:noProof/>
                <w:webHidden/>
              </w:rPr>
              <w:t>97</w:t>
            </w:r>
            <w:r w:rsidR="000F3581" w:rsidRPr="004D307F">
              <w:rPr>
                <w:noProof/>
                <w:webHidden/>
              </w:rPr>
              <w:fldChar w:fldCharType="end"/>
            </w:r>
          </w:hyperlink>
        </w:p>
        <w:p w14:paraId="550C09DF" w14:textId="25D7DC14" w:rsidR="000F3581" w:rsidRPr="004D307F" w:rsidRDefault="00A35420" w:rsidP="000F3581">
          <w:pPr>
            <w:pStyle w:val="TOC2"/>
            <w:rPr>
              <w:rFonts w:eastAsiaTheme="minorEastAsia"/>
              <w:noProof/>
              <w:lang w:eastAsia="en-AU"/>
            </w:rPr>
          </w:pPr>
          <w:hyperlink w:anchor="_Toc99882763" w:history="1">
            <w:r w:rsidR="000F3581" w:rsidRPr="004D307F">
              <w:rPr>
                <w:rStyle w:val="Hyperlink"/>
                <w:noProof/>
              </w:rPr>
              <w:t>Alternative Settings Teachers (Reference 47)</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_Toc99882763 \h </w:instrText>
            </w:r>
            <w:r w:rsidR="000F3581" w:rsidRPr="004D307F">
              <w:rPr>
                <w:noProof/>
                <w:webHidden/>
              </w:rPr>
            </w:r>
            <w:r w:rsidR="000F3581" w:rsidRPr="004D307F">
              <w:rPr>
                <w:noProof/>
                <w:webHidden/>
              </w:rPr>
              <w:fldChar w:fldCharType="separate"/>
            </w:r>
            <w:r w:rsidR="00237A8F">
              <w:rPr>
                <w:noProof/>
                <w:webHidden/>
              </w:rPr>
              <w:t>98</w:t>
            </w:r>
            <w:r w:rsidR="000F3581" w:rsidRPr="004D307F">
              <w:rPr>
                <w:noProof/>
                <w:webHidden/>
              </w:rPr>
              <w:fldChar w:fldCharType="end"/>
            </w:r>
          </w:hyperlink>
        </w:p>
        <w:p w14:paraId="49E38727" w14:textId="7C8CAC8E" w:rsidR="000F3581" w:rsidRPr="004D307F" w:rsidRDefault="00A35420" w:rsidP="000F3581">
          <w:pPr>
            <w:pStyle w:val="TOC2"/>
            <w:rPr>
              <w:rFonts w:eastAsiaTheme="minorEastAsia"/>
              <w:noProof/>
              <w:lang w:eastAsia="en-AU"/>
            </w:rPr>
          </w:pPr>
          <w:hyperlink w:anchor="_Toc99882764" w:history="1">
            <w:r w:rsidR="000F3581" w:rsidRPr="004D307F">
              <w:rPr>
                <w:rStyle w:val="Hyperlink"/>
                <w:noProof/>
              </w:rPr>
              <w:t>Ancillary Settings Teachers (Reference 48)</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_Toc99882764 \h </w:instrText>
            </w:r>
            <w:r w:rsidR="000F3581" w:rsidRPr="004D307F">
              <w:rPr>
                <w:noProof/>
                <w:webHidden/>
              </w:rPr>
            </w:r>
            <w:r w:rsidR="000F3581" w:rsidRPr="004D307F">
              <w:rPr>
                <w:noProof/>
                <w:webHidden/>
              </w:rPr>
              <w:fldChar w:fldCharType="separate"/>
            </w:r>
            <w:r w:rsidR="00237A8F">
              <w:rPr>
                <w:noProof/>
                <w:webHidden/>
              </w:rPr>
              <w:t>99</w:t>
            </w:r>
            <w:r w:rsidR="000F3581" w:rsidRPr="004D307F">
              <w:rPr>
                <w:noProof/>
                <w:webHidden/>
              </w:rPr>
              <w:fldChar w:fldCharType="end"/>
            </w:r>
          </w:hyperlink>
        </w:p>
        <w:p w14:paraId="38C4C686" w14:textId="0402CBE1" w:rsidR="000F3581" w:rsidRPr="004D307F" w:rsidRDefault="00A35420" w:rsidP="000F3581">
          <w:pPr>
            <w:pStyle w:val="TOC2"/>
            <w:rPr>
              <w:rFonts w:eastAsiaTheme="minorEastAsia"/>
              <w:noProof/>
              <w:lang w:eastAsia="en-AU"/>
            </w:rPr>
          </w:pPr>
          <w:hyperlink w:anchor="_Toc99882765" w:history="1">
            <w:r w:rsidR="000F3581" w:rsidRPr="004D307F">
              <w:rPr>
                <w:rStyle w:val="Hyperlink"/>
                <w:noProof/>
              </w:rPr>
              <w:t>Alternative programs — regional grants (Reference 49)</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_Toc99882765 \h </w:instrText>
            </w:r>
            <w:r w:rsidR="000F3581" w:rsidRPr="004D307F">
              <w:rPr>
                <w:noProof/>
                <w:webHidden/>
              </w:rPr>
            </w:r>
            <w:r w:rsidR="000F3581" w:rsidRPr="004D307F">
              <w:rPr>
                <w:noProof/>
                <w:webHidden/>
              </w:rPr>
              <w:fldChar w:fldCharType="separate"/>
            </w:r>
            <w:r w:rsidR="00237A8F">
              <w:rPr>
                <w:noProof/>
                <w:webHidden/>
              </w:rPr>
              <w:t>100</w:t>
            </w:r>
            <w:r w:rsidR="000F3581" w:rsidRPr="004D307F">
              <w:rPr>
                <w:noProof/>
                <w:webHidden/>
              </w:rPr>
              <w:fldChar w:fldCharType="end"/>
            </w:r>
          </w:hyperlink>
        </w:p>
        <w:p w14:paraId="7000D6F9" w14:textId="092F39CE" w:rsidR="000F3581" w:rsidRPr="004D307F" w:rsidRDefault="00A35420" w:rsidP="000F3581">
          <w:pPr>
            <w:pStyle w:val="TOC2"/>
            <w:rPr>
              <w:rFonts w:eastAsiaTheme="minorEastAsia"/>
              <w:noProof/>
              <w:lang w:eastAsia="en-AU"/>
            </w:rPr>
          </w:pPr>
          <w:hyperlink w:anchor="_Toc99882766" w:history="1">
            <w:r w:rsidR="000F3581" w:rsidRPr="004D307F">
              <w:rPr>
                <w:rStyle w:val="Hyperlink"/>
                <w:noProof/>
              </w:rPr>
              <w:t>Joint Community Program (Reference 123)</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_Toc99882766 \h </w:instrText>
            </w:r>
            <w:r w:rsidR="000F3581" w:rsidRPr="004D307F">
              <w:rPr>
                <w:noProof/>
                <w:webHidden/>
              </w:rPr>
            </w:r>
            <w:r w:rsidR="000F3581" w:rsidRPr="004D307F">
              <w:rPr>
                <w:noProof/>
                <w:webHidden/>
              </w:rPr>
              <w:fldChar w:fldCharType="separate"/>
            </w:r>
            <w:r w:rsidR="00237A8F">
              <w:rPr>
                <w:noProof/>
                <w:webHidden/>
              </w:rPr>
              <w:t>101</w:t>
            </w:r>
            <w:r w:rsidR="000F3581" w:rsidRPr="004D307F">
              <w:rPr>
                <w:noProof/>
                <w:webHidden/>
              </w:rPr>
              <w:fldChar w:fldCharType="end"/>
            </w:r>
          </w:hyperlink>
        </w:p>
        <w:p w14:paraId="6B43F58E" w14:textId="0A5D29C6" w:rsidR="000F3581" w:rsidRPr="004D307F" w:rsidRDefault="00A35420" w:rsidP="000F3581">
          <w:pPr>
            <w:pStyle w:val="TOC2"/>
            <w:rPr>
              <w:rFonts w:eastAsiaTheme="minorEastAsia"/>
              <w:noProof/>
              <w:lang w:eastAsia="en-AU"/>
            </w:rPr>
          </w:pPr>
          <w:hyperlink w:anchor="_Toc99882767" w:history="1">
            <w:r w:rsidR="000F3581" w:rsidRPr="004D307F">
              <w:rPr>
                <w:rStyle w:val="Hyperlink"/>
                <w:noProof/>
              </w:rPr>
              <w:t>Designated Bilingual Programs (Reference 124)</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_Toc99882767 \h </w:instrText>
            </w:r>
            <w:r w:rsidR="000F3581" w:rsidRPr="004D307F">
              <w:rPr>
                <w:noProof/>
                <w:webHidden/>
              </w:rPr>
            </w:r>
            <w:r w:rsidR="000F3581" w:rsidRPr="004D307F">
              <w:rPr>
                <w:noProof/>
                <w:webHidden/>
              </w:rPr>
              <w:fldChar w:fldCharType="separate"/>
            </w:r>
            <w:r w:rsidR="00237A8F">
              <w:rPr>
                <w:noProof/>
                <w:webHidden/>
              </w:rPr>
              <w:t>102</w:t>
            </w:r>
            <w:r w:rsidR="000F3581" w:rsidRPr="004D307F">
              <w:rPr>
                <w:noProof/>
                <w:webHidden/>
              </w:rPr>
              <w:fldChar w:fldCharType="end"/>
            </w:r>
          </w:hyperlink>
        </w:p>
        <w:p w14:paraId="29304664" w14:textId="46D106C3" w:rsidR="000F3581" w:rsidRPr="004D307F" w:rsidRDefault="00A35420" w:rsidP="000F3581">
          <w:pPr>
            <w:pStyle w:val="TOC1"/>
            <w:rPr>
              <w:rFonts w:eastAsiaTheme="minorEastAsia"/>
              <w:noProof/>
              <w:lang w:eastAsia="en-AU"/>
            </w:rPr>
          </w:pPr>
          <w:hyperlink w:anchor="_Toc99882768" w:history="1">
            <w:r w:rsidR="000F3581" w:rsidRPr="004D307F">
              <w:rPr>
                <w:rStyle w:val="Hyperlink"/>
                <w:noProof/>
              </w:rPr>
              <w:t>Targeted Initiatives</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_Toc99882768 \h </w:instrText>
            </w:r>
            <w:r w:rsidR="000F3581" w:rsidRPr="004D307F">
              <w:rPr>
                <w:noProof/>
                <w:webHidden/>
              </w:rPr>
            </w:r>
            <w:r w:rsidR="000F3581" w:rsidRPr="004D307F">
              <w:rPr>
                <w:noProof/>
                <w:webHidden/>
              </w:rPr>
              <w:fldChar w:fldCharType="separate"/>
            </w:r>
            <w:r w:rsidR="00237A8F">
              <w:rPr>
                <w:noProof/>
                <w:webHidden/>
              </w:rPr>
              <w:t>102</w:t>
            </w:r>
            <w:r w:rsidR="000F3581" w:rsidRPr="004D307F">
              <w:rPr>
                <w:noProof/>
                <w:webHidden/>
              </w:rPr>
              <w:fldChar w:fldCharType="end"/>
            </w:r>
          </w:hyperlink>
        </w:p>
        <w:p w14:paraId="3C094345" w14:textId="1C81F214" w:rsidR="000F3581" w:rsidRPr="004D307F" w:rsidRDefault="00A35420" w:rsidP="000F3581">
          <w:pPr>
            <w:pStyle w:val="TOC2"/>
            <w:rPr>
              <w:rFonts w:eastAsiaTheme="minorEastAsia"/>
              <w:noProof/>
              <w:lang w:eastAsia="en-AU"/>
            </w:rPr>
          </w:pPr>
          <w:hyperlink w:anchor="_Toc99882769" w:history="1">
            <w:r w:rsidR="000F3581" w:rsidRPr="004D307F">
              <w:rPr>
                <w:rStyle w:val="Hyperlink"/>
                <w:noProof/>
              </w:rPr>
              <w:t>Primary Welfare (Reference 50)</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_Toc99882769 \h </w:instrText>
            </w:r>
            <w:r w:rsidR="000F3581" w:rsidRPr="004D307F">
              <w:rPr>
                <w:noProof/>
                <w:webHidden/>
              </w:rPr>
            </w:r>
            <w:r w:rsidR="000F3581" w:rsidRPr="004D307F">
              <w:rPr>
                <w:noProof/>
                <w:webHidden/>
              </w:rPr>
              <w:fldChar w:fldCharType="separate"/>
            </w:r>
            <w:r w:rsidR="00237A8F">
              <w:rPr>
                <w:noProof/>
                <w:webHidden/>
              </w:rPr>
              <w:t>105</w:t>
            </w:r>
            <w:r w:rsidR="000F3581" w:rsidRPr="004D307F">
              <w:rPr>
                <w:noProof/>
                <w:webHidden/>
              </w:rPr>
              <w:fldChar w:fldCharType="end"/>
            </w:r>
          </w:hyperlink>
        </w:p>
        <w:p w14:paraId="4A6678D8" w14:textId="23A97A52" w:rsidR="000F3581" w:rsidRPr="004D307F" w:rsidRDefault="00A35420" w:rsidP="000F3581">
          <w:pPr>
            <w:pStyle w:val="TOC2"/>
            <w:rPr>
              <w:rFonts w:eastAsiaTheme="minorEastAsia"/>
              <w:noProof/>
              <w:lang w:eastAsia="en-AU"/>
            </w:rPr>
          </w:pPr>
          <w:hyperlink w:anchor="_Toc99882770" w:history="1">
            <w:r w:rsidR="000F3581" w:rsidRPr="004D307F">
              <w:rPr>
                <w:rStyle w:val="Hyperlink"/>
                <w:noProof/>
              </w:rPr>
              <w:t>Late Enrolment and Senior Secondary Re-engagement (Reference 53)</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_Toc99882770 \h </w:instrText>
            </w:r>
            <w:r w:rsidR="000F3581" w:rsidRPr="004D307F">
              <w:rPr>
                <w:noProof/>
                <w:webHidden/>
              </w:rPr>
            </w:r>
            <w:r w:rsidR="000F3581" w:rsidRPr="004D307F">
              <w:rPr>
                <w:noProof/>
                <w:webHidden/>
              </w:rPr>
              <w:fldChar w:fldCharType="separate"/>
            </w:r>
            <w:r w:rsidR="00237A8F">
              <w:rPr>
                <w:noProof/>
                <w:webHidden/>
              </w:rPr>
              <w:t>107</w:t>
            </w:r>
            <w:r w:rsidR="000F3581" w:rsidRPr="004D307F">
              <w:rPr>
                <w:noProof/>
                <w:webHidden/>
              </w:rPr>
              <w:fldChar w:fldCharType="end"/>
            </w:r>
          </w:hyperlink>
        </w:p>
        <w:p w14:paraId="5836DAF2" w14:textId="4DD5F5A2" w:rsidR="000F3581" w:rsidRPr="004D307F" w:rsidRDefault="00A35420" w:rsidP="000F3581">
          <w:pPr>
            <w:pStyle w:val="TOC2"/>
            <w:rPr>
              <w:rFonts w:eastAsiaTheme="minorEastAsia"/>
              <w:noProof/>
              <w:lang w:eastAsia="en-AU"/>
            </w:rPr>
          </w:pPr>
          <w:hyperlink w:anchor="_Toc99882771" w:history="1">
            <w:r w:rsidR="000F3581" w:rsidRPr="004D307F">
              <w:rPr>
                <w:rStyle w:val="Hyperlink"/>
                <w:noProof/>
              </w:rPr>
              <w:t>Vocational Education and Training Delivered to Secondary School Students (Reference 56)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_Toc99882771 \h </w:instrText>
            </w:r>
            <w:r w:rsidR="000F3581" w:rsidRPr="004D307F">
              <w:rPr>
                <w:noProof/>
                <w:webHidden/>
              </w:rPr>
            </w:r>
            <w:r w:rsidR="000F3581" w:rsidRPr="004D307F">
              <w:rPr>
                <w:noProof/>
                <w:webHidden/>
              </w:rPr>
              <w:fldChar w:fldCharType="separate"/>
            </w:r>
            <w:r w:rsidR="00237A8F">
              <w:rPr>
                <w:noProof/>
                <w:webHidden/>
              </w:rPr>
              <w:t>111</w:t>
            </w:r>
            <w:r w:rsidR="000F3581" w:rsidRPr="004D307F">
              <w:rPr>
                <w:noProof/>
                <w:webHidden/>
              </w:rPr>
              <w:fldChar w:fldCharType="end"/>
            </w:r>
          </w:hyperlink>
        </w:p>
        <w:p w14:paraId="4B7A6602" w14:textId="596D4786" w:rsidR="000F3581" w:rsidRPr="004D307F" w:rsidRDefault="00A35420" w:rsidP="000F3581">
          <w:pPr>
            <w:pStyle w:val="TOC2"/>
            <w:rPr>
              <w:rFonts w:eastAsiaTheme="minorEastAsia"/>
              <w:noProof/>
              <w:lang w:eastAsia="en-AU"/>
            </w:rPr>
          </w:pPr>
          <w:hyperlink w:anchor="_Toc99882772" w:history="1">
            <w:r w:rsidR="000F3581" w:rsidRPr="004D307F">
              <w:rPr>
                <w:rStyle w:val="Hyperlink"/>
                <w:noProof/>
              </w:rPr>
              <w:t>Respectful Relationships (Reference 86)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_Toc99882772 \h </w:instrText>
            </w:r>
            <w:r w:rsidR="000F3581" w:rsidRPr="004D307F">
              <w:rPr>
                <w:noProof/>
                <w:webHidden/>
              </w:rPr>
            </w:r>
            <w:r w:rsidR="000F3581" w:rsidRPr="004D307F">
              <w:rPr>
                <w:noProof/>
                <w:webHidden/>
              </w:rPr>
              <w:fldChar w:fldCharType="separate"/>
            </w:r>
            <w:r w:rsidR="00237A8F">
              <w:rPr>
                <w:noProof/>
                <w:webHidden/>
              </w:rPr>
              <w:t>120</w:t>
            </w:r>
            <w:r w:rsidR="000F3581" w:rsidRPr="004D307F">
              <w:rPr>
                <w:noProof/>
                <w:webHidden/>
              </w:rPr>
              <w:fldChar w:fldCharType="end"/>
            </w:r>
          </w:hyperlink>
        </w:p>
        <w:p w14:paraId="31A82A60" w14:textId="3594C125" w:rsidR="000F3581" w:rsidRPr="004D307F" w:rsidRDefault="00A35420" w:rsidP="000F3581">
          <w:pPr>
            <w:pStyle w:val="TOC2"/>
            <w:rPr>
              <w:rFonts w:eastAsiaTheme="minorEastAsia"/>
              <w:noProof/>
              <w:lang w:eastAsia="en-AU"/>
            </w:rPr>
          </w:pPr>
          <w:hyperlink w:anchor="_Toc99882773" w:history="1">
            <w:r w:rsidR="000F3581" w:rsidRPr="004D307F">
              <w:rPr>
                <w:rStyle w:val="Hyperlink"/>
                <w:noProof/>
              </w:rPr>
              <w:t>Extended Koorie Literacy and Numeracy Program (Reference 88)</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_Toc99882773 \h </w:instrText>
            </w:r>
            <w:r w:rsidR="000F3581" w:rsidRPr="004D307F">
              <w:rPr>
                <w:noProof/>
                <w:webHidden/>
              </w:rPr>
            </w:r>
            <w:r w:rsidR="000F3581" w:rsidRPr="004D307F">
              <w:rPr>
                <w:noProof/>
                <w:webHidden/>
              </w:rPr>
              <w:fldChar w:fldCharType="separate"/>
            </w:r>
            <w:r w:rsidR="00237A8F">
              <w:rPr>
                <w:noProof/>
                <w:webHidden/>
              </w:rPr>
              <w:t>122</w:t>
            </w:r>
            <w:r w:rsidR="000F3581" w:rsidRPr="004D307F">
              <w:rPr>
                <w:noProof/>
                <w:webHidden/>
              </w:rPr>
              <w:fldChar w:fldCharType="end"/>
            </w:r>
          </w:hyperlink>
        </w:p>
        <w:p w14:paraId="1B6E81F0" w14:textId="0F8B5024" w:rsidR="000F3581" w:rsidRPr="004D307F" w:rsidRDefault="00A35420" w:rsidP="000F3581">
          <w:pPr>
            <w:pStyle w:val="TOC2"/>
            <w:rPr>
              <w:rFonts w:eastAsiaTheme="minorEastAsia"/>
              <w:noProof/>
              <w:lang w:eastAsia="en-AU"/>
            </w:rPr>
          </w:pPr>
          <w:hyperlink w:anchor="_Toc99882774" w:history="1">
            <w:r w:rsidR="000F3581" w:rsidRPr="004D307F">
              <w:rPr>
                <w:rStyle w:val="Hyperlink"/>
                <w:noProof/>
              </w:rPr>
              <w:t>Early Years Koorie Literacy and Numeracy Program (Reference 90)</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_Toc99882774 \h </w:instrText>
            </w:r>
            <w:r w:rsidR="000F3581" w:rsidRPr="004D307F">
              <w:rPr>
                <w:noProof/>
                <w:webHidden/>
              </w:rPr>
            </w:r>
            <w:r w:rsidR="000F3581" w:rsidRPr="004D307F">
              <w:rPr>
                <w:noProof/>
                <w:webHidden/>
              </w:rPr>
              <w:fldChar w:fldCharType="separate"/>
            </w:r>
            <w:r w:rsidR="00237A8F">
              <w:rPr>
                <w:noProof/>
                <w:webHidden/>
              </w:rPr>
              <w:t>124</w:t>
            </w:r>
            <w:r w:rsidR="000F3581" w:rsidRPr="004D307F">
              <w:rPr>
                <w:noProof/>
                <w:webHidden/>
              </w:rPr>
              <w:fldChar w:fldCharType="end"/>
            </w:r>
          </w:hyperlink>
        </w:p>
        <w:p w14:paraId="797B9E97" w14:textId="6037CFED" w:rsidR="000F3581" w:rsidRPr="004D307F" w:rsidRDefault="00A35420" w:rsidP="000F3581">
          <w:pPr>
            <w:pStyle w:val="TOC2"/>
            <w:rPr>
              <w:rFonts w:eastAsiaTheme="minorEastAsia"/>
              <w:noProof/>
              <w:lang w:eastAsia="en-AU"/>
            </w:rPr>
          </w:pPr>
          <w:hyperlink w:anchor="_Toc99882775" w:history="1">
            <w:r w:rsidR="000F3581" w:rsidRPr="004D307F">
              <w:rPr>
                <w:rStyle w:val="Hyperlink"/>
                <w:noProof/>
              </w:rPr>
              <w:t>Doctors in Secondary Schools — School program lead funding (Reference 64)</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_Toc99882775 \h </w:instrText>
            </w:r>
            <w:r w:rsidR="000F3581" w:rsidRPr="004D307F">
              <w:rPr>
                <w:noProof/>
                <w:webHidden/>
              </w:rPr>
            </w:r>
            <w:r w:rsidR="000F3581" w:rsidRPr="004D307F">
              <w:rPr>
                <w:noProof/>
                <w:webHidden/>
              </w:rPr>
              <w:fldChar w:fldCharType="separate"/>
            </w:r>
            <w:r w:rsidR="00237A8F">
              <w:rPr>
                <w:noProof/>
                <w:webHidden/>
              </w:rPr>
              <w:t>126</w:t>
            </w:r>
            <w:r w:rsidR="000F3581" w:rsidRPr="004D307F">
              <w:rPr>
                <w:noProof/>
                <w:webHidden/>
              </w:rPr>
              <w:fldChar w:fldCharType="end"/>
            </w:r>
          </w:hyperlink>
        </w:p>
        <w:p w14:paraId="167FEEDC" w14:textId="5D9EF18B" w:rsidR="000F3581" w:rsidRPr="004D307F" w:rsidRDefault="00A35420" w:rsidP="000F3581">
          <w:pPr>
            <w:pStyle w:val="TOC2"/>
            <w:rPr>
              <w:rFonts w:eastAsiaTheme="minorEastAsia"/>
              <w:noProof/>
              <w:lang w:eastAsia="en-AU"/>
            </w:rPr>
          </w:pPr>
          <w:hyperlink w:anchor="_Toc99882776" w:history="1">
            <w:r w:rsidR="000F3581" w:rsidRPr="004D307F">
              <w:rPr>
                <w:rStyle w:val="Hyperlink"/>
                <w:noProof/>
              </w:rPr>
              <w:t>Career Education Funding (Reference 91)</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_Toc99882776 \h </w:instrText>
            </w:r>
            <w:r w:rsidR="000F3581" w:rsidRPr="004D307F">
              <w:rPr>
                <w:noProof/>
                <w:webHidden/>
              </w:rPr>
            </w:r>
            <w:r w:rsidR="000F3581" w:rsidRPr="004D307F">
              <w:rPr>
                <w:noProof/>
                <w:webHidden/>
              </w:rPr>
              <w:fldChar w:fldCharType="separate"/>
            </w:r>
            <w:r w:rsidR="00237A8F">
              <w:rPr>
                <w:noProof/>
                <w:webHidden/>
              </w:rPr>
              <w:t>128</w:t>
            </w:r>
            <w:r w:rsidR="000F3581" w:rsidRPr="004D307F">
              <w:rPr>
                <w:noProof/>
                <w:webHidden/>
              </w:rPr>
              <w:fldChar w:fldCharType="end"/>
            </w:r>
          </w:hyperlink>
        </w:p>
        <w:p w14:paraId="44FB25E5" w14:textId="20CACDEE" w:rsidR="000F3581" w:rsidRPr="004D307F" w:rsidRDefault="00A35420" w:rsidP="000F3581">
          <w:pPr>
            <w:pStyle w:val="TOC2"/>
            <w:rPr>
              <w:rFonts w:eastAsiaTheme="minorEastAsia"/>
              <w:noProof/>
              <w:lang w:eastAsia="en-AU"/>
            </w:rPr>
          </w:pPr>
          <w:hyperlink w:anchor="_Toc99882777" w:history="1">
            <w:r w:rsidR="000F3581" w:rsidRPr="004D307F">
              <w:rPr>
                <w:rStyle w:val="Hyperlink"/>
                <w:noProof/>
              </w:rPr>
              <w:t>Swimming in Schools (Reference 115)</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_Toc99882777 \h </w:instrText>
            </w:r>
            <w:r w:rsidR="000F3581" w:rsidRPr="004D307F">
              <w:rPr>
                <w:noProof/>
                <w:webHidden/>
              </w:rPr>
            </w:r>
            <w:r w:rsidR="000F3581" w:rsidRPr="004D307F">
              <w:rPr>
                <w:noProof/>
                <w:webHidden/>
              </w:rPr>
              <w:fldChar w:fldCharType="separate"/>
            </w:r>
            <w:r w:rsidR="00237A8F">
              <w:rPr>
                <w:noProof/>
                <w:webHidden/>
              </w:rPr>
              <w:t>131</w:t>
            </w:r>
            <w:r w:rsidR="000F3581" w:rsidRPr="004D307F">
              <w:rPr>
                <w:noProof/>
                <w:webHidden/>
              </w:rPr>
              <w:fldChar w:fldCharType="end"/>
            </w:r>
          </w:hyperlink>
        </w:p>
        <w:p w14:paraId="71E98FF7" w14:textId="1951D6C1" w:rsidR="000F3581" w:rsidRPr="004D307F" w:rsidRDefault="00A35420" w:rsidP="000F3581">
          <w:pPr>
            <w:pStyle w:val="TOC2"/>
            <w:rPr>
              <w:rFonts w:eastAsiaTheme="minorEastAsia"/>
              <w:noProof/>
              <w:lang w:eastAsia="en-AU"/>
            </w:rPr>
          </w:pPr>
          <w:hyperlink w:anchor="_Toc99882778" w:history="1">
            <w:r w:rsidR="000F3581" w:rsidRPr="004D307F">
              <w:rPr>
                <w:rStyle w:val="Hyperlink"/>
                <w:noProof/>
              </w:rPr>
              <w:t>Head Start (Reference 116)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_Toc99882778 \h </w:instrText>
            </w:r>
            <w:r w:rsidR="000F3581" w:rsidRPr="004D307F">
              <w:rPr>
                <w:noProof/>
                <w:webHidden/>
              </w:rPr>
            </w:r>
            <w:r w:rsidR="000F3581" w:rsidRPr="004D307F">
              <w:rPr>
                <w:noProof/>
                <w:webHidden/>
              </w:rPr>
              <w:fldChar w:fldCharType="separate"/>
            </w:r>
            <w:r w:rsidR="00237A8F">
              <w:rPr>
                <w:noProof/>
                <w:webHidden/>
              </w:rPr>
              <w:t>133</w:t>
            </w:r>
            <w:r w:rsidR="000F3581" w:rsidRPr="004D307F">
              <w:rPr>
                <w:noProof/>
                <w:webHidden/>
              </w:rPr>
              <w:fldChar w:fldCharType="end"/>
            </w:r>
          </w:hyperlink>
        </w:p>
        <w:p w14:paraId="2844E567" w14:textId="1D4379B8" w:rsidR="000F3581" w:rsidRPr="004D307F" w:rsidRDefault="00A35420" w:rsidP="000F3581">
          <w:pPr>
            <w:pStyle w:val="TOC2"/>
            <w:rPr>
              <w:rFonts w:eastAsiaTheme="minorEastAsia"/>
              <w:noProof/>
              <w:lang w:eastAsia="en-AU"/>
            </w:rPr>
          </w:pPr>
          <w:hyperlink w:anchor="_Toc99882779" w:history="1">
            <w:r w:rsidR="000F3581" w:rsidRPr="004D307F">
              <w:rPr>
                <w:rStyle w:val="Hyperlink"/>
                <w:noProof/>
              </w:rPr>
              <w:t>National School Chaplaincy Program (NSCP) (Reference 117)</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_Toc99882779 \h </w:instrText>
            </w:r>
            <w:r w:rsidR="000F3581" w:rsidRPr="004D307F">
              <w:rPr>
                <w:noProof/>
                <w:webHidden/>
              </w:rPr>
            </w:r>
            <w:r w:rsidR="000F3581" w:rsidRPr="004D307F">
              <w:rPr>
                <w:noProof/>
                <w:webHidden/>
              </w:rPr>
              <w:fldChar w:fldCharType="separate"/>
            </w:r>
            <w:r w:rsidR="00237A8F">
              <w:rPr>
                <w:noProof/>
                <w:webHidden/>
              </w:rPr>
              <w:t>134</w:t>
            </w:r>
            <w:r w:rsidR="000F3581" w:rsidRPr="004D307F">
              <w:rPr>
                <w:noProof/>
                <w:webHidden/>
              </w:rPr>
              <w:fldChar w:fldCharType="end"/>
            </w:r>
          </w:hyperlink>
        </w:p>
        <w:p w14:paraId="76215ED5" w14:textId="07366A64" w:rsidR="000F3581" w:rsidRPr="004D307F" w:rsidRDefault="00A35420" w:rsidP="000F3581">
          <w:pPr>
            <w:pStyle w:val="TOC2"/>
            <w:rPr>
              <w:rFonts w:eastAsiaTheme="minorEastAsia"/>
              <w:noProof/>
              <w:lang w:eastAsia="en-AU"/>
            </w:rPr>
          </w:pPr>
          <w:hyperlink w:anchor="_Toc99882780" w:history="1">
            <w:r w:rsidR="000F3581" w:rsidRPr="004D307F">
              <w:rPr>
                <w:rStyle w:val="Hyperlink"/>
                <w:noProof/>
              </w:rPr>
              <w:t>Middle Years Literacy and Numeracy Support Initiative (Reference 118)</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_Toc99882780 \h </w:instrText>
            </w:r>
            <w:r w:rsidR="000F3581" w:rsidRPr="004D307F">
              <w:rPr>
                <w:noProof/>
                <w:webHidden/>
              </w:rPr>
            </w:r>
            <w:r w:rsidR="000F3581" w:rsidRPr="004D307F">
              <w:rPr>
                <w:noProof/>
                <w:webHidden/>
              </w:rPr>
              <w:fldChar w:fldCharType="separate"/>
            </w:r>
            <w:r w:rsidR="00237A8F">
              <w:rPr>
                <w:noProof/>
                <w:webHidden/>
              </w:rPr>
              <w:t>135</w:t>
            </w:r>
            <w:r w:rsidR="000F3581" w:rsidRPr="004D307F">
              <w:rPr>
                <w:noProof/>
                <w:webHidden/>
              </w:rPr>
              <w:fldChar w:fldCharType="end"/>
            </w:r>
          </w:hyperlink>
        </w:p>
        <w:p w14:paraId="793FF6FA" w14:textId="7E2F267C" w:rsidR="000F3581" w:rsidRPr="004D307F" w:rsidRDefault="00A35420" w:rsidP="000F3581">
          <w:pPr>
            <w:pStyle w:val="TOC2"/>
            <w:rPr>
              <w:rFonts w:eastAsiaTheme="minorEastAsia"/>
              <w:noProof/>
              <w:lang w:eastAsia="en-AU"/>
            </w:rPr>
          </w:pPr>
          <w:hyperlink w:anchor="_Toc99882781" w:history="1">
            <w:r w:rsidR="000F3581" w:rsidRPr="004D307F">
              <w:rPr>
                <w:rStyle w:val="Hyperlink"/>
                <w:noProof/>
              </w:rPr>
              <w:t>Student Excellence Program Funding (Reference 120)</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_Toc99882781 \h </w:instrText>
            </w:r>
            <w:r w:rsidR="000F3581" w:rsidRPr="004D307F">
              <w:rPr>
                <w:noProof/>
                <w:webHidden/>
              </w:rPr>
            </w:r>
            <w:r w:rsidR="000F3581" w:rsidRPr="004D307F">
              <w:rPr>
                <w:noProof/>
                <w:webHidden/>
              </w:rPr>
              <w:fldChar w:fldCharType="separate"/>
            </w:r>
            <w:r w:rsidR="00237A8F">
              <w:rPr>
                <w:noProof/>
                <w:webHidden/>
              </w:rPr>
              <w:t>138</w:t>
            </w:r>
            <w:r w:rsidR="000F3581" w:rsidRPr="004D307F">
              <w:rPr>
                <w:noProof/>
                <w:webHidden/>
              </w:rPr>
              <w:fldChar w:fldCharType="end"/>
            </w:r>
          </w:hyperlink>
        </w:p>
        <w:p w14:paraId="25F2E0B7" w14:textId="60FCE8CA" w:rsidR="000F3581" w:rsidRPr="004D307F" w:rsidRDefault="00A35420" w:rsidP="000F3581">
          <w:pPr>
            <w:pStyle w:val="TOC2"/>
            <w:rPr>
              <w:rFonts w:eastAsiaTheme="minorEastAsia"/>
              <w:noProof/>
              <w:lang w:eastAsia="en-AU"/>
            </w:rPr>
          </w:pPr>
          <w:hyperlink w:anchor="_Toc99882782" w:history="1">
            <w:r w:rsidR="000F3581" w:rsidRPr="004D307F">
              <w:rPr>
                <w:rStyle w:val="Hyperlink"/>
                <w:noProof/>
              </w:rPr>
              <w:t>VCE Revision Lectures (Reference 121)</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_Toc99882782 \h </w:instrText>
            </w:r>
            <w:r w:rsidR="000F3581" w:rsidRPr="004D307F">
              <w:rPr>
                <w:noProof/>
                <w:webHidden/>
              </w:rPr>
            </w:r>
            <w:r w:rsidR="000F3581" w:rsidRPr="004D307F">
              <w:rPr>
                <w:noProof/>
                <w:webHidden/>
              </w:rPr>
              <w:fldChar w:fldCharType="separate"/>
            </w:r>
            <w:r w:rsidR="00237A8F">
              <w:rPr>
                <w:noProof/>
                <w:webHidden/>
              </w:rPr>
              <w:t>141</w:t>
            </w:r>
            <w:r w:rsidR="000F3581" w:rsidRPr="004D307F">
              <w:rPr>
                <w:noProof/>
                <w:webHidden/>
              </w:rPr>
              <w:fldChar w:fldCharType="end"/>
            </w:r>
          </w:hyperlink>
        </w:p>
        <w:p w14:paraId="71A384C0" w14:textId="58F127D2" w:rsidR="000F3581" w:rsidRPr="004D307F" w:rsidRDefault="00A35420" w:rsidP="000F3581">
          <w:pPr>
            <w:pStyle w:val="TOC2"/>
            <w:rPr>
              <w:rFonts w:eastAsiaTheme="minorEastAsia"/>
              <w:noProof/>
              <w:lang w:eastAsia="en-AU"/>
            </w:rPr>
          </w:pPr>
          <w:hyperlink w:anchor="_Toc99882783" w:history="1">
            <w:r w:rsidR="000F3581" w:rsidRPr="004D307F">
              <w:rPr>
                <w:rStyle w:val="Hyperlink"/>
                <w:noProof/>
              </w:rPr>
              <w:t>Professional Learning Communities (PLC) Link Schools (Reference 122)</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_Toc99882783 \h </w:instrText>
            </w:r>
            <w:r w:rsidR="000F3581" w:rsidRPr="004D307F">
              <w:rPr>
                <w:noProof/>
                <w:webHidden/>
              </w:rPr>
            </w:r>
            <w:r w:rsidR="000F3581" w:rsidRPr="004D307F">
              <w:rPr>
                <w:noProof/>
                <w:webHidden/>
              </w:rPr>
              <w:fldChar w:fldCharType="separate"/>
            </w:r>
            <w:r w:rsidR="00237A8F">
              <w:rPr>
                <w:noProof/>
                <w:webHidden/>
              </w:rPr>
              <w:t>143</w:t>
            </w:r>
            <w:r w:rsidR="000F3581" w:rsidRPr="004D307F">
              <w:rPr>
                <w:noProof/>
                <w:webHidden/>
              </w:rPr>
              <w:fldChar w:fldCharType="end"/>
            </w:r>
          </w:hyperlink>
        </w:p>
        <w:p w14:paraId="2928A367" w14:textId="0AF23931" w:rsidR="000F3581" w:rsidRPr="004D307F" w:rsidRDefault="00A35420" w:rsidP="000F3581">
          <w:pPr>
            <w:pStyle w:val="TOC2"/>
            <w:rPr>
              <w:rFonts w:eastAsiaTheme="minorEastAsia"/>
              <w:noProof/>
              <w:lang w:eastAsia="en-AU"/>
            </w:rPr>
          </w:pPr>
          <w:hyperlink w:anchor="_Toc99882784" w:history="1">
            <w:r w:rsidR="000F3581" w:rsidRPr="004D307F">
              <w:rPr>
                <w:rStyle w:val="Hyperlink"/>
                <w:noProof/>
              </w:rPr>
              <w:t>Primary Mathematics and Science Specialist Initiative (Reference 125)</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_Toc99882784 \h </w:instrText>
            </w:r>
            <w:r w:rsidR="000F3581" w:rsidRPr="004D307F">
              <w:rPr>
                <w:noProof/>
                <w:webHidden/>
              </w:rPr>
            </w:r>
            <w:r w:rsidR="000F3581" w:rsidRPr="004D307F">
              <w:rPr>
                <w:noProof/>
                <w:webHidden/>
              </w:rPr>
              <w:fldChar w:fldCharType="separate"/>
            </w:r>
            <w:r w:rsidR="00237A8F">
              <w:rPr>
                <w:noProof/>
                <w:webHidden/>
              </w:rPr>
              <w:t>145</w:t>
            </w:r>
            <w:r w:rsidR="000F3581" w:rsidRPr="004D307F">
              <w:rPr>
                <w:noProof/>
                <w:webHidden/>
              </w:rPr>
              <w:fldChar w:fldCharType="end"/>
            </w:r>
          </w:hyperlink>
        </w:p>
        <w:p w14:paraId="17115E64" w14:textId="5F9E25F2" w:rsidR="000F3581" w:rsidRPr="004D307F" w:rsidRDefault="00A35420" w:rsidP="000F3581">
          <w:pPr>
            <w:pStyle w:val="TOC2"/>
            <w:rPr>
              <w:rFonts w:eastAsiaTheme="minorEastAsia"/>
              <w:noProof/>
              <w:lang w:eastAsia="en-AU"/>
            </w:rPr>
          </w:pPr>
          <w:hyperlink w:anchor="_Toc99882785" w:history="1">
            <w:r w:rsidR="000F3581" w:rsidRPr="004D307F">
              <w:rPr>
                <w:rStyle w:val="Hyperlink"/>
                <w:noProof/>
              </w:rPr>
              <w:t>Secondary Mathematics and Science Initiative (Reference 133)</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_Toc99882785 \h </w:instrText>
            </w:r>
            <w:r w:rsidR="000F3581" w:rsidRPr="004D307F">
              <w:rPr>
                <w:noProof/>
                <w:webHidden/>
              </w:rPr>
            </w:r>
            <w:r w:rsidR="000F3581" w:rsidRPr="004D307F">
              <w:rPr>
                <w:noProof/>
                <w:webHidden/>
              </w:rPr>
              <w:fldChar w:fldCharType="separate"/>
            </w:r>
            <w:r w:rsidR="00237A8F">
              <w:rPr>
                <w:noProof/>
                <w:webHidden/>
              </w:rPr>
              <w:t>147</w:t>
            </w:r>
            <w:r w:rsidR="000F3581" w:rsidRPr="004D307F">
              <w:rPr>
                <w:noProof/>
                <w:webHidden/>
              </w:rPr>
              <w:fldChar w:fldCharType="end"/>
            </w:r>
          </w:hyperlink>
        </w:p>
        <w:p w14:paraId="105EF01B" w14:textId="365B0D52" w:rsidR="000F3581" w:rsidRPr="004D307F" w:rsidRDefault="00A35420" w:rsidP="000F3581">
          <w:pPr>
            <w:pStyle w:val="TOC2"/>
            <w:rPr>
              <w:rFonts w:eastAsiaTheme="minorEastAsia"/>
              <w:noProof/>
              <w:lang w:eastAsia="en-AU"/>
            </w:rPr>
          </w:pPr>
          <w:hyperlink w:anchor="_Toc99882786" w:history="1">
            <w:r w:rsidR="000F3581" w:rsidRPr="004D307F">
              <w:rPr>
                <w:rStyle w:val="Hyperlink"/>
                <w:noProof/>
              </w:rPr>
              <w:t>Transition Funding (Rural) (Reference 126)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_Toc99882786 \h </w:instrText>
            </w:r>
            <w:r w:rsidR="000F3581" w:rsidRPr="004D307F">
              <w:rPr>
                <w:noProof/>
                <w:webHidden/>
              </w:rPr>
            </w:r>
            <w:r w:rsidR="000F3581" w:rsidRPr="004D307F">
              <w:rPr>
                <w:noProof/>
                <w:webHidden/>
              </w:rPr>
              <w:fldChar w:fldCharType="separate"/>
            </w:r>
            <w:r w:rsidR="00237A8F">
              <w:rPr>
                <w:noProof/>
                <w:webHidden/>
              </w:rPr>
              <w:t>148</w:t>
            </w:r>
            <w:r w:rsidR="000F3581" w:rsidRPr="004D307F">
              <w:rPr>
                <w:noProof/>
                <w:webHidden/>
              </w:rPr>
              <w:fldChar w:fldCharType="end"/>
            </w:r>
          </w:hyperlink>
        </w:p>
        <w:p w14:paraId="252E041E" w14:textId="455B7782" w:rsidR="000F3581" w:rsidRPr="004D307F" w:rsidRDefault="00A35420" w:rsidP="000F3581">
          <w:pPr>
            <w:pStyle w:val="TOC2"/>
            <w:rPr>
              <w:rFonts w:eastAsiaTheme="minorEastAsia"/>
              <w:noProof/>
              <w:lang w:eastAsia="en-AU"/>
            </w:rPr>
          </w:pPr>
          <w:hyperlink w:anchor="_Toc99882787" w:history="1">
            <w:r w:rsidR="000F3581" w:rsidRPr="004D307F">
              <w:rPr>
                <w:rStyle w:val="Hyperlink"/>
                <w:noProof/>
              </w:rPr>
              <w:t>Jobs, Skills and Pathways (JSP) coordination (Reference 127)</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_Toc99882787 \h </w:instrText>
            </w:r>
            <w:r w:rsidR="000F3581" w:rsidRPr="004D307F">
              <w:rPr>
                <w:noProof/>
                <w:webHidden/>
              </w:rPr>
            </w:r>
            <w:r w:rsidR="000F3581" w:rsidRPr="004D307F">
              <w:rPr>
                <w:noProof/>
                <w:webHidden/>
              </w:rPr>
              <w:fldChar w:fldCharType="separate"/>
            </w:r>
            <w:r w:rsidR="00237A8F">
              <w:rPr>
                <w:noProof/>
                <w:webHidden/>
              </w:rPr>
              <w:t>150</w:t>
            </w:r>
            <w:r w:rsidR="000F3581" w:rsidRPr="004D307F">
              <w:rPr>
                <w:noProof/>
                <w:webHidden/>
              </w:rPr>
              <w:fldChar w:fldCharType="end"/>
            </w:r>
          </w:hyperlink>
        </w:p>
        <w:p w14:paraId="7160B13C" w14:textId="0756EB02" w:rsidR="000F3581" w:rsidRPr="004D307F" w:rsidRDefault="00A35420" w:rsidP="000F3581">
          <w:pPr>
            <w:pStyle w:val="TOC2"/>
            <w:rPr>
              <w:rFonts w:eastAsiaTheme="minorEastAsia"/>
              <w:noProof/>
              <w:lang w:eastAsia="en-AU"/>
            </w:rPr>
          </w:pPr>
          <w:hyperlink w:anchor="_Toc99882788" w:history="1">
            <w:r w:rsidR="000F3581" w:rsidRPr="004D307F">
              <w:rPr>
                <w:rStyle w:val="Hyperlink"/>
                <w:noProof/>
              </w:rPr>
              <w:t>Tutor Learning Initiative (Reference 129)</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_Toc99882788 \h </w:instrText>
            </w:r>
            <w:r w:rsidR="000F3581" w:rsidRPr="004D307F">
              <w:rPr>
                <w:noProof/>
                <w:webHidden/>
              </w:rPr>
            </w:r>
            <w:r w:rsidR="000F3581" w:rsidRPr="004D307F">
              <w:rPr>
                <w:noProof/>
                <w:webHidden/>
              </w:rPr>
              <w:fldChar w:fldCharType="separate"/>
            </w:r>
            <w:r w:rsidR="00237A8F">
              <w:rPr>
                <w:noProof/>
                <w:webHidden/>
              </w:rPr>
              <w:t>152</w:t>
            </w:r>
            <w:r w:rsidR="000F3581" w:rsidRPr="004D307F">
              <w:rPr>
                <w:noProof/>
                <w:webHidden/>
              </w:rPr>
              <w:fldChar w:fldCharType="end"/>
            </w:r>
          </w:hyperlink>
        </w:p>
        <w:p w14:paraId="257C4FCC" w14:textId="1E633865" w:rsidR="000F3581" w:rsidRPr="004D307F" w:rsidRDefault="00A35420" w:rsidP="000F3581">
          <w:pPr>
            <w:pStyle w:val="TOC2"/>
            <w:rPr>
              <w:rFonts w:eastAsiaTheme="minorEastAsia"/>
              <w:noProof/>
              <w:lang w:eastAsia="en-AU"/>
            </w:rPr>
          </w:pPr>
          <w:hyperlink w:anchor="_Toc99882789" w:history="1">
            <w:r w:rsidR="000F3581" w:rsidRPr="004D307F">
              <w:rPr>
                <w:rStyle w:val="Hyperlink"/>
                <w:noProof/>
              </w:rPr>
              <w:t>Mental Health in Primary Schools Pilot (Reference 130)</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_Toc99882789 \h </w:instrText>
            </w:r>
            <w:r w:rsidR="000F3581" w:rsidRPr="004D307F">
              <w:rPr>
                <w:noProof/>
                <w:webHidden/>
              </w:rPr>
            </w:r>
            <w:r w:rsidR="000F3581" w:rsidRPr="004D307F">
              <w:rPr>
                <w:noProof/>
                <w:webHidden/>
              </w:rPr>
              <w:fldChar w:fldCharType="separate"/>
            </w:r>
            <w:r w:rsidR="00237A8F">
              <w:rPr>
                <w:noProof/>
                <w:webHidden/>
              </w:rPr>
              <w:t>154</w:t>
            </w:r>
            <w:r w:rsidR="000F3581" w:rsidRPr="004D307F">
              <w:rPr>
                <w:noProof/>
                <w:webHidden/>
              </w:rPr>
              <w:fldChar w:fldCharType="end"/>
            </w:r>
          </w:hyperlink>
        </w:p>
        <w:p w14:paraId="2D0E0879" w14:textId="7DB990AE" w:rsidR="000F3581" w:rsidRPr="004D307F" w:rsidRDefault="00A35420" w:rsidP="000F3581">
          <w:pPr>
            <w:pStyle w:val="TOC2"/>
            <w:rPr>
              <w:rFonts w:eastAsiaTheme="minorEastAsia"/>
              <w:noProof/>
              <w:lang w:eastAsia="en-AU"/>
            </w:rPr>
          </w:pPr>
          <w:hyperlink w:anchor="_Toc99882790" w:history="1">
            <w:r w:rsidR="000F3581" w:rsidRPr="004D307F">
              <w:rPr>
                <w:rStyle w:val="Hyperlink"/>
                <w:noProof/>
              </w:rPr>
              <w:t>Mental Health Practitioners in Specialist Schools (Reference 131)</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_Toc99882790 \h </w:instrText>
            </w:r>
            <w:r w:rsidR="000F3581" w:rsidRPr="004D307F">
              <w:rPr>
                <w:noProof/>
                <w:webHidden/>
              </w:rPr>
            </w:r>
            <w:r w:rsidR="000F3581" w:rsidRPr="004D307F">
              <w:rPr>
                <w:noProof/>
                <w:webHidden/>
              </w:rPr>
              <w:fldChar w:fldCharType="separate"/>
            </w:r>
            <w:r w:rsidR="00237A8F">
              <w:rPr>
                <w:noProof/>
                <w:webHidden/>
              </w:rPr>
              <w:t>156</w:t>
            </w:r>
            <w:r w:rsidR="000F3581" w:rsidRPr="004D307F">
              <w:rPr>
                <w:noProof/>
                <w:webHidden/>
              </w:rPr>
              <w:fldChar w:fldCharType="end"/>
            </w:r>
          </w:hyperlink>
        </w:p>
        <w:p w14:paraId="0E67C8C0" w14:textId="6C9E1A2E" w:rsidR="000F3581" w:rsidRPr="004D307F" w:rsidRDefault="00A35420" w:rsidP="000F3581">
          <w:pPr>
            <w:pStyle w:val="TOC2"/>
            <w:rPr>
              <w:rFonts w:eastAsiaTheme="minorEastAsia"/>
              <w:noProof/>
              <w:lang w:eastAsia="en-AU"/>
            </w:rPr>
          </w:pPr>
          <w:hyperlink w:anchor="_Toc99882791" w:history="1">
            <w:r w:rsidR="000F3581" w:rsidRPr="004D307F">
              <w:rPr>
                <w:rStyle w:val="Hyperlink"/>
                <w:noProof/>
              </w:rPr>
              <w:t>Career Start - Transforming the First Years of the Teaching Career (Reference 132)</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_Toc99882791 \h </w:instrText>
            </w:r>
            <w:r w:rsidR="000F3581" w:rsidRPr="004D307F">
              <w:rPr>
                <w:noProof/>
                <w:webHidden/>
              </w:rPr>
            </w:r>
            <w:r w:rsidR="000F3581" w:rsidRPr="004D307F">
              <w:rPr>
                <w:noProof/>
                <w:webHidden/>
              </w:rPr>
              <w:fldChar w:fldCharType="separate"/>
            </w:r>
            <w:r w:rsidR="00237A8F">
              <w:rPr>
                <w:noProof/>
                <w:webHidden/>
              </w:rPr>
              <w:t>158</w:t>
            </w:r>
            <w:r w:rsidR="000F3581" w:rsidRPr="004D307F">
              <w:rPr>
                <w:noProof/>
                <w:webHidden/>
              </w:rPr>
              <w:fldChar w:fldCharType="end"/>
            </w:r>
          </w:hyperlink>
        </w:p>
        <w:p w14:paraId="3E8D2978" w14:textId="4C87C17A" w:rsidR="000F3581" w:rsidRPr="004D307F" w:rsidRDefault="00A35420" w:rsidP="000F3581">
          <w:pPr>
            <w:pStyle w:val="TOC2"/>
            <w:rPr>
              <w:rFonts w:eastAsiaTheme="minorEastAsia"/>
              <w:noProof/>
              <w:lang w:eastAsia="en-AU"/>
            </w:rPr>
          </w:pPr>
          <w:hyperlink w:anchor="_Toc99882792" w:history="1">
            <w:r w:rsidR="000F3581" w:rsidRPr="004D307F">
              <w:rPr>
                <w:rStyle w:val="Hyperlink"/>
                <w:noProof/>
              </w:rPr>
              <w:t>Inclusion Outreach Coaching (IOC) initiative (Reference 136)</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_Toc99882792 \h </w:instrText>
            </w:r>
            <w:r w:rsidR="000F3581" w:rsidRPr="004D307F">
              <w:rPr>
                <w:noProof/>
                <w:webHidden/>
              </w:rPr>
            </w:r>
            <w:r w:rsidR="000F3581" w:rsidRPr="004D307F">
              <w:rPr>
                <w:noProof/>
                <w:webHidden/>
              </w:rPr>
              <w:fldChar w:fldCharType="separate"/>
            </w:r>
            <w:r w:rsidR="00237A8F">
              <w:rPr>
                <w:noProof/>
                <w:webHidden/>
              </w:rPr>
              <w:t>162</w:t>
            </w:r>
            <w:r w:rsidR="000F3581" w:rsidRPr="004D307F">
              <w:rPr>
                <w:noProof/>
                <w:webHidden/>
              </w:rPr>
              <w:fldChar w:fldCharType="end"/>
            </w:r>
          </w:hyperlink>
        </w:p>
        <w:p w14:paraId="487CB184" w14:textId="62DE00F0" w:rsidR="000F3581" w:rsidRPr="004D307F" w:rsidRDefault="00A35420" w:rsidP="000F3581">
          <w:pPr>
            <w:pStyle w:val="TOC2"/>
            <w:rPr>
              <w:rFonts w:eastAsiaTheme="minorEastAsia"/>
              <w:noProof/>
              <w:lang w:eastAsia="en-AU"/>
            </w:rPr>
          </w:pPr>
          <w:hyperlink w:anchor="_Toc99882793" w:history="1">
            <w:r w:rsidR="000F3581" w:rsidRPr="004D307F">
              <w:rPr>
                <w:rStyle w:val="Hyperlink"/>
                <w:noProof/>
              </w:rPr>
              <w:t>Outside School Hours Care (OSHC) Establishment Grant Initiative (Reference 134)</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_Toc99882793 \h </w:instrText>
            </w:r>
            <w:r w:rsidR="000F3581" w:rsidRPr="004D307F">
              <w:rPr>
                <w:noProof/>
                <w:webHidden/>
              </w:rPr>
            </w:r>
            <w:r w:rsidR="000F3581" w:rsidRPr="004D307F">
              <w:rPr>
                <w:noProof/>
                <w:webHidden/>
              </w:rPr>
              <w:fldChar w:fldCharType="separate"/>
            </w:r>
            <w:r w:rsidR="00237A8F">
              <w:rPr>
                <w:noProof/>
                <w:webHidden/>
              </w:rPr>
              <w:t>164</w:t>
            </w:r>
            <w:r w:rsidR="000F3581" w:rsidRPr="004D307F">
              <w:rPr>
                <w:noProof/>
                <w:webHidden/>
              </w:rPr>
              <w:fldChar w:fldCharType="end"/>
            </w:r>
          </w:hyperlink>
        </w:p>
        <w:p w14:paraId="72B2F562" w14:textId="41C1A3D8" w:rsidR="000F3581" w:rsidRPr="004D307F" w:rsidRDefault="00A35420" w:rsidP="000F3581">
          <w:pPr>
            <w:pStyle w:val="TOC1"/>
            <w:rPr>
              <w:rFonts w:eastAsiaTheme="minorEastAsia"/>
              <w:noProof/>
              <w:lang w:eastAsia="en-AU"/>
            </w:rPr>
          </w:pPr>
          <w:hyperlink w:anchor="_Toc99882794" w:history="1">
            <w:r w:rsidR="000F3581" w:rsidRPr="004D307F">
              <w:rPr>
                <w:rStyle w:val="Hyperlink"/>
                <w:noProof/>
              </w:rPr>
              <w:t>Managing the Budget</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_Toc99882794 \h </w:instrText>
            </w:r>
            <w:r w:rsidR="000F3581" w:rsidRPr="004D307F">
              <w:rPr>
                <w:noProof/>
                <w:webHidden/>
              </w:rPr>
            </w:r>
            <w:r w:rsidR="000F3581" w:rsidRPr="004D307F">
              <w:rPr>
                <w:noProof/>
                <w:webHidden/>
              </w:rPr>
              <w:fldChar w:fldCharType="separate"/>
            </w:r>
            <w:r w:rsidR="00237A8F">
              <w:rPr>
                <w:noProof/>
                <w:webHidden/>
              </w:rPr>
              <w:t>168</w:t>
            </w:r>
            <w:r w:rsidR="000F3581" w:rsidRPr="004D307F">
              <w:rPr>
                <w:noProof/>
                <w:webHidden/>
              </w:rPr>
              <w:fldChar w:fldCharType="end"/>
            </w:r>
          </w:hyperlink>
        </w:p>
        <w:p w14:paraId="567CA809" w14:textId="6372842A" w:rsidR="000F3581" w:rsidRPr="004D307F" w:rsidRDefault="00A35420" w:rsidP="000F3581">
          <w:pPr>
            <w:pStyle w:val="TOC2"/>
            <w:rPr>
              <w:rFonts w:eastAsiaTheme="minorEastAsia"/>
              <w:noProof/>
              <w:lang w:eastAsia="en-AU"/>
            </w:rPr>
          </w:pPr>
          <w:hyperlink w:anchor="_Toc99882795" w:history="1">
            <w:r w:rsidR="000F3581" w:rsidRPr="004D307F">
              <w:rPr>
                <w:rStyle w:val="Hyperlink"/>
                <w:noProof/>
              </w:rPr>
              <w:t>Salary and Related Expenditure</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_Toc99882795 \h </w:instrText>
            </w:r>
            <w:r w:rsidR="000F3581" w:rsidRPr="004D307F">
              <w:rPr>
                <w:noProof/>
                <w:webHidden/>
              </w:rPr>
            </w:r>
            <w:r w:rsidR="000F3581" w:rsidRPr="004D307F">
              <w:rPr>
                <w:noProof/>
                <w:webHidden/>
              </w:rPr>
              <w:fldChar w:fldCharType="separate"/>
            </w:r>
            <w:r w:rsidR="00237A8F">
              <w:rPr>
                <w:noProof/>
                <w:webHidden/>
              </w:rPr>
              <w:t>170</w:t>
            </w:r>
            <w:r w:rsidR="000F3581" w:rsidRPr="004D307F">
              <w:rPr>
                <w:noProof/>
                <w:webHidden/>
              </w:rPr>
              <w:fldChar w:fldCharType="end"/>
            </w:r>
          </w:hyperlink>
        </w:p>
        <w:p w14:paraId="07474FCB" w14:textId="668FD25A" w:rsidR="000F3581" w:rsidRPr="004D307F" w:rsidRDefault="00A35420" w:rsidP="000F3581">
          <w:pPr>
            <w:pStyle w:val="TOC2"/>
            <w:rPr>
              <w:rFonts w:eastAsiaTheme="minorEastAsia"/>
              <w:noProof/>
              <w:lang w:eastAsia="en-AU"/>
            </w:rPr>
          </w:pPr>
          <w:hyperlink w:anchor="_Toc99882796" w:history="1">
            <w:r w:rsidR="000F3581" w:rsidRPr="004D307F">
              <w:rPr>
                <w:rStyle w:val="Hyperlink"/>
                <w:noProof/>
              </w:rPr>
              <w:t>Relief staffing</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_Toc99882796 \h </w:instrText>
            </w:r>
            <w:r w:rsidR="000F3581" w:rsidRPr="004D307F">
              <w:rPr>
                <w:noProof/>
                <w:webHidden/>
              </w:rPr>
            </w:r>
            <w:r w:rsidR="000F3581" w:rsidRPr="004D307F">
              <w:rPr>
                <w:noProof/>
                <w:webHidden/>
              </w:rPr>
              <w:fldChar w:fldCharType="separate"/>
            </w:r>
            <w:r w:rsidR="00237A8F">
              <w:rPr>
                <w:noProof/>
                <w:webHidden/>
              </w:rPr>
              <w:t>177</w:t>
            </w:r>
            <w:r w:rsidR="000F3581" w:rsidRPr="004D307F">
              <w:rPr>
                <w:noProof/>
                <w:webHidden/>
              </w:rPr>
              <w:fldChar w:fldCharType="end"/>
            </w:r>
          </w:hyperlink>
        </w:p>
        <w:p w14:paraId="55CCCF26" w14:textId="44743F81" w:rsidR="000F3581" w:rsidRPr="004D307F" w:rsidRDefault="00A35420" w:rsidP="000F3581">
          <w:pPr>
            <w:pStyle w:val="TOC2"/>
            <w:rPr>
              <w:rFonts w:eastAsiaTheme="minorEastAsia"/>
              <w:noProof/>
              <w:lang w:eastAsia="en-AU"/>
            </w:rPr>
          </w:pPr>
          <w:hyperlink w:anchor="_Toc99882797" w:history="1">
            <w:r w:rsidR="000F3581" w:rsidRPr="004D307F">
              <w:rPr>
                <w:rStyle w:val="Hyperlink"/>
                <w:noProof/>
              </w:rPr>
              <w:t>Surplus or deficit</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_Toc99882797 \h </w:instrText>
            </w:r>
            <w:r w:rsidR="000F3581" w:rsidRPr="004D307F">
              <w:rPr>
                <w:noProof/>
                <w:webHidden/>
              </w:rPr>
            </w:r>
            <w:r w:rsidR="000F3581" w:rsidRPr="004D307F">
              <w:rPr>
                <w:noProof/>
                <w:webHidden/>
              </w:rPr>
              <w:fldChar w:fldCharType="separate"/>
            </w:r>
            <w:r w:rsidR="00237A8F">
              <w:rPr>
                <w:noProof/>
                <w:webHidden/>
              </w:rPr>
              <w:t>187</w:t>
            </w:r>
            <w:r w:rsidR="000F3581" w:rsidRPr="004D307F">
              <w:rPr>
                <w:noProof/>
                <w:webHidden/>
              </w:rPr>
              <w:fldChar w:fldCharType="end"/>
            </w:r>
          </w:hyperlink>
        </w:p>
        <w:p w14:paraId="2D33CBAF" w14:textId="4EABC11D" w:rsidR="000F3581" w:rsidRPr="004D307F" w:rsidRDefault="00A35420" w:rsidP="000F3581">
          <w:pPr>
            <w:pStyle w:val="TOC2"/>
            <w:rPr>
              <w:rFonts w:eastAsiaTheme="minorEastAsia"/>
              <w:noProof/>
              <w:lang w:eastAsia="en-AU"/>
            </w:rPr>
          </w:pPr>
          <w:hyperlink w:anchor="_Toc99882798" w:history="1">
            <w:r w:rsidR="000F3581" w:rsidRPr="004D307F">
              <w:rPr>
                <w:rStyle w:val="Hyperlink"/>
                <w:noProof/>
              </w:rPr>
              <w:t>Reports</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_Toc99882798 \h </w:instrText>
            </w:r>
            <w:r w:rsidR="000F3581" w:rsidRPr="004D307F">
              <w:rPr>
                <w:noProof/>
                <w:webHidden/>
              </w:rPr>
            </w:r>
            <w:r w:rsidR="000F3581" w:rsidRPr="004D307F">
              <w:rPr>
                <w:noProof/>
                <w:webHidden/>
              </w:rPr>
              <w:fldChar w:fldCharType="separate"/>
            </w:r>
            <w:r w:rsidR="00237A8F">
              <w:rPr>
                <w:noProof/>
                <w:webHidden/>
              </w:rPr>
              <w:t>189</w:t>
            </w:r>
            <w:r w:rsidR="000F3581" w:rsidRPr="004D307F">
              <w:rPr>
                <w:noProof/>
                <w:webHidden/>
              </w:rPr>
              <w:fldChar w:fldCharType="end"/>
            </w:r>
          </w:hyperlink>
        </w:p>
        <w:p w14:paraId="3719BB1D" w14:textId="120945ED" w:rsidR="000F3581" w:rsidRPr="004D307F" w:rsidRDefault="00A35420" w:rsidP="000F3581">
          <w:pPr>
            <w:pStyle w:val="TOC2"/>
            <w:rPr>
              <w:rFonts w:eastAsiaTheme="minorEastAsia"/>
              <w:noProof/>
              <w:lang w:eastAsia="en-AU"/>
            </w:rPr>
          </w:pPr>
          <w:hyperlink w:anchor="_Toc99882799" w:history="1">
            <w:r w:rsidR="000F3581" w:rsidRPr="004D307F">
              <w:rPr>
                <w:rStyle w:val="Hyperlink"/>
                <w:noProof/>
              </w:rPr>
              <w:t>Planning</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_Toc99882799 \h </w:instrText>
            </w:r>
            <w:r w:rsidR="000F3581" w:rsidRPr="004D307F">
              <w:rPr>
                <w:noProof/>
                <w:webHidden/>
              </w:rPr>
            </w:r>
            <w:r w:rsidR="000F3581" w:rsidRPr="004D307F">
              <w:rPr>
                <w:noProof/>
                <w:webHidden/>
              </w:rPr>
              <w:fldChar w:fldCharType="separate"/>
            </w:r>
            <w:r w:rsidR="00237A8F">
              <w:rPr>
                <w:noProof/>
                <w:webHidden/>
              </w:rPr>
              <w:t>191</w:t>
            </w:r>
            <w:r w:rsidR="000F3581" w:rsidRPr="004D307F">
              <w:rPr>
                <w:noProof/>
                <w:webHidden/>
              </w:rPr>
              <w:fldChar w:fldCharType="end"/>
            </w:r>
          </w:hyperlink>
        </w:p>
        <w:p w14:paraId="712C0666" w14:textId="205F3D32" w:rsidR="000F3581" w:rsidRPr="004D307F" w:rsidRDefault="00A35420" w:rsidP="000F3581">
          <w:pPr>
            <w:pStyle w:val="TOC2"/>
            <w:rPr>
              <w:rFonts w:eastAsiaTheme="minorEastAsia"/>
              <w:noProof/>
              <w:lang w:eastAsia="en-AU"/>
            </w:rPr>
          </w:pPr>
          <w:hyperlink w:anchor="_Toc99882800" w:history="1">
            <w:r w:rsidR="000F3581" w:rsidRPr="004D307F">
              <w:rPr>
                <w:rStyle w:val="Hyperlink"/>
                <w:noProof/>
              </w:rPr>
              <w:t>Reconciliation</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_Toc99882800 \h </w:instrText>
            </w:r>
            <w:r w:rsidR="000F3581" w:rsidRPr="004D307F">
              <w:rPr>
                <w:noProof/>
                <w:webHidden/>
              </w:rPr>
            </w:r>
            <w:r w:rsidR="000F3581" w:rsidRPr="004D307F">
              <w:rPr>
                <w:noProof/>
                <w:webHidden/>
              </w:rPr>
              <w:fldChar w:fldCharType="separate"/>
            </w:r>
            <w:r w:rsidR="00237A8F">
              <w:rPr>
                <w:noProof/>
                <w:webHidden/>
              </w:rPr>
              <w:t>192</w:t>
            </w:r>
            <w:r w:rsidR="000F3581" w:rsidRPr="004D307F">
              <w:rPr>
                <w:noProof/>
                <w:webHidden/>
              </w:rPr>
              <w:fldChar w:fldCharType="end"/>
            </w:r>
          </w:hyperlink>
        </w:p>
        <w:p w14:paraId="40FE601B" w14:textId="32F7E48E" w:rsidR="000F3581" w:rsidRPr="004D307F" w:rsidRDefault="00A35420" w:rsidP="000F3581">
          <w:pPr>
            <w:pStyle w:val="TOC2"/>
            <w:rPr>
              <w:rFonts w:eastAsiaTheme="minorEastAsia"/>
              <w:noProof/>
              <w:lang w:eastAsia="en-AU"/>
            </w:rPr>
          </w:pPr>
          <w:hyperlink w:anchor="_Toc99882801" w:history="1">
            <w:r w:rsidR="000F3581" w:rsidRPr="004D307F">
              <w:rPr>
                <w:rStyle w:val="Hyperlink"/>
                <w:noProof/>
              </w:rPr>
              <w:t>Cash</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_Toc99882801 \h </w:instrText>
            </w:r>
            <w:r w:rsidR="000F3581" w:rsidRPr="004D307F">
              <w:rPr>
                <w:noProof/>
                <w:webHidden/>
              </w:rPr>
            </w:r>
            <w:r w:rsidR="000F3581" w:rsidRPr="004D307F">
              <w:rPr>
                <w:noProof/>
                <w:webHidden/>
              </w:rPr>
              <w:fldChar w:fldCharType="separate"/>
            </w:r>
            <w:r w:rsidR="00237A8F">
              <w:rPr>
                <w:noProof/>
                <w:webHidden/>
              </w:rPr>
              <w:t>194</w:t>
            </w:r>
            <w:r w:rsidR="000F3581" w:rsidRPr="004D307F">
              <w:rPr>
                <w:noProof/>
                <w:webHidden/>
              </w:rPr>
              <w:fldChar w:fldCharType="end"/>
            </w:r>
          </w:hyperlink>
        </w:p>
        <w:p w14:paraId="79B9B8C2" w14:textId="2AACFBCA" w:rsidR="000F3581" w:rsidRPr="004D307F" w:rsidRDefault="00A35420" w:rsidP="000F3581">
          <w:pPr>
            <w:pStyle w:val="TOC2"/>
            <w:rPr>
              <w:rFonts w:eastAsiaTheme="minorEastAsia"/>
              <w:noProof/>
              <w:lang w:eastAsia="en-AU"/>
            </w:rPr>
          </w:pPr>
          <w:hyperlink w:anchor="_Toc99882802" w:history="1">
            <w:r w:rsidR="000F3581" w:rsidRPr="004D307F">
              <w:rPr>
                <w:rStyle w:val="Hyperlink"/>
                <w:noProof/>
              </w:rPr>
              <w:t>Deficit management and workforce bridging</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_Toc99882802 \h </w:instrText>
            </w:r>
            <w:r w:rsidR="000F3581" w:rsidRPr="004D307F">
              <w:rPr>
                <w:noProof/>
                <w:webHidden/>
              </w:rPr>
            </w:r>
            <w:r w:rsidR="000F3581" w:rsidRPr="004D307F">
              <w:rPr>
                <w:noProof/>
                <w:webHidden/>
              </w:rPr>
              <w:fldChar w:fldCharType="separate"/>
            </w:r>
            <w:r w:rsidR="00237A8F">
              <w:rPr>
                <w:noProof/>
                <w:webHidden/>
              </w:rPr>
              <w:t>201</w:t>
            </w:r>
            <w:r w:rsidR="000F3581" w:rsidRPr="004D307F">
              <w:rPr>
                <w:noProof/>
                <w:webHidden/>
              </w:rPr>
              <w:fldChar w:fldCharType="end"/>
            </w:r>
          </w:hyperlink>
        </w:p>
        <w:p w14:paraId="64F1D938" w14:textId="5CA7B04F" w:rsidR="000F3581" w:rsidRPr="004D307F" w:rsidRDefault="00A35420" w:rsidP="000F3581">
          <w:pPr>
            <w:pStyle w:val="TOC2"/>
            <w:rPr>
              <w:rFonts w:eastAsiaTheme="minorEastAsia"/>
              <w:noProof/>
              <w:lang w:eastAsia="en-AU"/>
            </w:rPr>
          </w:pPr>
          <w:hyperlink w:anchor="_Toc99882803" w:history="1">
            <w:r w:rsidR="000F3581" w:rsidRPr="004D307F">
              <w:rPr>
                <w:rStyle w:val="Hyperlink"/>
                <w:noProof/>
              </w:rPr>
              <w:t>Principal classification budget</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_Toc99882803 \h </w:instrText>
            </w:r>
            <w:r w:rsidR="000F3581" w:rsidRPr="004D307F">
              <w:rPr>
                <w:noProof/>
                <w:webHidden/>
              </w:rPr>
            </w:r>
            <w:r w:rsidR="000F3581" w:rsidRPr="004D307F">
              <w:rPr>
                <w:noProof/>
                <w:webHidden/>
              </w:rPr>
              <w:fldChar w:fldCharType="separate"/>
            </w:r>
            <w:r w:rsidR="00237A8F">
              <w:rPr>
                <w:noProof/>
                <w:webHidden/>
              </w:rPr>
              <w:t>205</w:t>
            </w:r>
            <w:r w:rsidR="000F3581" w:rsidRPr="004D307F">
              <w:rPr>
                <w:noProof/>
                <w:webHidden/>
              </w:rPr>
              <w:fldChar w:fldCharType="end"/>
            </w:r>
          </w:hyperlink>
        </w:p>
        <w:p w14:paraId="2D27252B" w14:textId="7B5F4DF4" w:rsidR="000F3581" w:rsidRPr="004D307F" w:rsidRDefault="00A35420" w:rsidP="000F3581">
          <w:pPr>
            <w:pStyle w:val="TOC2"/>
            <w:rPr>
              <w:rFonts w:eastAsiaTheme="minorEastAsia"/>
              <w:noProof/>
              <w:lang w:eastAsia="en-AU"/>
            </w:rPr>
          </w:pPr>
          <w:hyperlink w:anchor="_Toc99882804" w:history="1">
            <w:r w:rsidR="000F3581" w:rsidRPr="004D307F">
              <w:rPr>
                <w:rStyle w:val="Hyperlink"/>
                <w:noProof/>
              </w:rPr>
              <w:t>Enrolment Variation Funding</w:t>
            </w:r>
            <w:r w:rsidR="000F3581" w:rsidRPr="004D307F">
              <w:rPr>
                <w:noProof/>
                <w:webHidden/>
              </w:rPr>
              <w:tab/>
            </w:r>
            <w:r w:rsidR="000F3581" w:rsidRPr="004D307F">
              <w:rPr>
                <w:noProof/>
                <w:webHidden/>
              </w:rPr>
              <w:fldChar w:fldCharType="begin"/>
            </w:r>
            <w:r w:rsidR="000F3581" w:rsidRPr="004D307F">
              <w:rPr>
                <w:noProof/>
                <w:webHidden/>
              </w:rPr>
              <w:instrText xml:space="preserve"> PAGEREF _Toc99882804 \h </w:instrText>
            </w:r>
            <w:r w:rsidR="000F3581" w:rsidRPr="004D307F">
              <w:rPr>
                <w:noProof/>
                <w:webHidden/>
              </w:rPr>
            </w:r>
            <w:r w:rsidR="000F3581" w:rsidRPr="004D307F">
              <w:rPr>
                <w:noProof/>
                <w:webHidden/>
              </w:rPr>
              <w:fldChar w:fldCharType="separate"/>
            </w:r>
            <w:r w:rsidR="00237A8F">
              <w:rPr>
                <w:noProof/>
                <w:webHidden/>
              </w:rPr>
              <w:t>206</w:t>
            </w:r>
            <w:r w:rsidR="000F3581" w:rsidRPr="004D307F">
              <w:rPr>
                <w:noProof/>
                <w:webHidden/>
              </w:rPr>
              <w:fldChar w:fldCharType="end"/>
            </w:r>
          </w:hyperlink>
        </w:p>
        <w:p w14:paraId="67E28987" w14:textId="4EC1D437" w:rsidR="00787CC6" w:rsidRPr="004D307F" w:rsidRDefault="007016CD">
          <w:r w:rsidRPr="004D307F">
            <w:rPr>
              <w:color w:val="222A35" w:themeColor="text2" w:themeShade="80"/>
            </w:rPr>
            <w:fldChar w:fldCharType="end"/>
          </w:r>
        </w:p>
      </w:sdtContent>
    </w:sdt>
    <w:p w14:paraId="4AE73D1B" w14:textId="77777777" w:rsidR="006D204B" w:rsidRPr="004D307F" w:rsidRDefault="006D204B">
      <w:pPr>
        <w:rPr>
          <w:rFonts w:asciiTheme="majorHAnsi" w:eastAsia="Times New Roman" w:hAnsiTheme="majorHAnsi" w:cs="Times New Roman"/>
          <w:b/>
          <w:bCs/>
          <w:color w:val="323E4F" w:themeColor="text2" w:themeShade="BF"/>
          <w:kern w:val="36"/>
          <w:sz w:val="48"/>
          <w:szCs w:val="48"/>
          <w:lang w:val="en" w:eastAsia="en-AU"/>
        </w:rPr>
      </w:pPr>
      <w:r w:rsidRPr="004D307F">
        <w:rPr>
          <w:lang w:val="en"/>
        </w:rPr>
        <w:br w:type="page"/>
      </w:r>
    </w:p>
    <w:p w14:paraId="25375CC7" w14:textId="495013BB" w:rsidR="00ED4312" w:rsidRPr="004D307F" w:rsidRDefault="00ED4312" w:rsidP="000F3581">
      <w:pPr>
        <w:pStyle w:val="Heading1"/>
        <w:rPr>
          <w:lang w:val="en"/>
        </w:rPr>
      </w:pPr>
      <w:bookmarkStart w:id="1" w:name="_Toc99882721"/>
      <w:r w:rsidRPr="004D307F">
        <w:rPr>
          <w:lang w:val="en"/>
        </w:rPr>
        <w:lastRenderedPageBreak/>
        <w:t>Core Student Learning Allocation funding (Student Based Funding)</w:t>
      </w:r>
      <w:bookmarkEnd w:id="1"/>
    </w:p>
    <w:p w14:paraId="16308921" w14:textId="77777777" w:rsidR="00ED4312" w:rsidRPr="004D307F" w:rsidRDefault="00ED4312" w:rsidP="00ED4312">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Policy</w:t>
      </w:r>
    </w:p>
    <w:p w14:paraId="5F096DD6" w14:textId="692FB5A6" w:rsidR="00ED4312" w:rsidRPr="004D307F" w:rsidRDefault="00ED4312" w:rsidP="00ED431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policy provides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information about how funding is allocated to schools through the Student Resource </w:t>
      </w:r>
      <w:r w:rsidR="00E913EB" w:rsidRPr="004D307F">
        <w:rPr>
          <w:rFonts w:ascii="VIC" w:eastAsia="Times New Roman" w:hAnsi="VIC" w:cs="Times New Roman"/>
          <w:color w:val="011A3C"/>
          <w:sz w:val="24"/>
          <w:szCs w:val="24"/>
          <w:lang w:val="en" w:eastAsia="en-AU"/>
        </w:rPr>
        <w:t>Package (</w:t>
      </w:r>
      <w:r w:rsidR="001039D9" w:rsidRPr="004D307F">
        <w:rPr>
          <w:rFonts w:ascii="VIC" w:eastAsia="Times New Roman" w:hAnsi="VIC" w:cs="Times New Roman"/>
          <w:color w:val="011A3C"/>
          <w:sz w:val="24"/>
          <w:szCs w:val="24"/>
          <w:lang w:val="en" w:eastAsia="en-AU"/>
        </w:rPr>
        <w:t>SRP)</w:t>
      </w:r>
      <w:r w:rsidRPr="004D307F">
        <w:rPr>
          <w:rFonts w:ascii="VIC" w:eastAsia="Times New Roman" w:hAnsi="VIC" w:cs="Times New Roman"/>
          <w:color w:val="011A3C"/>
          <w:sz w:val="24"/>
          <w:szCs w:val="24"/>
          <w:lang w:val="en" w:eastAsia="en-AU"/>
        </w:rPr>
        <w:t xml:space="preserve"> for core student learning needs.</w:t>
      </w:r>
    </w:p>
    <w:p w14:paraId="07C78316" w14:textId="77777777" w:rsidR="00ED4312" w:rsidRPr="004D307F" w:rsidRDefault="00ED4312" w:rsidP="00ED4312">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Details</w:t>
      </w:r>
    </w:p>
    <w:p w14:paraId="0BFC9C64" w14:textId="3AF50C90" w:rsidR="00ED4312" w:rsidRPr="004D307F" w:rsidRDefault="00ED4312" w:rsidP="00ED431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Core student learning allocation funding is one of two types of </w:t>
      </w:r>
      <w:r w:rsidR="00DD35AA" w:rsidRPr="004D307F">
        <w:rPr>
          <w:rFonts w:ascii="VIC" w:eastAsia="Times New Roman" w:hAnsi="VIC" w:cs="Times New Roman"/>
          <w:color w:val="011A3C"/>
          <w:sz w:val="24"/>
          <w:szCs w:val="24"/>
          <w:lang w:val="en" w:eastAsia="en-AU"/>
        </w:rPr>
        <w:t>student-based</w:t>
      </w:r>
      <w:r w:rsidRPr="004D307F">
        <w:rPr>
          <w:rFonts w:ascii="VIC" w:eastAsia="Times New Roman" w:hAnsi="VIC" w:cs="Times New Roman"/>
          <w:color w:val="011A3C"/>
          <w:sz w:val="24"/>
          <w:szCs w:val="24"/>
          <w:lang w:val="en" w:eastAsia="en-AU"/>
        </w:rPr>
        <w:t xml:space="preserve"> funding. The other type of student based funding is </w:t>
      </w:r>
      <w:hyperlink r:id="rId11" w:history="1">
        <w:r w:rsidRPr="004D307F">
          <w:rPr>
            <w:rFonts w:ascii="VIC" w:eastAsia="Times New Roman" w:hAnsi="VIC" w:cs="Times New Roman"/>
            <w:color w:val="011A3C"/>
            <w:sz w:val="24"/>
            <w:szCs w:val="24"/>
            <w:lang w:val="en" w:eastAsia="en-AU"/>
          </w:rPr>
          <w:t>Equity</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funding</w:t>
        </w:r>
      </w:hyperlink>
      <w:r w:rsidRPr="004D307F">
        <w:rPr>
          <w:rFonts w:ascii="VIC" w:eastAsia="Times New Roman" w:hAnsi="VIC" w:cs="Times New Roman"/>
          <w:color w:val="011A3C"/>
          <w:sz w:val="24"/>
          <w:szCs w:val="24"/>
          <w:lang w:val="en" w:eastAsia="en-AU"/>
        </w:rPr>
        <w:t>.</w:t>
      </w:r>
    </w:p>
    <w:p w14:paraId="7508610C" w14:textId="77777777" w:rsidR="00ED4312" w:rsidRPr="004D307F" w:rsidRDefault="00ED4312" w:rsidP="00ED431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based funding represents the main funding source for all schools and comprises approximately 90% of the total SRP provided to schools.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This funding is designed to cover core teaching and learning, leadership, teaching support, professional development, relief teaching, payroll tax and superannuation costs for the school.</w:t>
      </w:r>
      <w:r w:rsidRPr="004D307F">
        <w:rPr>
          <w:rFonts w:ascii="Calibri" w:eastAsia="Times New Roman" w:hAnsi="Calibri" w:cs="Calibri" w:hint="eastAsia"/>
          <w:color w:val="011A3C"/>
          <w:sz w:val="24"/>
          <w:szCs w:val="24"/>
          <w:lang w:val="en" w:eastAsia="en-AU"/>
        </w:rPr>
        <w:t> </w:t>
      </w:r>
    </w:p>
    <w:p w14:paraId="73D1DF94" w14:textId="5A3F1508" w:rsidR="00930B6B" w:rsidRPr="004D307F" w:rsidRDefault="00ED4312" w:rsidP="004D307F">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Core Student Learning Allocation is designed to </w:t>
      </w:r>
      <w:proofErr w:type="spellStart"/>
      <w:r w:rsidRPr="004D307F">
        <w:rPr>
          <w:rFonts w:ascii="VIC" w:eastAsia="Times New Roman" w:hAnsi="VIC" w:cs="Times New Roman"/>
          <w:color w:val="011A3C"/>
          <w:sz w:val="24"/>
          <w:szCs w:val="24"/>
          <w:lang w:val="en" w:eastAsia="en-AU"/>
        </w:rPr>
        <w:t>recognise</w:t>
      </w:r>
      <w:proofErr w:type="spellEnd"/>
      <w:r w:rsidRPr="004D307F">
        <w:rPr>
          <w:rFonts w:ascii="VIC" w:eastAsia="Times New Roman" w:hAnsi="VIC" w:cs="Times New Roman"/>
          <w:color w:val="011A3C"/>
          <w:sz w:val="24"/>
          <w:szCs w:val="24"/>
          <w:lang w:val="en" w:eastAsia="en-AU"/>
        </w:rPr>
        <w:t xml:space="preserve"> the differing costs associated with different levels of learning, different types and sizes of schools, and the additional costs imposed by rurality and isolation. The specific types of Core Student Learning Allocation funding are listed below.</w:t>
      </w:r>
    </w:p>
    <w:p w14:paraId="111EABF7" w14:textId="3A24423E" w:rsidR="00ED4312" w:rsidRPr="004D307F" w:rsidRDefault="00F45270" w:rsidP="00ED431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Each </w:t>
      </w:r>
      <w:r w:rsidR="00ED4312" w:rsidRPr="004D307F">
        <w:rPr>
          <w:rFonts w:ascii="VIC" w:eastAsia="Times New Roman" w:hAnsi="VIC" w:cs="Times New Roman"/>
          <w:color w:val="011A3C"/>
          <w:sz w:val="24"/>
          <w:szCs w:val="24"/>
          <w:lang w:val="en" w:eastAsia="en-AU"/>
        </w:rPr>
        <w:t>of the specific types of Core Student Learning Allocation funding</w:t>
      </w:r>
      <w:r w:rsidRPr="004D307F">
        <w:rPr>
          <w:rFonts w:ascii="VIC" w:eastAsia="Times New Roman" w:hAnsi="VIC" w:cs="Times New Roman"/>
          <w:color w:val="011A3C"/>
          <w:sz w:val="24"/>
          <w:szCs w:val="24"/>
          <w:lang w:val="en" w:eastAsia="en-AU"/>
        </w:rPr>
        <w:t xml:space="preserve"> are listed below:</w:t>
      </w:r>
    </w:p>
    <w:p w14:paraId="60B7E4D1"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per capita funding Years Prep-12 Students</w:t>
      </w:r>
    </w:p>
    <w:p w14:paraId="09D207B6"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Enrolment Linked Base</w:t>
      </w:r>
    </w:p>
    <w:p w14:paraId="597E862A"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Small School Base</w:t>
      </w:r>
    </w:p>
    <w:p w14:paraId="65EDEA2C"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Rural School Size Adjustment Factor</w:t>
      </w:r>
    </w:p>
    <w:p w14:paraId="733D8FEB"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Core Index Stages 1-3</w:t>
      </w:r>
    </w:p>
    <w:p w14:paraId="1BC726D4"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Size Adjustment Supplementation</w:t>
      </w:r>
    </w:p>
    <w:p w14:paraId="4229619E" w14:textId="77777777"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Approved Early Education Program</w:t>
      </w:r>
    </w:p>
    <w:p w14:paraId="38EA3029" w14:textId="71608A5D" w:rsidR="00CE78A9" w:rsidRPr="004D307F" w:rsidRDefault="00CE78A9"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Principal Salary Adjustment</w:t>
      </w:r>
    </w:p>
    <w:p w14:paraId="4892B2A1" w14:textId="69B3FC7D"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Language and Learning Disabilities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Support Program</w:t>
      </w:r>
    </w:p>
    <w:p w14:paraId="3EDBA839" w14:textId="1A06E234" w:rsidR="00ED4312" w:rsidRPr="004D307F" w:rsidRDefault="00ED4312" w:rsidP="00ED0863">
      <w:pPr>
        <w:numPr>
          <w:ilvl w:val="0"/>
          <w:numId w:val="12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Mental Health</w:t>
      </w:r>
      <w:r w:rsidR="00D47403" w:rsidRPr="004D307F">
        <w:rPr>
          <w:rFonts w:ascii="VIC" w:eastAsia="Times New Roman" w:hAnsi="VIC" w:cs="Times New Roman"/>
          <w:color w:val="011A3C"/>
          <w:sz w:val="24"/>
          <w:szCs w:val="24"/>
          <w:lang w:val="en" w:eastAsia="en-AU"/>
        </w:rPr>
        <w:t xml:space="preserve"> Practitioners</w:t>
      </w:r>
    </w:p>
    <w:p w14:paraId="0892F10F" w14:textId="77777777" w:rsidR="0094634B" w:rsidRPr="004D307F" w:rsidRDefault="0094634B" w:rsidP="0094634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Not all types of funding are available to all schools. Funding is assessed according to school or campus type and student need.</w:t>
      </w:r>
    </w:p>
    <w:p w14:paraId="7C98A508" w14:textId="38BCF2B3" w:rsidR="009E681D" w:rsidRPr="004D307F" w:rsidRDefault="0094634B" w:rsidP="0094634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are expected to use SRP funds for the purpose for which it was allocated.</w:t>
      </w:r>
    </w:p>
    <w:p w14:paraId="0D291699" w14:textId="1303F87E" w:rsidR="00EC143E" w:rsidRPr="004D307F" w:rsidRDefault="00EC143E" w:rsidP="0094634B">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br w:type="page"/>
      </w:r>
    </w:p>
    <w:p w14:paraId="5CB2F173" w14:textId="7C54A6FF" w:rsidR="001167A8" w:rsidRPr="004D307F" w:rsidRDefault="001167A8" w:rsidP="00B566E7">
      <w:pPr>
        <w:pStyle w:val="Heading2"/>
      </w:pPr>
      <w:bookmarkStart w:id="2" w:name="_Toc99882722"/>
      <w:r w:rsidRPr="004D307F">
        <w:lastRenderedPageBreak/>
        <w:t>Student per capita Funding Years Prep-12 Students (Reference 1)</w:t>
      </w:r>
      <w:bookmarkEnd w:id="2"/>
    </w:p>
    <w:p w14:paraId="57E5A1A4"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the Student Resource Package, the majority of funding provided to schools has been specified as per-student rates (</w:t>
      </w:r>
      <w:proofErr w:type="gramStart"/>
      <w:r w:rsidRPr="004D307F">
        <w:rPr>
          <w:rFonts w:ascii="VIC-Regular" w:eastAsia="Times New Roman" w:hAnsi="VIC-Regular" w:cs="Times New Roman"/>
          <w:color w:val="011A3C"/>
          <w:sz w:val="24"/>
          <w:szCs w:val="24"/>
          <w:lang w:val="en" w:eastAsia="en-AU"/>
        </w:rPr>
        <w:t>i.e.</w:t>
      </w:r>
      <w:proofErr w:type="gramEnd"/>
      <w:r w:rsidRPr="004D307F">
        <w:rPr>
          <w:rFonts w:ascii="VIC-Regular" w:eastAsia="Times New Roman" w:hAnsi="VIC-Regular" w:cs="Times New Roman"/>
          <w:color w:val="011A3C"/>
          <w:sz w:val="24"/>
          <w:szCs w:val="24"/>
          <w:lang w:val="en" w:eastAsia="en-AU"/>
        </w:rPr>
        <w:t xml:space="preserve"> in student per capita form). </w:t>
      </w:r>
    </w:p>
    <w:p w14:paraId="1F76FAC1" w14:textId="70E0F5E6"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Research conducted by The University of Melbourne has allowed the differing costs associated with delivering effective educational outcomes at the various levels of learning to be </w:t>
      </w:r>
      <w:proofErr w:type="spellStart"/>
      <w:r w:rsidRPr="004D307F">
        <w:rPr>
          <w:rFonts w:ascii="VIC-Regular" w:eastAsia="Times New Roman" w:hAnsi="VIC-Regular" w:cs="Times New Roman"/>
          <w:color w:val="011A3C"/>
          <w:sz w:val="24"/>
          <w:szCs w:val="24"/>
          <w:lang w:val="en" w:eastAsia="en-AU"/>
        </w:rPr>
        <w:t>recognised</w:t>
      </w:r>
      <w:proofErr w:type="spellEnd"/>
      <w:r w:rsidRPr="004D307F">
        <w:rPr>
          <w:rFonts w:ascii="VIC-Regular" w:eastAsia="Times New Roman" w:hAnsi="VIC-Regular" w:cs="Times New Roman"/>
          <w:color w:val="011A3C"/>
          <w:sz w:val="24"/>
          <w:szCs w:val="24"/>
          <w:lang w:val="en" w:eastAsia="en-AU"/>
        </w:rPr>
        <w:t xml:space="preserve"> by differing rates. The relativities are an initial assessment of the most effective way of allocating existing funds. These relativities may be adjusted over time through further research and a rolling benchmark process.</w:t>
      </w:r>
    </w:p>
    <w:p w14:paraId="327E805A" w14:textId="77777777"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3A0EC60D"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 the student per capita funding at campus level.</w:t>
      </w:r>
    </w:p>
    <w:p w14:paraId="63D0B3E4" w14:textId="77777777" w:rsidR="001167A8" w:rsidRPr="004D307F"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5892237E" w14:textId="77777777" w:rsidR="001167A8" w:rsidRPr="004D307F"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796887AA" w14:textId="77777777" w:rsidR="001167A8" w:rsidRPr="004D307F" w:rsidRDefault="001167A8" w:rsidP="001167A8">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79EFF6FA" w14:textId="77777777" w:rsidR="000F760D" w:rsidRPr="004D307F" w:rsidRDefault="000F760D" w:rsidP="000F760D">
      <w:pPr>
        <w:numPr>
          <w:ilvl w:val="0"/>
          <w:numId w:val="1"/>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3" w:name="_Hlk46933012"/>
      <w:r w:rsidRPr="004D307F">
        <w:rPr>
          <w:rFonts w:ascii="VIC-Regular" w:eastAsia="Times New Roman" w:hAnsi="VIC-Regular" w:cs="Times New Roman"/>
          <w:color w:val="011A3C"/>
          <w:sz w:val="24"/>
          <w:szCs w:val="24"/>
          <w:lang w:val="en" w:eastAsia="en-AU"/>
        </w:rPr>
        <w:t>Community</w:t>
      </w:r>
    </w:p>
    <w:p w14:paraId="34D66DF6" w14:textId="40350A82" w:rsidR="00FF759D" w:rsidRPr="004D307F" w:rsidRDefault="00FF759D" w:rsidP="00A6513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budget </w:t>
      </w:r>
      <w:r w:rsidR="00A65133" w:rsidRPr="004D307F">
        <w:rPr>
          <w:rFonts w:ascii="VIC-Regular" w:eastAsia="Times New Roman" w:hAnsi="VIC-Regular" w:cs="Times New Roman"/>
          <w:color w:val="011A3C"/>
          <w:sz w:val="24"/>
          <w:szCs w:val="24"/>
          <w:lang w:val="en" w:eastAsia="en-AU"/>
        </w:rPr>
        <w:t xml:space="preserve">cycles, funding is </w:t>
      </w:r>
      <w:r w:rsidRPr="004D307F">
        <w:rPr>
          <w:rFonts w:ascii="VIC-Regular" w:eastAsia="Times New Roman" w:hAnsi="VIC-Regular" w:cs="Times New Roman"/>
          <w:color w:val="011A3C"/>
          <w:sz w:val="24"/>
          <w:szCs w:val="24"/>
          <w:lang w:val="en" w:eastAsia="en-AU"/>
        </w:rPr>
        <w:t>provided through credit and cash funding</w:t>
      </w:r>
      <w:bookmarkEnd w:id="3"/>
      <w:r w:rsidR="00A65133" w:rsidRPr="004D307F">
        <w:rPr>
          <w:rFonts w:ascii="VIC-Regular" w:eastAsia="Times New Roman" w:hAnsi="VIC-Regular" w:cs="Times New Roman"/>
          <w:color w:val="011A3C"/>
          <w:sz w:val="24"/>
          <w:szCs w:val="24"/>
          <w:lang w:val="en" w:eastAsia="en-AU"/>
        </w:rPr>
        <w:t>.</w:t>
      </w:r>
    </w:p>
    <w:p w14:paraId="3A297E5E" w14:textId="4AFFF380"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64E1AE7E"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Student per Capita Funding</w:t>
      </w:r>
      <w:r w:rsidRPr="004D307F">
        <w:rPr>
          <w:rFonts w:ascii="VIC-Regular" w:eastAsia="Times New Roman" w:hAnsi="VIC-Regular" w:cs="Times New Roman"/>
          <w:color w:val="011A3C"/>
          <w:sz w:val="24"/>
          <w:szCs w:val="24"/>
          <w:lang w:val="en" w:eastAsia="en-AU"/>
        </w:rPr>
        <w:t xml:space="preserve"> = Student enrolments (P-12) * Student Price</w:t>
      </w:r>
    </w:p>
    <w:p w14:paraId="40F00984" w14:textId="6AFBA990"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A </w:t>
      </w:r>
      <w:r w:rsidR="004E385A" w:rsidRPr="004D307F">
        <w:rPr>
          <w:rFonts w:ascii="VIC-Regular" w:eastAsia="Times New Roman" w:hAnsi="VIC-Regular" w:cs="Times New Roman"/>
          <w:color w:val="011A3C"/>
          <w:sz w:val="24"/>
          <w:szCs w:val="24"/>
          <w:lang w:val="en" w:eastAsia="en-AU"/>
        </w:rPr>
        <w:t>campus</w:t>
      </w:r>
      <w:r w:rsidRPr="004D307F">
        <w:rPr>
          <w:rFonts w:ascii="VIC-Regular" w:eastAsia="Times New Roman" w:hAnsi="VIC-Regular" w:cs="Times New Roman"/>
          <w:color w:val="011A3C"/>
          <w:sz w:val="24"/>
          <w:szCs w:val="24"/>
          <w:lang w:val="en" w:eastAsia="en-AU"/>
        </w:rPr>
        <w:t xml:space="preserve"> with 62 Year 2 students would calculate their funding as 62 (Year 2 students) * Year 2 Student Price.</w:t>
      </w:r>
    </w:p>
    <w:p w14:paraId="53A9DC73" w14:textId="7ADAA416"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ED4ED2"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3"/>
        <w:gridCol w:w="1387"/>
        <w:gridCol w:w="1388"/>
        <w:gridCol w:w="1388"/>
      </w:tblGrid>
      <w:tr w:rsidR="001167A8" w:rsidRPr="004D307F" w14:paraId="78FDA1D9" w14:textId="77777777" w:rsidTr="00842992">
        <w:trPr>
          <w:tblHeader/>
        </w:trPr>
        <w:tc>
          <w:tcPr>
            <w:tcW w:w="0" w:type="auto"/>
            <w:hideMark/>
          </w:tcPr>
          <w:p w14:paraId="367B1D44" w14:textId="56B62E61" w:rsidR="001167A8" w:rsidRPr="004D307F" w:rsidRDefault="001167A8" w:rsidP="001167A8">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 xml:space="preserve">Student per Capita Years Prep </w:t>
            </w:r>
            <w:r w:rsidR="00854998" w:rsidRPr="004D307F">
              <w:rPr>
                <w:rFonts w:ascii="VIC-Bold" w:eastAsia="Times New Roman" w:hAnsi="VIC-Bold" w:cs="Times New Roman"/>
                <w:color w:val="323E4F" w:themeColor="text2" w:themeShade="BF"/>
                <w:sz w:val="24"/>
                <w:szCs w:val="24"/>
                <w:lang w:eastAsia="en-AU"/>
              </w:rPr>
              <w:t>to</w:t>
            </w:r>
            <w:r w:rsidRPr="004D307F">
              <w:rPr>
                <w:rFonts w:ascii="VIC-Bold" w:eastAsia="Times New Roman" w:hAnsi="VIC-Bold" w:cs="Times New Roman"/>
                <w:color w:val="323E4F" w:themeColor="text2" w:themeShade="BF"/>
                <w:sz w:val="24"/>
                <w:szCs w:val="24"/>
                <w:lang w:eastAsia="en-AU"/>
              </w:rPr>
              <w:t xml:space="preserve"> 12 Students</w:t>
            </w:r>
          </w:p>
        </w:tc>
        <w:tc>
          <w:tcPr>
            <w:tcW w:w="1387" w:type="dxa"/>
            <w:hideMark/>
          </w:tcPr>
          <w:p w14:paraId="2C1E8C5A"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1388" w:type="dxa"/>
            <w:hideMark/>
          </w:tcPr>
          <w:p w14:paraId="2AFB1996"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1388" w:type="dxa"/>
            <w:hideMark/>
          </w:tcPr>
          <w:p w14:paraId="7E114E81"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Student Price ($)</w:t>
            </w:r>
          </w:p>
        </w:tc>
      </w:tr>
      <w:tr w:rsidR="00076552" w:rsidRPr="004D307F" w14:paraId="7A8BFA73" w14:textId="77777777" w:rsidTr="00842992">
        <w:tc>
          <w:tcPr>
            <w:tcW w:w="0" w:type="auto"/>
            <w:hideMark/>
          </w:tcPr>
          <w:p w14:paraId="3536ECC1" w14:textId="77777777" w:rsidR="00076552" w:rsidRPr="004D307F" w:rsidRDefault="00076552" w:rsidP="0007655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Prep-Year 1</w:t>
            </w:r>
          </w:p>
        </w:tc>
        <w:tc>
          <w:tcPr>
            <w:tcW w:w="1387" w:type="dxa"/>
            <w:hideMark/>
          </w:tcPr>
          <w:p w14:paraId="172589BF" w14:textId="261E3181" w:rsidR="00076552" w:rsidRPr="004D307F" w:rsidRDefault="0007655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7,735</w:t>
            </w:r>
          </w:p>
        </w:tc>
        <w:tc>
          <w:tcPr>
            <w:tcW w:w="1388" w:type="dxa"/>
            <w:hideMark/>
          </w:tcPr>
          <w:p w14:paraId="162231DE" w14:textId="30D5E84A" w:rsidR="00076552"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490</w:t>
            </w:r>
          </w:p>
        </w:tc>
        <w:tc>
          <w:tcPr>
            <w:tcW w:w="1388" w:type="dxa"/>
            <w:hideMark/>
          </w:tcPr>
          <w:p w14:paraId="38DFBE15" w14:textId="193D21F2" w:rsidR="00076552"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w:t>
            </w:r>
            <w:r w:rsidR="005D5CA5" w:rsidRPr="004D307F">
              <w:rPr>
                <w:rFonts w:ascii="VIC-Regular" w:eastAsia="Times New Roman" w:hAnsi="VIC-Regular" w:cs="Times New Roman"/>
                <w:color w:val="323E4F" w:themeColor="text2" w:themeShade="BF"/>
                <w:sz w:val="24"/>
                <w:szCs w:val="24"/>
                <w:lang w:eastAsia="en-AU"/>
              </w:rPr>
              <w:t>,</w:t>
            </w:r>
            <w:r w:rsidRPr="004D307F">
              <w:rPr>
                <w:rFonts w:ascii="VIC-Regular" w:eastAsia="Times New Roman" w:hAnsi="VIC-Regular" w:cs="Times New Roman"/>
                <w:color w:val="323E4F" w:themeColor="text2" w:themeShade="BF"/>
                <w:sz w:val="24"/>
                <w:szCs w:val="24"/>
                <w:lang w:eastAsia="en-AU"/>
              </w:rPr>
              <w:t>225</w:t>
            </w:r>
          </w:p>
        </w:tc>
      </w:tr>
      <w:tr w:rsidR="00962104" w:rsidRPr="004D307F" w14:paraId="45250A0E" w14:textId="77777777" w:rsidTr="00842992">
        <w:tc>
          <w:tcPr>
            <w:tcW w:w="0" w:type="auto"/>
            <w:hideMark/>
          </w:tcPr>
          <w:p w14:paraId="67141146"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lastRenderedPageBreak/>
              <w:t>Year 2</w:t>
            </w:r>
          </w:p>
        </w:tc>
        <w:tc>
          <w:tcPr>
            <w:tcW w:w="1387" w:type="dxa"/>
            <w:hideMark/>
          </w:tcPr>
          <w:p w14:paraId="07E7A23E" w14:textId="67057B2A"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7,184</w:t>
            </w:r>
          </w:p>
        </w:tc>
        <w:tc>
          <w:tcPr>
            <w:tcW w:w="1388" w:type="dxa"/>
            <w:hideMark/>
          </w:tcPr>
          <w:p w14:paraId="5C47E902" w14:textId="594C0A31"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456</w:t>
            </w:r>
          </w:p>
        </w:tc>
        <w:tc>
          <w:tcPr>
            <w:tcW w:w="1388" w:type="dxa"/>
            <w:hideMark/>
          </w:tcPr>
          <w:p w14:paraId="4DC2CC50" w14:textId="552FEC5D"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r w:rsidR="005D5CA5" w:rsidRPr="004D307F">
              <w:rPr>
                <w:rFonts w:ascii="VIC-Regular" w:eastAsia="Times New Roman" w:hAnsi="VIC-Regular" w:cs="Times New Roman"/>
                <w:color w:val="323E4F" w:themeColor="text2" w:themeShade="BF"/>
                <w:sz w:val="24"/>
                <w:szCs w:val="24"/>
                <w:lang w:eastAsia="en-AU"/>
              </w:rPr>
              <w:t>,</w:t>
            </w:r>
            <w:r w:rsidRPr="004D307F">
              <w:rPr>
                <w:rFonts w:ascii="VIC-Regular" w:eastAsia="Times New Roman" w:hAnsi="VIC-Regular" w:cs="Times New Roman"/>
                <w:color w:val="323E4F" w:themeColor="text2" w:themeShade="BF"/>
                <w:sz w:val="24"/>
                <w:szCs w:val="24"/>
                <w:lang w:eastAsia="en-AU"/>
              </w:rPr>
              <w:t>640</w:t>
            </w:r>
          </w:p>
        </w:tc>
      </w:tr>
      <w:tr w:rsidR="00962104" w:rsidRPr="004D307F" w14:paraId="26633AF4" w14:textId="77777777" w:rsidTr="00842992">
        <w:tc>
          <w:tcPr>
            <w:tcW w:w="0" w:type="auto"/>
            <w:hideMark/>
          </w:tcPr>
          <w:p w14:paraId="38FF91A1"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Years 3-6 (and Primary Ungraded)</w:t>
            </w:r>
          </w:p>
        </w:tc>
        <w:tc>
          <w:tcPr>
            <w:tcW w:w="1387" w:type="dxa"/>
            <w:hideMark/>
          </w:tcPr>
          <w:p w14:paraId="3F829F76" w14:textId="1040BDC2"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6,590</w:t>
            </w:r>
          </w:p>
        </w:tc>
        <w:tc>
          <w:tcPr>
            <w:tcW w:w="1388" w:type="dxa"/>
            <w:hideMark/>
          </w:tcPr>
          <w:p w14:paraId="112C40C5" w14:textId="2A8BA193"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416</w:t>
            </w:r>
          </w:p>
        </w:tc>
        <w:tc>
          <w:tcPr>
            <w:tcW w:w="1388" w:type="dxa"/>
            <w:hideMark/>
          </w:tcPr>
          <w:p w14:paraId="69BD834E" w14:textId="49C24C8F"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r w:rsidR="005D5CA5" w:rsidRPr="004D307F">
              <w:rPr>
                <w:rFonts w:ascii="VIC-Regular" w:eastAsia="Times New Roman" w:hAnsi="VIC-Regular" w:cs="Times New Roman"/>
                <w:color w:val="323E4F" w:themeColor="text2" w:themeShade="BF"/>
                <w:sz w:val="24"/>
                <w:szCs w:val="24"/>
                <w:lang w:eastAsia="en-AU"/>
              </w:rPr>
              <w:t>,</w:t>
            </w:r>
            <w:r w:rsidRPr="004D307F">
              <w:rPr>
                <w:rFonts w:ascii="VIC-Regular" w:eastAsia="Times New Roman" w:hAnsi="VIC-Regular" w:cs="Times New Roman"/>
                <w:color w:val="323E4F" w:themeColor="text2" w:themeShade="BF"/>
                <w:sz w:val="24"/>
                <w:szCs w:val="24"/>
                <w:lang w:eastAsia="en-AU"/>
              </w:rPr>
              <w:t>006</w:t>
            </w:r>
          </w:p>
        </w:tc>
      </w:tr>
      <w:tr w:rsidR="00962104" w:rsidRPr="004D307F" w14:paraId="767E9F7A" w14:textId="77777777" w:rsidTr="00842992">
        <w:tc>
          <w:tcPr>
            <w:tcW w:w="0" w:type="auto"/>
            <w:hideMark/>
          </w:tcPr>
          <w:p w14:paraId="47D96088"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Years 7-12 Students (and Secondary Ungraded)</w:t>
            </w:r>
          </w:p>
        </w:tc>
        <w:tc>
          <w:tcPr>
            <w:tcW w:w="1387" w:type="dxa"/>
            <w:hideMark/>
          </w:tcPr>
          <w:p w14:paraId="79591C97" w14:textId="28FE0EE1"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8,804</w:t>
            </w:r>
          </w:p>
        </w:tc>
        <w:tc>
          <w:tcPr>
            <w:tcW w:w="1388" w:type="dxa"/>
            <w:hideMark/>
          </w:tcPr>
          <w:p w14:paraId="6AAACF3A" w14:textId="3DFFE0B7"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474</w:t>
            </w:r>
          </w:p>
        </w:tc>
        <w:tc>
          <w:tcPr>
            <w:tcW w:w="1388" w:type="dxa"/>
            <w:hideMark/>
          </w:tcPr>
          <w:p w14:paraId="35DCE65F" w14:textId="1C5CB35C" w:rsidR="00962104" w:rsidRPr="004D307F" w:rsidRDefault="00ED4ED2"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w:t>
            </w:r>
            <w:r w:rsidR="005D5CA5" w:rsidRPr="004D307F">
              <w:rPr>
                <w:rFonts w:ascii="VIC-Regular" w:eastAsia="Times New Roman" w:hAnsi="VIC-Regular" w:cs="Times New Roman"/>
                <w:color w:val="323E4F" w:themeColor="text2" w:themeShade="BF"/>
                <w:sz w:val="24"/>
                <w:szCs w:val="24"/>
                <w:lang w:eastAsia="en-AU"/>
              </w:rPr>
              <w:t>,</w:t>
            </w:r>
            <w:r w:rsidRPr="004D307F">
              <w:rPr>
                <w:rFonts w:ascii="VIC-Regular" w:eastAsia="Times New Roman" w:hAnsi="VIC-Regular" w:cs="Times New Roman"/>
                <w:color w:val="323E4F" w:themeColor="text2" w:themeShade="BF"/>
                <w:sz w:val="24"/>
                <w:szCs w:val="24"/>
                <w:lang w:eastAsia="en-AU"/>
              </w:rPr>
              <w:t>278</w:t>
            </w:r>
          </w:p>
        </w:tc>
      </w:tr>
    </w:tbl>
    <w:p w14:paraId="6D7BC857" w14:textId="0CA722E2" w:rsidR="001167A8" w:rsidRPr="004D307F" w:rsidRDefault="001167A8" w:rsidP="00B566E7">
      <w:pPr>
        <w:pStyle w:val="Heading2"/>
      </w:pPr>
      <w:r w:rsidRPr="004D307F">
        <w:br w:type="page"/>
      </w:r>
      <w:bookmarkStart w:id="4" w:name="_Toc99882723"/>
      <w:r w:rsidRPr="004D307F">
        <w:lastRenderedPageBreak/>
        <w:t>Enrolment Linked Base (Reference 2)</w:t>
      </w:r>
      <w:bookmarkEnd w:id="4"/>
    </w:p>
    <w:p w14:paraId="40C1B1A8" w14:textId="24170BA8"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Enrolment Linked Base</w:t>
      </w:r>
      <w:r w:rsidR="004F5307" w:rsidRPr="004D307F">
        <w:rPr>
          <w:rFonts w:ascii="VIC-Regular" w:eastAsia="Times New Roman" w:hAnsi="VIC-Regular" w:cs="Times New Roman"/>
          <w:color w:val="011A3C"/>
          <w:sz w:val="24"/>
          <w:szCs w:val="24"/>
          <w:lang w:val="en" w:eastAsia="en-AU"/>
        </w:rPr>
        <w:t xml:space="preserve"> (ELB)</w:t>
      </w:r>
      <w:r w:rsidRPr="004D307F">
        <w:rPr>
          <w:rFonts w:ascii="VIC-Regular" w:eastAsia="Times New Roman" w:hAnsi="VIC-Regular" w:cs="Times New Roman"/>
          <w:color w:val="011A3C"/>
          <w:sz w:val="24"/>
          <w:szCs w:val="24"/>
          <w:lang w:val="en" w:eastAsia="en-AU"/>
        </w:rPr>
        <w:t xml:space="preserve"> is provided to ensure that all schools, regardless of size, have sufficient resources to operate effectively. The flat base with taper provides a safety net for small schools whose enrolments are insufficient to generate viable funding. The taper also </w:t>
      </w:r>
      <w:proofErr w:type="spellStart"/>
      <w:r w:rsidRPr="004D307F">
        <w:rPr>
          <w:rFonts w:ascii="VIC-Regular" w:eastAsia="Times New Roman" w:hAnsi="VIC-Regular" w:cs="Times New Roman"/>
          <w:color w:val="011A3C"/>
          <w:sz w:val="24"/>
          <w:szCs w:val="24"/>
          <w:lang w:val="en" w:eastAsia="en-AU"/>
        </w:rPr>
        <w:t>recognises</w:t>
      </w:r>
      <w:proofErr w:type="spellEnd"/>
      <w:r w:rsidRPr="004D307F">
        <w:rPr>
          <w:rFonts w:ascii="VIC-Regular" w:eastAsia="Times New Roman" w:hAnsi="VIC-Regular" w:cs="Times New Roman"/>
          <w:color w:val="011A3C"/>
          <w:sz w:val="24"/>
          <w:szCs w:val="24"/>
          <w:lang w:val="en" w:eastAsia="en-AU"/>
        </w:rPr>
        <w:t xml:space="preserve"> the economies of scale achievable in larger schools through per student rates.</w:t>
      </w:r>
    </w:p>
    <w:p w14:paraId="61C96434"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base is made up of a flat amount, adjusted by way of a per-student taper that reduces the allocation beyond certain thresholds.</w:t>
      </w:r>
    </w:p>
    <w:p w14:paraId="0616077F"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multi-campus colleges the formula is applied for each campus. To be eligible for multi-campus, each campus must be at least 1km apart.</w:t>
      </w:r>
    </w:p>
    <w:p w14:paraId="162A3622" w14:textId="77777777"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C6B6328"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 the enrolment linked base funding at campus level.</w:t>
      </w:r>
    </w:p>
    <w:p w14:paraId="6EC7E732" w14:textId="77777777" w:rsidR="001167A8" w:rsidRPr="004D307F"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05FD5823" w14:textId="77777777" w:rsidR="001167A8" w:rsidRPr="004D307F"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632AEAA3" w14:textId="16804160" w:rsidR="001167A8" w:rsidRPr="004D307F" w:rsidRDefault="001167A8"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5158B380" w14:textId="15B5EFFF" w:rsidR="0039304A" w:rsidRPr="004D307F" w:rsidRDefault="0039304A" w:rsidP="001167A8">
      <w:pPr>
        <w:numPr>
          <w:ilvl w:val="0"/>
          <w:numId w:val="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w:t>
      </w:r>
    </w:p>
    <w:p w14:paraId="75C07B5B" w14:textId="39FCFC13" w:rsidR="00A65133" w:rsidRPr="004D307F" w:rsidRDefault="00A65133" w:rsidP="001167A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bookmarkStart w:id="5" w:name="_Hlk47814683"/>
      <w:r w:rsidRPr="004D307F">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bookmarkEnd w:id="5"/>
    <w:p w14:paraId="00786AB3" w14:textId="71160B68" w:rsidR="001167A8" w:rsidRPr="004D307F" w:rsidRDefault="001167A8" w:rsidP="001167A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6A215B1" w14:textId="77777777"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Enrolment Linked Base Funding</w:t>
      </w:r>
      <w:r w:rsidRPr="004D307F">
        <w:rPr>
          <w:rFonts w:ascii="VIC-Regular" w:eastAsia="Times New Roman" w:hAnsi="VIC-Regular" w:cs="Times New Roman"/>
          <w:color w:val="011A3C"/>
          <w:sz w:val="24"/>
          <w:szCs w:val="24"/>
          <w:lang w:val="en" w:eastAsia="en-AU"/>
        </w:rPr>
        <w:t xml:space="preserve"> = Base + (Enrolment * Taper)</w:t>
      </w:r>
    </w:p>
    <w:p w14:paraId="3326F7C7" w14:textId="77777777" w:rsidR="001167A8" w:rsidRPr="004D307F"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Refer to the matching school type configuration from the options below.</w:t>
      </w:r>
    </w:p>
    <w:p w14:paraId="78FC4F6A" w14:textId="77777777" w:rsidR="001167A8" w:rsidRPr="004D307F" w:rsidRDefault="001167A8" w:rsidP="001167A8">
      <w:pPr>
        <w:numPr>
          <w:ilvl w:val="0"/>
          <w:numId w:val="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base is fixed up to an enrolment threshold. Above this level, the per student taper is applied, until the base amount is exhausted.</w:t>
      </w:r>
    </w:p>
    <w:p w14:paraId="027F8DF6" w14:textId="29920F33" w:rsidR="001167A8" w:rsidRPr="004D307F" w:rsidRDefault="001167A8"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A primary </w:t>
      </w:r>
      <w:r w:rsidR="004E385A" w:rsidRPr="004D307F">
        <w:rPr>
          <w:rFonts w:ascii="VIC-Regular" w:eastAsia="Times New Roman" w:hAnsi="VIC-Regular" w:cs="Times New Roman"/>
          <w:color w:val="011A3C"/>
          <w:sz w:val="24"/>
          <w:szCs w:val="24"/>
          <w:lang w:val="en" w:eastAsia="en-AU"/>
        </w:rPr>
        <w:t xml:space="preserve">campus </w:t>
      </w:r>
      <w:r w:rsidRPr="004D307F">
        <w:rPr>
          <w:rFonts w:ascii="VIC-Regular" w:eastAsia="Times New Roman" w:hAnsi="VIC-Regular" w:cs="Times New Roman"/>
          <w:color w:val="011A3C"/>
          <w:sz w:val="24"/>
          <w:szCs w:val="24"/>
          <w:lang w:val="en" w:eastAsia="en-AU"/>
        </w:rPr>
        <w:t>with 600 enrolments would calculate their funding as Primary Base + [100 (enrolment &gt;500) * Primary Taper]</w:t>
      </w:r>
    </w:p>
    <w:p w14:paraId="7275B635" w14:textId="2B5992F6" w:rsidR="001167A8" w:rsidRPr="004D307F" w:rsidRDefault="001167A8" w:rsidP="00CE3A3F">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Rates 202</w:t>
      </w:r>
      <w:r w:rsidR="009E5A39"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4"/>
        <w:gridCol w:w="1469"/>
        <w:gridCol w:w="1423"/>
        <w:gridCol w:w="1570"/>
      </w:tblGrid>
      <w:tr w:rsidR="001167A8" w:rsidRPr="004D307F" w14:paraId="3C9A76F0" w14:textId="77777777" w:rsidTr="00124D27">
        <w:trPr>
          <w:tblHeader/>
        </w:trPr>
        <w:tc>
          <w:tcPr>
            <w:tcW w:w="0" w:type="auto"/>
            <w:hideMark/>
          </w:tcPr>
          <w:p w14:paraId="28DC1707" w14:textId="49EDA54E" w:rsidR="001167A8" w:rsidRPr="004D307F" w:rsidRDefault="004F5307" w:rsidP="001167A8">
            <w:pPr>
              <w:spacing w:after="0" w:line="240" w:lineRule="atLeast"/>
              <w:rPr>
                <w:rFonts w:ascii="VIC-Bold" w:eastAsia="Times New Roman" w:hAnsi="VIC-Bold" w:cs="Times New Roman"/>
                <w:color w:val="323E4F" w:themeColor="text2" w:themeShade="BF"/>
                <w:sz w:val="24"/>
                <w:szCs w:val="24"/>
                <w:lang w:eastAsia="en-AU"/>
              </w:rPr>
            </w:pPr>
            <w:proofErr w:type="gramStart"/>
            <w:r w:rsidRPr="004D307F">
              <w:rPr>
                <w:rFonts w:ascii="VIC-Bold" w:eastAsia="Times New Roman" w:hAnsi="VIC-Bold" w:cs="Times New Roman"/>
                <w:color w:val="323E4F" w:themeColor="text2" w:themeShade="BF"/>
                <w:sz w:val="24"/>
                <w:szCs w:val="24"/>
                <w:lang w:eastAsia="en-AU"/>
              </w:rPr>
              <w:t>ELB  applied</w:t>
            </w:r>
            <w:proofErr w:type="gramEnd"/>
          </w:p>
        </w:tc>
        <w:tc>
          <w:tcPr>
            <w:tcW w:w="0" w:type="auto"/>
            <w:hideMark/>
          </w:tcPr>
          <w:p w14:paraId="1E6C3732"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388E2FDD"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41CEFBB0"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962104" w:rsidRPr="004D307F" w14:paraId="0F027E8E" w14:textId="77777777" w:rsidTr="00124D27">
        <w:tc>
          <w:tcPr>
            <w:tcW w:w="0" w:type="auto"/>
            <w:hideMark/>
          </w:tcPr>
          <w:p w14:paraId="0CD1B387"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 (incl. Hub Annex)</w:t>
            </w:r>
          </w:p>
        </w:tc>
        <w:tc>
          <w:tcPr>
            <w:tcW w:w="0" w:type="auto"/>
            <w:hideMark/>
          </w:tcPr>
          <w:p w14:paraId="63E0E974" w14:textId="3CEB6CB7"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63,424</w:t>
            </w:r>
          </w:p>
        </w:tc>
        <w:tc>
          <w:tcPr>
            <w:tcW w:w="0" w:type="auto"/>
            <w:hideMark/>
          </w:tcPr>
          <w:p w14:paraId="4668F5CF" w14:textId="2667A63C"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3,401</w:t>
            </w:r>
          </w:p>
        </w:tc>
        <w:tc>
          <w:tcPr>
            <w:tcW w:w="0" w:type="auto"/>
            <w:hideMark/>
          </w:tcPr>
          <w:p w14:paraId="43AAEAE7" w14:textId="71610E7B"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66,825</w:t>
            </w:r>
          </w:p>
        </w:tc>
      </w:tr>
      <w:tr w:rsidR="00962104" w:rsidRPr="004D307F" w14:paraId="1FC44983" w14:textId="77777777" w:rsidTr="00124D27">
        <w:tc>
          <w:tcPr>
            <w:tcW w:w="0" w:type="auto"/>
            <w:hideMark/>
          </w:tcPr>
          <w:p w14:paraId="6DBDD0DE"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2602D933" w14:textId="24905459"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528,246</w:t>
            </w:r>
          </w:p>
        </w:tc>
        <w:tc>
          <w:tcPr>
            <w:tcW w:w="0" w:type="auto"/>
            <w:hideMark/>
          </w:tcPr>
          <w:p w14:paraId="56533971" w14:textId="337577D9"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26,917</w:t>
            </w:r>
          </w:p>
        </w:tc>
        <w:tc>
          <w:tcPr>
            <w:tcW w:w="0" w:type="auto"/>
            <w:hideMark/>
          </w:tcPr>
          <w:p w14:paraId="51CF7B91" w14:textId="3C83A0B7"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555,163</w:t>
            </w:r>
          </w:p>
        </w:tc>
      </w:tr>
      <w:tr w:rsidR="00962104" w:rsidRPr="004D307F" w14:paraId="6F504EB8" w14:textId="77777777" w:rsidTr="00124D27">
        <w:tc>
          <w:tcPr>
            <w:tcW w:w="0" w:type="auto"/>
            <w:hideMark/>
          </w:tcPr>
          <w:p w14:paraId="4844E647" w14:textId="77777777" w:rsidR="00962104" w:rsidRPr="004D307F" w:rsidRDefault="00962104" w:rsidP="00962104">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P-9, P-</w:t>
            </w:r>
            <w:proofErr w:type="gramStart"/>
            <w:r w:rsidRPr="004D307F">
              <w:rPr>
                <w:rFonts w:ascii="VIC-Regular" w:eastAsia="Times New Roman" w:hAnsi="VIC-Regular" w:cs="Times New Roman"/>
                <w:color w:val="323E4F" w:themeColor="text2" w:themeShade="BF"/>
                <w:sz w:val="24"/>
                <w:szCs w:val="24"/>
                <w:lang w:eastAsia="en-AU"/>
              </w:rPr>
              <w:t>10</w:t>
            </w:r>
            <w:proofErr w:type="gramEnd"/>
            <w:r w:rsidRPr="004D307F">
              <w:rPr>
                <w:rFonts w:ascii="VIC-Regular" w:eastAsia="Times New Roman" w:hAnsi="VIC-Regular" w:cs="Times New Roman"/>
                <w:color w:val="323E4F" w:themeColor="text2" w:themeShade="BF"/>
                <w:sz w:val="24"/>
                <w:szCs w:val="24"/>
                <w:lang w:eastAsia="en-AU"/>
              </w:rPr>
              <w:t xml:space="preserve"> and P-12</w:t>
            </w:r>
          </w:p>
        </w:tc>
        <w:tc>
          <w:tcPr>
            <w:tcW w:w="0" w:type="auto"/>
            <w:hideMark/>
          </w:tcPr>
          <w:p w14:paraId="16431AC5" w14:textId="02A2C1D5" w:rsidR="00962104" w:rsidRPr="004D307F" w:rsidRDefault="00962104"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554,746</w:t>
            </w:r>
          </w:p>
        </w:tc>
        <w:tc>
          <w:tcPr>
            <w:tcW w:w="0" w:type="auto"/>
            <w:hideMark/>
          </w:tcPr>
          <w:p w14:paraId="2766BD67" w14:textId="20B96100"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31,060</w:t>
            </w:r>
          </w:p>
        </w:tc>
        <w:tc>
          <w:tcPr>
            <w:tcW w:w="0" w:type="auto"/>
            <w:hideMark/>
          </w:tcPr>
          <w:p w14:paraId="2B7CD6FC" w14:textId="02CB12A6" w:rsidR="00962104"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585,806</w:t>
            </w:r>
          </w:p>
        </w:tc>
      </w:tr>
      <w:tr w:rsidR="004F5307" w:rsidRPr="004D307F" w14:paraId="5437D290" w14:textId="77777777" w:rsidTr="00124D27">
        <w:tc>
          <w:tcPr>
            <w:tcW w:w="0" w:type="auto"/>
            <w:hideMark/>
          </w:tcPr>
          <w:p w14:paraId="76E8EC7D"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P-8 (=0.5 x P-12 Base)</w:t>
            </w:r>
          </w:p>
        </w:tc>
        <w:tc>
          <w:tcPr>
            <w:tcW w:w="0" w:type="auto"/>
            <w:hideMark/>
          </w:tcPr>
          <w:p w14:paraId="60C57D28" w14:textId="673620E5"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277,373</w:t>
            </w:r>
          </w:p>
        </w:tc>
        <w:tc>
          <w:tcPr>
            <w:tcW w:w="0" w:type="auto"/>
            <w:hideMark/>
          </w:tcPr>
          <w:p w14:paraId="135F4A37" w14:textId="43970F05" w:rsidR="004F5307"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15,530</w:t>
            </w:r>
          </w:p>
        </w:tc>
        <w:tc>
          <w:tcPr>
            <w:tcW w:w="0" w:type="auto"/>
            <w:hideMark/>
          </w:tcPr>
          <w:p w14:paraId="49AEDBEC" w14:textId="15280CD0" w:rsidR="004F5307" w:rsidRPr="004D307F" w:rsidRDefault="009E5A39"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292,903</w:t>
            </w:r>
          </w:p>
        </w:tc>
      </w:tr>
      <w:tr w:rsidR="004F5307" w:rsidRPr="004D307F" w14:paraId="43ECFA04" w14:textId="77777777" w:rsidTr="00124D27">
        <w:tc>
          <w:tcPr>
            <w:tcW w:w="0" w:type="auto"/>
            <w:hideMark/>
          </w:tcPr>
          <w:p w14:paraId="7C95B261"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Sec-Split Site (=1.5 x Sec Base)</w:t>
            </w:r>
          </w:p>
        </w:tc>
        <w:tc>
          <w:tcPr>
            <w:tcW w:w="0" w:type="auto"/>
            <w:hideMark/>
          </w:tcPr>
          <w:p w14:paraId="15E92BCD" w14:textId="117A77AC"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792,369</w:t>
            </w:r>
          </w:p>
        </w:tc>
        <w:tc>
          <w:tcPr>
            <w:tcW w:w="0" w:type="auto"/>
            <w:hideMark/>
          </w:tcPr>
          <w:p w14:paraId="2D4214FE" w14:textId="3C803173" w:rsidR="004F5307" w:rsidRPr="004D307F" w:rsidRDefault="005D5CA5"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40,375.50</w:t>
            </w:r>
          </w:p>
        </w:tc>
        <w:tc>
          <w:tcPr>
            <w:tcW w:w="0" w:type="auto"/>
            <w:hideMark/>
          </w:tcPr>
          <w:p w14:paraId="5B2C0C9E" w14:textId="1CF5D0DC"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832,</w:t>
            </w:r>
            <w:r w:rsidR="005D5CA5" w:rsidRPr="004D307F">
              <w:rPr>
                <w:rFonts w:ascii="VIC-Regular" w:eastAsia="Times New Roman" w:hAnsi="VIC-Regular" w:cs="Times New Roman"/>
                <w:color w:val="323E4F" w:themeColor="text2" w:themeShade="BF"/>
                <w:sz w:val="24"/>
                <w:szCs w:val="24"/>
                <w:lang w:eastAsia="en-AU"/>
              </w:rPr>
              <w:t>744</w:t>
            </w:r>
            <w:r w:rsidRPr="004D307F">
              <w:rPr>
                <w:rFonts w:ascii="VIC-Regular" w:eastAsia="Times New Roman" w:hAnsi="VIC-Regular" w:cs="Times New Roman"/>
                <w:color w:val="323E4F" w:themeColor="text2" w:themeShade="BF"/>
                <w:sz w:val="24"/>
                <w:szCs w:val="24"/>
                <w:lang w:eastAsia="en-AU"/>
              </w:rPr>
              <w:t>.50</w:t>
            </w:r>
          </w:p>
        </w:tc>
      </w:tr>
      <w:tr w:rsidR="004F5307" w:rsidRPr="004D307F" w14:paraId="0EB6FDEE" w14:textId="77777777" w:rsidTr="00124D27">
        <w:tc>
          <w:tcPr>
            <w:tcW w:w="0" w:type="auto"/>
            <w:hideMark/>
          </w:tcPr>
          <w:p w14:paraId="75404584"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Split Site P-12 (=1.5 x P-12 Base)</w:t>
            </w:r>
          </w:p>
        </w:tc>
        <w:tc>
          <w:tcPr>
            <w:tcW w:w="0" w:type="auto"/>
            <w:hideMark/>
          </w:tcPr>
          <w:p w14:paraId="3DB7BF88" w14:textId="2DF5CA7B"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832,119</w:t>
            </w:r>
          </w:p>
        </w:tc>
        <w:tc>
          <w:tcPr>
            <w:tcW w:w="0" w:type="auto"/>
            <w:hideMark/>
          </w:tcPr>
          <w:p w14:paraId="4D3B9182" w14:textId="1D5A57B9" w:rsidR="004F5307" w:rsidRPr="004D307F" w:rsidRDefault="005D5CA5"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46,590</w:t>
            </w:r>
          </w:p>
        </w:tc>
        <w:tc>
          <w:tcPr>
            <w:tcW w:w="0" w:type="auto"/>
            <w:hideMark/>
          </w:tcPr>
          <w:p w14:paraId="0149FE8C" w14:textId="2DE418D8" w:rsidR="004F5307" w:rsidRPr="004D307F" w:rsidRDefault="005D5CA5"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878,709</w:t>
            </w:r>
          </w:p>
        </w:tc>
      </w:tr>
    </w:tbl>
    <w:p w14:paraId="5C50734D" w14:textId="77777777" w:rsidR="00F04286" w:rsidRPr="004D307F" w:rsidRDefault="00F0428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07"/>
        <w:gridCol w:w="1073"/>
        <w:gridCol w:w="813"/>
        <w:gridCol w:w="1123"/>
      </w:tblGrid>
      <w:tr w:rsidR="001167A8" w:rsidRPr="004D307F" w14:paraId="2E02DBC6" w14:textId="77777777" w:rsidTr="00C55926">
        <w:trPr>
          <w:tblHeader/>
        </w:trPr>
        <w:tc>
          <w:tcPr>
            <w:tcW w:w="0" w:type="auto"/>
            <w:hideMark/>
          </w:tcPr>
          <w:p w14:paraId="1D38485D" w14:textId="77777777" w:rsidR="001167A8" w:rsidRPr="004D307F" w:rsidRDefault="001167A8" w:rsidP="001167A8">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Regular Enrolment Linked Base Taper</w:t>
            </w:r>
          </w:p>
        </w:tc>
        <w:tc>
          <w:tcPr>
            <w:tcW w:w="0" w:type="auto"/>
            <w:hideMark/>
          </w:tcPr>
          <w:p w14:paraId="133CDFE8"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451" w:type="pct"/>
            <w:hideMark/>
          </w:tcPr>
          <w:p w14:paraId="21668762"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623" w:type="pct"/>
            <w:hideMark/>
          </w:tcPr>
          <w:p w14:paraId="7564905B" w14:textId="77777777" w:rsidR="001167A8" w:rsidRPr="004D307F" w:rsidRDefault="001167A8"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4F5307" w:rsidRPr="004D307F" w14:paraId="555BDA8C" w14:textId="77777777" w:rsidTr="00C55926">
        <w:tc>
          <w:tcPr>
            <w:tcW w:w="0" w:type="auto"/>
            <w:hideMark/>
          </w:tcPr>
          <w:p w14:paraId="3EB5FB98"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 Taper &gt;500 Per student reduction</w:t>
            </w:r>
          </w:p>
        </w:tc>
        <w:tc>
          <w:tcPr>
            <w:tcW w:w="0" w:type="auto"/>
            <w:hideMark/>
          </w:tcPr>
          <w:p w14:paraId="6681C6B1" w14:textId="28F52D4B"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-169.45</w:t>
            </w:r>
          </w:p>
        </w:tc>
        <w:tc>
          <w:tcPr>
            <w:tcW w:w="451" w:type="pct"/>
            <w:hideMark/>
          </w:tcPr>
          <w:p w14:paraId="1BB0514A" w14:textId="2299D8A2"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-9.0</w:t>
            </w:r>
            <w:r w:rsidR="005D5CA5" w:rsidRPr="004D307F">
              <w:rPr>
                <w:rFonts w:ascii="VIC-Regular" w:eastAsia="Times New Roman" w:hAnsi="VIC-Regular" w:cs="Times New Roman"/>
                <w:color w:val="323E4F" w:themeColor="text2" w:themeShade="BF"/>
                <w:sz w:val="24"/>
                <w:szCs w:val="24"/>
                <w:lang w:eastAsia="en-AU"/>
              </w:rPr>
              <w:t>7</w:t>
            </w:r>
          </w:p>
        </w:tc>
        <w:tc>
          <w:tcPr>
            <w:tcW w:w="623" w:type="pct"/>
            <w:hideMark/>
          </w:tcPr>
          <w:p w14:paraId="562B4751" w14:textId="0318813E"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-178.</w:t>
            </w:r>
            <w:r w:rsidR="005D5CA5" w:rsidRPr="004D307F">
              <w:rPr>
                <w:rFonts w:ascii="VIC-Regular" w:eastAsia="Times New Roman" w:hAnsi="VIC-Regular" w:cs="Times New Roman"/>
                <w:color w:val="323E4F" w:themeColor="text2" w:themeShade="BF"/>
                <w:sz w:val="24"/>
                <w:szCs w:val="24"/>
                <w:lang w:eastAsia="en-AU"/>
              </w:rPr>
              <w:t>52</w:t>
            </w:r>
          </w:p>
        </w:tc>
      </w:tr>
      <w:tr w:rsidR="004F5307" w:rsidRPr="004D307F" w14:paraId="2E161121" w14:textId="77777777" w:rsidTr="00C55926">
        <w:tc>
          <w:tcPr>
            <w:tcW w:w="0" w:type="auto"/>
            <w:hideMark/>
          </w:tcPr>
          <w:p w14:paraId="3FDC0AD2" w14:textId="77777777" w:rsidR="004F5307" w:rsidRPr="004D307F" w:rsidRDefault="004F5307" w:rsidP="004F530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 and Sec-Split Site Taper &gt;400 Per student reduction</w:t>
            </w:r>
          </w:p>
        </w:tc>
        <w:tc>
          <w:tcPr>
            <w:tcW w:w="0" w:type="auto"/>
            <w:hideMark/>
          </w:tcPr>
          <w:p w14:paraId="7797EB95" w14:textId="5629132F"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-452.62</w:t>
            </w:r>
          </w:p>
        </w:tc>
        <w:tc>
          <w:tcPr>
            <w:tcW w:w="451" w:type="pct"/>
            <w:hideMark/>
          </w:tcPr>
          <w:p w14:paraId="1A35B668" w14:textId="5E22D873" w:rsidR="004F5307" w:rsidRPr="004D307F" w:rsidRDefault="005D5CA5"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-23.08</w:t>
            </w:r>
          </w:p>
        </w:tc>
        <w:tc>
          <w:tcPr>
            <w:tcW w:w="623" w:type="pct"/>
            <w:hideMark/>
          </w:tcPr>
          <w:p w14:paraId="19A37040" w14:textId="79D6A511" w:rsidR="004F5307" w:rsidRPr="004D307F" w:rsidRDefault="004F530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-475.</w:t>
            </w:r>
            <w:r w:rsidR="005D5CA5" w:rsidRPr="004D307F">
              <w:rPr>
                <w:rFonts w:ascii="VIC-Regular" w:eastAsia="Times New Roman" w:hAnsi="VIC-Regular" w:cs="Times New Roman"/>
                <w:color w:val="323E4F" w:themeColor="text2" w:themeShade="BF"/>
                <w:sz w:val="24"/>
                <w:szCs w:val="24"/>
                <w:lang w:eastAsia="en-AU"/>
              </w:rPr>
              <w:t>70</w:t>
            </w:r>
          </w:p>
        </w:tc>
      </w:tr>
    </w:tbl>
    <w:p w14:paraId="1F9BFC93" w14:textId="5E7C75F7" w:rsidR="001167A8" w:rsidRPr="004D307F" w:rsidRDefault="004F5307" w:rsidP="001167A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following campus configurations </w:t>
      </w:r>
      <w:r w:rsidR="001167A8" w:rsidRPr="004D307F">
        <w:rPr>
          <w:rFonts w:ascii="VIC-Regular" w:eastAsia="Times New Roman" w:hAnsi="VIC-Regular" w:cs="Times New Roman"/>
          <w:color w:val="011A3C"/>
          <w:sz w:val="24"/>
          <w:szCs w:val="24"/>
          <w:lang w:val="en" w:eastAsia="en-AU"/>
        </w:rPr>
        <w:t>P-8, P-9, P-10, P-12 &amp; Split Site P-12 — </w:t>
      </w:r>
      <w:r w:rsidR="001167A8" w:rsidRPr="004D307F">
        <w:rPr>
          <w:rFonts w:ascii="VIC-Regular" w:eastAsia="Times New Roman" w:hAnsi="VIC-Regular" w:cs="Times New Roman"/>
          <w:b/>
          <w:bCs/>
          <w:color w:val="011A3C"/>
          <w:sz w:val="24"/>
          <w:szCs w:val="24"/>
          <w:lang w:val="en" w:eastAsia="en-AU"/>
        </w:rPr>
        <w:t xml:space="preserve">use Primary and Secondary </w:t>
      </w:r>
      <w:r w:rsidR="00842992" w:rsidRPr="004D307F">
        <w:rPr>
          <w:rFonts w:ascii="VIC-Regular" w:eastAsia="Times New Roman" w:hAnsi="VIC-Regular" w:cs="Times New Roman"/>
          <w:b/>
          <w:bCs/>
          <w:color w:val="011A3C"/>
          <w:sz w:val="24"/>
          <w:szCs w:val="24"/>
          <w:lang w:val="en" w:eastAsia="en-AU"/>
        </w:rPr>
        <w:t>tapers.</w:t>
      </w:r>
    </w:p>
    <w:p w14:paraId="398B4CF4" w14:textId="7A4261E0" w:rsidR="001167A8" w:rsidRPr="004D307F" w:rsidRDefault="001167A8"/>
    <w:p w14:paraId="5FB1D039" w14:textId="77777777" w:rsidR="001167A8" w:rsidRPr="004D307F" w:rsidRDefault="001167A8">
      <w:r w:rsidRPr="004D307F">
        <w:br w:type="page"/>
      </w:r>
    </w:p>
    <w:p w14:paraId="500CB4B4" w14:textId="77777777" w:rsidR="00DB5C39" w:rsidRPr="004D307F" w:rsidRDefault="00DB5C39" w:rsidP="00B566E7">
      <w:pPr>
        <w:pStyle w:val="Heading2"/>
      </w:pPr>
      <w:bookmarkStart w:id="6" w:name="_Toc99882724"/>
      <w:r w:rsidRPr="004D307F">
        <w:lastRenderedPageBreak/>
        <w:t>Small School Base (Reference 3)</w:t>
      </w:r>
      <w:bookmarkEnd w:id="6"/>
    </w:p>
    <w:p w14:paraId="127D3343"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Small School Base is provided to primary schools with less than 80.1 students and secondary colleges with less than 400 students.</w:t>
      </w:r>
    </w:p>
    <w:p w14:paraId="68244AF5"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primary schools, the base reduces as enrolments increase. For multi-site primary </w:t>
      </w:r>
      <w:proofErr w:type="gramStart"/>
      <w:r w:rsidRPr="004D307F">
        <w:rPr>
          <w:rFonts w:ascii="VIC-Regular" w:eastAsia="Times New Roman" w:hAnsi="VIC-Regular" w:cs="Times New Roman"/>
          <w:color w:val="011A3C"/>
          <w:sz w:val="24"/>
          <w:szCs w:val="24"/>
          <w:lang w:val="en" w:eastAsia="en-AU"/>
        </w:rPr>
        <w:t>schools</w:t>
      </w:r>
      <w:proofErr w:type="gramEnd"/>
      <w:r w:rsidRPr="004D307F">
        <w:rPr>
          <w:rFonts w:ascii="VIC-Regular" w:eastAsia="Times New Roman" w:hAnsi="VIC-Regular" w:cs="Times New Roman"/>
          <w:color w:val="011A3C"/>
          <w:sz w:val="24"/>
          <w:szCs w:val="24"/>
          <w:lang w:val="en" w:eastAsia="en-AU"/>
        </w:rPr>
        <w:t xml:space="preserve"> the Base and Taper is applied for each site.</w:t>
      </w:r>
    </w:p>
    <w:p w14:paraId="535C8CFE"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secondary colleges, the base is a flat amount up to 110 enrolments after which it reduces as enrolments increase. For multi-campus colleges, the Base and Taper is applied for each campus.</w:t>
      </w:r>
    </w:p>
    <w:p w14:paraId="2099CD02" w14:textId="77777777" w:rsidR="00DB5C39" w:rsidRPr="004D307F"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475A8C4F"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 the small school base funding at campus level.</w:t>
      </w:r>
    </w:p>
    <w:p w14:paraId="77C59095" w14:textId="77777777" w:rsidR="00DB5C39" w:rsidRPr="004D307F"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714894D2" w14:textId="77777777" w:rsidR="00DB5C39" w:rsidRPr="004D307F"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08821D53" w14:textId="7FC4C55A" w:rsidR="00DB5C39" w:rsidRPr="004D307F" w:rsidRDefault="00DB5C39"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7" w:name="_Hlk66193413"/>
      <w:r w:rsidRPr="004D307F">
        <w:rPr>
          <w:rFonts w:ascii="VIC-Regular" w:eastAsia="Times New Roman" w:hAnsi="VIC-Regular" w:cs="Times New Roman"/>
          <w:color w:val="011A3C"/>
          <w:sz w:val="24"/>
          <w:szCs w:val="24"/>
          <w:lang w:val="en" w:eastAsia="en-AU"/>
        </w:rPr>
        <w:t xml:space="preserve">Primary/Secondary </w:t>
      </w:r>
      <w:bookmarkEnd w:id="7"/>
      <w:r w:rsidRPr="004D307F">
        <w:rPr>
          <w:rFonts w:ascii="VIC-Regular" w:eastAsia="Times New Roman" w:hAnsi="VIC-Regular" w:cs="Times New Roman"/>
          <w:color w:val="011A3C"/>
          <w:sz w:val="24"/>
          <w:szCs w:val="24"/>
          <w:lang w:val="en" w:eastAsia="en-AU"/>
        </w:rPr>
        <w:t>Combined</w:t>
      </w:r>
    </w:p>
    <w:p w14:paraId="3AD404FB" w14:textId="564921B7" w:rsidR="0039304A" w:rsidRPr="004D307F" w:rsidRDefault="0039304A" w:rsidP="00DB5C39">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w:t>
      </w:r>
    </w:p>
    <w:p w14:paraId="1CCE8A10" w14:textId="77777777" w:rsidR="00531290" w:rsidRPr="004D307F" w:rsidRDefault="00531290" w:rsidP="00DB5C39">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budget cycles, funding is provided through credit and cash funding. </w:t>
      </w:r>
    </w:p>
    <w:p w14:paraId="02ABB553" w14:textId="1DCB56D2" w:rsidR="00DB5C39" w:rsidRPr="004D307F"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1057DF29" w14:textId="77777777"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Small School Base (Primary where enrolment is less than 80.1) </w:t>
      </w:r>
      <w:r w:rsidRPr="004D307F">
        <w:rPr>
          <w:rFonts w:ascii="VIC-Regular" w:eastAsia="Times New Roman" w:hAnsi="VIC-Regular" w:cs="Times New Roman"/>
          <w:color w:val="011A3C"/>
          <w:sz w:val="24"/>
          <w:szCs w:val="24"/>
          <w:lang w:val="en" w:eastAsia="en-AU"/>
        </w:rPr>
        <w:t>= Primary Base + (Primary Enrolment x Taper)</w:t>
      </w:r>
    </w:p>
    <w:p w14:paraId="1618EF9B" w14:textId="32E009F5"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Small School Base (Secondary where enrolment is less than 400) </w:t>
      </w:r>
      <w:r w:rsidRPr="004D307F">
        <w:rPr>
          <w:rFonts w:ascii="VIC-Regular" w:eastAsia="Times New Roman" w:hAnsi="VIC-Regular" w:cs="Times New Roman"/>
          <w:color w:val="011A3C"/>
          <w:sz w:val="24"/>
          <w:szCs w:val="24"/>
          <w:lang w:val="en" w:eastAsia="en-AU"/>
        </w:rPr>
        <w:t>= Secondary Base + [(Secondary Enrolment – 110) x Taper]</w:t>
      </w:r>
    </w:p>
    <w:p w14:paraId="55ACD144" w14:textId="635DE946" w:rsidR="00DB5C39" w:rsidRPr="004D307F" w:rsidRDefault="00DB5C39" w:rsidP="00DB5C3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A secondary </w:t>
      </w:r>
      <w:r w:rsidR="00DD54B0" w:rsidRPr="004D307F">
        <w:rPr>
          <w:rFonts w:ascii="VIC-Regular" w:eastAsia="Times New Roman" w:hAnsi="VIC-Regular" w:cs="Times New Roman"/>
          <w:color w:val="011A3C"/>
          <w:sz w:val="24"/>
          <w:szCs w:val="24"/>
          <w:lang w:val="en" w:eastAsia="en-AU"/>
        </w:rPr>
        <w:t xml:space="preserve">campus </w:t>
      </w:r>
      <w:r w:rsidRPr="004D307F">
        <w:rPr>
          <w:rFonts w:ascii="VIC-Regular" w:eastAsia="Times New Roman" w:hAnsi="VIC-Regular" w:cs="Times New Roman"/>
          <w:color w:val="011A3C"/>
          <w:sz w:val="24"/>
          <w:szCs w:val="24"/>
          <w:lang w:val="en" w:eastAsia="en-AU"/>
        </w:rPr>
        <w:t>with 300 enrolments would calculate their funding as Secondary Base + [(300 -110) * Secondary Taper]</w:t>
      </w:r>
    </w:p>
    <w:p w14:paraId="16A26130" w14:textId="77777777" w:rsidR="00141B7F" w:rsidRPr="004D30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6F9E4EAA" w14:textId="77777777" w:rsidR="00141B7F" w:rsidRPr="004D30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3691FA46" w14:textId="77777777" w:rsidR="00141B7F" w:rsidRPr="004D307F" w:rsidRDefault="00141B7F"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p>
    <w:p w14:paraId="61E5143D" w14:textId="3A878698" w:rsidR="00DB5C39" w:rsidRPr="004D307F" w:rsidRDefault="00DB5C39" w:rsidP="00DB5C3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Rates 202</w:t>
      </w:r>
      <w:r w:rsidR="006E0408"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7"/>
        <w:gridCol w:w="1503"/>
        <w:gridCol w:w="1316"/>
        <w:gridCol w:w="1340"/>
      </w:tblGrid>
      <w:tr w:rsidR="00DB5C39" w:rsidRPr="004D307F" w14:paraId="00974DDC" w14:textId="77777777" w:rsidTr="00124D27">
        <w:trPr>
          <w:tblHeader/>
        </w:trPr>
        <w:tc>
          <w:tcPr>
            <w:tcW w:w="0" w:type="auto"/>
            <w:hideMark/>
          </w:tcPr>
          <w:p w14:paraId="2C464FA3" w14:textId="77777777" w:rsidR="00DB5C39" w:rsidRPr="004D307F" w:rsidRDefault="00DB5C39" w:rsidP="00DB5C39">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Small Schools Adjustment Base</w:t>
            </w:r>
          </w:p>
        </w:tc>
        <w:tc>
          <w:tcPr>
            <w:tcW w:w="0" w:type="auto"/>
            <w:hideMark/>
          </w:tcPr>
          <w:p w14:paraId="2069F423"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1BC7A6FA"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555D8A81"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BE29E7" w:rsidRPr="004D307F" w14:paraId="3FF53679" w14:textId="77777777" w:rsidTr="00124D27">
        <w:tc>
          <w:tcPr>
            <w:tcW w:w="0" w:type="auto"/>
            <w:hideMark/>
          </w:tcPr>
          <w:p w14:paraId="47929FFA" w14:textId="77777777" w:rsidR="00BE29E7" w:rsidRPr="004D307F"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w:t>
            </w:r>
          </w:p>
        </w:tc>
        <w:tc>
          <w:tcPr>
            <w:tcW w:w="0" w:type="auto"/>
            <w:hideMark/>
          </w:tcPr>
          <w:p w14:paraId="5F10165B" w14:textId="55CD0286"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35,054</w:t>
            </w:r>
          </w:p>
        </w:tc>
        <w:tc>
          <w:tcPr>
            <w:tcW w:w="0" w:type="auto"/>
            <w:hideMark/>
          </w:tcPr>
          <w:p w14:paraId="073692E1" w14:textId="7C435426" w:rsidR="00BE29E7" w:rsidRPr="004D307F" w:rsidRDefault="006E0408"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2,412</w:t>
            </w:r>
          </w:p>
        </w:tc>
        <w:tc>
          <w:tcPr>
            <w:tcW w:w="0" w:type="auto"/>
            <w:hideMark/>
          </w:tcPr>
          <w:p w14:paraId="53AD71D7" w14:textId="3E003B54" w:rsidR="00BE29E7" w:rsidRPr="004D307F" w:rsidRDefault="006E0408"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37,466</w:t>
            </w:r>
          </w:p>
        </w:tc>
      </w:tr>
      <w:tr w:rsidR="00BE29E7" w:rsidRPr="004D307F" w14:paraId="5DED63BD" w14:textId="77777777" w:rsidTr="00124D27">
        <w:tc>
          <w:tcPr>
            <w:tcW w:w="0" w:type="auto"/>
            <w:hideMark/>
          </w:tcPr>
          <w:p w14:paraId="3D3792FA" w14:textId="77777777" w:rsidR="00BE29E7" w:rsidRPr="004D307F"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180E648D" w14:textId="18D018BB"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153,733</w:t>
            </w:r>
          </w:p>
        </w:tc>
        <w:tc>
          <w:tcPr>
            <w:tcW w:w="0" w:type="auto"/>
            <w:hideMark/>
          </w:tcPr>
          <w:p w14:paraId="7B3445FE" w14:textId="29F0D35E" w:rsidR="00BE29E7" w:rsidRPr="004D307F" w:rsidRDefault="006E0408"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8,410</w:t>
            </w:r>
          </w:p>
        </w:tc>
        <w:tc>
          <w:tcPr>
            <w:tcW w:w="0" w:type="auto"/>
            <w:hideMark/>
          </w:tcPr>
          <w:p w14:paraId="1F6E1A23" w14:textId="16E98C6D" w:rsidR="00BE29E7" w:rsidRPr="004D307F" w:rsidRDefault="006E0408"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162,143</w:t>
            </w:r>
          </w:p>
        </w:tc>
      </w:tr>
      <w:tr w:rsidR="00DB5C39" w:rsidRPr="004D307F" w14:paraId="6DE76AC3" w14:textId="77777777" w:rsidTr="00124D27">
        <w:trPr>
          <w:tblHeader/>
        </w:trPr>
        <w:tc>
          <w:tcPr>
            <w:tcW w:w="0" w:type="auto"/>
            <w:hideMark/>
          </w:tcPr>
          <w:p w14:paraId="77183E3F" w14:textId="77777777" w:rsidR="00DB5C39" w:rsidRPr="004D307F" w:rsidRDefault="00DB5C39" w:rsidP="00DB5C39">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Small School Adjustment Taper</w:t>
            </w:r>
          </w:p>
        </w:tc>
        <w:tc>
          <w:tcPr>
            <w:tcW w:w="0" w:type="auto"/>
            <w:hideMark/>
          </w:tcPr>
          <w:p w14:paraId="7818E900"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6EAF976A"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6150A56F" w14:textId="77777777" w:rsidR="00DB5C39" w:rsidRPr="004D307F" w:rsidRDefault="00DB5C39" w:rsidP="00842992">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BE29E7" w:rsidRPr="004D307F" w14:paraId="6728E007" w14:textId="77777777" w:rsidTr="00124D27">
        <w:tc>
          <w:tcPr>
            <w:tcW w:w="0" w:type="auto"/>
            <w:hideMark/>
          </w:tcPr>
          <w:p w14:paraId="61F7BA11" w14:textId="77777777" w:rsidR="00BE29E7" w:rsidRPr="004D307F"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w:t>
            </w:r>
          </w:p>
        </w:tc>
        <w:tc>
          <w:tcPr>
            <w:tcW w:w="0" w:type="auto"/>
            <w:hideMark/>
          </w:tcPr>
          <w:p w14:paraId="77AA087F" w14:textId="298E6C64"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-182.02</w:t>
            </w:r>
          </w:p>
        </w:tc>
        <w:tc>
          <w:tcPr>
            <w:tcW w:w="0" w:type="auto"/>
            <w:hideMark/>
          </w:tcPr>
          <w:p w14:paraId="5114E6AC" w14:textId="18BCEBD2"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w:t>
            </w:r>
            <w:r w:rsidR="006E0408" w:rsidRPr="004D307F">
              <w:rPr>
                <w:rFonts w:ascii="VIC-Regular" w:eastAsia="Times New Roman" w:hAnsi="VIC-Regular" w:cs="Times New Roman"/>
                <w:color w:val="323E4F" w:themeColor="text2" w:themeShade="BF"/>
                <w:sz w:val="24"/>
                <w:szCs w:val="24"/>
                <w:lang w:eastAsia="en-AU"/>
              </w:rPr>
              <w:t>61</w:t>
            </w:r>
          </w:p>
        </w:tc>
        <w:tc>
          <w:tcPr>
            <w:tcW w:w="0" w:type="auto"/>
            <w:hideMark/>
          </w:tcPr>
          <w:p w14:paraId="29E23C1D" w14:textId="22AF8FF0"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-194.</w:t>
            </w:r>
            <w:r w:rsidR="006E0408" w:rsidRPr="004D307F">
              <w:rPr>
                <w:rFonts w:ascii="VIC-Regular" w:eastAsia="Times New Roman" w:hAnsi="VIC-Regular" w:cs="Times New Roman"/>
                <w:color w:val="323E4F" w:themeColor="text2" w:themeShade="BF"/>
                <w:sz w:val="24"/>
                <w:szCs w:val="24"/>
                <w:lang w:eastAsia="en-AU"/>
              </w:rPr>
              <w:t>63</w:t>
            </w:r>
          </w:p>
        </w:tc>
      </w:tr>
      <w:tr w:rsidR="00BE29E7" w:rsidRPr="004D307F" w14:paraId="34961AC6" w14:textId="77777777" w:rsidTr="00124D27">
        <w:tc>
          <w:tcPr>
            <w:tcW w:w="0" w:type="auto"/>
            <w:hideMark/>
          </w:tcPr>
          <w:p w14:paraId="26274EED" w14:textId="77777777" w:rsidR="00BE29E7" w:rsidRPr="004D307F" w:rsidRDefault="00BE29E7" w:rsidP="00BE29E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4D0BA088" w14:textId="3C253119"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-530.13</w:t>
            </w:r>
          </w:p>
        </w:tc>
        <w:tc>
          <w:tcPr>
            <w:tcW w:w="0" w:type="auto"/>
            <w:hideMark/>
          </w:tcPr>
          <w:p w14:paraId="521A515B" w14:textId="4431A9F4"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w:t>
            </w:r>
            <w:r w:rsidR="006E0408" w:rsidRPr="004D307F">
              <w:rPr>
                <w:rFonts w:ascii="VIC-Regular" w:eastAsia="Times New Roman" w:hAnsi="VIC-Regular" w:cs="Times New Roman"/>
                <w:color w:val="323E4F" w:themeColor="text2" w:themeShade="BF"/>
                <w:sz w:val="24"/>
                <w:szCs w:val="24"/>
                <w:lang w:eastAsia="en-AU"/>
              </w:rPr>
              <w:t>99</w:t>
            </w:r>
          </w:p>
        </w:tc>
        <w:tc>
          <w:tcPr>
            <w:tcW w:w="0" w:type="auto"/>
            <w:hideMark/>
          </w:tcPr>
          <w:p w14:paraId="56AFE2A1" w14:textId="1B21AF6C" w:rsidR="00BE29E7" w:rsidRPr="004D307F" w:rsidRDefault="00BE29E7" w:rsidP="00842992">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-55</w:t>
            </w:r>
            <w:r w:rsidR="006E0408" w:rsidRPr="004D307F">
              <w:rPr>
                <w:rFonts w:ascii="VIC-Regular" w:eastAsia="Times New Roman" w:hAnsi="VIC-Regular" w:cs="Times New Roman"/>
                <w:color w:val="323E4F" w:themeColor="text2" w:themeShade="BF"/>
                <w:sz w:val="24"/>
                <w:szCs w:val="24"/>
                <w:lang w:eastAsia="en-AU"/>
              </w:rPr>
              <w:t>9</w:t>
            </w:r>
            <w:r w:rsidRPr="004D307F">
              <w:rPr>
                <w:rFonts w:ascii="VIC-Regular" w:eastAsia="Times New Roman" w:hAnsi="VIC-Regular" w:cs="Times New Roman"/>
                <w:color w:val="323E4F" w:themeColor="text2" w:themeShade="BF"/>
                <w:sz w:val="24"/>
                <w:szCs w:val="24"/>
                <w:lang w:eastAsia="en-AU"/>
              </w:rPr>
              <w:t>.</w:t>
            </w:r>
            <w:r w:rsidR="006E0408" w:rsidRPr="004D307F">
              <w:rPr>
                <w:rFonts w:ascii="VIC-Regular" w:eastAsia="Times New Roman" w:hAnsi="VIC-Regular" w:cs="Times New Roman"/>
                <w:color w:val="323E4F" w:themeColor="text2" w:themeShade="BF"/>
                <w:sz w:val="24"/>
                <w:szCs w:val="24"/>
                <w:lang w:eastAsia="en-AU"/>
              </w:rPr>
              <w:t>12</w:t>
            </w:r>
          </w:p>
        </w:tc>
      </w:tr>
    </w:tbl>
    <w:p w14:paraId="21EC1DDD" w14:textId="69DC32C0" w:rsidR="00DB5C39" w:rsidRPr="004D307F" w:rsidRDefault="00DB5C39"/>
    <w:p w14:paraId="030C27FC" w14:textId="77777777" w:rsidR="00DD54B0" w:rsidRPr="004D307F" w:rsidRDefault="00DD54B0">
      <w:pPr>
        <w:rPr>
          <w:rFonts w:ascii="VIC-Bold" w:eastAsia="Times New Roman" w:hAnsi="VIC-Bold" w:cs="Times New Roman"/>
          <w:color w:val="011A3C"/>
          <w:sz w:val="36"/>
          <w:szCs w:val="36"/>
          <w:lang w:val="en" w:eastAsia="en-AU"/>
        </w:rPr>
      </w:pPr>
      <w:r w:rsidRPr="004D307F">
        <w:rPr>
          <w:rFonts w:ascii="VIC-Bold" w:eastAsia="Times New Roman" w:hAnsi="VIC-Bold" w:cs="Times New Roman"/>
          <w:color w:val="011A3C"/>
          <w:sz w:val="36"/>
          <w:szCs w:val="36"/>
          <w:lang w:val="en" w:eastAsia="en-AU"/>
        </w:rPr>
        <w:br w:type="page"/>
      </w:r>
    </w:p>
    <w:p w14:paraId="7E4E223F" w14:textId="22E9EBEA" w:rsidR="006A5663" w:rsidRPr="004D307F" w:rsidRDefault="006A5663" w:rsidP="00B566E7">
      <w:pPr>
        <w:pStyle w:val="Heading2"/>
      </w:pPr>
      <w:bookmarkStart w:id="8" w:name="_Toc99882725"/>
      <w:r w:rsidRPr="004D307F">
        <w:lastRenderedPageBreak/>
        <w:t>Rural School Size Adjustment Factor (Reference 4)</w:t>
      </w:r>
      <w:bookmarkEnd w:id="8"/>
    </w:p>
    <w:p w14:paraId="0C418573" w14:textId="77777777" w:rsidR="006C05C4" w:rsidRPr="004D307F"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funding line </w:t>
      </w:r>
      <w:proofErr w:type="spellStart"/>
      <w:r w:rsidRPr="004D307F">
        <w:rPr>
          <w:rFonts w:ascii="VIC-Regular" w:eastAsia="Times New Roman" w:hAnsi="VIC-Regular" w:cs="Times New Roman"/>
          <w:color w:val="011A3C"/>
          <w:sz w:val="24"/>
          <w:szCs w:val="24"/>
          <w:lang w:val="en" w:eastAsia="en-AU"/>
        </w:rPr>
        <w:t>recognises</w:t>
      </w:r>
      <w:proofErr w:type="spellEnd"/>
      <w:r w:rsidRPr="004D307F">
        <w:rPr>
          <w:rFonts w:ascii="VIC-Regular" w:eastAsia="Times New Roman" w:hAnsi="VIC-Regular" w:cs="Times New Roman"/>
          <w:color w:val="011A3C"/>
          <w:sz w:val="24"/>
          <w:szCs w:val="24"/>
          <w:lang w:val="en" w:eastAsia="en-AU"/>
        </w:rPr>
        <w:t xml:space="preserve"> that small rural schools require additional resources to provide a high-quality education that is equal to that of schools in urban areas. </w:t>
      </w:r>
    </w:p>
    <w:p w14:paraId="21717F82" w14:textId="77777777" w:rsidR="006C05C4" w:rsidRPr="004D307F"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provided to eligible primary schools, secondary schools and combined schools that are situated in non-metropolitan and non-provincial locations.  </w:t>
      </w:r>
    </w:p>
    <w:p w14:paraId="6654D492" w14:textId="0F9F7D9C" w:rsidR="006C05C4" w:rsidRPr="004D307F" w:rsidRDefault="006C05C4" w:rsidP="006C05C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Allocations are determined at campus level using a per student rate. The per student rate is split into credit and cash and contains provisions for payroll tax, superannuation, relief teaching and professional development.</w:t>
      </w:r>
    </w:p>
    <w:p w14:paraId="43EA0F14" w14:textId="3FB53D7D" w:rsidR="006A5663" w:rsidRPr="004D307F"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2543BAD6"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Campuses with the following campus type, enrolments and location are eligible for RSAF funding.</w:t>
      </w:r>
    </w:p>
    <w:p w14:paraId="32637437"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p>
    <w:p w14:paraId="2C6E3EF8"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Campus type:</w:t>
      </w:r>
    </w:p>
    <w:p w14:paraId="1C727388" w14:textId="77777777"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6DC6EE29" w14:textId="77777777"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03AB9F39" w14:textId="4837099E" w:rsidR="006C05C4" w:rsidRPr="004D307F" w:rsidRDefault="00170FD6"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6A07F8CA" w14:textId="10738B2D" w:rsidR="006C05C4" w:rsidRPr="004D307F" w:rsidRDefault="0039304A"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w:t>
      </w:r>
    </w:p>
    <w:p w14:paraId="4EE0483B"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Enrolments:</w:t>
      </w:r>
    </w:p>
    <w:p w14:paraId="0D3FDA06" w14:textId="77777777"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Less than or equal to 200 Primary enrolments</w:t>
      </w:r>
    </w:p>
    <w:p w14:paraId="2858F5BE" w14:textId="14517C1D"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Less than or equal to 500 Secondary enrolments</w:t>
      </w:r>
    </w:p>
    <w:p w14:paraId="77D84BFE" w14:textId="77777777" w:rsidR="006C05C4" w:rsidRPr="004D307F" w:rsidRDefault="006C05C4" w:rsidP="006C05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Locations:</w:t>
      </w:r>
    </w:p>
    <w:p w14:paraId="3FE84489" w14:textId="77777777"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outside the “Major Cities of Australia” Remoteness Area category, as defined by the Australian Bureau of Statistics (ABS), with reference to the 2016 Accessibility/Remoteness Index of Australia (ARIA). </w:t>
      </w:r>
    </w:p>
    <w:p w14:paraId="2704B8B5" w14:textId="6A3B026B" w:rsidR="006C05C4" w:rsidRPr="004D307F" w:rsidRDefault="006C05C4"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outside provincial locations with more than 20,000 population, as defined by the ABS Urban </w:t>
      </w:r>
      <w:proofErr w:type="spellStart"/>
      <w:r w:rsidRPr="004D307F">
        <w:rPr>
          <w:rFonts w:ascii="VIC-Regular" w:eastAsia="Times New Roman" w:hAnsi="VIC-Regular" w:cs="Times New Roman"/>
          <w:color w:val="011A3C"/>
          <w:sz w:val="24"/>
          <w:szCs w:val="24"/>
          <w:lang w:val="en" w:eastAsia="en-AU"/>
        </w:rPr>
        <w:t>Centres</w:t>
      </w:r>
      <w:proofErr w:type="spellEnd"/>
      <w:r w:rsidRPr="004D307F">
        <w:rPr>
          <w:rFonts w:ascii="VIC-Regular" w:eastAsia="Times New Roman" w:hAnsi="VIC-Regular" w:cs="Times New Roman"/>
          <w:color w:val="011A3C"/>
          <w:sz w:val="24"/>
          <w:szCs w:val="24"/>
          <w:lang w:val="en" w:eastAsia="en-AU"/>
        </w:rPr>
        <w:t xml:space="preserve"> and Localities (UCL). Using ABS 2016, campuses in Geelong, Ballarat, Bendigo, </w:t>
      </w:r>
      <w:proofErr w:type="spellStart"/>
      <w:r w:rsidRPr="004D307F">
        <w:rPr>
          <w:rFonts w:ascii="VIC-Regular" w:eastAsia="Times New Roman" w:hAnsi="VIC-Regular" w:cs="Times New Roman"/>
          <w:color w:val="011A3C"/>
          <w:sz w:val="24"/>
          <w:szCs w:val="24"/>
          <w:lang w:val="en" w:eastAsia="en-AU"/>
        </w:rPr>
        <w:t>Shepparton-Mooroopna</w:t>
      </w:r>
      <w:proofErr w:type="spellEnd"/>
      <w:r w:rsidRPr="004D307F">
        <w:rPr>
          <w:rFonts w:ascii="VIC-Regular" w:eastAsia="Times New Roman" w:hAnsi="VIC-Regular" w:cs="Times New Roman"/>
          <w:color w:val="011A3C"/>
          <w:sz w:val="24"/>
          <w:szCs w:val="24"/>
          <w:lang w:val="en" w:eastAsia="en-AU"/>
        </w:rPr>
        <w:t xml:space="preserve">, Warrnambool, Albury-Wodonga, Mildura and </w:t>
      </w:r>
      <w:proofErr w:type="spellStart"/>
      <w:r w:rsidRPr="004D307F">
        <w:rPr>
          <w:rFonts w:ascii="VIC-Regular" w:eastAsia="Times New Roman" w:hAnsi="VIC-Regular" w:cs="Times New Roman"/>
          <w:color w:val="011A3C"/>
          <w:sz w:val="24"/>
          <w:szCs w:val="24"/>
          <w:lang w:val="en" w:eastAsia="en-AU"/>
        </w:rPr>
        <w:t>Traralgon</w:t>
      </w:r>
      <w:proofErr w:type="spellEnd"/>
      <w:r w:rsidRPr="004D307F">
        <w:rPr>
          <w:rFonts w:ascii="VIC-Regular" w:eastAsia="Times New Roman" w:hAnsi="VIC-Regular" w:cs="Times New Roman"/>
          <w:color w:val="011A3C"/>
          <w:sz w:val="24"/>
          <w:szCs w:val="24"/>
          <w:lang w:val="en" w:eastAsia="en-AU"/>
        </w:rPr>
        <w:t xml:space="preserve"> are ineligible.</w:t>
      </w:r>
    </w:p>
    <w:p w14:paraId="3586F931" w14:textId="1CB13AFE" w:rsidR="00141B7F" w:rsidRPr="004D307F" w:rsidRDefault="00395E28" w:rsidP="006A5663">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Funding is calculated at the Indicative, Confirmed and Revised budget cycles, funding is provided through credit and cash funding. </w:t>
      </w:r>
    </w:p>
    <w:p w14:paraId="5CE2799F" w14:textId="60F1C106" w:rsidR="006A5663" w:rsidRPr="004D307F" w:rsidRDefault="006A5663" w:rsidP="006A5663">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422EA95C" w14:textId="74B7EAD0"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 = Primary Enrolments * Primary Per Student Rate + Secondary enrolments * Secondary Per Student Rate</w:t>
      </w:r>
    </w:p>
    <w:p w14:paraId="6A1E2FD6" w14:textId="77777777"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w:t>
      </w:r>
    </w:p>
    <w:p w14:paraId="231E076D" w14:textId="71018B8F" w:rsidR="00E000E8" w:rsidRPr="004D307F" w:rsidRDefault="00E000E8"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rates for each enrolment level are provided in </w:t>
      </w:r>
      <w:r w:rsidR="003B16EE" w:rsidRPr="004D307F">
        <w:rPr>
          <w:rFonts w:ascii="VIC-Regular" w:eastAsia="Times New Roman" w:hAnsi="VIC-Regular" w:cs="Times New Roman"/>
          <w:color w:val="011A3C"/>
          <w:sz w:val="24"/>
          <w:szCs w:val="24"/>
          <w:lang w:val="en" w:eastAsia="en-AU"/>
        </w:rPr>
        <w:t xml:space="preserve">the </w:t>
      </w:r>
      <w:hyperlink r:id="rId12" w:history="1">
        <w:r w:rsidR="003B16EE" w:rsidRPr="004D307F">
          <w:rPr>
            <w:rStyle w:val="Hyperlink"/>
            <w:rFonts w:ascii="VIC-Regular" w:eastAsia="Times New Roman" w:hAnsi="VIC-Regular" w:cs="Times New Roman"/>
            <w:sz w:val="24"/>
            <w:szCs w:val="24"/>
            <w:lang w:val="en" w:eastAsia="en-AU"/>
          </w:rPr>
          <w:t xml:space="preserve">Rurality Rates </w:t>
        </w:r>
        <w:r w:rsidR="00270119">
          <w:rPr>
            <w:rStyle w:val="Hyperlink"/>
            <w:rFonts w:ascii="VIC-Regular" w:eastAsia="Times New Roman" w:hAnsi="VIC-Regular" w:cs="Times New Roman"/>
            <w:sz w:val="24"/>
            <w:szCs w:val="24"/>
            <w:lang w:val="en" w:eastAsia="en-AU"/>
          </w:rPr>
          <w:t>s</w:t>
        </w:r>
        <w:r w:rsidR="003B16EE" w:rsidRPr="004D307F">
          <w:rPr>
            <w:rStyle w:val="Hyperlink"/>
            <w:rFonts w:ascii="VIC-Regular" w:eastAsia="Times New Roman" w:hAnsi="VIC-Regular" w:cs="Times New Roman"/>
            <w:sz w:val="24"/>
            <w:szCs w:val="24"/>
            <w:lang w:val="en" w:eastAsia="en-AU"/>
          </w:rPr>
          <w:t>preadsheet</w:t>
        </w:r>
      </w:hyperlink>
      <w:r w:rsidR="00270119">
        <w:rPr>
          <w:rStyle w:val="Hyperlink"/>
          <w:rFonts w:ascii="VIC-Regular" w:eastAsia="Times New Roman" w:hAnsi="VIC-Regular" w:cs="Times New Roman"/>
          <w:sz w:val="24"/>
          <w:szCs w:val="24"/>
          <w:lang w:val="en" w:eastAsia="en-AU"/>
        </w:rPr>
        <w:t xml:space="preserve"> (XLSX)</w:t>
      </w:r>
      <w:r w:rsidR="00C97565" w:rsidRPr="004D307F">
        <w:rPr>
          <w:rStyle w:val="Hyperlink"/>
          <w:rFonts w:ascii="VIC-Regular" w:eastAsia="Times New Roman" w:hAnsi="VIC-Regular" w:cs="Times New Roman"/>
          <w:sz w:val="24"/>
          <w:szCs w:val="24"/>
          <w:lang w:val="en" w:eastAsia="en-AU"/>
        </w:rPr>
        <w:t>.</w:t>
      </w:r>
    </w:p>
    <w:p w14:paraId="520F9C8A" w14:textId="29862A5A" w:rsidR="00E000E8" w:rsidRPr="004D307F" w:rsidRDefault="00E000E8" w:rsidP="004D307F">
      <w:pPr>
        <w:numPr>
          <w:ilvl w:val="0"/>
          <w:numId w:val="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Enrolments are rounded down to the nearest whole number to identify the relevant per student rate. The actual campus enrolments are applied to the per student rate to determine the allocation.</w:t>
      </w:r>
    </w:p>
    <w:p w14:paraId="01B7369F" w14:textId="098FFDBD" w:rsidR="00E000E8" w:rsidRPr="004D307F" w:rsidRDefault="00E000E8" w:rsidP="00E000E8">
      <w:pPr>
        <w:spacing w:after="0" w:line="240" w:lineRule="auto"/>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Other relevant information</w:t>
      </w:r>
    </w:p>
    <w:p w14:paraId="481F7237" w14:textId="4AF51CC6"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It is intended that location measures will be updated with the release of new ABS data every 5 years. The </w:t>
      </w:r>
      <w:r w:rsidR="00D666FF" w:rsidRPr="004D307F">
        <w:rPr>
          <w:rFonts w:ascii="VIC-Regular" w:eastAsia="Times New Roman" w:hAnsi="VIC-Regular" w:cs="Times New Roman"/>
          <w:color w:val="011A3C"/>
          <w:sz w:val="24"/>
          <w:szCs w:val="24"/>
          <w:lang w:val="en" w:eastAsia="en-AU"/>
        </w:rPr>
        <w:t>last</w:t>
      </w:r>
      <w:r w:rsidRPr="004D307F">
        <w:rPr>
          <w:rFonts w:ascii="VIC-Regular" w:eastAsia="Times New Roman" w:hAnsi="VIC-Regular" w:cs="Times New Roman"/>
          <w:color w:val="011A3C"/>
          <w:sz w:val="24"/>
          <w:szCs w:val="24"/>
          <w:lang w:val="en" w:eastAsia="en-AU"/>
        </w:rPr>
        <w:t xml:space="preserve"> </w:t>
      </w:r>
      <w:r w:rsidR="00991B22" w:rsidRPr="004D307F">
        <w:rPr>
          <w:rFonts w:ascii="VIC-Regular" w:eastAsia="Times New Roman" w:hAnsi="VIC-Regular" w:cs="Times New Roman"/>
          <w:color w:val="011A3C"/>
          <w:sz w:val="24"/>
          <w:szCs w:val="24"/>
          <w:lang w:val="en" w:eastAsia="en-AU"/>
        </w:rPr>
        <w:t>ABS data survey was completed in August</w:t>
      </w:r>
      <w:r w:rsidRPr="004D307F">
        <w:rPr>
          <w:rFonts w:ascii="VIC-Regular" w:eastAsia="Times New Roman" w:hAnsi="VIC-Regular" w:cs="Times New Roman"/>
          <w:color w:val="011A3C"/>
          <w:sz w:val="24"/>
          <w:szCs w:val="24"/>
          <w:lang w:val="en" w:eastAsia="en-AU"/>
        </w:rPr>
        <w:t xml:space="preserve"> 2021.</w:t>
      </w:r>
      <w:r w:rsidR="00991B22" w:rsidRPr="004D307F">
        <w:rPr>
          <w:rFonts w:ascii="VIC-Regular" w:eastAsia="Times New Roman" w:hAnsi="VIC-Regular" w:cs="Times New Roman"/>
          <w:color w:val="011A3C"/>
          <w:sz w:val="24"/>
          <w:szCs w:val="24"/>
          <w:lang w:val="en" w:eastAsia="en-AU"/>
        </w:rPr>
        <w:t xml:space="preserve"> The result of this will be known in 2022 and applied in the future releases.</w:t>
      </w:r>
      <w:r w:rsidRPr="004D307F">
        <w:rPr>
          <w:rFonts w:ascii="VIC-Regular" w:eastAsia="Times New Roman" w:hAnsi="VIC-Regular" w:cs="Times New Roman"/>
          <w:color w:val="011A3C"/>
          <w:sz w:val="24"/>
          <w:szCs w:val="24"/>
          <w:lang w:val="en" w:eastAsia="en-AU"/>
        </w:rPr>
        <w:t xml:space="preserve"> </w:t>
      </w:r>
    </w:p>
    <w:p w14:paraId="7959641D" w14:textId="40C3AFD4"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ARIA+ is a continuous index, which the ABS uses to define the Remoteness Area categories, </w:t>
      </w:r>
      <w:proofErr w:type="gramStart"/>
      <w:r w:rsidRPr="004D307F">
        <w:rPr>
          <w:rFonts w:ascii="VIC-Regular" w:eastAsia="Times New Roman" w:hAnsi="VIC-Regular" w:cs="Times New Roman"/>
          <w:color w:val="011A3C"/>
          <w:sz w:val="24"/>
          <w:szCs w:val="24"/>
          <w:lang w:val="en" w:eastAsia="en-AU"/>
        </w:rPr>
        <w:t>including:</w:t>
      </w:r>
      <w:proofErr w:type="gramEnd"/>
      <w:r w:rsidRPr="004D307F">
        <w:rPr>
          <w:rFonts w:ascii="VIC-Regular" w:eastAsia="Times New Roman" w:hAnsi="VIC-Regular" w:cs="Times New Roman"/>
          <w:color w:val="011A3C"/>
          <w:sz w:val="24"/>
          <w:szCs w:val="24"/>
          <w:lang w:val="en" w:eastAsia="en-AU"/>
        </w:rPr>
        <w:t xml:space="preserve"> Major Cities of Australia, Inner Regional Australia, Outer Regional Australia, Remote Australia and Very Remote Australia. These categories of remoteness are based on a measure of relative access to services. Further information can be found </w:t>
      </w:r>
      <w:hyperlink r:id="rId13" w:history="1">
        <w:r w:rsidRPr="004D307F">
          <w:rPr>
            <w:rFonts w:ascii="VIC-Regular" w:eastAsia="Times New Roman" w:hAnsi="VIC-Regular" w:cs="Times New Roman"/>
            <w:color w:val="011A3C"/>
            <w:sz w:val="24"/>
            <w:szCs w:val="24"/>
            <w:lang w:val="en" w:eastAsia="en-AU"/>
          </w:rPr>
          <w:t>here</w:t>
        </w:r>
      </w:hyperlink>
      <w:r w:rsidRPr="004D307F">
        <w:rPr>
          <w:rFonts w:ascii="VIC-Regular" w:eastAsia="Times New Roman" w:hAnsi="VIC-Regular" w:cs="Times New Roman"/>
          <w:color w:val="011A3C"/>
          <w:sz w:val="24"/>
          <w:szCs w:val="24"/>
          <w:lang w:val="en" w:eastAsia="en-AU"/>
        </w:rPr>
        <w:t xml:space="preserve">. </w:t>
      </w:r>
    </w:p>
    <w:p w14:paraId="6361B93C" w14:textId="7D4E1588" w:rsidR="00E000E8"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More information about </w:t>
      </w:r>
      <w:hyperlink r:id="rId14" w:history="1">
        <w:r w:rsidRPr="004D307F">
          <w:rPr>
            <w:rStyle w:val="Hyperlink"/>
            <w:rFonts w:ascii="VIC-Regular" w:eastAsia="Times New Roman" w:hAnsi="VIC-Regular" w:cs="Times New Roman"/>
            <w:sz w:val="24"/>
            <w:szCs w:val="24"/>
            <w:lang w:val="en" w:eastAsia="en-AU"/>
          </w:rPr>
          <w:t>UCL definitions and sources</w:t>
        </w:r>
      </w:hyperlink>
      <w:r w:rsidR="001778CE" w:rsidRPr="004D307F">
        <w:rPr>
          <w:rFonts w:ascii="VIC-Regular" w:eastAsia="Times New Roman" w:hAnsi="VIC-Regular" w:cs="Times New Roman"/>
          <w:color w:val="011A3C"/>
          <w:sz w:val="24"/>
          <w:szCs w:val="24"/>
          <w:lang w:val="en" w:eastAsia="en-AU"/>
        </w:rPr>
        <w:t xml:space="preserve"> can be found on the ABS website</w:t>
      </w:r>
    </w:p>
    <w:p w14:paraId="16AA338B" w14:textId="043E4C61" w:rsidR="00F04286" w:rsidRPr="004D307F" w:rsidRDefault="00E000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determine a campus’ Remoteness Area category and UCL boundary, use the </w:t>
      </w:r>
      <w:hyperlink r:id="rId15" w:history="1">
        <w:r w:rsidRPr="004D307F">
          <w:rPr>
            <w:rStyle w:val="Hyperlink"/>
            <w:rFonts w:ascii="VIC-Regular" w:eastAsia="Times New Roman" w:hAnsi="VIC-Regular" w:cs="Times New Roman"/>
            <w:sz w:val="24"/>
            <w:szCs w:val="24"/>
            <w:lang w:val="en" w:eastAsia="en-AU"/>
          </w:rPr>
          <w:t>ABS map tool</w:t>
        </w:r>
      </w:hyperlink>
      <w:r w:rsidR="001778CE"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p>
    <w:p w14:paraId="25A0F040" w14:textId="38685C50" w:rsidR="00341AB0" w:rsidRPr="004D307F" w:rsidRDefault="00C8414A" w:rsidP="00D14A9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determine a school’s geographic parameters, refer to </w:t>
      </w:r>
      <w:hyperlink r:id="rId16" w:history="1">
        <w:r w:rsidRPr="004D307F">
          <w:rPr>
            <w:rStyle w:val="Hyperlink"/>
            <w:rFonts w:ascii="VIC-Regular" w:eastAsia="Times New Roman" w:hAnsi="VIC-Regular" w:cs="Times New Roman"/>
            <w:sz w:val="24"/>
            <w:szCs w:val="24"/>
            <w:lang w:val="en" w:eastAsia="en-AU"/>
          </w:rPr>
          <w:t xml:space="preserve">Steps to determine a school’s geographic parameters. </w:t>
        </w:r>
      </w:hyperlink>
    </w:p>
    <w:p w14:paraId="211F4053" w14:textId="62CDD189" w:rsidR="00C8414A" w:rsidRPr="004D307F" w:rsidRDefault="00C8414A" w:rsidP="00B566E7">
      <w:pPr>
        <w:pStyle w:val="Heading2"/>
      </w:pPr>
    </w:p>
    <w:p w14:paraId="0CEC5C19" w14:textId="09A63DD6" w:rsidR="00991B22" w:rsidRPr="004D307F" w:rsidRDefault="00991B22" w:rsidP="00991B22">
      <w:pPr>
        <w:spacing w:after="0" w:line="240" w:lineRule="auto"/>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Peri-Urban Funding from 2022</w:t>
      </w:r>
    </w:p>
    <w:p w14:paraId="6EDE710E" w14:textId="77777777" w:rsidR="00991B22" w:rsidRPr="004D307F" w:rsidRDefault="00991B22" w:rsidP="00991B22">
      <w:pPr>
        <w:spacing w:before="120" w:after="12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implementation of the location changes in 2021 affected schools in peri-urban areas. Substantial urban growth has meant that some schools, once </w:t>
      </w:r>
      <w:r w:rsidRPr="004D307F">
        <w:rPr>
          <w:rFonts w:ascii="VIC-Regular" w:eastAsia="Times New Roman" w:hAnsi="VIC-Regular" w:cs="Times New Roman"/>
          <w:color w:val="011A3C"/>
          <w:sz w:val="24"/>
          <w:szCs w:val="24"/>
          <w:lang w:val="en" w:eastAsia="en-AU"/>
        </w:rPr>
        <w:lastRenderedPageBreak/>
        <w:t>identified as rural, are now part of major city areas as identified through the ARIA.</w:t>
      </w:r>
    </w:p>
    <w:p w14:paraId="499EF9C2" w14:textId="21764D47" w:rsidR="00991B22" w:rsidRPr="004D307F" w:rsidRDefault="00991B22" w:rsidP="00E2153A">
      <w:pPr>
        <w:spacing w:before="120" w:after="12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located between the Urban </w:t>
      </w:r>
      <w:proofErr w:type="spellStart"/>
      <w:r w:rsidRPr="004D307F">
        <w:rPr>
          <w:rFonts w:ascii="VIC-Regular" w:eastAsia="Times New Roman" w:hAnsi="VIC-Regular" w:cs="Times New Roman"/>
          <w:color w:val="011A3C"/>
          <w:sz w:val="24"/>
          <w:szCs w:val="24"/>
          <w:lang w:val="en" w:eastAsia="en-AU"/>
        </w:rPr>
        <w:t>Centres</w:t>
      </w:r>
      <w:proofErr w:type="spellEnd"/>
      <w:r w:rsidRPr="004D307F">
        <w:rPr>
          <w:rFonts w:ascii="VIC-Regular" w:eastAsia="Times New Roman" w:hAnsi="VIC-Regular" w:cs="Times New Roman"/>
          <w:color w:val="011A3C"/>
          <w:sz w:val="24"/>
          <w:szCs w:val="24"/>
          <w:lang w:val="en" w:eastAsia="en-AU"/>
        </w:rPr>
        <w:t xml:space="preserve"> and Localities (UCL) boundary and the ABS metropolitan Melbourne boundary according to Remoteness Areas are eligible to receive 50 percent of the RSAF allocation from 2022. </w:t>
      </w:r>
    </w:p>
    <w:p w14:paraId="3D6D11FA" w14:textId="2E7EC86B" w:rsidR="00E2153A" w:rsidRPr="004D307F" w:rsidRDefault="00991B22" w:rsidP="00E2153A">
      <w:pPr>
        <w:spacing w:before="120" w:after="12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Current schools in receipt of rural transition</w:t>
      </w:r>
      <w:r w:rsidR="00E2153A" w:rsidRPr="004D307F">
        <w:rPr>
          <w:rFonts w:ascii="VIC-Regular" w:eastAsia="Times New Roman" w:hAnsi="VIC-Regular" w:cs="Times New Roman"/>
          <w:color w:val="011A3C"/>
          <w:sz w:val="24"/>
          <w:szCs w:val="24"/>
          <w:lang w:val="en" w:eastAsia="en-AU"/>
        </w:rPr>
        <w:t xml:space="preserve"> and</w:t>
      </w:r>
      <w:r w:rsidRPr="004D307F">
        <w:rPr>
          <w:rFonts w:ascii="VIC-Regular" w:eastAsia="Times New Roman" w:hAnsi="VIC-Regular" w:cs="Times New Roman"/>
          <w:color w:val="011A3C"/>
          <w:sz w:val="24"/>
          <w:szCs w:val="24"/>
          <w:lang w:val="en" w:eastAsia="en-AU"/>
        </w:rPr>
        <w:t xml:space="preserve"> eligible</w:t>
      </w:r>
      <w:r w:rsidR="00E2153A" w:rsidRPr="004D307F">
        <w:rPr>
          <w:rFonts w:ascii="VIC-Regular" w:eastAsia="Times New Roman" w:hAnsi="VIC-Regular" w:cs="Times New Roman"/>
          <w:color w:val="011A3C"/>
          <w:sz w:val="24"/>
          <w:szCs w:val="24"/>
          <w:lang w:val="en" w:eastAsia="en-AU"/>
        </w:rPr>
        <w:t xml:space="preserve"> for peri-urban funding</w:t>
      </w:r>
      <w:r w:rsidRPr="004D307F">
        <w:rPr>
          <w:rFonts w:ascii="VIC-Regular" w:eastAsia="Times New Roman" w:hAnsi="VIC-Regular" w:cs="Times New Roman"/>
          <w:color w:val="011A3C"/>
          <w:sz w:val="24"/>
          <w:szCs w:val="24"/>
          <w:lang w:val="en" w:eastAsia="en-AU"/>
        </w:rPr>
        <w:t xml:space="preserve"> will be transitioned to this allocation in 2023 if the per-urban allocation is </w:t>
      </w:r>
      <w:r w:rsidR="00E2153A" w:rsidRPr="004D307F">
        <w:rPr>
          <w:rFonts w:ascii="VIC-Regular" w:eastAsia="Times New Roman" w:hAnsi="VIC-Regular" w:cs="Times New Roman"/>
          <w:color w:val="011A3C"/>
          <w:sz w:val="24"/>
          <w:szCs w:val="24"/>
          <w:lang w:val="en" w:eastAsia="en-AU"/>
        </w:rPr>
        <w:t xml:space="preserve">less </w:t>
      </w:r>
      <w:r w:rsidRPr="004D307F">
        <w:rPr>
          <w:rFonts w:ascii="VIC-Regular" w:eastAsia="Times New Roman" w:hAnsi="VIC-Regular" w:cs="Times New Roman"/>
          <w:color w:val="011A3C"/>
          <w:sz w:val="24"/>
          <w:szCs w:val="24"/>
          <w:lang w:val="en" w:eastAsia="en-AU"/>
        </w:rPr>
        <w:t>than</w:t>
      </w:r>
      <w:r w:rsidR="00E2153A" w:rsidRPr="004D307F">
        <w:rPr>
          <w:rFonts w:ascii="VIC-Regular" w:eastAsia="Times New Roman" w:hAnsi="VIC-Regular" w:cs="Times New Roman"/>
          <w:color w:val="011A3C"/>
          <w:sz w:val="24"/>
          <w:szCs w:val="24"/>
          <w:lang w:val="en" w:eastAsia="en-AU"/>
        </w:rPr>
        <w:t xml:space="preserve"> the scaled transition in 2022. </w:t>
      </w:r>
    </w:p>
    <w:p w14:paraId="1AB5F287" w14:textId="1734F16E" w:rsidR="00991B22" w:rsidRPr="004D307F" w:rsidRDefault="00E2153A" w:rsidP="00E2153A">
      <w:pPr>
        <w:spacing w:before="120" w:after="12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eligible for this have been contacted individually.</w:t>
      </w:r>
      <w:r w:rsidR="00991B22" w:rsidRPr="004D307F">
        <w:rPr>
          <w:rFonts w:ascii="VIC-Regular" w:eastAsia="Times New Roman" w:hAnsi="VIC-Regular" w:cs="Times New Roman"/>
          <w:color w:val="011A3C"/>
          <w:sz w:val="24"/>
          <w:szCs w:val="24"/>
          <w:lang w:val="en" w:eastAsia="en-AU"/>
        </w:rPr>
        <w:t xml:space="preserve"> </w:t>
      </w:r>
    </w:p>
    <w:p w14:paraId="22362CEF" w14:textId="09F17F44" w:rsidR="006A5663" w:rsidRPr="004D307F" w:rsidRDefault="00341AB0">
      <w:pPr>
        <w:rPr>
          <w:rFonts w:ascii="VIC-Regular" w:eastAsia="Times New Roman" w:hAnsi="VIC-Regular" w:cs="Times New Roman"/>
          <w:color w:val="011A3C"/>
          <w:sz w:val="24"/>
          <w:szCs w:val="24"/>
          <w:lang w:val="en" w:eastAsia="en-AU"/>
        </w:rPr>
      </w:pPr>
      <w:bookmarkStart w:id="9" w:name="_Hlk50546705"/>
      <w:r w:rsidRPr="004D307F">
        <w:rPr>
          <w:rFonts w:ascii="VIC-Regular" w:eastAsia="Times New Roman" w:hAnsi="VIC-Regular" w:cs="Times New Roman"/>
          <w:color w:val="011A3C"/>
          <w:sz w:val="24"/>
          <w:szCs w:val="24"/>
          <w:lang w:val="en" w:eastAsia="en-AU"/>
        </w:rPr>
        <w:t xml:space="preserve">Additionally, schools that may be eligible for transition should refer </w:t>
      </w:r>
      <w:r w:rsidR="00B25992" w:rsidRPr="004D307F">
        <w:rPr>
          <w:rFonts w:ascii="VIC-Regular" w:eastAsia="Times New Roman" w:hAnsi="VIC-Regular" w:cs="Times New Roman"/>
          <w:color w:val="011A3C"/>
          <w:sz w:val="24"/>
          <w:szCs w:val="24"/>
          <w:lang w:val="en" w:eastAsia="en-AU"/>
        </w:rPr>
        <w:t>to:</w:t>
      </w:r>
      <w:r w:rsidR="00A113C0" w:rsidRPr="004D307F">
        <w:rPr>
          <w:rFonts w:ascii="VIC-Regular" w:eastAsia="Times New Roman" w:hAnsi="VIC-Regular" w:cs="Times New Roman"/>
          <w:color w:val="011A3C"/>
          <w:sz w:val="24"/>
          <w:szCs w:val="24"/>
          <w:lang w:val="en" w:eastAsia="en-AU"/>
        </w:rPr>
        <w:t xml:space="preserve"> </w:t>
      </w:r>
      <w:r w:rsidR="00B25992" w:rsidRPr="004D307F">
        <w:rPr>
          <w:rFonts w:ascii="VIC-Regular" w:eastAsia="Times New Roman" w:hAnsi="VIC-Regular" w:cs="Times New Roman"/>
          <w:color w:val="011A3C"/>
          <w:sz w:val="24"/>
          <w:szCs w:val="24"/>
          <w:lang w:val="en" w:eastAsia="en-AU"/>
        </w:rPr>
        <w:t>Transition Funding (Rural) (Ref 126)</w:t>
      </w:r>
      <w:bookmarkEnd w:id="9"/>
      <w:r w:rsidR="006A5663" w:rsidRPr="004D307F">
        <w:rPr>
          <w:rFonts w:ascii="VIC-Regular" w:eastAsia="Times New Roman" w:hAnsi="VIC-Regular" w:cs="Times New Roman"/>
          <w:color w:val="011A3C"/>
          <w:sz w:val="24"/>
          <w:szCs w:val="24"/>
          <w:lang w:val="en" w:eastAsia="en-AU"/>
        </w:rPr>
        <w:br w:type="page"/>
      </w:r>
    </w:p>
    <w:p w14:paraId="088E3097" w14:textId="0B0A8A5D" w:rsidR="00D0026E" w:rsidRPr="004D307F" w:rsidRDefault="00D0026E" w:rsidP="00B566E7">
      <w:pPr>
        <w:pStyle w:val="Heading2"/>
      </w:pPr>
      <w:bookmarkStart w:id="10" w:name="_Toc99882726"/>
      <w:r w:rsidRPr="004D307F">
        <w:lastRenderedPageBreak/>
        <w:t>Core Index Stages 1-3 (Reference 5)</w:t>
      </w:r>
      <w:bookmarkEnd w:id="10"/>
    </w:p>
    <w:p w14:paraId="51EAD4F7" w14:textId="7EA1FF81" w:rsidR="00D0026E" w:rsidRPr="004D307F"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Core Index Stages 1-3 provides funding to specialist schools for enrolments based on students’ age range.</w:t>
      </w:r>
    </w:p>
    <w:p w14:paraId="12BBA6BB" w14:textId="77777777" w:rsidR="00CC77CA" w:rsidRPr="004D307F" w:rsidRDefault="00CC77CA" w:rsidP="00CC77CA">
      <w:pPr>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r w:rsidRPr="004D307F">
        <w:rPr>
          <w:rFonts w:ascii="VIC-Bold" w:eastAsia="Times New Roman" w:hAnsi="VIC-Bold" w:cs="Times New Roman" w:hint="eastAsia"/>
          <w:b/>
          <w:bCs/>
          <w:color w:val="011A3C"/>
          <w:sz w:val="27"/>
          <w:szCs w:val="27"/>
          <w:lang w:val="en" w:eastAsia="en-AU"/>
        </w:rPr>
        <w:t> </w:t>
      </w:r>
    </w:p>
    <w:p w14:paraId="43F7FCC5" w14:textId="624D815D" w:rsidR="00CC77CA" w:rsidRPr="004D307F" w:rsidRDefault="00CC77CA" w:rsidP="00CC77C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school types receive the Core Index funding</w:t>
      </w:r>
      <w:r w:rsidR="00800331" w:rsidRPr="004D307F">
        <w:rPr>
          <w:rFonts w:ascii="VIC-Regular" w:eastAsia="Times New Roman" w:hAnsi="VIC-Regular" w:cs="Times New Roman"/>
          <w:color w:val="011A3C"/>
          <w:sz w:val="24"/>
          <w:szCs w:val="24"/>
          <w:lang w:val="en" w:eastAsia="en-AU"/>
        </w:rPr>
        <w:t xml:space="preserve"> at school level</w:t>
      </w:r>
    </w:p>
    <w:p w14:paraId="2305EBDC" w14:textId="2472F148" w:rsidR="00CC77CA" w:rsidRPr="004D307F" w:rsidRDefault="00CC77CA" w:rsidP="00ED0863">
      <w:pPr>
        <w:numPr>
          <w:ilvl w:val="0"/>
          <w:numId w:val="1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r w:rsidR="00335627" w:rsidRPr="004D307F">
        <w:rPr>
          <w:rFonts w:ascii="VIC-Regular" w:eastAsia="Times New Roman" w:hAnsi="VIC-Regular" w:cs="Times New Roman"/>
          <w:color w:val="011A3C"/>
          <w:sz w:val="24"/>
          <w:szCs w:val="24"/>
          <w:lang w:val="en" w:eastAsia="en-AU"/>
        </w:rPr>
        <w:t xml:space="preserve">ist </w:t>
      </w:r>
      <w:r w:rsidR="00395E28" w:rsidRPr="004D307F">
        <w:rPr>
          <w:rFonts w:ascii="VIC-Regular" w:eastAsia="Times New Roman" w:hAnsi="VIC-Regular" w:cs="Times New Roman"/>
          <w:color w:val="011A3C"/>
          <w:sz w:val="24"/>
          <w:szCs w:val="24"/>
          <w:lang w:val="en" w:eastAsia="en-AU"/>
        </w:rPr>
        <w:t>Schools</w:t>
      </w:r>
    </w:p>
    <w:p w14:paraId="0EA87F06" w14:textId="60396A49" w:rsidR="00C42D86" w:rsidRPr="004D307F" w:rsidRDefault="004A334A" w:rsidP="00ED0863">
      <w:pPr>
        <w:pStyle w:val="ListParagraph"/>
        <w:numPr>
          <w:ilvl w:val="0"/>
          <w:numId w:val="10"/>
        </w:num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bookmarkStart w:id="11" w:name="_Hlk47884304"/>
      <w:r w:rsidRPr="004D307F">
        <w:rPr>
          <w:rFonts w:ascii="VIC-Regular" w:eastAsia="Times New Roman" w:hAnsi="VIC-Regular" w:cs="Times New Roman"/>
          <w:color w:val="011A3C"/>
          <w:sz w:val="24"/>
          <w:szCs w:val="24"/>
          <w:lang w:val="en" w:eastAsia="en-AU"/>
        </w:rPr>
        <w:t xml:space="preserve">Funding is calculated at the Indicative, Confirmed and Revised budget cycles and </w:t>
      </w:r>
      <w:r w:rsidR="009D3396" w:rsidRPr="004D307F">
        <w:rPr>
          <w:rFonts w:ascii="VIC-Regular" w:eastAsia="Times New Roman" w:hAnsi="VIC-Regular" w:cs="Times New Roman"/>
          <w:color w:val="011A3C"/>
          <w:sz w:val="24"/>
          <w:szCs w:val="24"/>
          <w:lang w:val="en" w:eastAsia="en-AU"/>
        </w:rPr>
        <w:t>is allocated through credit and cash funding.</w:t>
      </w:r>
      <w:r w:rsidR="00C42D86" w:rsidRPr="004D307F">
        <w:rPr>
          <w:rFonts w:ascii="VIC-Regular" w:eastAsia="Times New Roman" w:hAnsi="VIC-Regular" w:cs="Times New Roman"/>
          <w:color w:val="011A3C"/>
          <w:sz w:val="24"/>
          <w:szCs w:val="24"/>
          <w:lang w:val="en" w:eastAsia="en-AU"/>
        </w:rPr>
        <w:t xml:space="preserve"> </w:t>
      </w:r>
    </w:p>
    <w:bookmarkEnd w:id="11"/>
    <w:p w14:paraId="38F8E5D7" w14:textId="28425F0B" w:rsidR="00D0026E" w:rsidRPr="004D307F"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3F964857" w14:textId="016B8035" w:rsidR="00D0026E" w:rsidRPr="004D307F"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Core Index allocations are </w:t>
      </w:r>
      <w:r w:rsidR="004A334A" w:rsidRPr="004D307F">
        <w:rPr>
          <w:rFonts w:ascii="VIC-Regular" w:eastAsia="Times New Roman" w:hAnsi="VIC-Regular" w:cs="Times New Roman"/>
          <w:color w:val="011A3C"/>
          <w:sz w:val="24"/>
          <w:szCs w:val="24"/>
          <w:lang w:val="en" w:eastAsia="en-AU"/>
        </w:rPr>
        <w:t xml:space="preserve">determined </w:t>
      </w:r>
      <w:r w:rsidRPr="004D307F">
        <w:rPr>
          <w:rFonts w:ascii="VIC-Regular" w:eastAsia="Times New Roman" w:hAnsi="VIC-Regular" w:cs="Times New Roman"/>
          <w:color w:val="011A3C"/>
          <w:sz w:val="24"/>
          <w:szCs w:val="24"/>
          <w:lang w:val="en" w:eastAsia="en-AU"/>
        </w:rPr>
        <w:t>based on</w:t>
      </w:r>
      <w:r w:rsidR="00335627" w:rsidRPr="004D307F">
        <w:rPr>
          <w:rFonts w:ascii="VIC-Regular" w:eastAsia="Times New Roman" w:hAnsi="VIC-Regular" w:cs="Times New Roman"/>
          <w:color w:val="011A3C"/>
          <w:sz w:val="24"/>
          <w:szCs w:val="24"/>
          <w:lang w:val="en" w:eastAsia="en-AU"/>
        </w:rPr>
        <w:t xml:space="preserve"> Census </w:t>
      </w:r>
      <w:r w:rsidR="00CA1FF9" w:rsidRPr="004D307F">
        <w:rPr>
          <w:rFonts w:ascii="VIC-Regular" w:eastAsia="Times New Roman" w:hAnsi="VIC-Regular" w:cs="Times New Roman"/>
          <w:color w:val="011A3C"/>
          <w:sz w:val="24"/>
          <w:szCs w:val="24"/>
          <w:lang w:val="en" w:eastAsia="en-AU"/>
        </w:rPr>
        <w:t xml:space="preserve">student </w:t>
      </w:r>
      <w:r w:rsidRPr="004D307F">
        <w:rPr>
          <w:rFonts w:ascii="VIC-Regular" w:eastAsia="Times New Roman" w:hAnsi="VIC-Regular" w:cs="Times New Roman"/>
          <w:color w:val="011A3C"/>
          <w:sz w:val="24"/>
          <w:szCs w:val="24"/>
          <w:lang w:val="en" w:eastAsia="en-AU"/>
        </w:rPr>
        <w:t>enrolment details</w:t>
      </w:r>
      <w:r w:rsidR="00CA1FF9" w:rsidRPr="004D307F">
        <w:rPr>
          <w:rFonts w:ascii="VIC-Regular" w:eastAsia="Times New Roman" w:hAnsi="VIC-Regular" w:cs="Times New Roman"/>
          <w:color w:val="011A3C"/>
          <w:sz w:val="24"/>
          <w:szCs w:val="24"/>
          <w:lang w:val="en" w:eastAsia="en-AU"/>
        </w:rPr>
        <w:t>.</w:t>
      </w:r>
    </w:p>
    <w:p w14:paraId="03620647" w14:textId="7D6665EA" w:rsidR="00D0026E" w:rsidRPr="004D307F" w:rsidRDefault="00D0026E"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Core Index allocation</w:t>
      </w:r>
      <w:r w:rsidRPr="004D307F">
        <w:rPr>
          <w:rFonts w:ascii="VIC-Regular" w:eastAsia="Times New Roman" w:hAnsi="VIC-Regular" w:cs="Times New Roman"/>
          <w:color w:val="011A3C"/>
          <w:sz w:val="24"/>
          <w:szCs w:val="24"/>
          <w:lang w:val="en" w:eastAsia="en-AU"/>
        </w:rPr>
        <w:t xml:space="preserve"> =</w:t>
      </w:r>
      <w:r w:rsidR="00CA1FF9" w:rsidRPr="004D307F">
        <w:rPr>
          <w:rFonts w:ascii="VIC-Regular" w:eastAsia="Times New Roman" w:hAnsi="VIC-Regular" w:cs="Times New Roman"/>
          <w:color w:val="011A3C"/>
          <w:sz w:val="24"/>
          <w:szCs w:val="24"/>
          <w:lang w:val="en" w:eastAsia="en-AU"/>
        </w:rPr>
        <w:t xml:space="preserve"> Census </w:t>
      </w:r>
      <w:r w:rsidRPr="004D307F">
        <w:rPr>
          <w:rFonts w:ascii="VIC-Regular" w:eastAsia="Times New Roman" w:hAnsi="VIC-Regular" w:cs="Times New Roman"/>
          <w:color w:val="011A3C"/>
          <w:sz w:val="24"/>
          <w:szCs w:val="24"/>
          <w:lang w:val="en" w:eastAsia="en-AU"/>
        </w:rPr>
        <w:t>student enrolments * stage funding rate</w:t>
      </w:r>
    </w:p>
    <w:p w14:paraId="00EFDFB0" w14:textId="0D2F5159" w:rsidR="00D603B5" w:rsidRPr="004D307F" w:rsidRDefault="00D603B5"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 A school with 10 stage 2 enrolments would calculate their Stage 2 funding as:</w:t>
      </w:r>
      <w:r w:rsidRPr="004D307F">
        <w:rPr>
          <w:rFonts w:ascii="VIC-Regular" w:eastAsia="Times New Roman" w:hAnsi="VIC-Regular" w:cs="Times New Roman"/>
          <w:color w:val="011A3C"/>
          <w:sz w:val="24"/>
          <w:szCs w:val="24"/>
          <w:lang w:val="en" w:eastAsia="en-AU"/>
        </w:rPr>
        <w:br/>
        <w:t>Stage 2 enrolments (10) * Stage 2 rate.</w:t>
      </w:r>
      <w:r w:rsidR="00D36A42"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This would be repeated for all stages</w:t>
      </w:r>
      <w:r w:rsidR="002F4A99" w:rsidRPr="004D307F">
        <w:rPr>
          <w:rFonts w:ascii="VIC-Regular" w:eastAsia="Times New Roman" w:hAnsi="VIC-Regular" w:cs="Times New Roman"/>
          <w:color w:val="011A3C"/>
          <w:sz w:val="24"/>
          <w:szCs w:val="24"/>
          <w:lang w:val="en" w:eastAsia="en-AU"/>
        </w:rPr>
        <w:t xml:space="preserve"> dependent on school enrolments</w:t>
      </w:r>
      <w:r w:rsidRPr="004D307F">
        <w:rPr>
          <w:rFonts w:ascii="VIC-Regular" w:eastAsia="Times New Roman" w:hAnsi="VIC-Regular" w:cs="Times New Roman"/>
          <w:color w:val="011A3C"/>
          <w:sz w:val="24"/>
          <w:szCs w:val="24"/>
          <w:lang w:val="en" w:eastAsia="en-AU"/>
        </w:rPr>
        <w:t>.</w:t>
      </w:r>
    </w:p>
    <w:p w14:paraId="62978F02" w14:textId="5C60B163" w:rsidR="00D0026E" w:rsidRPr="004D307F"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4A334A"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1"/>
        <w:gridCol w:w="3893"/>
        <w:gridCol w:w="1508"/>
        <w:gridCol w:w="1320"/>
        <w:gridCol w:w="1344"/>
      </w:tblGrid>
      <w:tr w:rsidR="00D0026E" w:rsidRPr="004D307F" w14:paraId="25960045" w14:textId="77777777" w:rsidTr="00124D27">
        <w:trPr>
          <w:tblHeader/>
        </w:trPr>
        <w:tc>
          <w:tcPr>
            <w:tcW w:w="0" w:type="auto"/>
            <w:hideMark/>
          </w:tcPr>
          <w:p w14:paraId="6B5628EC" w14:textId="77777777"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Stage</w:t>
            </w:r>
          </w:p>
        </w:tc>
        <w:tc>
          <w:tcPr>
            <w:tcW w:w="0" w:type="auto"/>
            <w:hideMark/>
          </w:tcPr>
          <w:p w14:paraId="636CE6D6" w14:textId="7BDFD2BB"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Age Range</w:t>
            </w:r>
            <w:r w:rsidR="004A334A" w:rsidRPr="004D307F">
              <w:rPr>
                <w:rFonts w:ascii="VIC-Bold" w:eastAsia="Times New Roman" w:hAnsi="VIC-Bold" w:cs="Times New Roman"/>
                <w:color w:val="323E4F" w:themeColor="text2" w:themeShade="BF"/>
                <w:sz w:val="24"/>
                <w:szCs w:val="24"/>
                <w:lang w:eastAsia="en-AU"/>
              </w:rPr>
              <w:t xml:space="preserve"> (</w:t>
            </w:r>
            <w:proofErr w:type="gramStart"/>
            <w:r w:rsidR="004A334A" w:rsidRPr="004D307F">
              <w:rPr>
                <w:rFonts w:ascii="VIC-Bold" w:eastAsia="Times New Roman" w:hAnsi="VIC-Bold" w:cs="Times New Roman"/>
                <w:color w:val="323E4F" w:themeColor="text2" w:themeShade="BF"/>
                <w:sz w:val="24"/>
                <w:szCs w:val="24"/>
                <w:lang w:eastAsia="en-AU"/>
              </w:rPr>
              <w:t>at</w:t>
            </w:r>
            <w:proofErr w:type="gramEnd"/>
            <w:r w:rsidR="004A334A" w:rsidRPr="004D307F">
              <w:rPr>
                <w:rFonts w:ascii="VIC-Bold" w:eastAsia="Times New Roman" w:hAnsi="VIC-Bold" w:cs="Times New Roman"/>
                <w:color w:val="323E4F" w:themeColor="text2" w:themeShade="BF"/>
                <w:sz w:val="24"/>
                <w:szCs w:val="24"/>
                <w:lang w:eastAsia="en-AU"/>
              </w:rPr>
              <w:t xml:space="preserve"> 1 January)</w:t>
            </w:r>
          </w:p>
        </w:tc>
        <w:tc>
          <w:tcPr>
            <w:tcW w:w="0" w:type="auto"/>
            <w:hideMark/>
          </w:tcPr>
          <w:p w14:paraId="63E07861" w14:textId="77777777"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35771CDF" w14:textId="77777777"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359B659D" w14:textId="77777777" w:rsidR="00D0026E" w:rsidRPr="004D307F" w:rsidRDefault="00D0026E" w:rsidP="00D0026E">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D36A42" w:rsidRPr="004D307F" w14:paraId="135462D4" w14:textId="77777777" w:rsidTr="00124D27">
        <w:tc>
          <w:tcPr>
            <w:tcW w:w="0" w:type="auto"/>
            <w:hideMark/>
          </w:tcPr>
          <w:p w14:paraId="06950E71" w14:textId="77777777" w:rsidR="00D36A42" w:rsidRPr="004D307F"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1F57C172" w14:textId="77777777" w:rsidR="00D36A42" w:rsidRPr="004D307F"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 to 10</w:t>
            </w:r>
          </w:p>
        </w:tc>
        <w:tc>
          <w:tcPr>
            <w:tcW w:w="0" w:type="auto"/>
            <w:hideMark/>
          </w:tcPr>
          <w:p w14:paraId="04A4F554" w14:textId="53A6A9EC" w:rsidR="00D36A42" w:rsidRPr="004D307F" w:rsidRDefault="00D36A42"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8,325</w:t>
            </w:r>
          </w:p>
        </w:tc>
        <w:tc>
          <w:tcPr>
            <w:tcW w:w="0" w:type="auto"/>
            <w:hideMark/>
          </w:tcPr>
          <w:p w14:paraId="476452DC" w14:textId="04821070" w:rsidR="00D36A42" w:rsidRPr="004D307F" w:rsidRDefault="00C521AA"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color w:val="323E4F" w:themeColor="text2" w:themeShade="BF"/>
              </w:rPr>
              <w:t>734</w:t>
            </w:r>
          </w:p>
        </w:tc>
        <w:tc>
          <w:tcPr>
            <w:tcW w:w="0" w:type="auto"/>
            <w:hideMark/>
          </w:tcPr>
          <w:p w14:paraId="6ECB965D" w14:textId="0CBD5AA1" w:rsidR="00D36A42" w:rsidRPr="004D307F" w:rsidRDefault="00C521AA" w:rsidP="00D36A42">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9,059</w:t>
            </w:r>
          </w:p>
        </w:tc>
      </w:tr>
      <w:tr w:rsidR="00532A6E" w:rsidRPr="004D307F" w14:paraId="569904C0" w14:textId="77777777" w:rsidTr="00124D27">
        <w:tc>
          <w:tcPr>
            <w:tcW w:w="0" w:type="auto"/>
            <w:hideMark/>
          </w:tcPr>
          <w:p w14:paraId="27600801" w14:textId="7777777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2A1FCF8D" w14:textId="7777777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 to 16</w:t>
            </w:r>
          </w:p>
        </w:tc>
        <w:tc>
          <w:tcPr>
            <w:tcW w:w="0" w:type="auto"/>
            <w:hideMark/>
          </w:tcPr>
          <w:p w14:paraId="216A2F1D" w14:textId="56799CEA"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5,987</w:t>
            </w:r>
          </w:p>
        </w:tc>
        <w:tc>
          <w:tcPr>
            <w:tcW w:w="0" w:type="auto"/>
            <w:hideMark/>
          </w:tcPr>
          <w:p w14:paraId="019E2BAE" w14:textId="574A7FF8" w:rsidR="00532A6E" w:rsidRPr="004D307F" w:rsidRDefault="00C521AA"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591</w:t>
            </w:r>
          </w:p>
        </w:tc>
        <w:tc>
          <w:tcPr>
            <w:tcW w:w="0" w:type="auto"/>
            <w:hideMark/>
          </w:tcPr>
          <w:p w14:paraId="2BFE51E8" w14:textId="601C30BF" w:rsidR="00532A6E" w:rsidRPr="004D307F" w:rsidRDefault="00C521AA"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6,578</w:t>
            </w:r>
          </w:p>
        </w:tc>
      </w:tr>
      <w:tr w:rsidR="00532A6E" w:rsidRPr="004D307F" w14:paraId="03A70AF9" w14:textId="77777777" w:rsidTr="00124D27">
        <w:tc>
          <w:tcPr>
            <w:tcW w:w="0" w:type="auto"/>
            <w:hideMark/>
          </w:tcPr>
          <w:p w14:paraId="47582C6D" w14:textId="7777777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1CAD3EB2" w14:textId="7777777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 to 18</w:t>
            </w:r>
          </w:p>
        </w:tc>
        <w:tc>
          <w:tcPr>
            <w:tcW w:w="0" w:type="auto"/>
            <w:hideMark/>
          </w:tcPr>
          <w:p w14:paraId="3D4AF820" w14:textId="776F4737" w:rsidR="00532A6E" w:rsidRPr="004D307F" w:rsidRDefault="00532A6E"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6,566</w:t>
            </w:r>
          </w:p>
        </w:tc>
        <w:tc>
          <w:tcPr>
            <w:tcW w:w="0" w:type="auto"/>
            <w:hideMark/>
          </w:tcPr>
          <w:p w14:paraId="001DA5B7" w14:textId="3486FF8E" w:rsidR="00532A6E" w:rsidRPr="004D307F" w:rsidRDefault="00C521AA"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639</w:t>
            </w:r>
          </w:p>
        </w:tc>
        <w:tc>
          <w:tcPr>
            <w:tcW w:w="0" w:type="auto"/>
            <w:hideMark/>
          </w:tcPr>
          <w:p w14:paraId="0C6B18E7" w14:textId="3A06C134" w:rsidR="00532A6E" w:rsidRPr="004D307F" w:rsidRDefault="00C521AA" w:rsidP="00532A6E">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7,205</w:t>
            </w:r>
          </w:p>
        </w:tc>
      </w:tr>
    </w:tbl>
    <w:p w14:paraId="3A5CA506" w14:textId="650B4DB0" w:rsidR="00D0026E" w:rsidRPr="004D307F" w:rsidRDefault="00D0026E" w:rsidP="00D0026E">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Notes</w:t>
      </w:r>
    </w:p>
    <w:p w14:paraId="0F33B911" w14:textId="3A039DC2" w:rsidR="00D0026E" w:rsidRPr="004D307F" w:rsidRDefault="00CA1FF9" w:rsidP="00D0026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w:t>
      </w:r>
      <w:r w:rsidR="00D0026E" w:rsidRPr="004D307F">
        <w:rPr>
          <w:rFonts w:ascii="VIC-Regular" w:eastAsia="Times New Roman" w:hAnsi="VIC-Regular" w:cs="Times New Roman"/>
          <w:color w:val="011A3C"/>
          <w:sz w:val="24"/>
          <w:szCs w:val="24"/>
          <w:lang w:val="en" w:eastAsia="en-AU"/>
        </w:rPr>
        <w:t xml:space="preserve">pecialist school </w:t>
      </w:r>
      <w:r w:rsidRPr="004D307F">
        <w:rPr>
          <w:rFonts w:ascii="VIC-Regular" w:eastAsia="Times New Roman" w:hAnsi="VIC-Regular" w:cs="Times New Roman"/>
          <w:color w:val="011A3C"/>
          <w:sz w:val="24"/>
          <w:szCs w:val="24"/>
          <w:lang w:val="en" w:eastAsia="en-AU"/>
        </w:rPr>
        <w:t xml:space="preserve">enrolment </w:t>
      </w:r>
      <w:r w:rsidR="00D0026E" w:rsidRPr="004D307F">
        <w:rPr>
          <w:rFonts w:ascii="VIC-Regular" w:eastAsia="Times New Roman" w:hAnsi="VIC-Regular" w:cs="Times New Roman"/>
          <w:color w:val="011A3C"/>
          <w:sz w:val="24"/>
          <w:szCs w:val="24"/>
          <w:lang w:val="en" w:eastAsia="en-AU"/>
        </w:rPr>
        <w:t>eligibility and regional approval need</w:t>
      </w:r>
      <w:r w:rsidRPr="004D307F">
        <w:rPr>
          <w:rFonts w:ascii="VIC-Regular" w:eastAsia="Times New Roman" w:hAnsi="VIC-Regular" w:cs="Times New Roman"/>
          <w:color w:val="011A3C"/>
          <w:sz w:val="24"/>
          <w:szCs w:val="24"/>
          <w:lang w:val="en" w:eastAsia="en-AU"/>
        </w:rPr>
        <w:t>s</w:t>
      </w:r>
      <w:r w:rsidR="00D0026E" w:rsidRPr="004D307F">
        <w:rPr>
          <w:rFonts w:ascii="VIC-Regular" w:eastAsia="Times New Roman" w:hAnsi="VIC-Regular" w:cs="Times New Roman"/>
          <w:color w:val="011A3C"/>
          <w:sz w:val="24"/>
          <w:szCs w:val="24"/>
          <w:lang w:val="en" w:eastAsia="en-AU"/>
        </w:rPr>
        <w:t xml:space="preserve"> to be established for each student. </w:t>
      </w:r>
    </w:p>
    <w:p w14:paraId="708E54B9" w14:textId="679851C3" w:rsidR="00D0026E" w:rsidRPr="004D307F" w:rsidRDefault="00D0026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If it is deemed appropriate, a regional director has the discretion and the authority to approve the enrolment of a student </w:t>
      </w:r>
      <w:r w:rsidR="00CA1FF9" w:rsidRPr="004D307F">
        <w:rPr>
          <w:rFonts w:ascii="VIC-Regular" w:eastAsia="Times New Roman" w:hAnsi="VIC-Regular" w:cs="Times New Roman"/>
          <w:color w:val="011A3C"/>
          <w:sz w:val="24"/>
          <w:szCs w:val="24"/>
          <w:lang w:val="en" w:eastAsia="en-AU"/>
        </w:rPr>
        <w:t xml:space="preserve">that does not meet the specialist school’s enrolment criteria. </w:t>
      </w:r>
    </w:p>
    <w:p w14:paraId="7D2CB6E3" w14:textId="77777777" w:rsidR="00C116FE" w:rsidRPr="004D307F" w:rsidRDefault="004A334A"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For the Confirmed budget cycle, totals are sourced from the February Census. </w:t>
      </w:r>
    </w:p>
    <w:p w14:paraId="7705540D" w14:textId="153A6B22" w:rsidR="00157739" w:rsidRPr="004D307F" w:rsidRDefault="004A334A"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the Indicative budget cycle, totals are sourced from the Principal Projections and distributed by existing age profiles. If Principal Projections totals are not provided, existing totals will be rolled over.</w:t>
      </w:r>
    </w:p>
    <w:p w14:paraId="5F5FE38E" w14:textId="77777777" w:rsidR="00F126FF" w:rsidRPr="004D307F" w:rsidRDefault="00F126FF" w:rsidP="00B566E7">
      <w:pPr>
        <w:pStyle w:val="Heading2"/>
      </w:pPr>
      <w:r w:rsidRPr="004D307F">
        <w:br w:type="page"/>
      </w:r>
    </w:p>
    <w:p w14:paraId="019F1361" w14:textId="26EFFA3E" w:rsidR="00B6662C" w:rsidRPr="004D307F" w:rsidRDefault="00B6662C" w:rsidP="00B566E7">
      <w:pPr>
        <w:pStyle w:val="Heading2"/>
      </w:pPr>
      <w:bookmarkStart w:id="12" w:name="_Toc99882727"/>
      <w:r w:rsidRPr="004D307F">
        <w:lastRenderedPageBreak/>
        <w:t>Size Adjustment Supplementation (Reference 6)</w:t>
      </w:r>
      <w:bookmarkEnd w:id="12"/>
    </w:p>
    <w:p w14:paraId="4EB72031" w14:textId="07FD2FE5" w:rsidR="00B6662C" w:rsidRPr="004D307F"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size adjustment allocation will apply to all specialist schools with a school aged enrolment of less than the enrolment threshold.</w:t>
      </w:r>
    </w:p>
    <w:p w14:paraId="496BD57C" w14:textId="77777777" w:rsidR="00A11F95" w:rsidRPr="004D307F"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r w:rsidRPr="004D307F">
        <w:rPr>
          <w:rFonts w:ascii="VIC-Bold" w:eastAsia="Times New Roman" w:hAnsi="VIC-Bold" w:cs="Times New Roman" w:hint="eastAsia"/>
          <w:b/>
          <w:bCs/>
          <w:color w:val="011A3C"/>
          <w:sz w:val="27"/>
          <w:szCs w:val="27"/>
          <w:lang w:val="en" w:eastAsia="en-AU"/>
        </w:rPr>
        <w:t> </w:t>
      </w:r>
    </w:p>
    <w:p w14:paraId="48E9E218" w14:textId="02549229" w:rsidR="00A11F95" w:rsidRPr="004D307F" w:rsidRDefault="00A11F95" w:rsidP="00A11F9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school campus types receive the size adjustment supplementation</w:t>
      </w:r>
      <w:r w:rsidR="009D3396" w:rsidRPr="004D307F">
        <w:rPr>
          <w:rFonts w:ascii="VIC-Regular" w:eastAsia="Times New Roman" w:hAnsi="VIC-Regular" w:cs="Times New Roman"/>
          <w:color w:val="011A3C"/>
          <w:sz w:val="24"/>
          <w:szCs w:val="24"/>
          <w:lang w:val="en" w:eastAsia="en-AU"/>
        </w:rPr>
        <w:t xml:space="preserve"> </w:t>
      </w:r>
      <w:r w:rsidR="002F4A99" w:rsidRPr="004D307F">
        <w:rPr>
          <w:rFonts w:ascii="VIC-Regular" w:eastAsia="Times New Roman" w:hAnsi="VIC-Regular" w:cs="Times New Roman"/>
          <w:color w:val="011A3C"/>
          <w:sz w:val="24"/>
          <w:szCs w:val="24"/>
          <w:lang w:val="en" w:eastAsia="en-AU"/>
        </w:rPr>
        <w:t xml:space="preserve">funding </w:t>
      </w:r>
      <w:r w:rsidR="009D3396" w:rsidRPr="004D307F">
        <w:rPr>
          <w:rFonts w:ascii="VIC-Regular" w:eastAsia="Times New Roman" w:hAnsi="VIC-Regular" w:cs="Times New Roman"/>
          <w:color w:val="011A3C"/>
          <w:sz w:val="24"/>
          <w:szCs w:val="24"/>
          <w:lang w:val="en" w:eastAsia="en-AU"/>
        </w:rPr>
        <w:t>at school level</w:t>
      </w:r>
      <w:r w:rsidRPr="004D307F">
        <w:rPr>
          <w:rFonts w:ascii="VIC-Regular" w:eastAsia="Times New Roman" w:hAnsi="VIC-Regular" w:cs="Times New Roman"/>
          <w:color w:val="011A3C"/>
          <w:sz w:val="24"/>
          <w:szCs w:val="24"/>
          <w:lang w:val="en" w:eastAsia="en-AU"/>
        </w:rPr>
        <w:t>:</w:t>
      </w:r>
    </w:p>
    <w:p w14:paraId="4F9389B6" w14:textId="77777777" w:rsidR="00A11F95" w:rsidRPr="004D307F" w:rsidRDefault="00A11F95"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Day special</w:t>
      </w:r>
    </w:p>
    <w:p w14:paraId="36C037E2" w14:textId="5415102C" w:rsidR="009D3396" w:rsidRPr="004D307F" w:rsidRDefault="00A11F95"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 developmental</w:t>
      </w:r>
    </w:p>
    <w:p w14:paraId="471A4C03" w14:textId="699C3B28" w:rsidR="00C05DD4" w:rsidRPr="004D307F" w:rsidRDefault="00C05DD4"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Disability</w:t>
      </w:r>
    </w:p>
    <w:p w14:paraId="29964A25" w14:textId="6C20B3A1" w:rsidR="0039304A" w:rsidRPr="004D307F" w:rsidRDefault="0039304A"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66BA4DAD" w14:textId="77777777" w:rsidR="00533493" w:rsidRPr="004D307F" w:rsidRDefault="0039304A" w:rsidP="00ED0863">
      <w:pPr>
        <w:numPr>
          <w:ilvl w:val="0"/>
          <w:numId w:val="1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Furlong Park School </w:t>
      </w:r>
      <w:proofErr w:type="gramStart"/>
      <w:r w:rsidRPr="004D307F">
        <w:rPr>
          <w:rFonts w:ascii="VIC-Regular" w:eastAsia="Times New Roman" w:hAnsi="VIC-Regular" w:cs="Times New Roman"/>
          <w:color w:val="011A3C"/>
          <w:sz w:val="24"/>
          <w:szCs w:val="24"/>
          <w:lang w:val="en" w:eastAsia="en-AU"/>
        </w:rPr>
        <w:t>For</w:t>
      </w:r>
      <w:proofErr w:type="gramEnd"/>
      <w:r w:rsidRPr="004D307F">
        <w:rPr>
          <w:rFonts w:ascii="VIC-Regular" w:eastAsia="Times New Roman" w:hAnsi="VIC-Regular" w:cs="Times New Roman"/>
          <w:color w:val="011A3C"/>
          <w:sz w:val="24"/>
          <w:szCs w:val="24"/>
          <w:lang w:val="en" w:eastAsia="en-AU"/>
        </w:rPr>
        <w:t xml:space="preserve"> Deaf Children </w:t>
      </w:r>
    </w:p>
    <w:p w14:paraId="3D981BC7" w14:textId="20DD595F" w:rsidR="0039304A" w:rsidRPr="004D307F" w:rsidRDefault="0039304A" w:rsidP="0039304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for each of the 4 school terms and allocated through credit and cash funding.</w:t>
      </w:r>
    </w:p>
    <w:p w14:paraId="0AB0C44F" w14:textId="03204150" w:rsidR="00A11F95" w:rsidRPr="004D307F" w:rsidRDefault="00A11F95" w:rsidP="00A11F9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681EA550" w14:textId="10AB369F" w:rsidR="00B6662C" w:rsidRPr="004D307F"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Where total enrolments at the school are less than 45 (enrolment threshold): Size Adjustment Supplementation = [45(</w:t>
      </w:r>
      <w:r w:rsidR="00F12663" w:rsidRPr="004D307F">
        <w:rPr>
          <w:rFonts w:ascii="VIC-Regular" w:eastAsia="Times New Roman" w:hAnsi="VIC-Regular" w:cs="Times New Roman"/>
          <w:color w:val="011A3C"/>
          <w:sz w:val="24"/>
          <w:szCs w:val="24"/>
          <w:lang w:val="en" w:eastAsia="en-AU"/>
        </w:rPr>
        <w:t>E</w:t>
      </w:r>
      <w:r w:rsidRPr="004D307F">
        <w:rPr>
          <w:rFonts w:ascii="VIC-Regular" w:eastAsia="Times New Roman" w:hAnsi="VIC-Regular" w:cs="Times New Roman"/>
          <w:color w:val="011A3C"/>
          <w:sz w:val="24"/>
          <w:szCs w:val="24"/>
          <w:lang w:val="en" w:eastAsia="en-AU"/>
        </w:rPr>
        <w:t xml:space="preserve">nrolment </w:t>
      </w:r>
      <w:r w:rsidR="00F12663" w:rsidRPr="004D307F">
        <w:rPr>
          <w:rFonts w:ascii="VIC-Regular" w:eastAsia="Times New Roman" w:hAnsi="VIC-Regular" w:cs="Times New Roman"/>
          <w:color w:val="011A3C"/>
          <w:sz w:val="24"/>
          <w:szCs w:val="24"/>
          <w:lang w:val="en" w:eastAsia="en-AU"/>
        </w:rPr>
        <w:t>T</w:t>
      </w:r>
      <w:r w:rsidRPr="004D307F">
        <w:rPr>
          <w:rFonts w:ascii="VIC-Regular" w:eastAsia="Times New Roman" w:hAnsi="VIC-Regular" w:cs="Times New Roman"/>
          <w:color w:val="011A3C"/>
          <w:sz w:val="24"/>
          <w:szCs w:val="24"/>
          <w:lang w:val="en" w:eastAsia="en-AU"/>
        </w:rPr>
        <w:t>hreshold) </w:t>
      </w:r>
      <w:r w:rsidR="00F12663"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r w:rsidR="00F12663" w:rsidRPr="004D307F">
        <w:rPr>
          <w:rFonts w:ascii="VIC-Regular" w:eastAsia="Times New Roman" w:hAnsi="VIC-Regular" w:cs="Times New Roman"/>
          <w:color w:val="011A3C"/>
          <w:sz w:val="24"/>
          <w:szCs w:val="24"/>
          <w:lang w:val="en" w:eastAsia="en-AU"/>
        </w:rPr>
        <w:t xml:space="preserve">Core Index </w:t>
      </w:r>
      <w:r w:rsidRPr="004D307F">
        <w:rPr>
          <w:rFonts w:ascii="VIC-Regular" w:eastAsia="Times New Roman" w:hAnsi="VIC-Regular" w:cs="Times New Roman"/>
          <w:color w:val="011A3C"/>
          <w:sz w:val="24"/>
          <w:szCs w:val="24"/>
          <w:lang w:val="en" w:eastAsia="en-AU"/>
        </w:rPr>
        <w:t>Enrolment] × Rate</w:t>
      </w:r>
    </w:p>
    <w:p w14:paraId="16737B47" w14:textId="0D5A9651" w:rsidR="00800331" w:rsidRPr="004D307F" w:rsidRDefault="00800331" w:rsidP="00B6662C">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Example:</w:t>
      </w:r>
    </w:p>
    <w:p w14:paraId="674554C0" w14:textId="2AFBE222" w:rsidR="00800331" w:rsidRPr="004D307F" w:rsidRDefault="00800331"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A school with 35 enrolments would calculate their Size </w:t>
      </w:r>
      <w:r w:rsidR="004E099D" w:rsidRPr="004D307F">
        <w:rPr>
          <w:rFonts w:ascii="VIC-Regular" w:eastAsia="Times New Roman" w:hAnsi="VIC-Regular" w:cs="Times New Roman"/>
          <w:color w:val="011A3C"/>
          <w:sz w:val="24"/>
          <w:szCs w:val="24"/>
          <w:lang w:val="en" w:eastAsia="en-AU"/>
        </w:rPr>
        <w:t>Adjustment funding</w:t>
      </w:r>
      <w:r w:rsidRPr="004D307F">
        <w:rPr>
          <w:rFonts w:ascii="VIC-Regular" w:eastAsia="Times New Roman" w:hAnsi="VIC-Regular" w:cs="Times New Roman"/>
          <w:color w:val="011A3C"/>
          <w:sz w:val="24"/>
          <w:szCs w:val="24"/>
          <w:lang w:val="en" w:eastAsia="en-AU"/>
        </w:rPr>
        <w:t xml:space="preserve"> as:</w:t>
      </w:r>
      <w:r w:rsidRPr="004D307F">
        <w:rPr>
          <w:rFonts w:ascii="VIC-Regular" w:eastAsia="Times New Roman" w:hAnsi="VIC-Regular" w:cs="Times New Roman"/>
          <w:color w:val="011A3C"/>
          <w:sz w:val="24"/>
          <w:szCs w:val="24"/>
          <w:lang w:val="en" w:eastAsia="en-AU"/>
        </w:rPr>
        <w:br/>
        <w:t xml:space="preserve">[45(enrolment threshold) – </w:t>
      </w:r>
      <w:r w:rsidR="00F12663" w:rsidRPr="004D307F">
        <w:rPr>
          <w:rFonts w:ascii="VIC-Regular" w:eastAsia="Times New Roman" w:hAnsi="VIC-Regular" w:cs="Times New Roman"/>
          <w:color w:val="011A3C"/>
          <w:sz w:val="24"/>
          <w:szCs w:val="24"/>
          <w:lang w:val="en" w:eastAsia="en-AU"/>
        </w:rPr>
        <w:t xml:space="preserve">Core Index </w:t>
      </w:r>
      <w:r w:rsidR="004E099D" w:rsidRPr="004D307F">
        <w:rPr>
          <w:rFonts w:ascii="VIC-Regular" w:eastAsia="Times New Roman" w:hAnsi="VIC-Regular" w:cs="Times New Roman"/>
          <w:color w:val="011A3C"/>
          <w:sz w:val="24"/>
          <w:szCs w:val="24"/>
          <w:lang w:val="en" w:eastAsia="en-AU"/>
        </w:rPr>
        <w:t>Enrolment (</w:t>
      </w:r>
      <w:r w:rsidRPr="004D307F">
        <w:rPr>
          <w:rFonts w:ascii="VIC-Regular" w:eastAsia="Times New Roman" w:hAnsi="VIC-Regular" w:cs="Times New Roman"/>
          <w:color w:val="011A3C"/>
          <w:sz w:val="24"/>
          <w:szCs w:val="24"/>
          <w:lang w:val="en" w:eastAsia="en-AU"/>
        </w:rPr>
        <w:t>35)] × Rate</w:t>
      </w:r>
    </w:p>
    <w:p w14:paraId="7AB8D1B7" w14:textId="33B55CA3" w:rsidR="00B6662C" w:rsidRPr="004D307F" w:rsidRDefault="00B6662C" w:rsidP="00B6662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maximum amount funded is limited to </w:t>
      </w:r>
      <w:r w:rsidR="00800331" w:rsidRPr="004D307F">
        <w:rPr>
          <w:rFonts w:ascii="VIC-Regular" w:eastAsia="Times New Roman" w:hAnsi="VIC-Regular" w:cs="Times New Roman"/>
          <w:color w:val="011A3C"/>
          <w:sz w:val="24"/>
          <w:szCs w:val="24"/>
          <w:lang w:val="en" w:eastAsia="en-AU"/>
        </w:rPr>
        <w:t>cap listed below</w:t>
      </w:r>
      <w:r w:rsidRPr="004D307F">
        <w:rPr>
          <w:rFonts w:ascii="VIC-Regular" w:eastAsia="Times New Roman" w:hAnsi="VIC-Regular" w:cs="Times New Roman"/>
          <w:color w:val="011A3C"/>
          <w:sz w:val="24"/>
          <w:szCs w:val="24"/>
          <w:lang w:val="en" w:eastAsia="en-AU"/>
        </w:rPr>
        <w:t>.</w:t>
      </w:r>
    </w:p>
    <w:p w14:paraId="1F5249A7" w14:textId="2D210152" w:rsidR="00B6662C" w:rsidRPr="004D307F" w:rsidRDefault="00B6662C" w:rsidP="00B6662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4A334A" w:rsidRPr="004D307F">
        <w:rPr>
          <w:rFonts w:ascii="VIC-Bold" w:eastAsia="Times New Roman" w:hAnsi="VIC-Bold" w:cs="Times New Roman"/>
          <w:b/>
          <w:bCs/>
          <w:color w:val="011A3C"/>
          <w:sz w:val="27"/>
          <w:szCs w:val="27"/>
          <w:lang w:val="en" w:eastAsia="en-AU"/>
        </w:rPr>
        <w:t>2</w:t>
      </w:r>
    </w:p>
    <w:p w14:paraId="32E03BFF" w14:textId="663C661A" w:rsidR="00B6662C" w:rsidRPr="004D307F"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Per student rate: </w:t>
      </w:r>
      <w:r w:rsidR="009A4CFA" w:rsidRPr="004D307F">
        <w:rPr>
          <w:rFonts w:ascii="VIC-Regular" w:eastAsia="Times New Roman" w:hAnsi="VIC-Regular" w:cs="Times New Roman"/>
          <w:color w:val="011A3C"/>
          <w:sz w:val="24"/>
          <w:szCs w:val="24"/>
          <w:lang w:val="en" w:eastAsia="en-AU"/>
        </w:rPr>
        <w:t xml:space="preserve"> $5,1</w:t>
      </w:r>
      <w:r w:rsidR="00C521AA" w:rsidRPr="004D307F">
        <w:rPr>
          <w:rFonts w:ascii="VIC-Regular" w:eastAsia="Times New Roman" w:hAnsi="VIC-Regular" w:cs="Times New Roman"/>
          <w:color w:val="011A3C"/>
          <w:sz w:val="24"/>
          <w:szCs w:val="24"/>
          <w:lang w:val="en" w:eastAsia="en-AU"/>
        </w:rPr>
        <w:t>72</w:t>
      </w:r>
    </w:p>
    <w:p w14:paraId="5F6A858B" w14:textId="77777777" w:rsidR="00B6662C" w:rsidRPr="004D307F"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Enrolment threshold: 45</w:t>
      </w:r>
    </w:p>
    <w:p w14:paraId="078589B6" w14:textId="3625DFF1" w:rsidR="00B6662C" w:rsidRPr="004D307F" w:rsidRDefault="00B6662C" w:rsidP="00F66851">
      <w:pPr>
        <w:numPr>
          <w:ilvl w:val="0"/>
          <w:numId w:val="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Maximum funded: </w:t>
      </w:r>
      <w:r w:rsidR="00701354" w:rsidRPr="004D307F">
        <w:rPr>
          <w:rFonts w:ascii="VIC-Regular" w:eastAsia="Times New Roman" w:hAnsi="VIC-Regular" w:cs="Times New Roman"/>
          <w:color w:val="011A3C"/>
          <w:sz w:val="24"/>
          <w:szCs w:val="24"/>
          <w:lang w:val="en" w:eastAsia="en-AU"/>
        </w:rPr>
        <w:t>$</w:t>
      </w:r>
      <w:r w:rsidR="00DD5A70" w:rsidRPr="004D307F">
        <w:rPr>
          <w:rFonts w:ascii="VIC-Regular" w:eastAsia="Times New Roman" w:hAnsi="VIC-Regular" w:cs="Times New Roman"/>
          <w:color w:val="011A3C"/>
          <w:sz w:val="24"/>
          <w:szCs w:val="24"/>
          <w:lang w:val="en" w:eastAsia="en-AU"/>
        </w:rPr>
        <w:t>118,026</w:t>
      </w:r>
    </w:p>
    <w:p w14:paraId="68BF67AB" w14:textId="77777777" w:rsidR="00B6662C" w:rsidRPr="004D307F" w:rsidRDefault="00B6662C">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017EACCC" w14:textId="337AEC16" w:rsidR="00A46A99" w:rsidRPr="004D307F" w:rsidRDefault="00A46A99" w:rsidP="00B566E7">
      <w:pPr>
        <w:pStyle w:val="Heading2"/>
      </w:pPr>
      <w:bookmarkStart w:id="13" w:name="_Toc99882728"/>
      <w:r w:rsidRPr="004D307F">
        <w:lastRenderedPageBreak/>
        <w:t>Approved Early Education Program (Reference 7)</w:t>
      </w:r>
      <w:bookmarkEnd w:id="13"/>
    </w:p>
    <w:p w14:paraId="73B7BE5C" w14:textId="7BFCBDDB" w:rsidR="00A46A99" w:rsidRPr="004D307F"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defined group of specialist schools maintain early education programs for preschool aged children with disability between the ages of 2 years and 8 months and 4 years and 8 months.</w:t>
      </w:r>
      <w:r w:rsidR="0052364D" w:rsidRPr="004D307F">
        <w:rPr>
          <w:rFonts w:ascii="VIC-Regular" w:eastAsia="Times New Roman" w:hAnsi="VIC-Regular" w:cs="Times New Roman"/>
          <w:color w:val="011A3C"/>
          <w:sz w:val="24"/>
          <w:szCs w:val="24"/>
          <w:lang w:val="en" w:eastAsia="en-AU"/>
        </w:rPr>
        <w:t xml:space="preserve"> Funding is allocated at school level.</w:t>
      </w:r>
    </w:p>
    <w:p w14:paraId="47F209DF" w14:textId="3E65025F" w:rsidR="00AD03DE" w:rsidRPr="004D307F" w:rsidRDefault="00A46A99"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Allocations to these schools are based on a resource agreement.</w:t>
      </w:r>
    </w:p>
    <w:p w14:paraId="4418C32A" w14:textId="46DDC09C" w:rsidR="00AD03DE" w:rsidRPr="004D307F" w:rsidRDefault="00AD03DE" w:rsidP="00AA54C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4547A36E" w14:textId="660CFAFD" w:rsidR="00AD03DE" w:rsidRPr="004D307F"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Approved Early Education </w:t>
      </w:r>
      <w:r w:rsidR="004A334A" w:rsidRPr="004D307F">
        <w:rPr>
          <w:rFonts w:ascii="VIC-Regular" w:eastAsia="Times New Roman" w:hAnsi="VIC-Regular" w:cs="Times New Roman"/>
          <w:color w:val="011A3C"/>
          <w:sz w:val="24"/>
          <w:szCs w:val="24"/>
          <w:lang w:val="en" w:eastAsia="en-AU"/>
        </w:rPr>
        <w:t>f</w:t>
      </w:r>
      <w:r w:rsidRPr="004D307F">
        <w:rPr>
          <w:rFonts w:ascii="VIC-Regular" w:eastAsia="Times New Roman" w:hAnsi="VIC-Regular" w:cs="Times New Roman"/>
          <w:color w:val="011A3C"/>
          <w:sz w:val="24"/>
          <w:szCs w:val="24"/>
          <w:lang w:val="en" w:eastAsia="en-AU"/>
        </w:rPr>
        <w:t>unding is calculated as:</w:t>
      </w:r>
    </w:p>
    <w:p w14:paraId="6B0ECEB9" w14:textId="1536B897" w:rsidR="00A46A99" w:rsidRPr="004D307F"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FTE at school level * Resource agreement rate </w:t>
      </w:r>
    </w:p>
    <w:p w14:paraId="118E4269" w14:textId="5200CA43" w:rsidR="0052364D" w:rsidRPr="004D307F" w:rsidRDefault="00AD03DE" w:rsidP="00A46A9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Furlong Park School</w:t>
      </w:r>
      <w:r w:rsidR="009A4CFA" w:rsidRPr="004D307F">
        <w:rPr>
          <w:rFonts w:ascii="VIC-Regular" w:eastAsia="Times New Roman" w:hAnsi="VIC-Regular" w:cs="Times New Roman"/>
          <w:color w:val="011A3C"/>
          <w:sz w:val="24"/>
          <w:szCs w:val="24"/>
          <w:lang w:val="en" w:eastAsia="en-AU"/>
        </w:rPr>
        <w:t xml:space="preserve"> </w:t>
      </w:r>
      <w:r w:rsidR="004A334A" w:rsidRPr="004D307F">
        <w:rPr>
          <w:rFonts w:ascii="VIC-Regular" w:eastAsia="Times New Roman" w:hAnsi="VIC-Regular" w:cs="Times New Roman"/>
          <w:color w:val="011A3C"/>
          <w:sz w:val="24"/>
          <w:szCs w:val="24"/>
          <w:lang w:val="en" w:eastAsia="en-AU"/>
        </w:rPr>
        <w:t xml:space="preserve">for Deaf Children </w:t>
      </w:r>
      <w:r w:rsidR="009A4CFA" w:rsidRPr="004D307F">
        <w:rPr>
          <w:rFonts w:ascii="VIC-Regular" w:eastAsia="Times New Roman" w:hAnsi="VIC-Regular" w:cs="Times New Roman"/>
          <w:color w:val="011A3C"/>
          <w:sz w:val="24"/>
          <w:szCs w:val="24"/>
          <w:lang w:val="en" w:eastAsia="en-AU"/>
        </w:rPr>
        <w:t>is the exception</w:t>
      </w:r>
      <w:r w:rsidRPr="004D307F">
        <w:rPr>
          <w:rFonts w:ascii="VIC-Regular" w:eastAsia="Times New Roman" w:hAnsi="VIC-Regular" w:cs="Times New Roman"/>
          <w:color w:val="011A3C"/>
          <w:sz w:val="24"/>
          <w:szCs w:val="24"/>
          <w:lang w:val="en" w:eastAsia="en-AU"/>
        </w:rPr>
        <w:t>.</w:t>
      </w:r>
    </w:p>
    <w:p w14:paraId="14B49C31" w14:textId="3F897A0B" w:rsidR="00A46A99" w:rsidRPr="004D307F" w:rsidRDefault="00AD03DE"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budget </w:t>
      </w:r>
      <w:r w:rsidR="00C53D2A"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allocation of funds is provided through credit and cash funding.</w:t>
      </w:r>
    </w:p>
    <w:p w14:paraId="7C1DC3C3" w14:textId="1B059EF8" w:rsidR="000935F0" w:rsidRPr="004D307F" w:rsidRDefault="000935F0" w:rsidP="000935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4A334A" w:rsidRPr="004D307F">
        <w:rPr>
          <w:rFonts w:ascii="VIC-Bold" w:eastAsia="Times New Roman" w:hAnsi="VIC-Bold" w:cs="Times New Roman"/>
          <w:b/>
          <w:bCs/>
          <w:color w:val="011A3C"/>
          <w:sz w:val="27"/>
          <w:szCs w:val="27"/>
          <w:lang w:val="en" w:eastAsia="en-AU"/>
        </w:rPr>
        <w:t>2</w:t>
      </w:r>
    </w:p>
    <w:p w14:paraId="7F1B036C" w14:textId="41B04884" w:rsidR="004A334A" w:rsidRPr="004D307F" w:rsidRDefault="000935F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Resource agreement rate </w:t>
      </w:r>
      <w:r w:rsidR="00C53D2A" w:rsidRPr="004D307F">
        <w:rPr>
          <w:rFonts w:ascii="VIC-Regular" w:eastAsia="Times New Roman" w:hAnsi="VIC-Regular" w:cs="Times New Roman"/>
          <w:color w:val="011A3C"/>
          <w:sz w:val="24"/>
          <w:szCs w:val="24"/>
          <w:lang w:val="en" w:eastAsia="en-AU"/>
        </w:rPr>
        <w:t xml:space="preserve">= </w:t>
      </w:r>
      <w:r w:rsidR="00C53D2A" w:rsidRPr="004D307F">
        <w:t>$</w:t>
      </w:r>
      <w:r w:rsidR="009A4CFA" w:rsidRPr="004D307F">
        <w:rPr>
          <w:rFonts w:ascii="VIC-Regular" w:eastAsia="Times New Roman" w:hAnsi="VIC-Regular" w:cs="Times New Roman"/>
          <w:color w:val="011A3C"/>
          <w:sz w:val="24"/>
          <w:szCs w:val="24"/>
          <w:lang w:val="en" w:eastAsia="en-AU"/>
        </w:rPr>
        <w:t>2</w:t>
      </w:r>
      <w:r w:rsidR="00C521AA" w:rsidRPr="004D307F">
        <w:rPr>
          <w:rFonts w:ascii="VIC-Regular" w:eastAsia="Times New Roman" w:hAnsi="VIC-Regular" w:cs="Times New Roman"/>
          <w:color w:val="011A3C"/>
          <w:sz w:val="24"/>
          <w:szCs w:val="24"/>
          <w:lang w:val="en" w:eastAsia="en-AU"/>
        </w:rPr>
        <w:t>7,018</w:t>
      </w:r>
    </w:p>
    <w:p w14:paraId="5EE61136" w14:textId="55FA2C1F" w:rsidR="00A46A99" w:rsidRPr="004D307F" w:rsidRDefault="004A334A">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Furlong Park School for Deaf Children rate: $</w:t>
      </w:r>
      <w:r w:rsidR="00C521AA" w:rsidRPr="004D307F">
        <w:rPr>
          <w:rFonts w:ascii="VIC-Regular" w:eastAsia="Times New Roman" w:hAnsi="VIC-Regular" w:cs="Times New Roman"/>
          <w:color w:val="011A3C"/>
          <w:sz w:val="24"/>
          <w:szCs w:val="24"/>
          <w:lang w:val="en" w:eastAsia="en-AU"/>
        </w:rPr>
        <w:t>33,035</w:t>
      </w:r>
      <w:r w:rsidR="00A46A99" w:rsidRPr="004D307F">
        <w:rPr>
          <w:rFonts w:ascii="VIC-Regular" w:eastAsia="Times New Roman" w:hAnsi="VIC-Regular" w:cs="Times New Roman"/>
          <w:color w:val="011A3C"/>
          <w:sz w:val="24"/>
          <w:szCs w:val="24"/>
          <w:lang w:val="en" w:eastAsia="en-AU"/>
        </w:rPr>
        <w:br w:type="page"/>
      </w:r>
    </w:p>
    <w:p w14:paraId="4FA69578" w14:textId="551A472D" w:rsidR="00731961" w:rsidRPr="004D307F" w:rsidRDefault="00731961" w:rsidP="00B566E7">
      <w:pPr>
        <w:pStyle w:val="Heading2"/>
      </w:pPr>
      <w:bookmarkStart w:id="14" w:name="_Toc99882729"/>
      <w:r w:rsidRPr="004D307F">
        <w:lastRenderedPageBreak/>
        <w:t>Principal Salary Adjustment (Reference 8)</w:t>
      </w:r>
      <w:bookmarkEnd w:id="14"/>
    </w:p>
    <w:p w14:paraId="328F46D7" w14:textId="22DAC12D" w:rsidR="00731961" w:rsidRPr="004D307F" w:rsidRDefault="00731961"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item is included in the </w:t>
      </w:r>
      <w:r w:rsidR="001039D9" w:rsidRPr="004D307F">
        <w:rPr>
          <w:rFonts w:ascii="VIC-Regular" w:eastAsia="Times New Roman" w:hAnsi="VIC-Regular" w:cs="Times New Roman"/>
          <w:color w:val="011A3C"/>
          <w:sz w:val="24"/>
          <w:szCs w:val="24"/>
          <w:lang w:val="en" w:eastAsia="en-AU"/>
        </w:rPr>
        <w:t>Student Resource Package (</w:t>
      </w:r>
      <w:r w:rsidRPr="004D307F">
        <w:rPr>
          <w:rFonts w:ascii="VIC-Regular" w:eastAsia="Times New Roman" w:hAnsi="VIC-Regular" w:cs="Times New Roman"/>
          <w:color w:val="011A3C"/>
          <w:sz w:val="24"/>
          <w:szCs w:val="24"/>
          <w:lang w:val="en" w:eastAsia="en-AU"/>
        </w:rPr>
        <w:t>SRP</w:t>
      </w:r>
      <w:r w:rsidR="001039D9"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for specialist schools. Its continuation will be subject to review</w:t>
      </w:r>
      <w:r w:rsidR="00157739" w:rsidRPr="004D307F">
        <w:rPr>
          <w:rFonts w:ascii="VIC-Regular" w:eastAsia="Times New Roman" w:hAnsi="VIC-Regular" w:cs="Times New Roman"/>
          <w:color w:val="011A3C"/>
          <w:sz w:val="24"/>
          <w:szCs w:val="24"/>
          <w:lang w:val="en" w:eastAsia="en-AU"/>
        </w:rPr>
        <w:t xml:space="preserve"> which is yet to be completed</w:t>
      </w:r>
      <w:r w:rsidRPr="004D307F">
        <w:rPr>
          <w:rFonts w:ascii="VIC-Regular" w:eastAsia="Times New Roman" w:hAnsi="VIC-Regular" w:cs="Times New Roman"/>
          <w:color w:val="011A3C"/>
          <w:sz w:val="24"/>
          <w:szCs w:val="24"/>
          <w:lang w:val="en" w:eastAsia="en-AU"/>
        </w:rPr>
        <w:t>.</w:t>
      </w:r>
      <w:r w:rsidR="009A4CFA" w:rsidRPr="004D307F">
        <w:rPr>
          <w:rFonts w:ascii="VIC-Regular" w:eastAsia="Times New Roman" w:hAnsi="VIC-Regular" w:cs="Times New Roman"/>
          <w:color w:val="011A3C"/>
          <w:sz w:val="24"/>
          <w:szCs w:val="24"/>
          <w:lang w:val="en" w:eastAsia="en-AU"/>
        </w:rPr>
        <w:t xml:space="preserve"> Changes associated with the review will be </w:t>
      </w:r>
      <w:r w:rsidR="00C53D2A" w:rsidRPr="004D307F">
        <w:rPr>
          <w:rFonts w:ascii="VIC-Regular" w:eastAsia="Times New Roman" w:hAnsi="VIC-Regular" w:cs="Times New Roman"/>
          <w:color w:val="011A3C"/>
          <w:sz w:val="24"/>
          <w:szCs w:val="24"/>
          <w:lang w:val="en" w:eastAsia="en-AU"/>
        </w:rPr>
        <w:t>implemented during</w:t>
      </w:r>
      <w:r w:rsidR="00A23F6B" w:rsidRPr="004D307F">
        <w:rPr>
          <w:rFonts w:ascii="VIC-Regular" w:eastAsia="Times New Roman" w:hAnsi="VIC-Regular" w:cs="Times New Roman"/>
          <w:color w:val="011A3C"/>
          <w:sz w:val="24"/>
          <w:szCs w:val="24"/>
          <w:lang w:val="en" w:eastAsia="en-AU"/>
        </w:rPr>
        <w:t xml:space="preserve"> 202</w:t>
      </w:r>
      <w:r w:rsidR="00157739" w:rsidRPr="004D307F">
        <w:rPr>
          <w:rFonts w:ascii="VIC-Regular" w:eastAsia="Times New Roman" w:hAnsi="VIC-Regular" w:cs="Times New Roman"/>
          <w:color w:val="011A3C"/>
          <w:sz w:val="24"/>
          <w:szCs w:val="24"/>
          <w:lang w:val="en" w:eastAsia="en-AU"/>
        </w:rPr>
        <w:t>3</w:t>
      </w:r>
      <w:r w:rsidR="00A23F6B" w:rsidRPr="004D307F">
        <w:rPr>
          <w:rFonts w:ascii="VIC-Regular" w:eastAsia="Times New Roman" w:hAnsi="VIC-Regular" w:cs="Times New Roman"/>
          <w:color w:val="011A3C"/>
          <w:sz w:val="24"/>
          <w:szCs w:val="24"/>
          <w:lang w:val="en" w:eastAsia="en-AU"/>
        </w:rPr>
        <w:t>.</w:t>
      </w:r>
    </w:p>
    <w:p w14:paraId="6C76BA64" w14:textId="77777777" w:rsidR="00731961" w:rsidRPr="004D307F" w:rsidRDefault="0073196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0F281BDE" w14:textId="47689E10" w:rsidR="00017551" w:rsidRPr="004D307F" w:rsidRDefault="00017551" w:rsidP="00B566E7">
      <w:pPr>
        <w:pStyle w:val="Heading2"/>
      </w:pPr>
      <w:bookmarkStart w:id="15" w:name="_Toc99882730"/>
      <w:r w:rsidRPr="004D307F">
        <w:lastRenderedPageBreak/>
        <w:t>Language and Learning Disabilities Support Program (Reference 10)</w:t>
      </w:r>
      <w:bookmarkEnd w:id="15"/>
    </w:p>
    <w:p w14:paraId="10C1BC1D"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Language and Learning Disabilities Support Program provides schools with resources to support the delivery of teaching and learning programs for students with autism, dyslexia, </w:t>
      </w:r>
      <w:proofErr w:type="gramStart"/>
      <w:r w:rsidRPr="004D307F">
        <w:rPr>
          <w:rFonts w:ascii="VIC-Regular" w:eastAsia="Times New Roman" w:hAnsi="VIC-Regular" w:cs="Times New Roman"/>
          <w:color w:val="011A3C"/>
          <w:sz w:val="24"/>
          <w:szCs w:val="24"/>
          <w:lang w:val="en" w:eastAsia="en-AU"/>
        </w:rPr>
        <w:t>language</w:t>
      </w:r>
      <w:proofErr w:type="gramEnd"/>
      <w:r w:rsidRPr="004D307F">
        <w:rPr>
          <w:rFonts w:ascii="VIC-Regular" w:eastAsia="Times New Roman" w:hAnsi="VIC-Regular" w:cs="Times New Roman"/>
          <w:color w:val="011A3C"/>
          <w:sz w:val="24"/>
          <w:szCs w:val="24"/>
          <w:lang w:val="en" w:eastAsia="en-AU"/>
        </w:rPr>
        <w:t xml:space="preserve"> or other learning disabilities. Supports may include:</w:t>
      </w:r>
    </w:p>
    <w:p w14:paraId="735A5B4E"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Teaching staff</w:t>
      </w:r>
    </w:p>
    <w:p w14:paraId="6C6DB712"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education or allied health staff</w:t>
      </w:r>
    </w:p>
    <w:p w14:paraId="48151191"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Consultancy or professional development</w:t>
      </w:r>
    </w:p>
    <w:p w14:paraId="6B4FD465"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equipment or materials</w:t>
      </w:r>
    </w:p>
    <w:p w14:paraId="70941608" w14:textId="77777777" w:rsidR="00017551" w:rsidRPr="004D307F" w:rsidRDefault="00017551" w:rsidP="00F66851">
      <w:pPr>
        <w:numPr>
          <w:ilvl w:val="0"/>
          <w:numId w:val="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Education support staff</w:t>
      </w:r>
    </w:p>
    <w:p w14:paraId="7C1E2E1C"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quality of teaching has one of the largest impacts on student learning. Building teaching excellence is central to making schools more inclusive and improving outcomes for students with learning support needs. </w:t>
      </w:r>
    </w:p>
    <w:p w14:paraId="2CDBD618"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delivering effective programs for students with disabilities and additional learning needs, school leaders and teachers should ensure their practice is:</w:t>
      </w:r>
    </w:p>
    <w:p w14:paraId="08B11C2E" w14:textId="77777777" w:rsidR="00017551" w:rsidRPr="004D307F"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guided by the </w:t>
      </w:r>
      <w:hyperlink r:id="rId17" w:history="1">
        <w:r w:rsidRPr="004D307F">
          <w:rPr>
            <w:rFonts w:ascii="VIC-Regular" w:eastAsia="Times New Roman" w:hAnsi="VIC-Regular" w:cs="Times New Roman"/>
            <w:color w:val="011A3C"/>
            <w:sz w:val="24"/>
            <w:szCs w:val="24"/>
            <w:lang w:val="en" w:eastAsia="en-AU"/>
          </w:rPr>
          <w:t>Victorian Curriculum, inclusive of Levels A-D and Foundation to 10</w:t>
        </w:r>
      </w:hyperlink>
    </w:p>
    <w:p w14:paraId="0D92D2CD" w14:textId="77777777" w:rsidR="00017551" w:rsidRPr="004D307F"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informed by </w:t>
      </w:r>
      <w:hyperlink r:id="rId18" w:history="1">
        <w:r w:rsidRPr="004D307F">
          <w:rPr>
            <w:rFonts w:ascii="VIC-Regular" w:eastAsia="Times New Roman" w:hAnsi="VIC-Regular" w:cs="Times New Roman"/>
            <w:color w:val="011A3C"/>
            <w:sz w:val="24"/>
            <w:szCs w:val="24"/>
            <w:lang w:val="en" w:eastAsia="en-AU"/>
          </w:rPr>
          <w:t>disability specific professional learning activities undertaken annually as part of teacher registration requirements</w:t>
        </w:r>
      </w:hyperlink>
    </w:p>
    <w:p w14:paraId="54ADBDE4" w14:textId="77777777" w:rsidR="00017551" w:rsidRPr="004D307F" w:rsidRDefault="00017551" w:rsidP="00F66851">
      <w:pPr>
        <w:numPr>
          <w:ilvl w:val="0"/>
          <w:numId w:val="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evidence based and planned, </w:t>
      </w:r>
      <w:proofErr w:type="gramStart"/>
      <w:r w:rsidRPr="004D307F">
        <w:rPr>
          <w:rFonts w:ascii="VIC-Regular" w:eastAsia="Times New Roman" w:hAnsi="VIC-Regular" w:cs="Times New Roman"/>
          <w:color w:val="011A3C"/>
          <w:sz w:val="24"/>
          <w:szCs w:val="24"/>
          <w:lang w:val="en" w:eastAsia="en-AU"/>
        </w:rPr>
        <w:t>implemented</w:t>
      </w:r>
      <w:proofErr w:type="gramEnd"/>
      <w:r w:rsidRPr="004D307F">
        <w:rPr>
          <w:rFonts w:ascii="VIC-Regular" w:eastAsia="Times New Roman" w:hAnsi="VIC-Regular" w:cs="Times New Roman"/>
          <w:color w:val="011A3C"/>
          <w:sz w:val="24"/>
          <w:szCs w:val="24"/>
          <w:lang w:val="en" w:eastAsia="en-AU"/>
        </w:rPr>
        <w:t xml:space="preserve"> and monitored in line with the </w:t>
      </w:r>
      <w:hyperlink r:id="rId19" w:history="1">
        <w:r w:rsidRPr="004D307F">
          <w:rPr>
            <w:rFonts w:ascii="VIC-Regular" w:eastAsia="Times New Roman" w:hAnsi="VIC-Regular" w:cs="Times New Roman"/>
            <w:color w:val="011A3C"/>
            <w:sz w:val="24"/>
            <w:szCs w:val="24"/>
            <w:lang w:val="en" w:eastAsia="en-AU"/>
          </w:rPr>
          <w:t>Framework for Improving Student Outcomes</w:t>
        </w:r>
      </w:hyperlink>
    </w:p>
    <w:p w14:paraId="285AAF3E" w14:textId="28D8FC0B"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addition, school policy and practice should reflect collaboration between the school leaders and teachers, parent</w:t>
      </w:r>
      <w:r w:rsidR="00920576" w:rsidRPr="004D307F" w:rsidDel="00920576">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w:t>
      </w:r>
      <w:proofErr w:type="spellStart"/>
      <w:r w:rsidRPr="004D307F">
        <w:rPr>
          <w:rFonts w:ascii="VIC-Regular" w:eastAsia="Times New Roman" w:hAnsi="VIC-Regular" w:cs="Times New Roman"/>
          <w:color w:val="011A3C"/>
          <w:sz w:val="24"/>
          <w:szCs w:val="24"/>
          <w:lang w:val="en" w:eastAsia="en-AU"/>
        </w:rPr>
        <w:t>carer</w:t>
      </w:r>
      <w:proofErr w:type="spellEnd"/>
      <w:r w:rsidRPr="004D307F">
        <w:rPr>
          <w:rFonts w:ascii="VIC-Regular" w:eastAsia="Times New Roman" w:hAnsi="VIC-Regular" w:cs="Times New Roman"/>
          <w:color w:val="011A3C"/>
          <w:sz w:val="24"/>
          <w:szCs w:val="24"/>
          <w:lang w:val="en" w:eastAsia="en-AU"/>
        </w:rPr>
        <w:t xml:space="preserve">(s), specialist education or allied health staff to develop agreed understandings and responses to students' needs, including students with autism, dyslexia, </w:t>
      </w:r>
      <w:proofErr w:type="gramStart"/>
      <w:r w:rsidRPr="004D307F">
        <w:rPr>
          <w:rFonts w:ascii="VIC-Regular" w:eastAsia="Times New Roman" w:hAnsi="VIC-Regular" w:cs="Times New Roman"/>
          <w:color w:val="011A3C"/>
          <w:sz w:val="24"/>
          <w:szCs w:val="24"/>
          <w:lang w:val="en" w:eastAsia="en-AU"/>
        </w:rPr>
        <w:t>language</w:t>
      </w:r>
      <w:proofErr w:type="gramEnd"/>
      <w:r w:rsidRPr="004D307F">
        <w:rPr>
          <w:rFonts w:ascii="VIC-Regular" w:eastAsia="Times New Roman" w:hAnsi="VIC-Regular" w:cs="Times New Roman"/>
          <w:color w:val="011A3C"/>
          <w:sz w:val="24"/>
          <w:szCs w:val="24"/>
          <w:lang w:val="en" w:eastAsia="en-AU"/>
        </w:rPr>
        <w:t xml:space="preserve"> or other learning disabilities.    </w:t>
      </w:r>
    </w:p>
    <w:p w14:paraId="3A01A814" w14:textId="3D31B14A"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Guidelines are available to assist schools in supporting students with disabilities and additional learning needs, </w:t>
      </w:r>
      <w:r w:rsidR="00920576" w:rsidRPr="004D307F">
        <w:rPr>
          <w:rFonts w:ascii="VIC-Regular" w:eastAsia="Times New Roman" w:hAnsi="VIC-Regular" w:cs="Times New Roman"/>
          <w:color w:val="011A3C"/>
          <w:sz w:val="24"/>
          <w:szCs w:val="24"/>
          <w:lang w:val="en" w:eastAsia="en-AU"/>
        </w:rPr>
        <w:t>refer to</w:t>
      </w:r>
      <w:r w:rsidRPr="004D307F">
        <w:rPr>
          <w:rFonts w:ascii="VIC-Regular" w:eastAsia="Times New Roman" w:hAnsi="VIC-Regular" w:cs="Times New Roman"/>
          <w:color w:val="011A3C"/>
          <w:sz w:val="24"/>
          <w:szCs w:val="24"/>
          <w:lang w:val="en" w:eastAsia="en-AU"/>
        </w:rPr>
        <w:t xml:space="preserve">: </w:t>
      </w:r>
      <w:hyperlink r:id="rId20" w:history="1">
        <w:r w:rsidRPr="004D307F">
          <w:rPr>
            <w:rFonts w:ascii="VIC-Regular" w:eastAsia="Times New Roman" w:hAnsi="VIC-Regular" w:cs="Times New Roman"/>
            <w:color w:val="011A3C"/>
            <w:sz w:val="24"/>
            <w:szCs w:val="24"/>
            <w:lang w:val="en" w:eastAsia="en-AU"/>
          </w:rPr>
          <w:t>Student Support Groups</w:t>
        </w:r>
      </w:hyperlink>
      <w:r w:rsidRPr="004D307F">
        <w:rPr>
          <w:rFonts w:ascii="VIC-Regular" w:eastAsia="Times New Roman" w:hAnsi="VIC-Regular" w:cs="Times New Roman"/>
          <w:color w:val="011A3C"/>
          <w:sz w:val="24"/>
          <w:szCs w:val="24"/>
          <w:lang w:val="en" w:eastAsia="en-AU"/>
        </w:rPr>
        <w:t>.</w:t>
      </w:r>
    </w:p>
    <w:p w14:paraId="6C99D6D6" w14:textId="58CF47FB"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further information, </w:t>
      </w:r>
      <w:r w:rsidR="00920576" w:rsidRPr="004D307F">
        <w:rPr>
          <w:rFonts w:ascii="VIC-Regular" w:eastAsia="Times New Roman" w:hAnsi="VIC-Regular" w:cs="Times New Roman"/>
          <w:color w:val="011A3C"/>
          <w:sz w:val="24"/>
          <w:szCs w:val="24"/>
          <w:lang w:val="en" w:eastAsia="en-AU"/>
        </w:rPr>
        <w:t xml:space="preserve">refer to </w:t>
      </w:r>
      <w:hyperlink r:id="rId21" w:history="1">
        <w:r w:rsidRPr="004D307F">
          <w:rPr>
            <w:rFonts w:ascii="VIC-Regular" w:eastAsia="Times New Roman" w:hAnsi="VIC-Regular" w:cs="Times New Roman"/>
            <w:color w:val="011A3C"/>
            <w:sz w:val="24"/>
            <w:szCs w:val="24"/>
            <w:lang w:val="en" w:eastAsia="en-AU"/>
          </w:rPr>
          <w:t>Students with Disability</w:t>
        </w:r>
      </w:hyperlink>
      <w:r w:rsidRPr="004D307F">
        <w:rPr>
          <w:rFonts w:ascii="VIC-Regular" w:eastAsia="Times New Roman" w:hAnsi="VIC-Regular" w:cs="Times New Roman"/>
          <w:color w:val="011A3C"/>
          <w:sz w:val="24"/>
          <w:szCs w:val="24"/>
          <w:lang w:val="en" w:eastAsia="en-AU"/>
        </w:rPr>
        <w:t>.</w:t>
      </w:r>
    </w:p>
    <w:p w14:paraId="64D3CC32" w14:textId="68396D72"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Language and Learning Disabilities Support Program resources should not be targeted to students in receipt of supplementary funding through the Program for Students with Disabilities. </w:t>
      </w:r>
    </w:p>
    <w:p w14:paraId="7E289297" w14:textId="6FB02C76" w:rsidR="003357B4" w:rsidRPr="004D307F" w:rsidRDefault="003357B4"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Language and Learning Disabilities Support Program (LLDSP) funding allocations will be progressively replaced by</w:t>
      </w:r>
      <w:r w:rsidR="00B241D3"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Disability Inclusion</w:t>
      </w:r>
      <w:r w:rsidR="00B241D3" w:rsidRPr="004D307F">
        <w:rPr>
          <w:rFonts w:ascii="VIC-Regular" w:eastAsia="Times New Roman" w:hAnsi="VIC-Regular" w:cs="Times New Roman"/>
          <w:color w:val="011A3C"/>
          <w:sz w:val="24"/>
          <w:szCs w:val="24"/>
          <w:lang w:val="en" w:eastAsia="en-AU"/>
        </w:rPr>
        <w:t xml:space="preserve"> Tier 2 school-level</w:t>
      </w:r>
      <w:r w:rsidRPr="004D307F">
        <w:rPr>
          <w:rFonts w:ascii="VIC-Regular" w:eastAsia="Times New Roman" w:hAnsi="VIC-Regular" w:cs="Times New Roman"/>
          <w:color w:val="011A3C"/>
          <w:sz w:val="24"/>
          <w:szCs w:val="24"/>
          <w:lang w:val="en" w:eastAsia="en-AU"/>
        </w:rPr>
        <w:t xml:space="preserve"> funding</w:t>
      </w:r>
      <w:r w:rsidR="00B241D3"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r w:rsidR="00B241D3" w:rsidRPr="004D307F">
        <w:rPr>
          <w:rFonts w:ascii="VIC-Regular" w:eastAsia="Times New Roman" w:hAnsi="VIC-Regular" w:cs="Times New Roman"/>
          <w:color w:val="011A3C"/>
          <w:sz w:val="24"/>
          <w:szCs w:val="24"/>
          <w:lang w:val="en" w:eastAsia="en-AU"/>
        </w:rPr>
        <w:t xml:space="preserve">as the Disability Inclusion model is implemented in </w:t>
      </w:r>
      <w:r w:rsidR="00150D85" w:rsidRPr="004D307F">
        <w:rPr>
          <w:rFonts w:ascii="VIC-Regular" w:eastAsia="Times New Roman" w:hAnsi="VIC-Regular" w:cs="Times New Roman"/>
          <w:color w:val="011A3C"/>
          <w:sz w:val="24"/>
          <w:szCs w:val="24"/>
          <w:lang w:val="en" w:eastAsia="en-AU"/>
        </w:rPr>
        <w:t>schools.</w:t>
      </w:r>
    </w:p>
    <w:p w14:paraId="2C4D8F21" w14:textId="77777777" w:rsidR="00017551" w:rsidRPr="004D307F"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4CF31AD3" w14:textId="77777777" w:rsidR="003357B4" w:rsidRPr="004D307F" w:rsidRDefault="003357B4"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through the Language and Learning Disabilities Support Program will continue to be available to schools until they transition to Disability Inclusion during the staged 5-year roll-out schedule between 2021 to 2025.</w:t>
      </w:r>
    </w:p>
    <w:p w14:paraId="3678AD38" w14:textId="274A5B4F" w:rsidR="00017551" w:rsidRPr="004D307F" w:rsidRDefault="003357B4"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Remaining s</w:t>
      </w:r>
      <w:r w:rsidR="00017551" w:rsidRPr="004D307F">
        <w:rPr>
          <w:rFonts w:ascii="VIC-Regular" w:eastAsia="Times New Roman" w:hAnsi="VIC-Regular" w:cs="Times New Roman"/>
          <w:color w:val="011A3C"/>
          <w:sz w:val="24"/>
          <w:szCs w:val="24"/>
          <w:lang w:val="en" w:eastAsia="en-AU"/>
        </w:rPr>
        <w:t xml:space="preserve">chools with the following campus types and enrolments are eligible for the </w:t>
      </w:r>
      <w:r w:rsidR="00920576" w:rsidRPr="004D307F">
        <w:rPr>
          <w:rFonts w:ascii="VIC-Regular" w:eastAsia="Times New Roman" w:hAnsi="VIC-Regular" w:cs="Times New Roman"/>
          <w:color w:val="011A3C"/>
          <w:sz w:val="24"/>
          <w:szCs w:val="24"/>
          <w:lang w:val="en" w:eastAsia="en-AU"/>
        </w:rPr>
        <w:t>L</w:t>
      </w:r>
      <w:r w:rsidR="00017551" w:rsidRPr="004D307F">
        <w:rPr>
          <w:rFonts w:ascii="VIC-Regular" w:eastAsia="Times New Roman" w:hAnsi="VIC-Regular" w:cs="Times New Roman"/>
          <w:color w:val="011A3C"/>
          <w:sz w:val="24"/>
          <w:szCs w:val="24"/>
          <w:lang w:val="en" w:eastAsia="en-AU"/>
        </w:rPr>
        <w:t xml:space="preserve">anguage and </w:t>
      </w:r>
      <w:r w:rsidR="00920576" w:rsidRPr="004D307F">
        <w:rPr>
          <w:rFonts w:ascii="VIC-Regular" w:eastAsia="Times New Roman" w:hAnsi="VIC-Regular" w:cs="Times New Roman"/>
          <w:color w:val="011A3C"/>
          <w:sz w:val="24"/>
          <w:szCs w:val="24"/>
          <w:lang w:val="en" w:eastAsia="en-AU"/>
        </w:rPr>
        <w:t>L</w:t>
      </w:r>
      <w:r w:rsidR="00017551" w:rsidRPr="004D307F">
        <w:rPr>
          <w:rFonts w:ascii="VIC-Regular" w:eastAsia="Times New Roman" w:hAnsi="VIC-Regular" w:cs="Times New Roman"/>
          <w:color w:val="011A3C"/>
          <w:sz w:val="24"/>
          <w:szCs w:val="24"/>
          <w:lang w:val="en" w:eastAsia="en-AU"/>
        </w:rPr>
        <w:t xml:space="preserve">earning </w:t>
      </w:r>
      <w:r w:rsidR="00920576" w:rsidRPr="004D307F">
        <w:rPr>
          <w:rFonts w:ascii="VIC-Regular" w:eastAsia="Times New Roman" w:hAnsi="VIC-Regular" w:cs="Times New Roman"/>
          <w:color w:val="011A3C"/>
          <w:sz w:val="24"/>
          <w:szCs w:val="24"/>
          <w:lang w:val="en" w:eastAsia="en-AU"/>
        </w:rPr>
        <w:t>D</w:t>
      </w:r>
      <w:r w:rsidR="00017551" w:rsidRPr="004D307F">
        <w:rPr>
          <w:rFonts w:ascii="VIC-Regular" w:eastAsia="Times New Roman" w:hAnsi="VIC-Regular" w:cs="Times New Roman"/>
          <w:color w:val="011A3C"/>
          <w:sz w:val="24"/>
          <w:szCs w:val="24"/>
          <w:lang w:val="en" w:eastAsia="en-AU"/>
        </w:rPr>
        <w:t xml:space="preserve">isabilities </w:t>
      </w:r>
      <w:r w:rsidR="00920576" w:rsidRPr="004D307F">
        <w:rPr>
          <w:rFonts w:ascii="VIC-Regular" w:eastAsia="Times New Roman" w:hAnsi="VIC-Regular" w:cs="Times New Roman"/>
          <w:color w:val="011A3C"/>
          <w:sz w:val="24"/>
          <w:szCs w:val="24"/>
          <w:lang w:val="en" w:eastAsia="en-AU"/>
        </w:rPr>
        <w:t>S</w:t>
      </w:r>
      <w:r w:rsidR="00017551" w:rsidRPr="004D307F">
        <w:rPr>
          <w:rFonts w:ascii="VIC-Regular" w:eastAsia="Times New Roman" w:hAnsi="VIC-Regular" w:cs="Times New Roman"/>
          <w:color w:val="011A3C"/>
          <w:sz w:val="24"/>
          <w:szCs w:val="24"/>
          <w:lang w:val="en" w:eastAsia="en-AU"/>
        </w:rPr>
        <w:t xml:space="preserve">upport </w:t>
      </w:r>
      <w:r w:rsidR="00920576" w:rsidRPr="004D307F">
        <w:rPr>
          <w:rFonts w:ascii="VIC-Regular" w:eastAsia="Times New Roman" w:hAnsi="VIC-Regular" w:cs="Times New Roman"/>
          <w:color w:val="011A3C"/>
          <w:sz w:val="24"/>
          <w:szCs w:val="24"/>
          <w:lang w:val="en" w:eastAsia="en-AU"/>
        </w:rPr>
        <w:t>P</w:t>
      </w:r>
      <w:r w:rsidR="00017551" w:rsidRPr="004D307F">
        <w:rPr>
          <w:rFonts w:ascii="VIC-Regular" w:eastAsia="Times New Roman" w:hAnsi="VIC-Regular" w:cs="Times New Roman"/>
          <w:color w:val="011A3C"/>
          <w:sz w:val="24"/>
          <w:szCs w:val="24"/>
          <w:lang w:val="en" w:eastAsia="en-AU"/>
        </w:rPr>
        <w:t>rogram funding at campus level.</w:t>
      </w:r>
    </w:p>
    <w:p w14:paraId="4E9A1B14" w14:textId="77777777" w:rsidR="00017551" w:rsidRPr="004D307F"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090DB106" w14:textId="77777777" w:rsidR="00017551" w:rsidRPr="004D307F"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 — Years 7 to 9 only</w:t>
      </w:r>
    </w:p>
    <w:p w14:paraId="71EC83D3" w14:textId="695CF692" w:rsidR="00317934" w:rsidRPr="004D307F" w:rsidRDefault="0001755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Primary/Secondary </w:t>
      </w:r>
      <w:r w:rsidR="00317934" w:rsidRPr="004D307F">
        <w:rPr>
          <w:rFonts w:ascii="VIC-Regular" w:eastAsia="Times New Roman" w:hAnsi="VIC-Regular" w:cs="Times New Roman"/>
          <w:color w:val="011A3C"/>
          <w:sz w:val="24"/>
          <w:szCs w:val="24"/>
          <w:lang w:val="en" w:eastAsia="en-AU"/>
        </w:rPr>
        <w:t xml:space="preserve">Combined </w:t>
      </w:r>
      <w:r w:rsidRPr="004D307F">
        <w:rPr>
          <w:rFonts w:ascii="VIC-Regular" w:eastAsia="Times New Roman" w:hAnsi="VIC-Regular" w:cs="Times New Roman"/>
          <w:color w:val="011A3C"/>
          <w:sz w:val="24"/>
          <w:szCs w:val="24"/>
          <w:lang w:val="en" w:eastAsia="en-AU"/>
        </w:rPr>
        <w:t xml:space="preserve">— Years 7 to 9 only </w:t>
      </w:r>
    </w:p>
    <w:p w14:paraId="2E6C24B8" w14:textId="5549A56E" w:rsidR="00B52991" w:rsidRPr="004D307F" w:rsidRDefault="00B52991" w:rsidP="00F66851">
      <w:pPr>
        <w:numPr>
          <w:ilvl w:val="0"/>
          <w:numId w:val="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 – Years 7 to 9 only</w:t>
      </w:r>
    </w:p>
    <w:p w14:paraId="672ADF73" w14:textId="3EC47A15" w:rsidR="005E41D9" w:rsidRPr="004D307F" w:rsidRDefault="005E41D9" w:rsidP="0031793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Indicative, Confirmed and Revised budget cycles</w:t>
      </w:r>
      <w:r w:rsidR="003357B4" w:rsidRPr="004D307F">
        <w:rPr>
          <w:rFonts w:ascii="VIC-Regular" w:eastAsia="Times New Roman" w:hAnsi="VIC-Regular" w:cs="Times New Roman"/>
          <w:color w:val="011A3C"/>
          <w:sz w:val="24"/>
          <w:szCs w:val="24"/>
          <w:lang w:val="en" w:eastAsia="en-AU"/>
        </w:rPr>
        <w:t xml:space="preserve"> and </w:t>
      </w:r>
      <w:r w:rsidR="004E1F6F" w:rsidRPr="004D307F">
        <w:rPr>
          <w:rFonts w:ascii="VIC-Regular" w:eastAsia="Times New Roman" w:hAnsi="VIC-Regular" w:cs="Times New Roman"/>
          <w:color w:val="011A3C"/>
          <w:sz w:val="24"/>
          <w:szCs w:val="24"/>
          <w:lang w:val="en" w:eastAsia="en-AU"/>
        </w:rPr>
        <w:t xml:space="preserve">funding is </w:t>
      </w:r>
      <w:r w:rsidRPr="004D307F">
        <w:rPr>
          <w:rFonts w:ascii="VIC-Regular" w:eastAsia="Times New Roman" w:hAnsi="VIC-Regular" w:cs="Times New Roman"/>
          <w:color w:val="011A3C"/>
          <w:sz w:val="24"/>
          <w:szCs w:val="24"/>
          <w:lang w:val="en" w:eastAsia="en-AU"/>
        </w:rPr>
        <w:t>provided through credit funding</w:t>
      </w:r>
      <w:r w:rsidR="004E1F6F" w:rsidRPr="004D307F">
        <w:rPr>
          <w:rFonts w:ascii="VIC-Regular" w:eastAsia="Times New Roman" w:hAnsi="VIC-Regular" w:cs="Times New Roman"/>
          <w:color w:val="011A3C"/>
          <w:sz w:val="24"/>
          <w:szCs w:val="24"/>
          <w:lang w:val="en" w:eastAsia="en-AU"/>
        </w:rPr>
        <w:t>.</w:t>
      </w:r>
    </w:p>
    <w:p w14:paraId="4241747C" w14:textId="128C5DE9" w:rsidR="00E70EC6" w:rsidRPr="004D307F" w:rsidRDefault="00E70EC6" w:rsidP="0031793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2022, schools that have funding allocated for Disability Inclusion (Ref 137) will no longer be eligible for this allocation regardless of school or campus type.</w:t>
      </w:r>
    </w:p>
    <w:p w14:paraId="3C89B210" w14:textId="3D296A67" w:rsidR="00017551" w:rsidRPr="004D307F"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0980E443" w14:textId="1E1ECAAB"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allocation is calculated in two parts.  First, a weighted per student allocation based on the Stages of Schooling for Prep to 9 students. Second, a further allocation for </w:t>
      </w:r>
      <w:r w:rsidR="00CF1CCA" w:rsidRPr="004D307F">
        <w:rPr>
          <w:rFonts w:ascii="VIC-Regular" w:eastAsia="Times New Roman" w:hAnsi="VIC-Regular" w:cs="Times New Roman"/>
          <w:color w:val="011A3C"/>
          <w:sz w:val="24"/>
          <w:szCs w:val="24"/>
          <w:lang w:val="en" w:eastAsia="en-AU"/>
        </w:rPr>
        <w:t xml:space="preserve">campuses </w:t>
      </w:r>
      <w:r w:rsidRPr="004D307F">
        <w:rPr>
          <w:rFonts w:ascii="VIC-Regular" w:eastAsia="Times New Roman" w:hAnsi="VIC-Regular" w:cs="Times New Roman"/>
          <w:color w:val="011A3C"/>
          <w:sz w:val="24"/>
          <w:szCs w:val="24"/>
          <w:lang w:val="en" w:eastAsia="en-AU"/>
        </w:rPr>
        <w:t>with a Student Family Occupation (SFO) index above a density threshold of 0.4606.</w:t>
      </w:r>
    </w:p>
    <w:p w14:paraId="30C186A7"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Per Student Allocation (Part 1)</w:t>
      </w:r>
      <w:r w:rsidRPr="004D307F">
        <w:rPr>
          <w:rFonts w:ascii="VIC-Regular" w:eastAsia="Times New Roman" w:hAnsi="VIC-Regular" w:cs="Times New Roman"/>
          <w:color w:val="011A3C"/>
          <w:sz w:val="24"/>
          <w:szCs w:val="24"/>
          <w:lang w:val="en" w:eastAsia="en-AU"/>
        </w:rPr>
        <w:t xml:space="preserve"> = Base Allocation + (Stages of Schooling Enrolment x Stages of Schooling weighted Rate)</w:t>
      </w:r>
    </w:p>
    <w:p w14:paraId="0B5783DF"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lastRenderedPageBreak/>
        <w:t>SFO Allocation (Part 2 if applicable)</w:t>
      </w:r>
      <w:r w:rsidRPr="004D307F">
        <w:rPr>
          <w:rFonts w:ascii="VIC-Regular" w:eastAsia="Times New Roman" w:hAnsi="VIC-Regular" w:cs="Times New Roman"/>
          <w:color w:val="011A3C"/>
          <w:sz w:val="24"/>
          <w:szCs w:val="24"/>
          <w:lang w:val="en" w:eastAsia="en-AU"/>
        </w:rPr>
        <w:t xml:space="preserve"> = Stages of Schooling enrolment x Stages of schooling weighted SFO student rate x (School SFO Index – SFO threshold)</w:t>
      </w:r>
    </w:p>
    <w:p w14:paraId="376AB543" w14:textId="77777777"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16" w:name="_Hlk48116568"/>
      <w:r w:rsidRPr="004D307F">
        <w:rPr>
          <w:rFonts w:ascii="VIC-Regular" w:eastAsia="Times New Roman" w:hAnsi="VIC-Regular" w:cs="Times New Roman"/>
          <w:b/>
          <w:bCs/>
          <w:color w:val="011A3C"/>
          <w:sz w:val="24"/>
          <w:szCs w:val="24"/>
          <w:lang w:val="en" w:eastAsia="en-AU"/>
        </w:rPr>
        <w:t>Total Allocation</w:t>
      </w:r>
      <w:r w:rsidRPr="004D307F">
        <w:rPr>
          <w:rFonts w:ascii="VIC-Regular" w:eastAsia="Times New Roman" w:hAnsi="VIC-Regular" w:cs="Times New Roman"/>
          <w:color w:val="011A3C"/>
          <w:sz w:val="24"/>
          <w:szCs w:val="24"/>
          <w:lang w:val="en" w:eastAsia="en-AU"/>
        </w:rPr>
        <w:t xml:space="preserve"> = Per Student allocation + SFO Allocation</w:t>
      </w:r>
    </w:p>
    <w:bookmarkEnd w:id="16"/>
    <w:p w14:paraId="13B8AE79" w14:textId="1E51B47A" w:rsidR="00017551" w:rsidRPr="004D307F" w:rsidRDefault="00017551" w:rsidP="0001755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Minimum Allocation for all primary and secondary </w:t>
      </w:r>
      <w:r w:rsidR="00CF1CCA" w:rsidRPr="004D307F">
        <w:rPr>
          <w:rFonts w:ascii="VIC-Regular" w:eastAsia="Times New Roman" w:hAnsi="VIC-Regular" w:cs="Times New Roman"/>
          <w:color w:val="011A3C"/>
          <w:sz w:val="24"/>
          <w:szCs w:val="24"/>
          <w:lang w:val="en" w:eastAsia="en-AU"/>
        </w:rPr>
        <w:t xml:space="preserve">campuses </w:t>
      </w:r>
      <w:r w:rsidRPr="004D307F">
        <w:rPr>
          <w:rFonts w:ascii="VIC-Regular" w:eastAsia="Times New Roman" w:hAnsi="VIC-Regular" w:cs="Times New Roman"/>
          <w:color w:val="011A3C"/>
          <w:sz w:val="24"/>
          <w:szCs w:val="24"/>
          <w:lang w:val="en" w:eastAsia="en-AU"/>
        </w:rPr>
        <w:t>= $5,000.00</w:t>
      </w:r>
    </w:p>
    <w:p w14:paraId="67F28D39" w14:textId="3616C8AB" w:rsidR="009D3396" w:rsidRPr="004D307F" w:rsidRDefault="009D3396" w:rsidP="009D3396">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w:t>
      </w:r>
      <w:r w:rsidR="00B77069"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 A </w:t>
      </w:r>
      <w:r w:rsidR="00B77069" w:rsidRPr="004D307F">
        <w:rPr>
          <w:rFonts w:ascii="VIC-Regular" w:eastAsia="Times New Roman" w:hAnsi="VIC-Regular" w:cs="Times New Roman"/>
          <w:color w:val="011A3C"/>
          <w:sz w:val="24"/>
          <w:szCs w:val="24"/>
          <w:lang w:val="en" w:eastAsia="en-AU"/>
        </w:rPr>
        <w:t xml:space="preserve">primary school with 21 </w:t>
      </w:r>
      <w:proofErr w:type="gramStart"/>
      <w:r w:rsidR="00B77069" w:rsidRPr="004D307F">
        <w:rPr>
          <w:rFonts w:ascii="VIC-Regular" w:eastAsia="Times New Roman" w:hAnsi="VIC-Regular" w:cs="Times New Roman"/>
          <w:color w:val="011A3C"/>
          <w:sz w:val="24"/>
          <w:szCs w:val="24"/>
          <w:lang w:val="en" w:eastAsia="en-AU"/>
        </w:rPr>
        <w:t>prep</w:t>
      </w:r>
      <w:proofErr w:type="gramEnd"/>
      <w:r w:rsidR="00B77069" w:rsidRPr="004D307F">
        <w:rPr>
          <w:rFonts w:ascii="VIC-Regular" w:eastAsia="Times New Roman" w:hAnsi="VIC-Regular" w:cs="Times New Roman"/>
          <w:color w:val="011A3C"/>
          <w:sz w:val="24"/>
          <w:szCs w:val="24"/>
          <w:lang w:val="en" w:eastAsia="en-AU"/>
        </w:rPr>
        <w:t xml:space="preserve"> </w:t>
      </w:r>
      <w:r w:rsidR="0085324B" w:rsidRPr="004D307F">
        <w:rPr>
          <w:rFonts w:ascii="VIC-Regular" w:eastAsia="Times New Roman" w:hAnsi="VIC-Regular" w:cs="Times New Roman"/>
          <w:color w:val="011A3C"/>
          <w:sz w:val="24"/>
          <w:szCs w:val="24"/>
          <w:lang w:val="en" w:eastAsia="en-AU"/>
        </w:rPr>
        <w:t>to</w:t>
      </w:r>
      <w:r w:rsidR="00B77069" w:rsidRPr="004D307F">
        <w:rPr>
          <w:rFonts w:ascii="VIC-Regular" w:eastAsia="Times New Roman" w:hAnsi="VIC-Regular" w:cs="Times New Roman"/>
          <w:color w:val="011A3C"/>
          <w:sz w:val="24"/>
          <w:szCs w:val="24"/>
          <w:lang w:val="en" w:eastAsia="en-AU"/>
        </w:rPr>
        <w:t xml:space="preserve"> </w:t>
      </w:r>
      <w:r w:rsidR="0085324B" w:rsidRPr="004D307F">
        <w:rPr>
          <w:rFonts w:ascii="VIC-Regular" w:eastAsia="Times New Roman" w:hAnsi="VIC-Regular" w:cs="Times New Roman"/>
          <w:color w:val="011A3C"/>
          <w:sz w:val="24"/>
          <w:szCs w:val="24"/>
          <w:lang w:val="en" w:eastAsia="en-AU"/>
        </w:rPr>
        <w:t>year</w:t>
      </w:r>
      <w:r w:rsidR="00B77069" w:rsidRPr="004D307F">
        <w:rPr>
          <w:rFonts w:ascii="VIC-Regular" w:eastAsia="Times New Roman" w:hAnsi="VIC-Regular" w:cs="Times New Roman"/>
          <w:color w:val="011A3C"/>
          <w:sz w:val="24"/>
          <w:szCs w:val="24"/>
          <w:lang w:val="en" w:eastAsia="en-AU"/>
        </w:rPr>
        <w:t xml:space="preserve"> 1 enrolments, 11 </w:t>
      </w:r>
      <w:r w:rsidR="0085324B"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 xml:space="preserve">2 enrolments, 50 </w:t>
      </w:r>
      <w:r w:rsidR="0085324B"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3</w:t>
      </w:r>
      <w:r w:rsidR="0085324B" w:rsidRPr="004D307F">
        <w:rPr>
          <w:rFonts w:ascii="VIC-Regular" w:eastAsia="Times New Roman" w:hAnsi="VIC-Regular" w:cs="Times New Roman"/>
          <w:color w:val="011A3C"/>
          <w:sz w:val="24"/>
          <w:szCs w:val="24"/>
          <w:lang w:val="en" w:eastAsia="en-AU"/>
        </w:rPr>
        <w:t xml:space="preserve"> to </w:t>
      </w:r>
      <w:r w:rsidR="00B77069" w:rsidRPr="004D307F">
        <w:rPr>
          <w:rFonts w:ascii="VIC-Regular" w:eastAsia="Times New Roman" w:hAnsi="VIC-Regular" w:cs="Times New Roman"/>
          <w:color w:val="011A3C"/>
          <w:sz w:val="24"/>
          <w:szCs w:val="24"/>
          <w:lang w:val="en" w:eastAsia="en-AU"/>
        </w:rPr>
        <w:t>6 enrolments and a</w:t>
      </w:r>
      <w:r w:rsidR="0085324B" w:rsidRPr="004D307F">
        <w:rPr>
          <w:rFonts w:ascii="VIC-Regular" w:eastAsia="Times New Roman" w:hAnsi="VIC-Regular" w:cs="Times New Roman"/>
          <w:color w:val="011A3C"/>
          <w:sz w:val="24"/>
          <w:szCs w:val="24"/>
          <w:lang w:val="en" w:eastAsia="en-AU"/>
        </w:rPr>
        <w:t xml:space="preserve"> school</w:t>
      </w:r>
      <w:r w:rsidR="00B77069" w:rsidRPr="004D307F">
        <w:rPr>
          <w:rFonts w:ascii="VIC-Regular" w:eastAsia="Times New Roman" w:hAnsi="VIC-Regular" w:cs="Times New Roman"/>
          <w:color w:val="011A3C"/>
          <w:sz w:val="24"/>
          <w:szCs w:val="24"/>
          <w:lang w:val="en" w:eastAsia="en-AU"/>
        </w:rPr>
        <w:t xml:space="preserve"> SFO density of </w:t>
      </w:r>
      <w:r w:rsidR="0085324B" w:rsidRPr="004D307F">
        <w:rPr>
          <w:rFonts w:ascii="VIC-Regular" w:eastAsia="Times New Roman" w:hAnsi="VIC-Regular" w:cs="Times New Roman"/>
          <w:color w:val="011A3C"/>
          <w:sz w:val="24"/>
          <w:szCs w:val="24"/>
          <w:lang w:val="en" w:eastAsia="en-AU"/>
        </w:rPr>
        <w:t>0</w:t>
      </w:r>
      <w:r w:rsidR="00B77069" w:rsidRPr="004D307F">
        <w:rPr>
          <w:rFonts w:ascii="VIC-Regular" w:eastAsia="Times New Roman" w:hAnsi="VIC-Regular" w:cs="Times New Roman"/>
          <w:color w:val="011A3C"/>
          <w:sz w:val="24"/>
          <w:szCs w:val="24"/>
          <w:lang w:val="en" w:eastAsia="en-AU"/>
        </w:rPr>
        <w:t xml:space="preserve">.5543 would </w:t>
      </w:r>
      <w:r w:rsidR="00953A7E" w:rsidRPr="004D307F">
        <w:rPr>
          <w:rFonts w:ascii="VIC-Regular" w:eastAsia="Times New Roman" w:hAnsi="VIC-Regular" w:cs="Times New Roman"/>
          <w:color w:val="011A3C"/>
          <w:sz w:val="24"/>
          <w:szCs w:val="24"/>
          <w:lang w:val="en" w:eastAsia="en-AU"/>
        </w:rPr>
        <w:t>calculate</w:t>
      </w:r>
      <w:r w:rsidR="00B77069" w:rsidRPr="004D307F">
        <w:rPr>
          <w:rFonts w:ascii="VIC-Regular" w:eastAsia="Times New Roman" w:hAnsi="VIC-Regular" w:cs="Times New Roman"/>
          <w:color w:val="011A3C"/>
          <w:sz w:val="24"/>
          <w:szCs w:val="24"/>
          <w:lang w:val="en" w:eastAsia="en-AU"/>
        </w:rPr>
        <w:t xml:space="preserve"> their funding as follows:</w:t>
      </w:r>
    </w:p>
    <w:p w14:paraId="5B28E033" w14:textId="3BE359D0" w:rsidR="00B77069" w:rsidRPr="004D307F" w:rsidRDefault="009D3396" w:rsidP="00B7706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b/>
          <w:bCs/>
          <w:lang w:val="en" w:eastAsia="en-AU"/>
        </w:rPr>
        <w:t xml:space="preserve">Part 1 </w:t>
      </w:r>
      <w:r w:rsidR="00B77069" w:rsidRPr="004D307F">
        <w:rPr>
          <w:b/>
          <w:bCs/>
          <w:lang w:val="en" w:eastAsia="en-AU"/>
        </w:rPr>
        <w:t>Student Allocation</w:t>
      </w:r>
      <w:r w:rsidRPr="004D307F">
        <w:rPr>
          <w:lang w:val="en" w:eastAsia="en-AU"/>
        </w:rPr>
        <w:t xml:space="preserve"> = </w:t>
      </w:r>
      <w:r w:rsidR="00B77069" w:rsidRPr="004D307F">
        <w:rPr>
          <w:rFonts w:ascii="VIC-Regular" w:eastAsia="Times New Roman" w:hAnsi="VIC-Regular" w:cs="Times New Roman"/>
          <w:color w:val="011A3C"/>
          <w:sz w:val="24"/>
          <w:szCs w:val="24"/>
          <w:lang w:val="en" w:eastAsia="en-AU"/>
        </w:rPr>
        <w:t>Base Allocation + (Prep</w:t>
      </w:r>
      <w:r w:rsidR="0085324B" w:rsidRPr="004D307F">
        <w:rPr>
          <w:rFonts w:ascii="VIC-Regular" w:eastAsia="Times New Roman" w:hAnsi="VIC-Regular" w:cs="Times New Roman"/>
          <w:color w:val="011A3C"/>
          <w:sz w:val="24"/>
          <w:szCs w:val="24"/>
          <w:lang w:val="en" w:eastAsia="en-AU"/>
        </w:rPr>
        <w:t xml:space="preserve"> to Y</w:t>
      </w:r>
      <w:r w:rsidR="00B77069" w:rsidRPr="004D307F">
        <w:rPr>
          <w:rFonts w:ascii="VIC-Regular" w:eastAsia="Times New Roman" w:hAnsi="VIC-Regular" w:cs="Times New Roman"/>
          <w:color w:val="011A3C"/>
          <w:sz w:val="24"/>
          <w:szCs w:val="24"/>
          <w:lang w:val="en" w:eastAsia="en-AU"/>
        </w:rPr>
        <w:t>1 Enrolment (21) x Prep</w:t>
      </w:r>
      <w:r w:rsidR="0085324B" w:rsidRPr="004D307F">
        <w:rPr>
          <w:rFonts w:ascii="VIC-Regular" w:eastAsia="Times New Roman" w:hAnsi="VIC-Regular" w:cs="Times New Roman"/>
          <w:color w:val="011A3C"/>
          <w:sz w:val="24"/>
          <w:szCs w:val="24"/>
          <w:lang w:val="en" w:eastAsia="en-AU"/>
        </w:rPr>
        <w:t xml:space="preserve"> t</w:t>
      </w:r>
      <w:r w:rsidR="0061396E" w:rsidRPr="004D307F">
        <w:rPr>
          <w:rFonts w:ascii="VIC-Regular" w:eastAsia="Times New Roman" w:hAnsi="VIC-Regular" w:cs="Times New Roman"/>
          <w:color w:val="011A3C"/>
          <w:sz w:val="24"/>
          <w:szCs w:val="24"/>
          <w:lang w:val="en" w:eastAsia="en-AU"/>
        </w:rPr>
        <w:t>o Y</w:t>
      </w:r>
      <w:r w:rsidR="00B77069" w:rsidRPr="004D307F">
        <w:rPr>
          <w:rFonts w:ascii="VIC-Regular" w:eastAsia="Times New Roman" w:hAnsi="VIC-Regular" w:cs="Times New Roman"/>
          <w:color w:val="011A3C"/>
          <w:sz w:val="24"/>
          <w:szCs w:val="24"/>
          <w:lang w:val="en" w:eastAsia="en-AU"/>
        </w:rPr>
        <w:t>1 weighted Rate) + (</w:t>
      </w:r>
      <w:r w:rsidR="0061396E"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 xml:space="preserve">2 Enrolment (11) x </w:t>
      </w:r>
      <w:r w:rsidR="0061396E"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2 weighted Rate) + (</w:t>
      </w:r>
      <w:r w:rsidR="0061396E"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3</w:t>
      </w:r>
      <w:r w:rsidR="0061396E" w:rsidRPr="004D307F">
        <w:rPr>
          <w:rFonts w:ascii="VIC-Regular" w:eastAsia="Times New Roman" w:hAnsi="VIC-Regular" w:cs="Times New Roman"/>
          <w:color w:val="011A3C"/>
          <w:sz w:val="24"/>
          <w:szCs w:val="24"/>
          <w:lang w:val="en" w:eastAsia="en-AU"/>
        </w:rPr>
        <w:t xml:space="preserve"> to</w:t>
      </w:r>
      <w:r w:rsidR="00B77069" w:rsidRPr="004D307F">
        <w:rPr>
          <w:rFonts w:ascii="VIC-Regular" w:eastAsia="Times New Roman" w:hAnsi="VIC-Regular" w:cs="Times New Roman"/>
          <w:color w:val="011A3C"/>
          <w:sz w:val="24"/>
          <w:szCs w:val="24"/>
          <w:lang w:val="en" w:eastAsia="en-AU"/>
        </w:rPr>
        <w:t xml:space="preserve">6 Enrolment (50) x </w:t>
      </w:r>
      <w:r w:rsidR="0061396E" w:rsidRPr="004D307F">
        <w:rPr>
          <w:rFonts w:ascii="VIC-Regular" w:eastAsia="Times New Roman" w:hAnsi="VIC-Regular" w:cs="Times New Roman"/>
          <w:color w:val="011A3C"/>
          <w:sz w:val="24"/>
          <w:szCs w:val="24"/>
          <w:lang w:val="en" w:eastAsia="en-AU"/>
        </w:rPr>
        <w:t xml:space="preserve">Year </w:t>
      </w:r>
      <w:r w:rsidR="00B77069" w:rsidRPr="004D307F">
        <w:rPr>
          <w:rFonts w:ascii="VIC-Regular" w:eastAsia="Times New Roman" w:hAnsi="VIC-Regular" w:cs="Times New Roman"/>
          <w:color w:val="011A3C"/>
          <w:sz w:val="24"/>
          <w:szCs w:val="24"/>
          <w:lang w:val="en" w:eastAsia="en-AU"/>
        </w:rPr>
        <w:t>3</w:t>
      </w:r>
      <w:r w:rsidR="0061396E" w:rsidRPr="004D307F">
        <w:rPr>
          <w:rFonts w:ascii="VIC-Regular" w:eastAsia="Times New Roman" w:hAnsi="VIC-Regular" w:cs="Times New Roman"/>
          <w:color w:val="011A3C"/>
          <w:sz w:val="24"/>
          <w:szCs w:val="24"/>
          <w:lang w:val="en" w:eastAsia="en-AU"/>
        </w:rPr>
        <w:t xml:space="preserve"> to </w:t>
      </w:r>
      <w:r w:rsidR="00B77069" w:rsidRPr="004D307F">
        <w:rPr>
          <w:rFonts w:ascii="VIC-Regular" w:eastAsia="Times New Roman" w:hAnsi="VIC-Regular" w:cs="Times New Roman"/>
          <w:color w:val="011A3C"/>
          <w:sz w:val="24"/>
          <w:szCs w:val="24"/>
          <w:lang w:val="en" w:eastAsia="en-AU"/>
        </w:rPr>
        <w:t>6 weighted Rate)</w:t>
      </w:r>
    </w:p>
    <w:p w14:paraId="61CB3D55" w14:textId="60DDAD82" w:rsidR="00AF1F09" w:rsidRPr="004D307F" w:rsidRDefault="009D3396" w:rsidP="000D106B">
      <w:pPr>
        <w:rPr>
          <w:rFonts w:ascii="VIC-Regular" w:eastAsia="Times New Roman" w:hAnsi="VIC-Regular" w:cs="Times New Roman"/>
          <w:color w:val="011A3C"/>
          <w:sz w:val="24"/>
          <w:szCs w:val="24"/>
          <w:lang w:val="en" w:eastAsia="en-AU"/>
        </w:rPr>
      </w:pPr>
      <w:r w:rsidRPr="004D307F">
        <w:rPr>
          <w:b/>
          <w:bCs/>
          <w:lang w:val="en" w:eastAsia="en-AU"/>
        </w:rPr>
        <w:t xml:space="preserve">Part 2 </w:t>
      </w:r>
      <w:r w:rsidR="00B77069" w:rsidRPr="004D307F">
        <w:rPr>
          <w:b/>
          <w:bCs/>
          <w:lang w:val="en" w:eastAsia="en-AU"/>
        </w:rPr>
        <w:t>SFO Allocation</w:t>
      </w:r>
      <w:r w:rsidRPr="004D307F">
        <w:rPr>
          <w:lang w:val="en" w:eastAsia="en-AU"/>
        </w:rPr>
        <w:t xml:space="preserve"> = </w:t>
      </w:r>
      <w:r w:rsidR="00AF1F09" w:rsidRPr="004D307F">
        <w:rPr>
          <w:rFonts w:ascii="VIC-Regular" w:eastAsia="Times New Roman" w:hAnsi="VIC-Regular" w:cs="Times New Roman"/>
          <w:color w:val="011A3C"/>
          <w:sz w:val="24"/>
          <w:szCs w:val="24"/>
          <w:lang w:val="en" w:eastAsia="en-AU"/>
        </w:rPr>
        <w:t>(Prep</w:t>
      </w:r>
      <w:r w:rsidR="0061396E" w:rsidRPr="004D307F">
        <w:rPr>
          <w:rFonts w:ascii="VIC-Regular" w:eastAsia="Times New Roman" w:hAnsi="VIC-Regular" w:cs="Times New Roman"/>
          <w:color w:val="011A3C"/>
          <w:sz w:val="24"/>
          <w:szCs w:val="24"/>
          <w:lang w:val="en" w:eastAsia="en-AU"/>
        </w:rPr>
        <w:t xml:space="preserve"> to Y</w:t>
      </w:r>
      <w:r w:rsidR="00AF1F09" w:rsidRPr="004D307F">
        <w:rPr>
          <w:rFonts w:ascii="VIC-Regular" w:eastAsia="Times New Roman" w:hAnsi="VIC-Regular" w:cs="Times New Roman"/>
          <w:color w:val="011A3C"/>
          <w:sz w:val="24"/>
          <w:szCs w:val="24"/>
          <w:lang w:val="en" w:eastAsia="en-AU"/>
        </w:rPr>
        <w:t>1 Enrolment (21) x Prep</w:t>
      </w:r>
      <w:r w:rsidR="00337C31" w:rsidRPr="004D307F">
        <w:rPr>
          <w:rFonts w:ascii="VIC-Regular" w:eastAsia="Times New Roman" w:hAnsi="VIC-Regular" w:cs="Times New Roman"/>
          <w:color w:val="011A3C"/>
          <w:sz w:val="24"/>
          <w:szCs w:val="24"/>
          <w:lang w:val="en" w:eastAsia="en-AU"/>
        </w:rPr>
        <w:t xml:space="preserve"> </w:t>
      </w:r>
      <w:r w:rsidR="0061396E" w:rsidRPr="004D307F">
        <w:rPr>
          <w:rFonts w:ascii="VIC-Regular" w:eastAsia="Times New Roman" w:hAnsi="VIC-Regular" w:cs="Times New Roman"/>
          <w:color w:val="011A3C"/>
          <w:sz w:val="24"/>
          <w:szCs w:val="24"/>
          <w:lang w:val="en" w:eastAsia="en-AU"/>
        </w:rPr>
        <w:t>to Y</w:t>
      </w:r>
      <w:r w:rsidR="00AF1F09" w:rsidRPr="004D307F">
        <w:rPr>
          <w:rFonts w:ascii="VIC-Regular" w:eastAsia="Times New Roman" w:hAnsi="VIC-Regular" w:cs="Times New Roman"/>
          <w:color w:val="011A3C"/>
          <w:sz w:val="24"/>
          <w:szCs w:val="24"/>
          <w:lang w:val="en" w:eastAsia="en-AU"/>
        </w:rPr>
        <w:t>1 SFO weighted Rate) + (</w:t>
      </w:r>
      <w:r w:rsidR="0061396E" w:rsidRPr="004D307F">
        <w:rPr>
          <w:rFonts w:ascii="VIC-Regular" w:eastAsia="Times New Roman" w:hAnsi="VIC-Regular" w:cs="Times New Roman"/>
          <w:color w:val="011A3C"/>
          <w:sz w:val="24"/>
          <w:szCs w:val="24"/>
          <w:lang w:val="en" w:eastAsia="en-AU"/>
        </w:rPr>
        <w:t xml:space="preserve">Year </w:t>
      </w:r>
      <w:r w:rsidR="00AF1F09" w:rsidRPr="004D307F">
        <w:rPr>
          <w:rFonts w:ascii="VIC-Regular" w:eastAsia="Times New Roman" w:hAnsi="VIC-Regular" w:cs="Times New Roman"/>
          <w:color w:val="011A3C"/>
          <w:sz w:val="24"/>
          <w:szCs w:val="24"/>
          <w:lang w:val="en" w:eastAsia="en-AU"/>
        </w:rPr>
        <w:t xml:space="preserve">2 Enrolment (11) x </w:t>
      </w:r>
      <w:r w:rsidR="0061396E" w:rsidRPr="004D307F">
        <w:rPr>
          <w:rFonts w:ascii="VIC-Regular" w:eastAsia="Times New Roman" w:hAnsi="VIC-Regular" w:cs="Times New Roman"/>
          <w:color w:val="011A3C"/>
          <w:sz w:val="24"/>
          <w:szCs w:val="24"/>
          <w:lang w:val="en" w:eastAsia="en-AU"/>
        </w:rPr>
        <w:t xml:space="preserve">Year </w:t>
      </w:r>
      <w:r w:rsidR="00AF1F09" w:rsidRPr="004D307F">
        <w:rPr>
          <w:rFonts w:ascii="VIC-Regular" w:eastAsia="Times New Roman" w:hAnsi="VIC-Regular" w:cs="Times New Roman"/>
          <w:color w:val="011A3C"/>
          <w:sz w:val="24"/>
          <w:szCs w:val="24"/>
          <w:lang w:val="en" w:eastAsia="en-AU"/>
        </w:rPr>
        <w:t>2 SFO weighted Rate) + (</w:t>
      </w:r>
      <w:r w:rsidR="0061396E" w:rsidRPr="004D307F">
        <w:rPr>
          <w:rFonts w:ascii="VIC-Regular" w:eastAsia="Times New Roman" w:hAnsi="VIC-Regular" w:cs="Times New Roman"/>
          <w:color w:val="011A3C"/>
          <w:sz w:val="24"/>
          <w:szCs w:val="24"/>
          <w:lang w:val="en" w:eastAsia="en-AU"/>
        </w:rPr>
        <w:t xml:space="preserve">Year </w:t>
      </w:r>
      <w:r w:rsidR="00AF1F09" w:rsidRPr="004D307F">
        <w:rPr>
          <w:rFonts w:ascii="VIC-Regular" w:eastAsia="Times New Roman" w:hAnsi="VIC-Regular" w:cs="Times New Roman"/>
          <w:color w:val="011A3C"/>
          <w:sz w:val="24"/>
          <w:szCs w:val="24"/>
          <w:lang w:val="en" w:eastAsia="en-AU"/>
        </w:rPr>
        <w:t>3</w:t>
      </w:r>
      <w:r w:rsidR="0061396E" w:rsidRPr="004D307F">
        <w:rPr>
          <w:rFonts w:ascii="VIC-Regular" w:eastAsia="Times New Roman" w:hAnsi="VIC-Regular" w:cs="Times New Roman"/>
          <w:color w:val="011A3C"/>
          <w:sz w:val="24"/>
          <w:szCs w:val="24"/>
          <w:lang w:val="en" w:eastAsia="en-AU"/>
        </w:rPr>
        <w:t xml:space="preserve"> to </w:t>
      </w:r>
      <w:r w:rsidR="00AF1F09" w:rsidRPr="004D307F">
        <w:rPr>
          <w:rFonts w:ascii="VIC-Regular" w:eastAsia="Times New Roman" w:hAnsi="VIC-Regular" w:cs="Times New Roman"/>
          <w:color w:val="011A3C"/>
          <w:sz w:val="24"/>
          <w:szCs w:val="24"/>
          <w:lang w:val="en" w:eastAsia="en-AU"/>
        </w:rPr>
        <w:t xml:space="preserve">6 Enrolment (50) x </w:t>
      </w:r>
      <w:r w:rsidR="0061396E" w:rsidRPr="004D307F">
        <w:rPr>
          <w:rFonts w:ascii="VIC-Regular" w:eastAsia="Times New Roman" w:hAnsi="VIC-Regular" w:cs="Times New Roman"/>
          <w:color w:val="011A3C"/>
          <w:sz w:val="24"/>
          <w:szCs w:val="24"/>
          <w:lang w:val="en" w:eastAsia="en-AU"/>
        </w:rPr>
        <w:t xml:space="preserve">Year </w:t>
      </w:r>
      <w:r w:rsidR="00AF1F09" w:rsidRPr="004D307F">
        <w:rPr>
          <w:rFonts w:ascii="VIC-Regular" w:eastAsia="Times New Roman" w:hAnsi="VIC-Regular" w:cs="Times New Roman"/>
          <w:color w:val="011A3C"/>
          <w:sz w:val="24"/>
          <w:szCs w:val="24"/>
          <w:lang w:val="en" w:eastAsia="en-AU"/>
        </w:rPr>
        <w:t>3</w:t>
      </w:r>
      <w:r w:rsidR="0061396E" w:rsidRPr="004D307F">
        <w:rPr>
          <w:rFonts w:ascii="VIC-Regular" w:eastAsia="Times New Roman" w:hAnsi="VIC-Regular" w:cs="Times New Roman"/>
          <w:color w:val="011A3C"/>
          <w:sz w:val="24"/>
          <w:szCs w:val="24"/>
          <w:lang w:val="en" w:eastAsia="en-AU"/>
        </w:rPr>
        <w:t xml:space="preserve"> to </w:t>
      </w:r>
      <w:r w:rsidR="00AF1F09" w:rsidRPr="004D307F">
        <w:rPr>
          <w:rFonts w:ascii="VIC-Regular" w:eastAsia="Times New Roman" w:hAnsi="VIC-Regular" w:cs="Times New Roman"/>
          <w:color w:val="011A3C"/>
          <w:sz w:val="24"/>
          <w:szCs w:val="24"/>
          <w:lang w:val="en" w:eastAsia="en-AU"/>
        </w:rPr>
        <w:t>6 SFO weighted Rate)</w:t>
      </w:r>
      <w:r w:rsidR="00953A7E" w:rsidRPr="004D307F">
        <w:rPr>
          <w:rFonts w:ascii="VIC-Regular" w:eastAsia="Times New Roman" w:hAnsi="VIC-Regular" w:cs="Times New Roman"/>
          <w:color w:val="011A3C"/>
          <w:sz w:val="24"/>
          <w:szCs w:val="24"/>
          <w:lang w:val="en" w:eastAsia="en-AU"/>
        </w:rPr>
        <w:t xml:space="preserve"> x</w:t>
      </w:r>
      <w:r w:rsidR="00AF1F09" w:rsidRPr="004D307F">
        <w:rPr>
          <w:rFonts w:ascii="VIC-Regular" w:eastAsia="Times New Roman" w:hAnsi="VIC-Regular" w:cs="Times New Roman"/>
          <w:color w:val="011A3C"/>
          <w:sz w:val="24"/>
          <w:szCs w:val="24"/>
          <w:lang w:val="en" w:eastAsia="en-AU"/>
        </w:rPr>
        <w:t xml:space="preserve"> (School SFO Index (</w:t>
      </w:r>
      <w:r w:rsidR="00953A7E" w:rsidRPr="004D307F">
        <w:rPr>
          <w:rFonts w:ascii="VIC-Regular" w:eastAsia="Times New Roman" w:hAnsi="VIC-Regular" w:cs="Times New Roman"/>
          <w:color w:val="011A3C"/>
          <w:sz w:val="24"/>
          <w:szCs w:val="24"/>
          <w:lang w:val="en" w:eastAsia="en-AU"/>
        </w:rPr>
        <w:t>0</w:t>
      </w:r>
      <w:r w:rsidR="00AF1F09" w:rsidRPr="004D307F">
        <w:rPr>
          <w:rFonts w:ascii="VIC-Regular" w:eastAsia="Times New Roman" w:hAnsi="VIC-Regular" w:cs="Times New Roman"/>
          <w:color w:val="011A3C"/>
          <w:sz w:val="24"/>
          <w:szCs w:val="24"/>
          <w:lang w:val="en" w:eastAsia="en-AU"/>
        </w:rPr>
        <w:t xml:space="preserve">.5543) – SFO </w:t>
      </w:r>
      <w:r w:rsidR="0061396E" w:rsidRPr="004D307F">
        <w:rPr>
          <w:rFonts w:ascii="VIC-Regular" w:eastAsia="Times New Roman" w:hAnsi="VIC-Regular" w:cs="Times New Roman"/>
          <w:color w:val="011A3C"/>
          <w:sz w:val="24"/>
          <w:szCs w:val="24"/>
          <w:lang w:val="en" w:eastAsia="en-AU"/>
        </w:rPr>
        <w:t xml:space="preserve">density </w:t>
      </w:r>
      <w:r w:rsidR="00AF1F09" w:rsidRPr="004D307F">
        <w:rPr>
          <w:rFonts w:ascii="VIC-Regular" w:eastAsia="Times New Roman" w:hAnsi="VIC-Regular" w:cs="Times New Roman"/>
          <w:color w:val="011A3C"/>
          <w:sz w:val="24"/>
          <w:szCs w:val="24"/>
          <w:lang w:val="en" w:eastAsia="en-AU"/>
        </w:rPr>
        <w:t>threshold)</w:t>
      </w:r>
    </w:p>
    <w:p w14:paraId="6CCB0661" w14:textId="33563C14" w:rsidR="00B77069" w:rsidRPr="004D307F" w:rsidRDefault="00AF1F09"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T</w:t>
      </w:r>
      <w:r w:rsidR="00B77069" w:rsidRPr="004D307F">
        <w:rPr>
          <w:rFonts w:ascii="VIC-Regular" w:eastAsia="Times New Roman" w:hAnsi="VIC-Regular" w:cs="Times New Roman"/>
          <w:b/>
          <w:bCs/>
          <w:color w:val="011A3C"/>
          <w:sz w:val="24"/>
          <w:szCs w:val="24"/>
          <w:lang w:val="en" w:eastAsia="en-AU"/>
        </w:rPr>
        <w:t>otal Allocation</w:t>
      </w:r>
      <w:r w:rsidR="00B77069" w:rsidRPr="004D307F">
        <w:rPr>
          <w:rFonts w:ascii="VIC-Regular" w:eastAsia="Times New Roman" w:hAnsi="VIC-Regular" w:cs="Times New Roman"/>
          <w:color w:val="011A3C"/>
          <w:sz w:val="24"/>
          <w:szCs w:val="24"/>
          <w:lang w:val="en" w:eastAsia="en-AU"/>
        </w:rPr>
        <w:t xml:space="preserve"> = Student allocation</w:t>
      </w:r>
      <w:r w:rsidR="0061396E" w:rsidRPr="004D307F">
        <w:rPr>
          <w:rFonts w:ascii="VIC-Regular" w:eastAsia="Times New Roman" w:hAnsi="VIC-Regular" w:cs="Times New Roman"/>
          <w:color w:val="011A3C"/>
          <w:sz w:val="24"/>
          <w:szCs w:val="24"/>
          <w:lang w:val="en" w:eastAsia="en-AU"/>
        </w:rPr>
        <w:t xml:space="preserve"> (part 1)</w:t>
      </w:r>
      <w:r w:rsidR="00B77069" w:rsidRPr="004D307F">
        <w:rPr>
          <w:rFonts w:ascii="VIC-Regular" w:eastAsia="Times New Roman" w:hAnsi="VIC-Regular" w:cs="Times New Roman"/>
          <w:color w:val="011A3C"/>
          <w:sz w:val="24"/>
          <w:szCs w:val="24"/>
          <w:lang w:val="en" w:eastAsia="en-AU"/>
        </w:rPr>
        <w:t xml:space="preserve"> + SFO Allocation</w:t>
      </w:r>
      <w:r w:rsidR="0061396E" w:rsidRPr="004D307F">
        <w:rPr>
          <w:rFonts w:ascii="VIC-Regular" w:eastAsia="Times New Roman" w:hAnsi="VIC-Regular" w:cs="Times New Roman"/>
          <w:color w:val="011A3C"/>
          <w:sz w:val="24"/>
          <w:szCs w:val="24"/>
          <w:lang w:val="en" w:eastAsia="en-AU"/>
        </w:rPr>
        <w:t xml:space="preserve"> (part 2) a</w:t>
      </w:r>
      <w:r w:rsidR="00557615" w:rsidRPr="004D307F">
        <w:rPr>
          <w:rFonts w:ascii="VIC-Regular" w:eastAsia="Times New Roman" w:hAnsi="VIC-Regular" w:cs="Times New Roman"/>
          <w:color w:val="011A3C"/>
          <w:sz w:val="24"/>
          <w:szCs w:val="24"/>
          <w:lang w:val="en" w:eastAsia="en-AU"/>
        </w:rPr>
        <w:t xml:space="preserve"> minimum allocation </w:t>
      </w:r>
      <w:r w:rsidR="0061396E" w:rsidRPr="004D307F">
        <w:rPr>
          <w:rFonts w:ascii="VIC-Regular" w:eastAsia="Times New Roman" w:hAnsi="VIC-Regular" w:cs="Times New Roman"/>
          <w:color w:val="011A3C"/>
          <w:sz w:val="24"/>
          <w:szCs w:val="24"/>
          <w:lang w:val="en" w:eastAsia="en-AU"/>
        </w:rPr>
        <w:t xml:space="preserve">is </w:t>
      </w:r>
      <w:r w:rsidR="00337C31" w:rsidRPr="004D307F">
        <w:rPr>
          <w:rFonts w:ascii="VIC-Regular" w:eastAsia="Times New Roman" w:hAnsi="VIC-Regular" w:cs="Times New Roman"/>
          <w:color w:val="011A3C"/>
          <w:sz w:val="24"/>
          <w:szCs w:val="24"/>
          <w:lang w:val="en" w:eastAsia="en-AU"/>
        </w:rPr>
        <w:t>provided if</w:t>
      </w:r>
      <w:r w:rsidR="0061396E" w:rsidRPr="004D307F">
        <w:rPr>
          <w:rFonts w:ascii="VIC-Regular" w:eastAsia="Times New Roman" w:hAnsi="VIC-Regular" w:cs="Times New Roman"/>
          <w:color w:val="011A3C"/>
          <w:sz w:val="24"/>
          <w:szCs w:val="24"/>
          <w:lang w:val="en" w:eastAsia="en-AU"/>
        </w:rPr>
        <w:t xml:space="preserve"> parts 1 and 2 do not generate the minimum funding of $5,000.</w:t>
      </w:r>
    </w:p>
    <w:p w14:paraId="2F0A1759" w14:textId="2DFB64CD" w:rsidR="00017551" w:rsidRPr="004D307F" w:rsidRDefault="00017551" w:rsidP="0001755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3357B4"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1"/>
        <w:gridCol w:w="1247"/>
        <w:gridCol w:w="2771"/>
        <w:gridCol w:w="2897"/>
      </w:tblGrid>
      <w:tr w:rsidR="00017551" w:rsidRPr="004D307F" w14:paraId="6C86C548" w14:textId="77777777" w:rsidTr="00124D27">
        <w:trPr>
          <w:tblHeader/>
        </w:trPr>
        <w:tc>
          <w:tcPr>
            <w:tcW w:w="0" w:type="auto"/>
            <w:hideMark/>
          </w:tcPr>
          <w:p w14:paraId="312E7E6F" w14:textId="77777777" w:rsidR="00017551" w:rsidRPr="004D307F" w:rsidRDefault="00017551" w:rsidP="00017551">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Student Rates</w:t>
            </w:r>
          </w:p>
        </w:tc>
        <w:tc>
          <w:tcPr>
            <w:tcW w:w="0" w:type="auto"/>
            <w:hideMark/>
          </w:tcPr>
          <w:p w14:paraId="5FB53EA4" w14:textId="77777777" w:rsidR="00017551" w:rsidRPr="004D307F" w:rsidRDefault="00017551" w:rsidP="00017551">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Weighting</w:t>
            </w:r>
          </w:p>
        </w:tc>
        <w:tc>
          <w:tcPr>
            <w:tcW w:w="0" w:type="auto"/>
            <w:hideMark/>
          </w:tcPr>
          <w:p w14:paraId="4730FD02" w14:textId="77777777" w:rsidR="00017551" w:rsidRPr="004D307F"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Weighted per student rate ($)</w:t>
            </w:r>
          </w:p>
          <w:p w14:paraId="3D6710FD" w14:textId="77777777" w:rsidR="00017551" w:rsidRPr="004D307F"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(Part 1)</w:t>
            </w:r>
          </w:p>
        </w:tc>
        <w:tc>
          <w:tcPr>
            <w:tcW w:w="0" w:type="auto"/>
            <w:hideMark/>
          </w:tcPr>
          <w:p w14:paraId="36039CE4" w14:textId="77777777" w:rsidR="00017551" w:rsidRPr="004D307F"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Weighted SFO student rate ($)</w:t>
            </w:r>
          </w:p>
          <w:p w14:paraId="43A6AEA5" w14:textId="77777777" w:rsidR="00017551" w:rsidRPr="004D307F" w:rsidRDefault="00017551" w:rsidP="00ED5B56">
            <w:pPr>
              <w:spacing w:before="100" w:beforeAutospacing="1" w:after="100" w:afterAutospacing="1"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(Part 2, if applicable)</w:t>
            </w:r>
          </w:p>
        </w:tc>
      </w:tr>
      <w:tr w:rsidR="00017551" w:rsidRPr="004D307F" w14:paraId="4EE4952E" w14:textId="77777777" w:rsidTr="00124D27">
        <w:tc>
          <w:tcPr>
            <w:tcW w:w="0" w:type="auto"/>
            <w:hideMark/>
          </w:tcPr>
          <w:p w14:paraId="094B5717" w14:textId="77777777" w:rsidR="00017551" w:rsidRPr="004D307F"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Prep-1</w:t>
            </w:r>
          </w:p>
        </w:tc>
        <w:tc>
          <w:tcPr>
            <w:tcW w:w="0" w:type="auto"/>
            <w:hideMark/>
          </w:tcPr>
          <w:p w14:paraId="2A58D19E" w14:textId="77777777" w:rsidR="00017551" w:rsidRPr="004D307F"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1.1750</w:t>
            </w:r>
          </w:p>
        </w:tc>
        <w:tc>
          <w:tcPr>
            <w:tcW w:w="0" w:type="auto"/>
            <w:hideMark/>
          </w:tcPr>
          <w:p w14:paraId="2C6E6015" w14:textId="79AB44FE"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41.09</w:t>
            </w:r>
          </w:p>
        </w:tc>
        <w:tc>
          <w:tcPr>
            <w:tcW w:w="0" w:type="auto"/>
            <w:hideMark/>
          </w:tcPr>
          <w:p w14:paraId="2168DC9F" w14:textId="3A82C992"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784.39</w:t>
            </w:r>
          </w:p>
        </w:tc>
      </w:tr>
      <w:tr w:rsidR="00017551" w:rsidRPr="004D307F" w14:paraId="18E5D519" w14:textId="77777777" w:rsidTr="00124D27">
        <w:tc>
          <w:tcPr>
            <w:tcW w:w="0" w:type="auto"/>
            <w:hideMark/>
          </w:tcPr>
          <w:p w14:paraId="323BE240" w14:textId="77777777" w:rsidR="00017551" w:rsidRPr="004D307F"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2</w:t>
            </w:r>
          </w:p>
        </w:tc>
        <w:tc>
          <w:tcPr>
            <w:tcW w:w="0" w:type="auto"/>
            <w:hideMark/>
          </w:tcPr>
          <w:p w14:paraId="3E63713D" w14:textId="77777777" w:rsidR="00017551" w:rsidRPr="004D307F"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1.0910</w:t>
            </w:r>
          </w:p>
        </w:tc>
        <w:tc>
          <w:tcPr>
            <w:tcW w:w="0" w:type="auto"/>
            <w:hideMark/>
          </w:tcPr>
          <w:p w14:paraId="07FC0FA6" w14:textId="467BC546"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38.15</w:t>
            </w:r>
          </w:p>
        </w:tc>
        <w:tc>
          <w:tcPr>
            <w:tcW w:w="0" w:type="auto"/>
            <w:hideMark/>
          </w:tcPr>
          <w:p w14:paraId="6BF108A7" w14:textId="154BE31A"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728.32</w:t>
            </w:r>
          </w:p>
        </w:tc>
      </w:tr>
      <w:tr w:rsidR="00017551" w:rsidRPr="004D307F" w14:paraId="7D6ECD01" w14:textId="77777777" w:rsidTr="00124D27">
        <w:tc>
          <w:tcPr>
            <w:tcW w:w="0" w:type="auto"/>
            <w:hideMark/>
          </w:tcPr>
          <w:p w14:paraId="442CDF3F" w14:textId="77777777" w:rsidR="00017551" w:rsidRPr="004D307F"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Years 3-6 (Base rates)</w:t>
            </w:r>
          </w:p>
        </w:tc>
        <w:tc>
          <w:tcPr>
            <w:tcW w:w="0" w:type="auto"/>
            <w:hideMark/>
          </w:tcPr>
          <w:p w14:paraId="087D5273" w14:textId="77777777" w:rsidR="00017551" w:rsidRPr="004D307F"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1.0000</w:t>
            </w:r>
          </w:p>
        </w:tc>
        <w:tc>
          <w:tcPr>
            <w:tcW w:w="0" w:type="auto"/>
            <w:hideMark/>
          </w:tcPr>
          <w:p w14:paraId="4AD0C218" w14:textId="1B5419AA"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34.97</w:t>
            </w:r>
          </w:p>
        </w:tc>
        <w:tc>
          <w:tcPr>
            <w:tcW w:w="0" w:type="auto"/>
            <w:hideMark/>
          </w:tcPr>
          <w:p w14:paraId="45B2F506" w14:textId="04695199"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667.57</w:t>
            </w:r>
          </w:p>
        </w:tc>
      </w:tr>
      <w:tr w:rsidR="00017551" w:rsidRPr="004D307F" w14:paraId="0F8CC413" w14:textId="77777777" w:rsidTr="00124D27">
        <w:tc>
          <w:tcPr>
            <w:tcW w:w="0" w:type="auto"/>
            <w:hideMark/>
          </w:tcPr>
          <w:p w14:paraId="1EBB99CC" w14:textId="77777777" w:rsidR="00017551" w:rsidRPr="004D307F" w:rsidRDefault="00017551" w:rsidP="000175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Years 7-9</w:t>
            </w:r>
          </w:p>
        </w:tc>
        <w:tc>
          <w:tcPr>
            <w:tcW w:w="0" w:type="auto"/>
            <w:hideMark/>
          </w:tcPr>
          <w:p w14:paraId="1E07F975" w14:textId="77777777" w:rsidR="00017551" w:rsidRPr="004D307F" w:rsidRDefault="0001755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1.3051</w:t>
            </w:r>
          </w:p>
        </w:tc>
        <w:tc>
          <w:tcPr>
            <w:tcW w:w="0" w:type="auto"/>
            <w:hideMark/>
          </w:tcPr>
          <w:p w14:paraId="32F9C8E2" w14:textId="576C0EF5"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45.64</w:t>
            </w:r>
          </w:p>
        </w:tc>
        <w:tc>
          <w:tcPr>
            <w:tcW w:w="0" w:type="auto"/>
            <w:hideMark/>
          </w:tcPr>
          <w:p w14:paraId="339C559A" w14:textId="6786A591" w:rsidR="00017551" w:rsidRPr="004D307F" w:rsidRDefault="00B473C1" w:rsidP="0061396E">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871.25</w:t>
            </w:r>
          </w:p>
        </w:tc>
      </w:tr>
    </w:tbl>
    <w:p w14:paraId="264AB930" w14:textId="77777777" w:rsidR="00017551" w:rsidRPr="004D307F" w:rsidRDefault="00017551" w:rsidP="00F66851">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SFO Threshold 0.4606</w:t>
      </w:r>
    </w:p>
    <w:p w14:paraId="1BAF2754" w14:textId="2D1AC2C7" w:rsidR="00017551" w:rsidRPr="004D307F" w:rsidRDefault="00017551" w:rsidP="00F66851">
      <w:pPr>
        <w:numPr>
          <w:ilvl w:val="0"/>
          <w:numId w:val="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Guaranteed Minimum $5</w:t>
      </w:r>
      <w:r w:rsidR="00B473C1"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000</w:t>
      </w:r>
    </w:p>
    <w:p w14:paraId="7DF222FB" w14:textId="2A5FF94E" w:rsidR="00F7405B" w:rsidRPr="004D307F" w:rsidRDefault="00017551" w:rsidP="004D307F">
      <w:pPr>
        <w:numPr>
          <w:ilvl w:val="0"/>
          <w:numId w:val="9"/>
        </w:numPr>
        <w:spacing w:before="100" w:beforeAutospacing="1" w:after="100" w:afterAutospacing="1" w:line="360" w:lineRule="atLeast"/>
        <w:rPr>
          <w:rFonts w:ascii="VIC-Bold" w:eastAsia="Times New Roman" w:hAnsi="VIC-Bold" w:cs="Times New Roman"/>
          <w:color w:val="011A3C"/>
          <w:sz w:val="36"/>
          <w:szCs w:val="36"/>
          <w:lang w:val="en" w:eastAsia="en-AU"/>
        </w:rPr>
      </w:pPr>
      <w:r w:rsidRPr="004D307F">
        <w:rPr>
          <w:rFonts w:ascii="VIC-Regular" w:eastAsia="Times New Roman" w:hAnsi="VIC-Regular" w:cs="Times New Roman"/>
          <w:color w:val="011A3C"/>
          <w:sz w:val="24"/>
          <w:szCs w:val="24"/>
          <w:lang w:val="en" w:eastAsia="en-AU"/>
        </w:rPr>
        <w:t>Base Allocation $3</w:t>
      </w:r>
      <w:r w:rsidR="00B473C1"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000</w:t>
      </w:r>
    </w:p>
    <w:p w14:paraId="11C5C54B" w14:textId="64FFE9EF" w:rsidR="009B668A" w:rsidRPr="004D307F" w:rsidRDefault="00C95606" w:rsidP="00B566E7">
      <w:pPr>
        <w:pStyle w:val="Heading2"/>
      </w:pPr>
      <w:bookmarkStart w:id="17" w:name="_Toc99882731"/>
      <w:r w:rsidRPr="004D307F">
        <w:lastRenderedPageBreak/>
        <w:t>M</w:t>
      </w:r>
      <w:r w:rsidR="009B668A" w:rsidRPr="004D307F">
        <w:t>ental Health</w:t>
      </w:r>
      <w:r w:rsidR="00AA54CC" w:rsidRPr="004D307F">
        <w:t xml:space="preserve"> Practi</w:t>
      </w:r>
      <w:r w:rsidR="00920576" w:rsidRPr="004D307F">
        <w:t>ti</w:t>
      </w:r>
      <w:r w:rsidR="00AA54CC" w:rsidRPr="004D307F">
        <w:t>oners</w:t>
      </w:r>
      <w:r w:rsidR="009B668A" w:rsidRPr="004D307F">
        <w:t xml:space="preserve"> (Reference 119)</w:t>
      </w:r>
      <w:bookmarkEnd w:id="17"/>
    </w:p>
    <w:p w14:paraId="6B2E7CB3" w14:textId="2056C5F2" w:rsidR="009B668A" w:rsidRPr="004D307F" w:rsidRDefault="009B668A"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Mental Health Practitioners (MHP) initiative provide</w:t>
      </w:r>
      <w:r w:rsidR="00400DB6" w:rsidRPr="004D307F">
        <w:rPr>
          <w:rFonts w:ascii="VIC-Regular" w:eastAsia="Times New Roman" w:hAnsi="VIC-Regular" w:cs="Times New Roman"/>
          <w:color w:val="011A3C"/>
          <w:sz w:val="24"/>
          <w:szCs w:val="24"/>
          <w:lang w:val="en" w:eastAsia="en-AU"/>
        </w:rPr>
        <w:t>s</w:t>
      </w:r>
      <w:r w:rsidRPr="004D307F">
        <w:rPr>
          <w:rFonts w:ascii="VIC-Regular" w:eastAsia="Times New Roman" w:hAnsi="VIC-Regular" w:cs="Times New Roman"/>
          <w:color w:val="011A3C"/>
          <w:sz w:val="24"/>
          <w:szCs w:val="24"/>
          <w:lang w:val="en" w:eastAsia="en-AU"/>
        </w:rPr>
        <w:t xml:space="preserve"> funding to government school campuses with secondary enrolments to employ a mental health practitioner (mental health nurse, occupational therapist, </w:t>
      </w:r>
      <w:proofErr w:type="gramStart"/>
      <w:r w:rsidRPr="004D307F">
        <w:rPr>
          <w:rFonts w:ascii="VIC-Regular" w:eastAsia="Times New Roman" w:hAnsi="VIC-Regular" w:cs="Times New Roman"/>
          <w:color w:val="011A3C"/>
          <w:sz w:val="24"/>
          <w:szCs w:val="24"/>
          <w:lang w:val="en" w:eastAsia="en-AU"/>
        </w:rPr>
        <w:t>psychologist</w:t>
      </w:r>
      <w:proofErr w:type="gramEnd"/>
      <w:r w:rsidRPr="004D307F">
        <w:rPr>
          <w:rFonts w:ascii="VIC-Regular" w:eastAsia="Times New Roman" w:hAnsi="VIC-Regular" w:cs="Times New Roman"/>
          <w:color w:val="011A3C"/>
          <w:sz w:val="24"/>
          <w:szCs w:val="24"/>
          <w:lang w:val="en" w:eastAsia="en-AU"/>
        </w:rPr>
        <w:t xml:space="preserve"> or social worker) for between one and five days a week.</w:t>
      </w:r>
    </w:p>
    <w:p w14:paraId="7172D08B" w14:textId="6185322C"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Mental health practitioners provide direct counselling support to students and other early intervention and whole-school health promotion activities, as well as coordinating support for students with complex needs.</w:t>
      </w:r>
    </w:p>
    <w:p w14:paraId="564D426B" w14:textId="5D5A5765" w:rsidR="00D836DB" w:rsidRPr="004D307F" w:rsidRDefault="00D836DB"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information on the rollout of the MHP initiative, refer to Mental health practitioners in secondary schools in the Department’s Mental Health Toolkit.</w:t>
      </w:r>
    </w:p>
    <w:p w14:paraId="5CB74587" w14:textId="30F5C0EC" w:rsidR="009B668A" w:rsidRPr="004D307F" w:rsidRDefault="001039D9"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 Resource Package (</w:t>
      </w:r>
      <w:r w:rsidR="009B668A" w:rsidRPr="004D307F">
        <w:rPr>
          <w:rFonts w:ascii="VIC-Regular" w:eastAsia="Times New Roman" w:hAnsi="VIC-Regular" w:cs="Times New Roman"/>
          <w:color w:val="011A3C"/>
          <w:sz w:val="24"/>
          <w:szCs w:val="24"/>
          <w:lang w:val="en" w:eastAsia="en-AU"/>
        </w:rPr>
        <w:t>SRP</w:t>
      </w:r>
      <w:r w:rsidRPr="004D307F">
        <w:rPr>
          <w:rFonts w:ascii="VIC-Regular" w:eastAsia="Times New Roman" w:hAnsi="VIC-Regular" w:cs="Times New Roman"/>
          <w:color w:val="011A3C"/>
          <w:sz w:val="24"/>
          <w:szCs w:val="24"/>
          <w:lang w:val="en" w:eastAsia="en-AU"/>
        </w:rPr>
        <w:t>)</w:t>
      </w:r>
      <w:r w:rsidR="009B668A" w:rsidRPr="004D307F">
        <w:rPr>
          <w:rFonts w:ascii="VIC-Regular" w:eastAsia="Times New Roman" w:hAnsi="VIC-Regular" w:cs="Times New Roman"/>
          <w:color w:val="011A3C"/>
          <w:sz w:val="24"/>
          <w:szCs w:val="24"/>
          <w:lang w:val="en" w:eastAsia="en-AU"/>
        </w:rPr>
        <w:t xml:space="preserve"> funding </w:t>
      </w:r>
      <w:r w:rsidR="00400DB6" w:rsidRPr="004D307F">
        <w:rPr>
          <w:rFonts w:ascii="VIC-Regular" w:eastAsia="Times New Roman" w:hAnsi="VIC-Regular" w:cs="Times New Roman"/>
          <w:color w:val="011A3C"/>
          <w:sz w:val="24"/>
          <w:szCs w:val="24"/>
          <w:lang w:val="en" w:eastAsia="en-AU"/>
        </w:rPr>
        <w:t>is</w:t>
      </w:r>
      <w:r w:rsidR="009B668A" w:rsidRPr="004D307F">
        <w:rPr>
          <w:rFonts w:ascii="VIC-Regular" w:eastAsia="Times New Roman" w:hAnsi="VIC-Regular" w:cs="Times New Roman"/>
          <w:color w:val="011A3C"/>
          <w:sz w:val="24"/>
          <w:szCs w:val="24"/>
          <w:lang w:val="en" w:eastAsia="en-AU"/>
        </w:rPr>
        <w:t xml:space="preserve"> provided to cover the salary of an ongoing school-based mental health practitioner. Participating schools will receive between a minimum of 0.2 FTE and a maximum of 1.0 FTE, depending on their secondary student enrolments.</w:t>
      </w:r>
    </w:p>
    <w:p w14:paraId="754E91C5" w14:textId="7D9E1620"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FTE allocations will be fixed from the time of entry into the MHP initiative until the rollout period is complete. After the rollout period ends, FTE allocations will be </w:t>
      </w:r>
      <w:proofErr w:type="gramStart"/>
      <w:r w:rsidRPr="004D307F">
        <w:rPr>
          <w:rFonts w:ascii="VIC-Regular" w:eastAsia="Times New Roman" w:hAnsi="VIC-Regular" w:cs="Times New Roman"/>
          <w:color w:val="011A3C"/>
          <w:sz w:val="24"/>
          <w:szCs w:val="24"/>
          <w:lang w:val="en" w:eastAsia="en-AU"/>
        </w:rPr>
        <w:t>reviewed</w:t>
      </w:r>
      <w:proofErr w:type="gramEnd"/>
      <w:r w:rsidRPr="004D307F">
        <w:rPr>
          <w:rFonts w:ascii="VIC-Regular" w:eastAsia="Times New Roman" w:hAnsi="VIC-Regular" w:cs="Times New Roman"/>
          <w:color w:val="011A3C"/>
          <w:sz w:val="24"/>
          <w:szCs w:val="24"/>
          <w:lang w:val="en" w:eastAsia="en-AU"/>
        </w:rPr>
        <w:t xml:space="preserve"> and adjustments may be made. The first rollout period concludes in 2022.</w:t>
      </w:r>
    </w:p>
    <w:p w14:paraId="2B861B15" w14:textId="77777777" w:rsidR="00DF78FB" w:rsidRPr="004D307F" w:rsidRDefault="00DF78FB" w:rsidP="00DF78FB">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funding is provided for the Mental Health Practitioners initiative only and allocated funding must be spent for this purpose. Prior to spending any accrued unused funding, schools should engage with their Area-based Mental Health Coordinator and refer to the MHP initiative School Implementation Guide.</w:t>
      </w:r>
    </w:p>
    <w:p w14:paraId="623B20C9" w14:textId="77777777" w:rsidR="009B668A" w:rsidRPr="004D307F" w:rsidRDefault="009B668A" w:rsidP="00B61E94">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2C79778C" w14:textId="7C7F1516" w:rsidR="00BC3588" w:rsidRPr="004D307F" w:rsidRDefault="009B668A" w:rsidP="009B668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w:t>
      </w:r>
      <w:r w:rsidR="00400DB6" w:rsidRPr="004D307F">
        <w:rPr>
          <w:rFonts w:ascii="VIC-Regular" w:eastAsia="Times New Roman" w:hAnsi="VIC-Regular" w:cs="Times New Roman"/>
          <w:color w:val="011A3C"/>
          <w:sz w:val="24"/>
          <w:szCs w:val="24"/>
          <w:lang w:val="en" w:eastAsia="en-AU"/>
        </w:rPr>
        <w:t>has been</w:t>
      </w:r>
      <w:r w:rsidRPr="004D307F">
        <w:rPr>
          <w:rFonts w:ascii="VIC-Regular" w:eastAsia="Times New Roman" w:hAnsi="VIC-Regular" w:cs="Times New Roman"/>
          <w:color w:val="011A3C"/>
          <w:sz w:val="24"/>
          <w:szCs w:val="24"/>
          <w:lang w:val="en" w:eastAsia="en-AU"/>
        </w:rPr>
        <w:t xml:space="preserve"> progressively rolled out to </w:t>
      </w:r>
      <w:r w:rsidR="004E1F6F" w:rsidRPr="004D307F">
        <w:rPr>
          <w:rFonts w:ascii="VIC-Regular" w:eastAsia="Times New Roman" w:hAnsi="VIC-Regular" w:cs="Times New Roman"/>
          <w:color w:val="011A3C"/>
          <w:sz w:val="24"/>
          <w:szCs w:val="24"/>
          <w:lang w:val="en" w:eastAsia="en-AU"/>
        </w:rPr>
        <w:t xml:space="preserve">Secondary and Primary / Secondary Combined </w:t>
      </w:r>
      <w:r w:rsidRPr="004D307F">
        <w:rPr>
          <w:rFonts w:ascii="VIC-Regular" w:eastAsia="Times New Roman" w:hAnsi="VIC-Regular" w:cs="Times New Roman"/>
          <w:color w:val="011A3C"/>
          <w:sz w:val="24"/>
          <w:szCs w:val="24"/>
          <w:lang w:val="en" w:eastAsia="en-AU"/>
        </w:rPr>
        <w:t>campuses with secondary enrolments according to an Area-based implementation model from 2019 to 202</w:t>
      </w:r>
      <w:r w:rsidR="00400DB6" w:rsidRPr="004D307F">
        <w:rPr>
          <w:rFonts w:ascii="VIC-Regular" w:eastAsia="Times New Roman" w:hAnsi="VIC-Regular" w:cs="Times New Roman"/>
          <w:color w:val="011A3C"/>
          <w:sz w:val="24"/>
          <w:szCs w:val="24"/>
          <w:lang w:val="en" w:eastAsia="en-AU"/>
        </w:rPr>
        <w:t>1</w:t>
      </w:r>
      <w:r w:rsidRPr="004D307F">
        <w:rPr>
          <w:rFonts w:ascii="VIC-Regular" w:eastAsia="Times New Roman" w:hAnsi="VIC-Regular" w:cs="Times New Roman"/>
          <w:color w:val="011A3C"/>
          <w:sz w:val="24"/>
          <w:szCs w:val="24"/>
          <w:lang w:val="en" w:eastAsia="en-AU"/>
        </w:rPr>
        <w:t>.</w:t>
      </w:r>
      <w:r w:rsidR="00B046EE" w:rsidRPr="004D307F">
        <w:rPr>
          <w:rFonts w:ascii="VIC-Regular" w:eastAsia="Times New Roman" w:hAnsi="VIC-Regular" w:cs="Times New Roman"/>
          <w:color w:val="011A3C"/>
          <w:sz w:val="24"/>
          <w:szCs w:val="24"/>
          <w:lang w:val="en" w:eastAsia="en-AU"/>
        </w:rPr>
        <w:t xml:space="preserve"> </w:t>
      </w:r>
      <w:r w:rsidR="00B63F2C" w:rsidRPr="004D307F">
        <w:rPr>
          <w:rFonts w:ascii="VIC-Regular" w:eastAsia="Times New Roman" w:hAnsi="VIC-Regular" w:cs="Times New Roman"/>
          <w:color w:val="011A3C"/>
          <w:sz w:val="24"/>
          <w:szCs w:val="24"/>
          <w:lang w:val="en" w:eastAsia="en-AU"/>
        </w:rPr>
        <w:t>F</w:t>
      </w:r>
      <w:r w:rsidR="007A6795" w:rsidRPr="004D307F">
        <w:rPr>
          <w:rFonts w:ascii="VIC-Regular" w:eastAsia="Times New Roman" w:hAnsi="VIC-Regular" w:cs="Times New Roman"/>
          <w:color w:val="011A3C"/>
          <w:sz w:val="24"/>
          <w:szCs w:val="24"/>
          <w:lang w:val="en" w:eastAsia="en-AU"/>
        </w:rPr>
        <w:t>unding is allocated as credit and cash</w:t>
      </w:r>
      <w:r w:rsidR="00B046EE" w:rsidRPr="004D307F">
        <w:rPr>
          <w:rFonts w:ascii="VIC-Regular" w:eastAsia="Times New Roman" w:hAnsi="VIC-Regular" w:cs="Times New Roman"/>
          <w:color w:val="011A3C"/>
          <w:sz w:val="24"/>
          <w:szCs w:val="24"/>
          <w:lang w:val="en" w:eastAsia="en-AU"/>
        </w:rPr>
        <w:t>.</w:t>
      </w:r>
    </w:p>
    <w:p w14:paraId="40AE3ADB" w14:textId="77777777" w:rsidR="00C53D2A" w:rsidRPr="004D307F" w:rsidRDefault="00C53D2A" w:rsidP="009B668A">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p>
    <w:p w14:paraId="02C574AA" w14:textId="62533086" w:rsidR="009B668A" w:rsidRPr="004D307F"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6C195AAC" w14:textId="429C8ACE"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lastRenderedPageBreak/>
        <w:t>Campus FTE Allocation (Part 1)</w:t>
      </w:r>
      <w:r w:rsidRPr="004D307F">
        <w:rPr>
          <w:rFonts w:ascii="VIC-Regular" w:eastAsia="Times New Roman" w:hAnsi="VIC-Regular" w:cs="Times New Roman"/>
          <w:color w:val="011A3C"/>
          <w:sz w:val="24"/>
          <w:szCs w:val="24"/>
          <w:lang w:val="en" w:eastAsia="en-AU"/>
        </w:rPr>
        <w:t xml:space="preserve"> = Secondary Enrolments * 0.0008119</w:t>
      </w:r>
      <w:r w:rsidR="004E099D" w:rsidRPr="004D307F">
        <w:rPr>
          <w:rFonts w:ascii="VIC-Regular" w:eastAsia="Times New Roman" w:hAnsi="VIC-Regular" w:cs="Times New Roman"/>
          <w:color w:val="011A3C"/>
          <w:sz w:val="24"/>
          <w:szCs w:val="24"/>
          <w:lang w:val="en" w:eastAsia="en-AU"/>
        </w:rPr>
        <w:t xml:space="preserve"> </w:t>
      </w:r>
    </w:p>
    <w:p w14:paraId="23B86C2E" w14:textId="6D32F792"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Funding Calculation (Part 2)</w:t>
      </w:r>
      <w:r w:rsidRPr="004D307F">
        <w:rPr>
          <w:rFonts w:ascii="VIC-Regular" w:eastAsia="Times New Roman" w:hAnsi="VIC-Regular" w:cs="Times New Roman"/>
          <w:color w:val="011A3C"/>
          <w:sz w:val="24"/>
          <w:szCs w:val="24"/>
          <w:lang w:val="en" w:eastAsia="en-AU"/>
        </w:rPr>
        <w:t xml:space="preserve"> = Campus FTE Allocation</w:t>
      </w:r>
      <w:r w:rsidR="004E099D" w:rsidRPr="004D307F">
        <w:rPr>
          <w:rFonts w:ascii="VIC-Regular" w:eastAsia="Times New Roman" w:hAnsi="VIC-Regular" w:cs="Times New Roman"/>
          <w:color w:val="011A3C"/>
          <w:sz w:val="24"/>
          <w:szCs w:val="24"/>
          <w:lang w:val="en" w:eastAsia="en-AU"/>
        </w:rPr>
        <w:t xml:space="preserve"> (rounded to 1 decimal)</w:t>
      </w:r>
      <w:r w:rsidRPr="004D307F">
        <w:rPr>
          <w:rFonts w:ascii="VIC-Regular" w:eastAsia="Times New Roman" w:hAnsi="VIC-Regular" w:cs="Times New Roman"/>
          <w:color w:val="011A3C"/>
          <w:sz w:val="24"/>
          <w:szCs w:val="24"/>
          <w:lang w:val="en" w:eastAsia="en-AU"/>
        </w:rPr>
        <w:t xml:space="preserve"> * Rate</w:t>
      </w:r>
    </w:p>
    <w:p w14:paraId="219B837E" w14:textId="77777777" w:rsidR="009B668A" w:rsidRPr="004D307F" w:rsidRDefault="009B668A" w:rsidP="009B668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w:t>
      </w:r>
    </w:p>
    <w:p w14:paraId="66102BA6" w14:textId="457FE07D" w:rsidR="009B668A" w:rsidRPr="004D307F" w:rsidRDefault="009B668A" w:rsidP="009B668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Rate </w:t>
      </w:r>
      <w:r w:rsidR="00C53D2A" w:rsidRPr="004D307F">
        <w:rPr>
          <w:rFonts w:ascii="VIC-Regular" w:eastAsia="Times New Roman" w:hAnsi="VIC-Regular" w:cs="Times New Roman"/>
          <w:color w:val="011A3C"/>
          <w:sz w:val="24"/>
          <w:szCs w:val="24"/>
          <w:lang w:val="en" w:eastAsia="en-AU"/>
        </w:rPr>
        <w:t>= $</w:t>
      </w:r>
      <w:proofErr w:type="gramStart"/>
      <w:r w:rsidR="00400982" w:rsidRPr="004D307F">
        <w:rPr>
          <w:rFonts w:ascii="VIC-Regular" w:eastAsia="Times New Roman" w:hAnsi="VIC-Regular" w:cs="Times New Roman"/>
          <w:color w:val="011A3C"/>
          <w:sz w:val="24"/>
          <w:szCs w:val="24"/>
          <w:lang w:val="en" w:eastAsia="en-AU"/>
        </w:rPr>
        <w:t>109,138.46</w:t>
      </w:r>
      <w:r w:rsidR="0024684E"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w:t>
      </w:r>
      <w:proofErr w:type="gramEnd"/>
      <w:r w:rsidR="00FC074C" w:rsidRPr="004D307F">
        <w:rPr>
          <w:rFonts w:ascii="VIC-Regular" w:eastAsia="Times New Roman" w:hAnsi="VIC-Regular" w:cs="Times New Roman"/>
          <w:color w:val="011A3C"/>
          <w:sz w:val="24"/>
          <w:szCs w:val="24"/>
          <w:lang w:val="en" w:eastAsia="en-AU"/>
        </w:rPr>
        <w:t>M</w:t>
      </w:r>
      <w:r w:rsidRPr="004D307F">
        <w:rPr>
          <w:rFonts w:ascii="VIC-Regular" w:eastAsia="Times New Roman" w:hAnsi="VIC-Regular" w:cs="Times New Roman"/>
          <w:color w:val="011A3C"/>
          <w:sz w:val="24"/>
          <w:szCs w:val="24"/>
          <w:lang w:val="en" w:eastAsia="en-AU"/>
        </w:rPr>
        <w:t>idpoint of an Education Support, Level 1 Range 4, position including school SRP on costs)</w:t>
      </w:r>
    </w:p>
    <w:p w14:paraId="2B6F0E41" w14:textId="5E82A19D" w:rsidR="00AD16F0" w:rsidRPr="004D307F" w:rsidRDefault="00AD16F0" w:rsidP="006A5663">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579AFFD9" w14:textId="70561394" w:rsidR="00AD16F0" w:rsidRPr="004D307F" w:rsidRDefault="000D106B" w:rsidP="006A5663">
      <w:pPr>
        <w:spacing w:before="100" w:beforeAutospacing="1" w:after="100" w:afterAutospacing="1" w:line="360" w:lineRule="atLeast"/>
        <w:rPr>
          <w:rStyle w:val="Hyperlink"/>
        </w:rPr>
      </w:pPr>
      <w:r w:rsidRPr="004D307F">
        <w:rPr>
          <w:rStyle w:val="Hyperlink"/>
        </w:rPr>
        <w:br w:type="page"/>
      </w:r>
    </w:p>
    <w:p w14:paraId="26FB9095" w14:textId="2E6AE323" w:rsidR="00ED4312" w:rsidRPr="004D307F" w:rsidRDefault="00ED4312" w:rsidP="000F3581">
      <w:pPr>
        <w:pStyle w:val="Heading1"/>
      </w:pPr>
      <w:bookmarkStart w:id="18" w:name="_Toc99882732"/>
      <w:r w:rsidRPr="004D307F">
        <w:lastRenderedPageBreak/>
        <w:t>Equity Funding (Student Based Funding)</w:t>
      </w:r>
      <w:bookmarkEnd w:id="18"/>
    </w:p>
    <w:p w14:paraId="43E8830D" w14:textId="77777777" w:rsidR="004923E8" w:rsidRPr="004D307F" w:rsidRDefault="004923E8" w:rsidP="004D307F">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Policy</w:t>
      </w:r>
    </w:p>
    <w:p w14:paraId="49F856AC" w14:textId="77777777" w:rsidR="004923E8" w:rsidRPr="004D307F" w:rsidRDefault="004923E8" w:rsidP="00A92C4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policy</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provides information about how funding is allocated to schools through the Student Resource Package (SRP) for additional learning needs.</w:t>
      </w:r>
    </w:p>
    <w:p w14:paraId="5721F33A" w14:textId="77777777" w:rsidR="004923E8" w:rsidRPr="004D307F" w:rsidRDefault="004923E8" w:rsidP="004D307F">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Details</w:t>
      </w:r>
    </w:p>
    <w:p w14:paraId="4C7CE3BE" w14:textId="46B15770" w:rsidR="004923E8" w:rsidRPr="004D307F" w:rsidRDefault="004923E8" w:rsidP="00A92C4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Equity funding is one of two types of </w:t>
      </w:r>
      <w:r w:rsidR="00A92C40" w:rsidRPr="004D307F">
        <w:rPr>
          <w:rFonts w:ascii="VIC" w:eastAsia="Times New Roman" w:hAnsi="VIC" w:cs="Times New Roman"/>
          <w:color w:val="011A3C"/>
          <w:sz w:val="24"/>
          <w:szCs w:val="24"/>
          <w:lang w:val="en" w:eastAsia="en-AU"/>
        </w:rPr>
        <w:t>student-based</w:t>
      </w:r>
      <w:r w:rsidRPr="004D307F">
        <w:rPr>
          <w:rFonts w:ascii="VIC" w:eastAsia="Times New Roman" w:hAnsi="VIC" w:cs="Times New Roman"/>
          <w:color w:val="011A3C"/>
          <w:sz w:val="24"/>
          <w:szCs w:val="24"/>
          <w:lang w:val="en" w:eastAsia="en-AU"/>
        </w:rPr>
        <w:t xml:space="preserve"> funding. The other type of student based funding is</w:t>
      </w:r>
      <w:r w:rsidRPr="004D307F">
        <w:rPr>
          <w:rFonts w:ascii="Calibri" w:eastAsia="Times New Roman" w:hAnsi="Calibri" w:cs="Calibri" w:hint="eastAsia"/>
          <w:color w:val="011A3C"/>
          <w:sz w:val="24"/>
          <w:szCs w:val="24"/>
          <w:lang w:val="en" w:eastAsia="en-AU"/>
        </w:rPr>
        <w:t> </w:t>
      </w:r>
      <w:hyperlink r:id="rId22" w:history="1">
        <w:r w:rsidRPr="004D307F">
          <w:rPr>
            <w:rStyle w:val="Hyperlink"/>
            <w:rFonts w:ascii="VIC" w:eastAsia="Times New Roman" w:hAnsi="VIC" w:cs="Times New Roman"/>
            <w:sz w:val="24"/>
            <w:szCs w:val="24"/>
            <w:lang w:val="en" w:eastAsia="en-AU"/>
          </w:rPr>
          <w:t>Core Student Learning Allocation Funding.</w:t>
        </w:r>
      </w:hyperlink>
    </w:p>
    <w:p w14:paraId="6E39CA89" w14:textId="77777777" w:rsidR="004923E8" w:rsidRPr="004D307F" w:rsidRDefault="004923E8" w:rsidP="00A92C4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based funding represents the main funding source for all schools and comprises approximately 90% of the total SRP provided to schools.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This funding is designed to cover core teaching and learning, leadership, teaching support, professional development, relief teaching, payroll tax and superannuation costs for the school.</w:t>
      </w:r>
      <w:r w:rsidRPr="004D307F">
        <w:rPr>
          <w:rFonts w:ascii="Calibri" w:eastAsia="Times New Roman" w:hAnsi="Calibri" w:cs="Calibri" w:hint="eastAsia"/>
          <w:color w:val="011A3C"/>
          <w:sz w:val="24"/>
          <w:szCs w:val="24"/>
          <w:lang w:val="en" w:eastAsia="en-AU"/>
        </w:rPr>
        <w:t> </w:t>
      </w:r>
    </w:p>
    <w:p w14:paraId="3A1BD3CB" w14:textId="77777777" w:rsidR="004923E8" w:rsidRPr="004D307F" w:rsidRDefault="004923E8" w:rsidP="004923E8">
      <w:pPr>
        <w:pStyle w:val="NormalWeb"/>
        <w:rPr>
          <w:rFonts w:ascii="VIC" w:hAnsi="VIC"/>
          <w:color w:val="011A3C"/>
          <w:lang w:val="en"/>
        </w:rPr>
      </w:pPr>
      <w:r w:rsidRPr="004D307F">
        <w:rPr>
          <w:rFonts w:ascii="VIC" w:hAnsi="VIC"/>
          <w:color w:val="011A3C"/>
          <w:lang w:val="en"/>
        </w:rPr>
        <w:t>The SRP provides equity funding where additional funding is required to compensate for additional learning needs. The specific types of Equity funding are listed below.</w:t>
      </w:r>
    </w:p>
    <w:p w14:paraId="5898ED7C" w14:textId="77777777" w:rsidR="004923E8" w:rsidRPr="004D307F" w:rsidRDefault="004923E8" w:rsidP="004923E8">
      <w:pPr>
        <w:pStyle w:val="NormalWeb"/>
        <w:rPr>
          <w:rFonts w:ascii="VIC" w:hAnsi="VIC"/>
          <w:color w:val="011A3C"/>
        </w:rPr>
      </w:pPr>
      <w:r w:rsidRPr="004D307F">
        <w:rPr>
          <w:rFonts w:ascii="VIC" w:hAnsi="VIC"/>
          <w:color w:val="011A3C"/>
        </w:rPr>
        <w:t>The</w:t>
      </w:r>
      <w:r w:rsidRPr="004D307F">
        <w:rPr>
          <w:rFonts w:ascii="Calibri" w:hAnsi="Calibri" w:cs="Calibri"/>
          <w:color w:val="011A3C"/>
        </w:rPr>
        <w:t> </w:t>
      </w:r>
      <w:hyperlink r:id="rId23" w:history="1">
        <w:r w:rsidRPr="004D307F">
          <w:rPr>
            <w:rStyle w:val="Hyperlink"/>
            <w:rFonts w:ascii="VIC" w:eastAsiaTheme="minorHAnsi" w:hAnsi="VIC" w:cstheme="minorBidi"/>
            <w:sz w:val="22"/>
            <w:szCs w:val="22"/>
            <w:lang w:val="en"/>
          </w:rPr>
          <w:t>Guidance tab</w:t>
        </w:r>
      </w:hyperlink>
      <w:r w:rsidRPr="004D307F">
        <w:rPr>
          <w:rFonts w:ascii="Calibri" w:hAnsi="Calibri" w:cs="Calibri"/>
          <w:color w:val="011A3C"/>
        </w:rPr>
        <w:t> </w:t>
      </w:r>
      <w:r w:rsidRPr="004D307F">
        <w:rPr>
          <w:rFonts w:ascii="VIC" w:eastAsiaTheme="minorHAnsi" w:hAnsi="VIC" w:cstheme="minorBidi"/>
          <w:color w:val="011A3C"/>
          <w:sz w:val="22"/>
          <w:szCs w:val="22"/>
          <w:lang w:eastAsia="en-US"/>
        </w:rPr>
        <w:t>provides information about each of the specific types of equity funding:</w:t>
      </w:r>
    </w:p>
    <w:p w14:paraId="7DDB869C" w14:textId="77777777" w:rsidR="004923E8" w:rsidRPr="004D307F" w:rsidRDefault="004923E8" w:rsidP="004923E8">
      <w:pPr>
        <w:pStyle w:val="Heading3"/>
        <w:spacing w:line="288" w:lineRule="atLeast"/>
        <w:rPr>
          <w:rFonts w:ascii="VIC" w:hAnsi="VIC"/>
          <w:color w:val="011A3C"/>
        </w:rPr>
      </w:pPr>
      <w:r w:rsidRPr="004D307F">
        <w:rPr>
          <w:rStyle w:val="Strong"/>
          <w:rFonts w:ascii="VIC" w:hAnsi="VIC"/>
          <w:color w:val="011A3C"/>
        </w:rPr>
        <w:t>Education State (Including additional Gonski)</w:t>
      </w:r>
      <w:r w:rsidRPr="004D307F">
        <w:rPr>
          <w:rStyle w:val="Strong"/>
          <w:rFonts w:ascii="Calibri" w:hAnsi="Calibri" w:cs="Calibri" w:hint="eastAsia"/>
          <w:color w:val="011A3C"/>
        </w:rPr>
        <w:t> </w:t>
      </w:r>
    </w:p>
    <w:p w14:paraId="69C80355" w14:textId="77777777" w:rsidR="004923E8" w:rsidRPr="004D307F" w:rsidRDefault="004923E8" w:rsidP="00ED0863">
      <w:pPr>
        <w:numPr>
          <w:ilvl w:val="0"/>
          <w:numId w:val="149"/>
        </w:numPr>
        <w:spacing w:before="100" w:beforeAutospacing="1" w:after="100" w:afterAutospacing="1" w:line="240" w:lineRule="auto"/>
        <w:rPr>
          <w:rFonts w:ascii="VIC" w:hAnsi="VIC"/>
          <w:color w:val="011A3C"/>
        </w:rPr>
      </w:pPr>
      <w:r w:rsidRPr="004D307F">
        <w:rPr>
          <w:rFonts w:ascii="VIC" w:hAnsi="VIC"/>
          <w:color w:val="011A3C"/>
        </w:rPr>
        <w:t>Equity (Social Disadvantage)</w:t>
      </w:r>
    </w:p>
    <w:p w14:paraId="3934CD0A" w14:textId="77777777" w:rsidR="004923E8" w:rsidRPr="004D307F" w:rsidRDefault="004923E8" w:rsidP="00ED0863">
      <w:pPr>
        <w:numPr>
          <w:ilvl w:val="0"/>
          <w:numId w:val="149"/>
        </w:numPr>
        <w:spacing w:before="100" w:beforeAutospacing="1" w:after="100" w:afterAutospacing="1" w:line="240" w:lineRule="auto"/>
        <w:rPr>
          <w:rFonts w:ascii="VIC" w:hAnsi="VIC"/>
          <w:color w:val="011A3C"/>
        </w:rPr>
      </w:pPr>
      <w:r w:rsidRPr="004D307F">
        <w:rPr>
          <w:rFonts w:ascii="VIC" w:hAnsi="VIC"/>
          <w:color w:val="011A3C"/>
        </w:rPr>
        <w:t>Equity (Catch</w:t>
      </w:r>
      <w:r w:rsidRPr="004D307F">
        <w:rPr>
          <w:rFonts w:ascii="Calibri" w:hAnsi="Calibri" w:cs="Calibri"/>
          <w:color w:val="011A3C"/>
        </w:rPr>
        <w:t> </w:t>
      </w:r>
      <w:r w:rsidRPr="004D307F">
        <w:rPr>
          <w:rFonts w:ascii="VIC" w:hAnsi="VIC"/>
          <w:color w:val="011A3C"/>
        </w:rPr>
        <w:t>Up)</w:t>
      </w:r>
    </w:p>
    <w:p w14:paraId="39AAC775" w14:textId="77777777" w:rsidR="004923E8" w:rsidRPr="004D307F" w:rsidRDefault="004923E8" w:rsidP="004923E8">
      <w:pPr>
        <w:pStyle w:val="Heading3"/>
        <w:spacing w:line="288" w:lineRule="atLeast"/>
        <w:rPr>
          <w:rFonts w:ascii="VIC" w:hAnsi="VIC"/>
          <w:color w:val="011A3C"/>
        </w:rPr>
      </w:pPr>
      <w:r w:rsidRPr="004D307F">
        <w:rPr>
          <w:rStyle w:val="Strong"/>
          <w:rFonts w:ascii="VIC" w:hAnsi="VIC"/>
          <w:color w:val="011A3C"/>
        </w:rPr>
        <w:t>Other Equity</w:t>
      </w:r>
    </w:p>
    <w:p w14:paraId="67B2B0A3" w14:textId="77777777" w:rsidR="004923E8" w:rsidRPr="004D307F" w:rsidRDefault="004923E8" w:rsidP="00ED0863">
      <w:pPr>
        <w:numPr>
          <w:ilvl w:val="0"/>
          <w:numId w:val="150"/>
        </w:numPr>
        <w:spacing w:before="100" w:beforeAutospacing="1" w:after="100" w:afterAutospacing="1" w:line="240" w:lineRule="auto"/>
        <w:rPr>
          <w:rFonts w:ascii="VIC" w:hAnsi="VIC"/>
          <w:color w:val="011A3C"/>
        </w:rPr>
      </w:pPr>
      <w:r w:rsidRPr="004D307F">
        <w:rPr>
          <w:rFonts w:ascii="VIC" w:hAnsi="VIC"/>
          <w:color w:val="011A3C"/>
        </w:rPr>
        <w:t>Mobility</w:t>
      </w:r>
    </w:p>
    <w:p w14:paraId="4D2F54F3" w14:textId="77777777" w:rsidR="004923E8" w:rsidRPr="004D307F" w:rsidRDefault="004923E8" w:rsidP="004923E8">
      <w:pPr>
        <w:pStyle w:val="Heading3"/>
        <w:spacing w:line="288" w:lineRule="atLeast"/>
        <w:rPr>
          <w:rFonts w:ascii="VIC" w:hAnsi="VIC"/>
          <w:color w:val="011A3C"/>
        </w:rPr>
      </w:pPr>
      <w:r w:rsidRPr="004D307F">
        <w:rPr>
          <w:rStyle w:val="Strong"/>
          <w:rFonts w:ascii="VIC" w:hAnsi="VIC"/>
          <w:color w:val="011A3C"/>
        </w:rPr>
        <w:t>Programs for Students with Disabilities</w:t>
      </w:r>
    </w:p>
    <w:p w14:paraId="2BDAD229" w14:textId="4B519FE4"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Program for Students with Disabilities Levels 1-6</w:t>
      </w:r>
    </w:p>
    <w:p w14:paraId="04BD273F"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Program for Students with Disabilities —</w:t>
      </w:r>
      <w:r w:rsidRPr="004D307F">
        <w:rPr>
          <w:rFonts w:ascii="Calibri" w:hAnsi="Calibri" w:cs="Calibri"/>
          <w:color w:val="011A3C"/>
        </w:rPr>
        <w:t> </w:t>
      </w:r>
      <w:r w:rsidRPr="004D307F">
        <w:rPr>
          <w:rFonts w:ascii="VIC" w:hAnsi="VIC"/>
          <w:color w:val="011A3C"/>
        </w:rPr>
        <w:t>Transition Support Funding</w:t>
      </w:r>
    </w:p>
    <w:p w14:paraId="67973FC6"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Special School Complexity</w:t>
      </w:r>
    </w:p>
    <w:p w14:paraId="30768F5C"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Interpreter Staff Salaries</w:t>
      </w:r>
    </w:p>
    <w:p w14:paraId="4F667CA3"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Medical Intervention Support</w:t>
      </w:r>
    </w:p>
    <w:p w14:paraId="29C8463E" w14:textId="5D0DA170"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Special School Transport Administrative Cost</w:t>
      </w:r>
    </w:p>
    <w:p w14:paraId="033B87E0" w14:textId="77777777" w:rsidR="004923E8" w:rsidRPr="004D307F" w:rsidRDefault="004923E8" w:rsidP="004923E8">
      <w:pPr>
        <w:rPr>
          <w:rFonts w:ascii="VIC" w:hAnsi="VIC"/>
        </w:rPr>
      </w:pPr>
      <w:r w:rsidRPr="004D307F">
        <w:rPr>
          <w:rStyle w:val="Strong"/>
          <w:rFonts w:ascii="VIC" w:hAnsi="VIC"/>
          <w:color w:val="011A3C"/>
        </w:rPr>
        <w:t>English as an Additional Language</w:t>
      </w:r>
    </w:p>
    <w:p w14:paraId="1DD85D91"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lastRenderedPageBreak/>
        <w:t>EAL Program Funding</w:t>
      </w:r>
    </w:p>
    <w:p w14:paraId="108A3835" w14:textId="77777777" w:rsidR="004923E8" w:rsidRPr="004D307F" w:rsidRDefault="004923E8" w:rsidP="00ED0863">
      <w:pPr>
        <w:numPr>
          <w:ilvl w:val="0"/>
          <w:numId w:val="151"/>
        </w:numPr>
        <w:spacing w:before="100" w:beforeAutospacing="1" w:after="100" w:afterAutospacing="1" w:line="240" w:lineRule="auto"/>
        <w:rPr>
          <w:rFonts w:ascii="VIC" w:hAnsi="VIC"/>
          <w:color w:val="011A3C"/>
        </w:rPr>
      </w:pPr>
      <w:r w:rsidRPr="004D307F">
        <w:rPr>
          <w:rFonts w:ascii="VIC" w:hAnsi="VIC"/>
          <w:color w:val="011A3C"/>
        </w:rPr>
        <w:t>EAL Contingency Funding</w:t>
      </w:r>
    </w:p>
    <w:p w14:paraId="4386459A" w14:textId="77777777" w:rsidR="0012059E" w:rsidRPr="004D307F" w:rsidRDefault="004923E8" w:rsidP="0012059E">
      <w:pPr>
        <w:rPr>
          <w:rStyle w:val="Strong"/>
          <w:rFonts w:ascii="VIC" w:hAnsi="VIC"/>
          <w:color w:val="011A3C"/>
        </w:rPr>
      </w:pPr>
      <w:r w:rsidRPr="004D307F">
        <w:rPr>
          <w:rStyle w:val="Strong"/>
          <w:rFonts w:ascii="VIC" w:hAnsi="VIC"/>
          <w:color w:val="011A3C"/>
        </w:rPr>
        <w:t>Disability Inclusion</w:t>
      </w:r>
    </w:p>
    <w:p w14:paraId="219AFA09" w14:textId="5A7072C0" w:rsidR="004923E8" w:rsidRPr="004D307F" w:rsidRDefault="0012059E" w:rsidP="004923E8">
      <w:pPr>
        <w:spacing w:before="100" w:beforeAutospacing="1" w:after="100" w:afterAutospacing="1" w:line="240" w:lineRule="auto"/>
        <w:rPr>
          <w:rFonts w:ascii="VIC" w:hAnsi="VIC" w:cstheme="minorHAnsi"/>
          <w:color w:val="011A3C"/>
        </w:rPr>
      </w:pPr>
      <w:bookmarkStart w:id="19" w:name="_Hlk99872727"/>
      <w:r w:rsidRPr="004D307F">
        <w:rPr>
          <w:rFonts w:ascii="VIC" w:hAnsi="VIC" w:cstheme="minorHAnsi"/>
          <w:color w:val="011A3C"/>
        </w:rPr>
        <w:t>A</w:t>
      </w:r>
      <w:r w:rsidR="004923E8" w:rsidRPr="004D307F">
        <w:rPr>
          <w:rFonts w:ascii="VIC" w:hAnsi="VIC" w:cstheme="minorHAnsi"/>
          <w:color w:val="011A3C"/>
        </w:rPr>
        <w:t>pplicable to schools in Bayside Peninsula, Barwon</w:t>
      </w:r>
      <w:r w:rsidR="008C6E3C" w:rsidRPr="004D307F">
        <w:rPr>
          <w:rFonts w:ascii="VIC" w:hAnsi="VIC" w:cstheme="minorHAnsi"/>
          <w:color w:val="011A3C"/>
        </w:rPr>
        <w:t xml:space="preserve">, Central Highlands </w:t>
      </w:r>
      <w:r w:rsidR="004923E8" w:rsidRPr="004D307F">
        <w:rPr>
          <w:rFonts w:ascii="VIC" w:hAnsi="VIC" w:cstheme="minorHAnsi"/>
          <w:color w:val="011A3C"/>
        </w:rPr>
        <w:t xml:space="preserve">Loddon Campaspe </w:t>
      </w:r>
      <w:r w:rsidR="008C6E3C" w:rsidRPr="004D307F">
        <w:rPr>
          <w:rFonts w:ascii="VIC" w:hAnsi="VIC" w:cstheme="minorHAnsi"/>
          <w:color w:val="011A3C"/>
        </w:rPr>
        <w:t xml:space="preserve">Mallee and Outer Eastern Melbourne </w:t>
      </w:r>
      <w:r w:rsidR="004923E8" w:rsidRPr="004D307F">
        <w:rPr>
          <w:rFonts w:ascii="VIC" w:hAnsi="VIC" w:cstheme="minorHAnsi"/>
          <w:color w:val="011A3C"/>
        </w:rPr>
        <w:t xml:space="preserve">Areas, </w:t>
      </w:r>
      <w:r w:rsidR="008C6E3C" w:rsidRPr="004D307F">
        <w:rPr>
          <w:rFonts w:ascii="VIC" w:hAnsi="VIC" w:cstheme="minorHAnsi"/>
          <w:color w:val="011A3C"/>
        </w:rPr>
        <w:t xml:space="preserve">as well as 7 specified </w:t>
      </w:r>
      <w:hyperlink r:id="rId24" w:tgtFrame="_blank" w:history="1">
        <w:r w:rsidR="004923E8" w:rsidRPr="004D307F">
          <w:rPr>
            <w:rStyle w:val="Hyperlink"/>
            <w:rFonts w:ascii="VIC" w:eastAsia="Times New Roman" w:hAnsi="VIC" w:cstheme="minorHAnsi"/>
            <w:lang w:val="en" w:eastAsia="en-AU"/>
          </w:rPr>
          <w:t>supported inclusion</w:t>
        </w:r>
        <w:r w:rsidR="004923E8" w:rsidRPr="004D307F">
          <w:rPr>
            <w:rStyle w:val="Hyperlink"/>
            <w:rFonts w:ascii="Calibri" w:eastAsia="Times New Roman" w:hAnsi="Calibri" w:cs="Calibri"/>
            <w:lang w:val="en" w:eastAsia="en-AU"/>
          </w:rPr>
          <w:t> </w:t>
        </w:r>
        <w:r w:rsidR="004923E8" w:rsidRPr="004D307F">
          <w:rPr>
            <w:rStyle w:val="Hyperlink"/>
            <w:rFonts w:ascii="VIC" w:eastAsia="Times New Roman" w:hAnsi="VIC" w:cstheme="minorHAnsi"/>
            <w:lang w:val="en" w:eastAsia="en-AU"/>
          </w:rPr>
          <w:t>schools</w:t>
        </w:r>
      </w:hyperlink>
      <w:r w:rsidR="004923E8" w:rsidRPr="004D307F">
        <w:rPr>
          <w:rFonts w:ascii="Calibri" w:hAnsi="Calibri" w:cs="Calibri" w:hint="eastAsia"/>
          <w:color w:val="011A3C"/>
        </w:rPr>
        <w:t> </w:t>
      </w:r>
      <w:r w:rsidR="004923E8" w:rsidRPr="004D307F">
        <w:rPr>
          <w:rFonts w:ascii="VIC" w:hAnsi="VIC" w:cstheme="minorHAnsi"/>
          <w:color w:val="011A3C"/>
        </w:rPr>
        <w:t xml:space="preserve">in </w:t>
      </w:r>
      <w:r w:rsidR="008C6E3C" w:rsidRPr="004D307F">
        <w:rPr>
          <w:rFonts w:ascii="VIC" w:hAnsi="VIC" w:cstheme="minorHAnsi"/>
          <w:color w:val="011A3C"/>
        </w:rPr>
        <w:t>2022</w:t>
      </w:r>
      <w:r w:rsidR="004923E8" w:rsidRPr="004D307F">
        <w:rPr>
          <w:rFonts w:ascii="VIC" w:hAnsi="VIC" w:cstheme="minorHAnsi"/>
          <w:color w:val="011A3C"/>
        </w:rPr>
        <w:t xml:space="preserve">. </w:t>
      </w:r>
    </w:p>
    <w:bookmarkEnd w:id="19"/>
    <w:p w14:paraId="5176E843" w14:textId="2BE9EDAF" w:rsidR="004923E8" w:rsidRPr="004D307F" w:rsidRDefault="004923E8" w:rsidP="00ED0863">
      <w:pPr>
        <w:pStyle w:val="ListParagraph"/>
        <w:numPr>
          <w:ilvl w:val="0"/>
          <w:numId w:val="147"/>
        </w:numPr>
        <w:spacing w:before="100" w:beforeAutospacing="1" w:after="100" w:afterAutospacing="1" w:line="240" w:lineRule="auto"/>
        <w:rPr>
          <w:rFonts w:ascii="VIC" w:hAnsi="VIC"/>
          <w:color w:val="011A3C"/>
        </w:rPr>
      </w:pPr>
      <w:r w:rsidRPr="004D307F">
        <w:rPr>
          <w:rFonts w:ascii="VIC" w:hAnsi="VIC"/>
          <w:color w:val="011A3C"/>
        </w:rPr>
        <w:t xml:space="preserve">Tier 2 School level </w:t>
      </w:r>
      <w:r w:rsidR="002A4A14" w:rsidRPr="004D307F">
        <w:rPr>
          <w:rFonts w:ascii="VIC" w:hAnsi="VIC"/>
          <w:color w:val="011A3C"/>
        </w:rPr>
        <w:t>f</w:t>
      </w:r>
      <w:r w:rsidRPr="004D307F">
        <w:rPr>
          <w:rFonts w:ascii="VIC" w:hAnsi="VIC"/>
          <w:color w:val="011A3C"/>
        </w:rPr>
        <w:t xml:space="preserve">unding </w:t>
      </w:r>
    </w:p>
    <w:p w14:paraId="59B926A2" w14:textId="73AEC7CD" w:rsidR="004923E8" w:rsidRPr="004D307F" w:rsidRDefault="004923E8" w:rsidP="00ED0863">
      <w:pPr>
        <w:pStyle w:val="ListParagraph"/>
        <w:numPr>
          <w:ilvl w:val="0"/>
          <w:numId w:val="147"/>
        </w:numPr>
        <w:spacing w:before="100" w:beforeAutospacing="1" w:after="100" w:afterAutospacing="1" w:line="240" w:lineRule="auto"/>
        <w:rPr>
          <w:rFonts w:ascii="VIC" w:hAnsi="VIC"/>
          <w:color w:val="011A3C"/>
        </w:rPr>
      </w:pPr>
      <w:r w:rsidRPr="004D307F">
        <w:rPr>
          <w:rFonts w:ascii="VIC" w:hAnsi="VIC"/>
          <w:color w:val="011A3C"/>
        </w:rPr>
        <w:t xml:space="preserve">Tier 3 Student level </w:t>
      </w:r>
      <w:r w:rsidR="002A4A14" w:rsidRPr="004D307F">
        <w:rPr>
          <w:rFonts w:ascii="VIC" w:hAnsi="VIC"/>
          <w:color w:val="011A3C"/>
        </w:rPr>
        <w:t>funding</w:t>
      </w:r>
    </w:p>
    <w:p w14:paraId="2F0BFBF4" w14:textId="77777777" w:rsidR="004923E8" w:rsidRPr="004D307F" w:rsidRDefault="004923E8" w:rsidP="004923E8">
      <w:pPr>
        <w:pStyle w:val="NormalWeb"/>
        <w:rPr>
          <w:rFonts w:ascii="VIC" w:eastAsiaTheme="minorHAnsi" w:hAnsi="VIC" w:cstheme="minorBidi"/>
          <w:color w:val="011A3C"/>
          <w:sz w:val="22"/>
          <w:szCs w:val="22"/>
          <w:lang w:eastAsia="en-US"/>
        </w:rPr>
      </w:pPr>
      <w:r w:rsidRPr="004D307F">
        <w:rPr>
          <w:rFonts w:ascii="VIC" w:eastAsiaTheme="minorHAnsi" w:hAnsi="VIC" w:cstheme="minorBidi"/>
          <w:color w:val="011A3C"/>
          <w:sz w:val="22"/>
          <w:szCs w:val="22"/>
          <w:lang w:eastAsia="en-US"/>
        </w:rPr>
        <w:t>Not all types of funding are available to all schools. Funding is assessed according to school and student need.</w:t>
      </w:r>
    </w:p>
    <w:p w14:paraId="79CD9714" w14:textId="77777777" w:rsidR="004923E8" w:rsidRPr="004D307F" w:rsidRDefault="004923E8" w:rsidP="004923E8">
      <w:pPr>
        <w:pStyle w:val="NormalWeb"/>
        <w:rPr>
          <w:rFonts w:ascii="VIC" w:eastAsiaTheme="minorHAnsi" w:hAnsi="VIC" w:cstheme="minorBidi"/>
          <w:color w:val="011A3C"/>
          <w:sz w:val="22"/>
          <w:szCs w:val="22"/>
          <w:lang w:eastAsia="en-US"/>
        </w:rPr>
      </w:pPr>
      <w:r w:rsidRPr="004D307F">
        <w:rPr>
          <w:rFonts w:ascii="VIC" w:eastAsiaTheme="minorHAnsi" w:hAnsi="VIC" w:cstheme="minorBidi"/>
          <w:color w:val="011A3C"/>
          <w:sz w:val="22"/>
          <w:szCs w:val="22"/>
          <w:lang w:eastAsia="en-US"/>
        </w:rPr>
        <w:t>Schools are expected to use SRP funds for the purpose for which it was allocated.</w:t>
      </w:r>
    </w:p>
    <w:p w14:paraId="5F29D97E" w14:textId="77777777" w:rsidR="004923E8" w:rsidRPr="004D307F" w:rsidRDefault="004923E8" w:rsidP="004923E8">
      <w:pPr>
        <w:pStyle w:val="NormalWeb"/>
        <w:rPr>
          <w:rFonts w:ascii="VIC" w:eastAsiaTheme="minorHAnsi" w:hAnsi="VIC" w:cstheme="minorBidi"/>
          <w:color w:val="011A3C"/>
          <w:sz w:val="22"/>
          <w:szCs w:val="22"/>
          <w:lang w:eastAsia="en-US"/>
        </w:rPr>
      </w:pPr>
      <w:r w:rsidRPr="004D307F">
        <w:rPr>
          <w:rFonts w:ascii="VIC" w:eastAsiaTheme="minorHAnsi" w:hAnsi="VIC" w:cstheme="minorBidi"/>
          <w:color w:val="011A3C"/>
          <w:sz w:val="22"/>
          <w:szCs w:val="22"/>
          <w:lang w:eastAsia="en-US"/>
        </w:rPr>
        <w:t>For more general information on the SRP, please refer to the</w:t>
      </w:r>
      <w:r w:rsidRPr="004D307F">
        <w:rPr>
          <w:rFonts w:ascii="Calibri" w:eastAsiaTheme="minorHAnsi" w:hAnsi="Calibri" w:cs="Calibri"/>
          <w:color w:val="011A3C"/>
          <w:sz w:val="22"/>
          <w:szCs w:val="22"/>
          <w:lang w:eastAsia="en-US"/>
        </w:rPr>
        <w:t> </w:t>
      </w:r>
      <w:hyperlink r:id="rId25" w:history="1">
        <w:r w:rsidRPr="004D307F">
          <w:rPr>
            <w:rFonts w:ascii="VIC" w:eastAsiaTheme="minorHAnsi" w:hAnsi="VIC" w:cstheme="minorBidi"/>
            <w:color w:val="011A3C"/>
            <w:sz w:val="22"/>
            <w:szCs w:val="22"/>
            <w:lang w:eastAsia="en-US"/>
          </w:rPr>
          <w:t>Student Resource Package —</w:t>
        </w:r>
        <w:r w:rsidRPr="004D307F">
          <w:rPr>
            <w:rFonts w:ascii="Calibri" w:eastAsiaTheme="minorHAnsi" w:hAnsi="Calibri" w:cs="Calibri"/>
            <w:color w:val="011A3C"/>
            <w:sz w:val="22"/>
            <w:szCs w:val="22"/>
            <w:lang w:eastAsia="en-US"/>
          </w:rPr>
          <w:t> </w:t>
        </w:r>
        <w:r w:rsidRPr="004D307F">
          <w:rPr>
            <w:rFonts w:ascii="VIC" w:eastAsiaTheme="minorHAnsi" w:hAnsi="VIC" w:cstheme="minorBidi"/>
            <w:color w:val="011A3C"/>
            <w:sz w:val="22"/>
            <w:szCs w:val="22"/>
            <w:lang w:eastAsia="en-US"/>
          </w:rPr>
          <w:t>Overview page</w:t>
        </w:r>
      </w:hyperlink>
      <w:r w:rsidRPr="004D307F">
        <w:rPr>
          <w:rFonts w:ascii="VIC" w:eastAsiaTheme="minorHAnsi" w:hAnsi="VIC" w:cstheme="minorBidi"/>
          <w:color w:val="011A3C"/>
          <w:sz w:val="22"/>
          <w:szCs w:val="22"/>
          <w:lang w:eastAsia="en-US"/>
        </w:rPr>
        <w:t>.</w:t>
      </w:r>
    </w:p>
    <w:p w14:paraId="6389A118" w14:textId="77777777" w:rsidR="004923E8" w:rsidRPr="004D307F" w:rsidRDefault="004923E8" w:rsidP="00C116FE">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Related policies</w:t>
      </w:r>
    </w:p>
    <w:p w14:paraId="31F60C42" w14:textId="77777777" w:rsidR="004923E8" w:rsidRPr="004D307F" w:rsidRDefault="004923E8"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r w:rsidRPr="004D307F">
        <w:rPr>
          <w:rStyle w:val="Hyperlink"/>
          <w:rFonts w:ascii="VIC" w:eastAsia="Times New Roman" w:hAnsi="VIC" w:cs="Times New Roman"/>
          <w:sz w:val="24"/>
          <w:szCs w:val="24"/>
          <w:lang w:val="en" w:eastAsia="en-AU"/>
        </w:rPr>
        <w:t>Disability Inclusion Funding and Support</w:t>
      </w:r>
    </w:p>
    <w:p w14:paraId="47410117"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26" w:history="1">
        <w:r w:rsidR="004923E8" w:rsidRPr="004D307F">
          <w:rPr>
            <w:rStyle w:val="Hyperlink"/>
            <w:rFonts w:ascii="VIC" w:eastAsia="Times New Roman" w:hAnsi="VIC" w:cs="Times New Roman"/>
            <w:sz w:val="24"/>
            <w:szCs w:val="24"/>
            <w:lang w:val="en" w:eastAsia="en-AU"/>
          </w:rPr>
          <w:t>EAL — Support and Funding</w:t>
        </w:r>
      </w:hyperlink>
    </w:p>
    <w:p w14:paraId="23D3A347"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27" w:history="1">
        <w:r w:rsidR="004923E8" w:rsidRPr="004D307F">
          <w:rPr>
            <w:rStyle w:val="Hyperlink"/>
            <w:rFonts w:ascii="VIC" w:eastAsia="Times New Roman" w:hAnsi="VIC" w:cs="Times New Roman"/>
            <w:sz w:val="24"/>
            <w:szCs w:val="24"/>
            <w:lang w:val="en" w:eastAsia="en-AU"/>
          </w:rPr>
          <w:t>Finance Manual — Financial Management for Schools</w:t>
        </w:r>
      </w:hyperlink>
    </w:p>
    <w:p w14:paraId="092B9F0E"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28" w:history="1">
        <w:r w:rsidR="004923E8" w:rsidRPr="004D307F">
          <w:rPr>
            <w:rStyle w:val="Hyperlink"/>
            <w:rFonts w:ascii="VIC" w:eastAsia="Times New Roman" w:hAnsi="VIC" w:cs="Times New Roman"/>
            <w:sz w:val="24"/>
            <w:szCs w:val="24"/>
            <w:lang w:val="en" w:eastAsia="en-AU"/>
          </w:rPr>
          <w:t>Framework for Improving School Outcomes</w:t>
        </w:r>
      </w:hyperlink>
    </w:p>
    <w:p w14:paraId="6981A1C4"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29" w:history="1">
        <w:r w:rsidR="004923E8" w:rsidRPr="004D307F">
          <w:rPr>
            <w:rStyle w:val="Hyperlink"/>
            <w:rFonts w:ascii="VIC" w:eastAsia="Times New Roman" w:hAnsi="VIC" w:cs="Times New Roman"/>
            <w:sz w:val="24"/>
            <w:szCs w:val="24"/>
            <w:lang w:val="en" w:eastAsia="en-AU"/>
          </w:rPr>
          <w:t>Student Enrolment Census</w:t>
        </w:r>
      </w:hyperlink>
    </w:p>
    <w:p w14:paraId="2D27D98F"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0" w:history="1">
        <w:r w:rsidR="004923E8" w:rsidRPr="004D307F">
          <w:rPr>
            <w:rStyle w:val="Hyperlink"/>
            <w:rFonts w:ascii="VIC" w:eastAsia="Times New Roman" w:hAnsi="VIC" w:cs="Times New Roman"/>
            <w:sz w:val="24"/>
            <w:szCs w:val="24"/>
            <w:lang w:val="en" w:eastAsia="en-AU"/>
          </w:rPr>
          <w:t>Student Resource Package — Overview</w:t>
        </w:r>
      </w:hyperlink>
    </w:p>
    <w:p w14:paraId="6CD2185D"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1" w:history="1">
        <w:r w:rsidR="004923E8" w:rsidRPr="004D307F">
          <w:rPr>
            <w:rStyle w:val="Hyperlink"/>
            <w:rFonts w:ascii="VIC" w:eastAsia="Times New Roman" w:hAnsi="VIC" w:cs="Times New Roman"/>
            <w:sz w:val="24"/>
            <w:szCs w:val="24"/>
            <w:lang w:val="en" w:eastAsia="en-AU"/>
          </w:rPr>
          <w:t>Student Resource Package — Core Student Learning Allocation funding (Student Based Funding)</w:t>
        </w:r>
      </w:hyperlink>
    </w:p>
    <w:p w14:paraId="52FDAAAF"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2" w:history="1">
        <w:r w:rsidR="004923E8" w:rsidRPr="004D307F">
          <w:rPr>
            <w:rStyle w:val="Hyperlink"/>
            <w:rFonts w:ascii="VIC" w:eastAsia="Times New Roman" w:hAnsi="VIC" w:cs="Times New Roman"/>
            <w:sz w:val="24"/>
            <w:szCs w:val="24"/>
            <w:lang w:val="en" w:eastAsia="en-AU"/>
          </w:rPr>
          <w:t>Student Resource Package — Managing the Budget</w:t>
        </w:r>
      </w:hyperlink>
    </w:p>
    <w:p w14:paraId="6889E200"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3" w:history="1">
        <w:r w:rsidR="004923E8" w:rsidRPr="004D307F">
          <w:rPr>
            <w:rStyle w:val="Hyperlink"/>
            <w:rFonts w:ascii="VIC" w:eastAsia="Times New Roman" w:hAnsi="VIC" w:cs="Times New Roman"/>
            <w:sz w:val="24"/>
            <w:szCs w:val="24"/>
            <w:lang w:val="en" w:eastAsia="en-AU"/>
          </w:rPr>
          <w:t>Student Resource Package — School Infrastructure</w:t>
        </w:r>
      </w:hyperlink>
    </w:p>
    <w:p w14:paraId="0CAFFF75"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4" w:history="1">
        <w:r w:rsidR="004923E8" w:rsidRPr="004D307F">
          <w:rPr>
            <w:rStyle w:val="Hyperlink"/>
            <w:rFonts w:ascii="VIC" w:eastAsia="Times New Roman" w:hAnsi="VIC" w:cs="Times New Roman"/>
            <w:sz w:val="24"/>
            <w:szCs w:val="24"/>
            <w:lang w:val="en" w:eastAsia="en-AU"/>
          </w:rPr>
          <w:t>Student Resource Package — School Specific Programs</w:t>
        </w:r>
      </w:hyperlink>
    </w:p>
    <w:p w14:paraId="56E7DCBB"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5" w:history="1">
        <w:r w:rsidR="004923E8" w:rsidRPr="004D307F">
          <w:rPr>
            <w:rStyle w:val="Hyperlink"/>
            <w:rFonts w:ascii="VIC" w:eastAsia="Times New Roman" w:hAnsi="VIC" w:cs="Times New Roman"/>
            <w:sz w:val="24"/>
            <w:szCs w:val="24"/>
            <w:lang w:val="en" w:eastAsia="en-AU"/>
          </w:rPr>
          <w:t>Student Resource Package — Targeted Initiatives</w:t>
        </w:r>
      </w:hyperlink>
    </w:p>
    <w:p w14:paraId="180BD8BD" w14:textId="77777777" w:rsidR="004923E8" w:rsidRPr="004D307F" w:rsidRDefault="00A35420" w:rsidP="00ED0863">
      <w:pPr>
        <w:numPr>
          <w:ilvl w:val="0"/>
          <w:numId w:val="152"/>
        </w:numPr>
        <w:spacing w:before="100" w:beforeAutospacing="1" w:after="100" w:afterAutospacing="1" w:line="240" w:lineRule="auto"/>
        <w:rPr>
          <w:rStyle w:val="Hyperlink"/>
          <w:rFonts w:ascii="VIC" w:eastAsia="Times New Roman" w:hAnsi="VIC" w:cs="Times New Roman"/>
          <w:sz w:val="24"/>
          <w:szCs w:val="24"/>
          <w:lang w:val="en" w:eastAsia="en-AU"/>
        </w:rPr>
      </w:pPr>
      <w:hyperlink r:id="rId36" w:history="1">
        <w:r w:rsidR="004923E8" w:rsidRPr="004D307F">
          <w:rPr>
            <w:rStyle w:val="Hyperlink"/>
            <w:rFonts w:ascii="VIC" w:eastAsia="Times New Roman" w:hAnsi="VIC" w:cs="Times New Roman"/>
            <w:sz w:val="24"/>
            <w:szCs w:val="24"/>
            <w:lang w:val="en" w:eastAsia="en-AU"/>
          </w:rPr>
          <w:t>Students with Disability</w:t>
        </w:r>
      </w:hyperlink>
    </w:p>
    <w:p w14:paraId="1986863B" w14:textId="77777777" w:rsidR="004923E8" w:rsidRPr="004D307F" w:rsidRDefault="004923E8" w:rsidP="004D307F">
      <w:pPr>
        <w:spacing w:before="100" w:beforeAutospacing="1" w:after="100" w:afterAutospacing="1" w:line="312" w:lineRule="atLeast"/>
        <w:outlineLvl w:val="1"/>
        <w:rPr>
          <w:rFonts w:ascii="VIC" w:eastAsia="Times New Roman" w:hAnsi="VIC" w:cs="Times New Roman"/>
          <w:b/>
          <w:bCs/>
          <w:color w:val="011A3C"/>
          <w:sz w:val="36"/>
          <w:szCs w:val="36"/>
          <w:lang w:val="en" w:eastAsia="en-AU"/>
        </w:rPr>
      </w:pPr>
      <w:r w:rsidRPr="004D307F">
        <w:rPr>
          <w:rFonts w:ascii="VIC" w:eastAsia="Times New Roman" w:hAnsi="VIC" w:cs="Times New Roman"/>
          <w:b/>
          <w:bCs/>
          <w:color w:val="011A3C"/>
          <w:sz w:val="36"/>
          <w:szCs w:val="36"/>
          <w:lang w:val="en" w:eastAsia="en-AU"/>
        </w:rPr>
        <w:t>Contacts</w:t>
      </w:r>
    </w:p>
    <w:p w14:paraId="58D8486B" w14:textId="77777777" w:rsidR="004923E8" w:rsidRPr="004D307F" w:rsidRDefault="004923E8" w:rsidP="006D6E02">
      <w:pPr>
        <w:pStyle w:val="NormalWeb"/>
        <w:rPr>
          <w:rFonts w:ascii="VIC" w:hAnsi="VIC"/>
          <w:color w:val="011A3C"/>
        </w:rPr>
      </w:pPr>
      <w:r w:rsidRPr="004D307F">
        <w:rPr>
          <w:rStyle w:val="Strong"/>
          <w:rFonts w:ascii="VIC" w:hAnsi="VIC"/>
          <w:color w:val="011A3C"/>
        </w:rPr>
        <w:t>SRP Support</w:t>
      </w:r>
      <w:r w:rsidRPr="004D307F">
        <w:rPr>
          <w:rFonts w:ascii="VIC" w:hAnsi="VIC"/>
          <w:color w:val="011A3C"/>
        </w:rPr>
        <w:br/>
      </w:r>
      <w:r w:rsidRPr="004D307F">
        <w:rPr>
          <w:rFonts w:ascii="VIC" w:eastAsiaTheme="minorHAnsi" w:hAnsi="VIC" w:cstheme="minorBidi"/>
          <w:color w:val="011A3C"/>
          <w:sz w:val="22"/>
          <w:szCs w:val="22"/>
          <w:lang w:eastAsia="en-US"/>
        </w:rPr>
        <w:t>Phone:</w:t>
      </w:r>
      <w:r w:rsidRPr="004D307F">
        <w:rPr>
          <w:rFonts w:ascii="Calibri" w:eastAsiaTheme="minorHAnsi" w:hAnsi="Calibri" w:cs="Calibri"/>
          <w:color w:val="011A3C"/>
          <w:sz w:val="22"/>
          <w:szCs w:val="22"/>
          <w:lang w:eastAsia="en-US"/>
        </w:rPr>
        <w:t> </w:t>
      </w:r>
      <w:hyperlink r:id="rId37" w:history="1">
        <w:r w:rsidRPr="004D307F">
          <w:rPr>
            <w:rStyle w:val="rpl-text-label"/>
            <w:rFonts w:ascii="VIC" w:hAnsi="VIC"/>
            <w:color w:val="1855BF"/>
          </w:rPr>
          <w:t>1800 641 943</w:t>
        </w:r>
      </w:hyperlink>
      <w:r w:rsidRPr="004D307F">
        <w:rPr>
          <w:rFonts w:ascii="VIC" w:hAnsi="VIC"/>
          <w:color w:val="011A3C"/>
        </w:rPr>
        <w:br/>
      </w:r>
      <w:r w:rsidRPr="004D307F">
        <w:rPr>
          <w:rFonts w:ascii="VIC" w:eastAsiaTheme="minorHAnsi" w:hAnsi="VIC" w:cstheme="minorBidi"/>
          <w:color w:val="011A3C"/>
          <w:sz w:val="22"/>
          <w:szCs w:val="22"/>
          <w:lang w:eastAsia="en-US"/>
        </w:rPr>
        <w:t>Email:</w:t>
      </w:r>
      <w:r w:rsidRPr="004D307F">
        <w:rPr>
          <w:rFonts w:ascii="Calibri" w:hAnsi="Calibri" w:cs="Calibri"/>
          <w:color w:val="011A3C"/>
        </w:rPr>
        <w:t> </w:t>
      </w:r>
      <w:hyperlink r:id="rId38" w:history="1">
        <w:r w:rsidRPr="004D307F">
          <w:rPr>
            <w:rStyle w:val="rpl-text-label"/>
            <w:rFonts w:ascii="VIC" w:hAnsi="VIC"/>
            <w:color w:val="1855BF"/>
          </w:rPr>
          <w:t>studentresourcepackage@education.vic.gov.au</w:t>
        </w:r>
      </w:hyperlink>
    </w:p>
    <w:p w14:paraId="7C5F198B" w14:textId="77777777" w:rsidR="004923E8" w:rsidRPr="004D307F" w:rsidRDefault="004923E8" w:rsidP="004923E8">
      <w:pPr>
        <w:pStyle w:val="NormalWeb"/>
        <w:rPr>
          <w:rFonts w:ascii="VIC" w:hAnsi="VIC"/>
          <w:color w:val="011A3C"/>
        </w:rPr>
      </w:pPr>
      <w:r w:rsidRPr="004D307F">
        <w:rPr>
          <w:rStyle w:val="Strong"/>
          <w:rFonts w:ascii="VIC" w:hAnsi="VIC"/>
          <w:color w:val="011A3C"/>
        </w:rPr>
        <w:t>Contact details</w:t>
      </w:r>
      <w:r w:rsidRPr="004D307F">
        <w:rPr>
          <w:rFonts w:ascii="VIC" w:hAnsi="VIC"/>
          <w:color w:val="011A3C"/>
        </w:rPr>
        <w:t>:</w:t>
      </w:r>
      <w:r w:rsidRPr="004D307F">
        <w:rPr>
          <w:rFonts w:ascii="Calibri" w:hAnsi="Calibri" w:cs="Calibri"/>
          <w:color w:val="011A3C"/>
        </w:rPr>
        <w:t> </w:t>
      </w:r>
      <w:hyperlink r:id="rId39" w:tgtFrame="_blank" w:history="1">
        <w:r w:rsidRPr="004D307F">
          <w:rPr>
            <w:rStyle w:val="rpl-text-label"/>
            <w:rFonts w:ascii="VIC" w:hAnsi="VIC"/>
            <w:color w:val="1855BF"/>
          </w:rPr>
          <w:t>Services Portal (Service Request SRP</w:t>
        </w:r>
        <w:r w:rsidRPr="004D307F">
          <w:rPr>
            <w:rStyle w:val="rpl-text-label"/>
            <w:rFonts w:ascii="Calibri" w:hAnsi="Calibri" w:cs="Calibri"/>
            <w:color w:val="1855BF"/>
          </w:rPr>
          <w:t> </w:t>
        </w:r>
        <w:r w:rsidRPr="004D307F">
          <w:rPr>
            <w:rStyle w:val="rpl-text-icongroup"/>
            <w:rFonts w:ascii="VIC" w:hAnsi="VIC"/>
            <w:color w:val="1855BF"/>
          </w:rPr>
          <w:t>Option)</w:t>
        </w:r>
      </w:hyperlink>
      <w:r w:rsidRPr="004D307F">
        <w:rPr>
          <w:rFonts w:ascii="Calibri" w:hAnsi="Calibri" w:cs="Calibri"/>
          <w:color w:val="011A3C"/>
        </w:rPr>
        <w:t> </w:t>
      </w:r>
      <w:hyperlink r:id="rId40" w:history="1">
        <w:r w:rsidRPr="004D307F">
          <w:rPr>
            <w:rStyle w:val="rpl-text-label"/>
            <w:rFonts w:ascii="VIC" w:hAnsi="VIC"/>
            <w:color w:val="1855BF"/>
          </w:rPr>
          <w:t>1800 641 943</w:t>
        </w:r>
      </w:hyperlink>
    </w:p>
    <w:p w14:paraId="6763E02E" w14:textId="77777777" w:rsidR="004923E8" w:rsidRPr="004D307F" w:rsidRDefault="004923E8" w:rsidP="004923E8">
      <w:pPr>
        <w:pStyle w:val="NormalWeb"/>
        <w:rPr>
          <w:rFonts w:ascii="VIC" w:hAnsi="VIC"/>
          <w:color w:val="011A3C"/>
        </w:rPr>
      </w:pPr>
      <w:r w:rsidRPr="004D307F">
        <w:rPr>
          <w:rStyle w:val="Strong"/>
          <w:rFonts w:ascii="VIC" w:hAnsi="VIC"/>
          <w:color w:val="011A3C"/>
        </w:rPr>
        <w:lastRenderedPageBreak/>
        <w:t>For queries regarding the PSD</w:t>
      </w:r>
      <w:r w:rsidRPr="004D307F">
        <w:rPr>
          <w:rFonts w:ascii="VIC" w:hAnsi="VIC"/>
          <w:color w:val="011A3C"/>
        </w:rPr>
        <w:t>:</w:t>
      </w:r>
      <w:r w:rsidRPr="004D307F">
        <w:rPr>
          <w:rFonts w:ascii="Calibri" w:hAnsi="Calibri" w:cs="Calibri"/>
          <w:color w:val="011A3C"/>
        </w:rPr>
        <w:t> </w:t>
      </w:r>
      <w:hyperlink r:id="rId41" w:tgtFrame="_blank" w:history="1">
        <w:r w:rsidRPr="004D307F">
          <w:rPr>
            <w:rStyle w:val="rpl-text-label"/>
            <w:rFonts w:ascii="VIC" w:hAnsi="VIC"/>
            <w:color w:val="1855BF"/>
          </w:rPr>
          <w:t>Services</w:t>
        </w:r>
        <w:r w:rsidRPr="004D307F">
          <w:rPr>
            <w:rStyle w:val="rpl-text-label"/>
            <w:rFonts w:ascii="Calibri" w:hAnsi="Calibri" w:cs="Calibri"/>
            <w:color w:val="1855BF"/>
          </w:rPr>
          <w:t> </w:t>
        </w:r>
        <w:r w:rsidRPr="004D307F">
          <w:rPr>
            <w:rStyle w:val="rpl-text-icongroup"/>
            <w:rFonts w:ascii="VIC" w:hAnsi="VIC"/>
            <w:color w:val="1855BF"/>
          </w:rPr>
          <w:t>Portal</w:t>
        </w:r>
      </w:hyperlink>
      <w:r w:rsidRPr="004D307F">
        <w:rPr>
          <w:rFonts w:ascii="Calibri" w:hAnsi="Calibri" w:cs="Calibri"/>
          <w:color w:val="011A3C"/>
        </w:rPr>
        <w:t> </w:t>
      </w:r>
      <w:r w:rsidRPr="004D307F">
        <w:rPr>
          <w:rFonts w:ascii="VIC" w:eastAsiaTheme="minorHAnsi" w:hAnsi="VIC" w:cstheme="minorBidi"/>
          <w:color w:val="011A3C"/>
          <w:sz w:val="22"/>
          <w:szCs w:val="22"/>
          <w:lang w:eastAsia="en-US"/>
        </w:rPr>
        <w:t>(‘log a request’ and select ‘PSDMS’)</w:t>
      </w:r>
    </w:p>
    <w:p w14:paraId="7D9C3A1F" w14:textId="77777777" w:rsidR="004923E8" w:rsidRPr="004D307F" w:rsidRDefault="004923E8" w:rsidP="004923E8">
      <w:pPr>
        <w:pStyle w:val="NormalWeb"/>
        <w:rPr>
          <w:rStyle w:val="rpl-text-label"/>
          <w:rFonts w:ascii="VIC" w:hAnsi="VIC"/>
          <w:color w:val="1855BF"/>
        </w:rPr>
      </w:pPr>
      <w:r w:rsidRPr="004D307F">
        <w:rPr>
          <w:rStyle w:val="Strong"/>
          <w:rFonts w:ascii="VIC" w:hAnsi="VIC"/>
          <w:color w:val="011A3C"/>
        </w:rPr>
        <w:t>For queries regarding EAL</w:t>
      </w:r>
      <w:r w:rsidRPr="004D307F">
        <w:rPr>
          <w:rFonts w:ascii="VIC" w:hAnsi="VIC"/>
          <w:color w:val="011A3C"/>
        </w:rPr>
        <w:t>:</w:t>
      </w:r>
      <w:r w:rsidRPr="004D307F">
        <w:rPr>
          <w:rFonts w:ascii="VIC" w:hAnsi="VIC"/>
          <w:color w:val="011A3C"/>
        </w:rPr>
        <w:br/>
        <w:t>Phone:</w:t>
      </w:r>
      <w:r w:rsidRPr="004D307F">
        <w:rPr>
          <w:rFonts w:ascii="Calibri" w:hAnsi="Calibri" w:cs="Calibri"/>
          <w:color w:val="011A3C"/>
        </w:rPr>
        <w:t> </w:t>
      </w:r>
      <w:hyperlink r:id="rId42" w:history="1">
        <w:r w:rsidRPr="004D307F">
          <w:rPr>
            <w:rStyle w:val="rpl-text-label"/>
            <w:rFonts w:ascii="VIC" w:hAnsi="VIC"/>
            <w:color w:val="1855BF"/>
          </w:rPr>
          <w:t>03 7022 1111</w:t>
        </w:r>
      </w:hyperlink>
      <w:r w:rsidRPr="004D307F">
        <w:rPr>
          <w:rFonts w:ascii="VIC" w:hAnsi="VIC"/>
          <w:color w:val="011A3C"/>
        </w:rPr>
        <w:br/>
        <w:t>Email:</w:t>
      </w:r>
      <w:r w:rsidRPr="004D307F">
        <w:rPr>
          <w:rFonts w:ascii="Calibri" w:hAnsi="Calibri" w:cs="Calibri"/>
          <w:color w:val="011A3C"/>
        </w:rPr>
        <w:t> </w:t>
      </w:r>
      <w:hyperlink r:id="rId43" w:history="1">
        <w:r w:rsidRPr="004D307F">
          <w:rPr>
            <w:rStyle w:val="rpl-text-label"/>
            <w:rFonts w:ascii="VIC" w:hAnsi="VIC"/>
            <w:color w:val="1855BF"/>
          </w:rPr>
          <w:t>eal@education.vic.gov.au</w:t>
        </w:r>
      </w:hyperlink>
    </w:p>
    <w:p w14:paraId="70B40B90" w14:textId="3139F640" w:rsidR="00ED4312" w:rsidRPr="004D307F" w:rsidRDefault="00ED4312" w:rsidP="000D106B">
      <w:pPr>
        <w:rPr>
          <w:rFonts w:ascii="VIC" w:eastAsia="Times New Roman" w:hAnsi="VIC" w:cs="Times New Roman"/>
          <w:color w:val="011A3C"/>
          <w:sz w:val="24"/>
          <w:szCs w:val="24"/>
          <w:lang w:val="en" w:eastAsia="en-AU"/>
        </w:rPr>
      </w:pPr>
      <w:r w:rsidRPr="004D307F">
        <w:rPr>
          <w:rFonts w:ascii="VIC" w:hAnsi="VIC"/>
          <w:color w:val="011A3C"/>
          <w:lang w:val="en"/>
        </w:rPr>
        <w:br w:type="page"/>
      </w:r>
    </w:p>
    <w:p w14:paraId="78D3554F" w14:textId="281A2414" w:rsidR="00AD16F0" w:rsidRPr="004D307F" w:rsidRDefault="00AD16F0" w:rsidP="00B566E7">
      <w:pPr>
        <w:pStyle w:val="Heading2"/>
      </w:pPr>
      <w:bookmarkStart w:id="20" w:name="_Toc99882733"/>
      <w:r w:rsidRPr="004D307F">
        <w:lastRenderedPageBreak/>
        <w:t>Equity (Social Disadvantage) (Reference 11)</w:t>
      </w:r>
      <w:bookmarkEnd w:id="20"/>
    </w:p>
    <w:p w14:paraId="5E7CAAF0"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for Equity (Social Disadvantage) provides an individual loading for students from disadvantaged backgrounds that will increase with the density of disadvantage at the school. Social disadvantage can often place students well behind their peers when entering the education system. Increased funding for schools has proven to raise educational outcomes, particularly for these students. Schools will use Social Disadvantage funding to deliver tailored educational programs that meet the needs of this cohort of students.</w:t>
      </w:r>
    </w:p>
    <w:p w14:paraId="6FB6A11C" w14:textId="262F48AE"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Equity (Social Disadvantage) loading allocates funding based on parental occupation, parental </w:t>
      </w:r>
      <w:proofErr w:type="gramStart"/>
      <w:r w:rsidRPr="004D307F">
        <w:rPr>
          <w:rFonts w:ascii="VIC-Regular" w:eastAsia="Times New Roman" w:hAnsi="VIC-Regular" w:cs="Times New Roman"/>
          <w:color w:val="011A3C"/>
          <w:sz w:val="24"/>
          <w:szCs w:val="24"/>
          <w:lang w:val="en" w:eastAsia="en-AU"/>
        </w:rPr>
        <w:t>education</w:t>
      </w:r>
      <w:proofErr w:type="gramEnd"/>
      <w:r w:rsidRPr="004D307F">
        <w:rPr>
          <w:rFonts w:ascii="VIC-Regular" w:eastAsia="Times New Roman" w:hAnsi="VIC-Regular" w:cs="Times New Roman"/>
          <w:color w:val="011A3C"/>
          <w:sz w:val="24"/>
          <w:szCs w:val="24"/>
          <w:lang w:val="en" w:eastAsia="en-AU"/>
        </w:rPr>
        <w:t xml:space="preserve"> and the level of concentration of disadvantage in a school. Students with the highest level of need will be targeted with the most funding to ensure schools have the resources to support them. The loading is need based, </w:t>
      </w:r>
      <w:r w:rsidR="00C53D2A" w:rsidRPr="004D307F">
        <w:rPr>
          <w:rFonts w:ascii="VIC-Regular" w:eastAsia="Times New Roman" w:hAnsi="VIC-Regular" w:cs="Times New Roman"/>
          <w:color w:val="011A3C"/>
          <w:sz w:val="24"/>
          <w:szCs w:val="24"/>
          <w:lang w:val="en" w:eastAsia="en-AU"/>
        </w:rPr>
        <w:t>however,</w:t>
      </w:r>
      <w:r w:rsidRPr="004D307F">
        <w:rPr>
          <w:rFonts w:ascii="VIC-Regular" w:eastAsia="Times New Roman" w:hAnsi="VIC-Regular" w:cs="Times New Roman"/>
          <w:color w:val="011A3C"/>
          <w:sz w:val="24"/>
          <w:szCs w:val="24"/>
          <w:lang w:val="en" w:eastAsia="en-AU"/>
        </w:rPr>
        <w:t xml:space="preserve"> to increase year on year stability for schools, a floor on negative funding changes and a weighted rolling average is applied to this loading.</w:t>
      </w:r>
    </w:p>
    <w:p w14:paraId="4C4FACE7"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While having similarities to the former Student Family Occupation (SFO) index, the Equity (Social Disadvantage) funding contains some important differences:</w:t>
      </w:r>
    </w:p>
    <w:p w14:paraId="27A8EBF7" w14:textId="77777777" w:rsidR="00AD16F0" w:rsidRPr="004D307F" w:rsidRDefault="00AD16F0" w:rsidP="00ED0863">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Social Disadvantage </w:t>
      </w:r>
      <w:proofErr w:type="spellStart"/>
      <w:r w:rsidRPr="004D307F">
        <w:rPr>
          <w:rFonts w:ascii="VIC-Regular" w:eastAsia="Times New Roman" w:hAnsi="VIC-Regular" w:cs="Times New Roman"/>
          <w:color w:val="011A3C"/>
          <w:sz w:val="24"/>
          <w:szCs w:val="24"/>
          <w:lang w:val="en" w:eastAsia="en-AU"/>
        </w:rPr>
        <w:t>utilises</w:t>
      </w:r>
      <w:proofErr w:type="spellEnd"/>
      <w:r w:rsidRPr="004D307F">
        <w:rPr>
          <w:rFonts w:ascii="VIC-Regular" w:eastAsia="Times New Roman" w:hAnsi="VIC-Regular" w:cs="Times New Roman"/>
          <w:color w:val="011A3C"/>
          <w:sz w:val="24"/>
          <w:szCs w:val="24"/>
          <w:lang w:val="en" w:eastAsia="en-AU"/>
        </w:rPr>
        <w:t xml:space="preserve"> both the Student Family Education (SFE) and SFO index, further strengthening the targeting of existing and new equity funding.</w:t>
      </w:r>
    </w:p>
    <w:p w14:paraId="1671389A" w14:textId="77777777" w:rsidR="00AD16F0" w:rsidRPr="004D307F" w:rsidRDefault="00AD16F0" w:rsidP="00ED0863">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median threshold previously used under the SFO for equity no longer exists.</w:t>
      </w:r>
    </w:p>
    <w:p w14:paraId="10952592" w14:textId="77777777" w:rsidR="00AD16F0" w:rsidRPr="004D307F" w:rsidRDefault="00AD16F0" w:rsidP="00ED0863">
      <w:pPr>
        <w:numPr>
          <w:ilvl w:val="0"/>
          <w:numId w:val="1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 students identified with high needs will be provided with funding.</w:t>
      </w:r>
    </w:p>
    <w:p w14:paraId="44CEF94D"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Eligibility</w:t>
      </w:r>
    </w:p>
    <w:p w14:paraId="533EDFB4" w14:textId="46203259" w:rsidR="00AD16F0" w:rsidRPr="004D307F" w:rsidRDefault="00AD16F0" w:rsidP="00ED0863">
      <w:pPr>
        <w:numPr>
          <w:ilvl w:val="0"/>
          <w:numId w:val="1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All School types are eligible, students identified with high needs will be provided with funding at </w:t>
      </w:r>
      <w:r w:rsidR="00EC143E" w:rsidRPr="004D307F">
        <w:rPr>
          <w:rFonts w:ascii="VIC-Regular" w:eastAsia="Times New Roman" w:hAnsi="VIC-Regular" w:cs="Times New Roman"/>
          <w:color w:val="011A3C"/>
          <w:sz w:val="24"/>
          <w:szCs w:val="24"/>
          <w:lang w:val="en" w:eastAsia="en-AU"/>
        </w:rPr>
        <w:t xml:space="preserve">school </w:t>
      </w:r>
      <w:r w:rsidR="00C53D2A" w:rsidRPr="004D307F">
        <w:rPr>
          <w:rFonts w:ascii="VIC-Regular" w:eastAsia="Times New Roman" w:hAnsi="VIC-Regular" w:cs="Times New Roman"/>
          <w:color w:val="011A3C"/>
          <w:sz w:val="24"/>
          <w:szCs w:val="24"/>
          <w:lang w:val="en" w:eastAsia="en-AU"/>
        </w:rPr>
        <w:t>level. *</w:t>
      </w:r>
    </w:p>
    <w:p w14:paraId="0FD86462" w14:textId="17A8B4DE" w:rsidR="00EC143E" w:rsidRPr="004D307F" w:rsidRDefault="00EC143E" w:rsidP="000E2834">
      <w:pPr>
        <w:pStyle w:val="ListParagraph"/>
        <w:spacing w:before="100" w:beforeAutospacing="1" w:after="100" w:afterAutospacing="1" w:line="360" w:lineRule="atLeast"/>
        <w:ind w:left="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be calculated at the Indicative budget cycle</w:t>
      </w:r>
      <w:r w:rsidR="00FB4A51" w:rsidRPr="004D307F">
        <w:rPr>
          <w:rFonts w:ascii="VIC-Regular" w:eastAsia="Times New Roman" w:hAnsi="VIC-Regular" w:cs="Times New Roman"/>
          <w:color w:val="011A3C"/>
          <w:sz w:val="24"/>
          <w:szCs w:val="24"/>
          <w:lang w:val="en" w:eastAsia="en-AU"/>
        </w:rPr>
        <w:t xml:space="preserve"> </w:t>
      </w:r>
      <w:proofErr w:type="gramStart"/>
      <w:r w:rsidR="00FB4A51" w:rsidRPr="004D307F">
        <w:rPr>
          <w:rFonts w:ascii="VIC-Regular" w:eastAsia="Times New Roman" w:hAnsi="VIC-Regular" w:cs="Times New Roman"/>
          <w:color w:val="011A3C"/>
          <w:sz w:val="24"/>
          <w:szCs w:val="24"/>
          <w:lang w:val="en" w:eastAsia="en-AU"/>
        </w:rPr>
        <w:t>only</w:t>
      </w:r>
      <w:r w:rsidRPr="004D307F">
        <w:rPr>
          <w:rFonts w:ascii="VIC-Regular" w:eastAsia="Times New Roman" w:hAnsi="VIC-Regular" w:cs="Times New Roman"/>
          <w:color w:val="011A3C"/>
          <w:sz w:val="24"/>
          <w:szCs w:val="24"/>
          <w:lang w:val="en" w:eastAsia="en-AU"/>
        </w:rPr>
        <w:t>,</w:t>
      </w:r>
      <w:proofErr w:type="gramEnd"/>
      <w:r w:rsidRPr="004D307F">
        <w:rPr>
          <w:rFonts w:ascii="VIC-Regular" w:eastAsia="Times New Roman" w:hAnsi="VIC-Regular" w:cs="Times New Roman"/>
          <w:color w:val="011A3C"/>
          <w:sz w:val="24"/>
          <w:szCs w:val="24"/>
          <w:lang w:val="en" w:eastAsia="en-AU"/>
        </w:rPr>
        <w:t xml:space="preserve"> schools are provided with cash and credit funding.</w:t>
      </w:r>
    </w:p>
    <w:p w14:paraId="0CBC6621" w14:textId="6291D655" w:rsidR="00AD16F0" w:rsidRPr="004D307F" w:rsidRDefault="00AD16F0" w:rsidP="00AF025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How social disadvantage is identified</w:t>
      </w:r>
    </w:p>
    <w:p w14:paraId="32A6CA51"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The level of Social Disadvantage is measured through the student’s Student Family Occupation and Education (SFOE), which is a combination of their SFO and SFE categories. The matrix below in Table 1 depicts the possible SFOE categories a student may have. These categories are used to determine which students come from disadvantaged backgrounds and the Social Disadvantage loading they would attract. There are two levels of Social Disadvantage loadings available, depending on the student’s level of need: </w:t>
      </w:r>
    </w:p>
    <w:p w14:paraId="43AC6675"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Level 1</w:t>
      </w:r>
      <w:r w:rsidRPr="004D307F">
        <w:rPr>
          <w:rFonts w:ascii="VIC-Regular" w:eastAsia="Times New Roman" w:hAnsi="VIC-Regular" w:cs="Times New Roman"/>
          <w:color w:val="011A3C"/>
          <w:sz w:val="24"/>
          <w:szCs w:val="24"/>
          <w:lang w:val="en" w:eastAsia="en-AU"/>
        </w:rPr>
        <w:t>: For students with parents who are unemployed with below diploma level education or have lower skilled jobs with very low or low education</w:t>
      </w:r>
    </w:p>
    <w:p w14:paraId="47E378F6"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Level 2</w:t>
      </w:r>
      <w:r w:rsidRPr="004D307F">
        <w:rPr>
          <w:rFonts w:ascii="VIC-Regular" w:eastAsia="Times New Roman" w:hAnsi="VIC-Regular" w:cs="Times New Roman"/>
          <w:color w:val="011A3C"/>
          <w:sz w:val="24"/>
          <w:szCs w:val="24"/>
          <w:lang w:val="en" w:eastAsia="en-AU"/>
        </w:rPr>
        <w:t>: For students with parents who have various combinations of medium and low skilled jobs and education levels, or are unemployed with a diploma level education</w:t>
      </w:r>
    </w:p>
    <w:p w14:paraId="7CA442C4"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Table 1</w:t>
      </w:r>
    </w:p>
    <w:p w14:paraId="44A24B65" w14:textId="12DAB920"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letters</w:t>
      </w:r>
      <w:r w:rsidR="000E2834" w:rsidRPr="004D307F">
        <w:rPr>
          <w:rFonts w:ascii="VIC-Regular" w:eastAsia="Times New Roman" w:hAnsi="VIC-Regular" w:cs="Times New Roman"/>
          <w:color w:val="011A3C"/>
          <w:sz w:val="24"/>
          <w:szCs w:val="24"/>
          <w:lang w:val="en" w:eastAsia="en-AU"/>
        </w:rPr>
        <w:t xml:space="preserve"> (A to U)</w:t>
      </w:r>
      <w:r w:rsidRPr="004D307F">
        <w:rPr>
          <w:rFonts w:ascii="VIC-Regular" w:eastAsia="Times New Roman" w:hAnsi="VIC-Regular" w:cs="Times New Roman"/>
          <w:color w:val="011A3C"/>
          <w:sz w:val="24"/>
          <w:szCs w:val="24"/>
          <w:lang w:val="en" w:eastAsia="en-AU"/>
        </w:rPr>
        <w:t xml:space="preserve"> in the </w:t>
      </w:r>
      <w:r w:rsidR="00992D19" w:rsidRPr="004D307F">
        <w:rPr>
          <w:rFonts w:ascii="VIC-Regular" w:eastAsia="Times New Roman" w:hAnsi="VIC-Regular" w:cs="Times New Roman"/>
          <w:color w:val="011A3C"/>
          <w:sz w:val="24"/>
          <w:szCs w:val="24"/>
          <w:lang w:val="en" w:eastAsia="en-AU"/>
        </w:rPr>
        <w:t>far-right</w:t>
      </w:r>
      <w:r w:rsidRPr="004D307F">
        <w:rPr>
          <w:rFonts w:ascii="VIC-Regular" w:eastAsia="Times New Roman" w:hAnsi="VIC-Regular" w:cs="Times New Roman"/>
          <w:color w:val="011A3C"/>
          <w:sz w:val="24"/>
          <w:szCs w:val="24"/>
          <w:lang w:val="en" w:eastAsia="en-AU"/>
        </w:rPr>
        <w:t xml:space="preserve"> columns reference SFO categories</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9"/>
        <w:gridCol w:w="4803"/>
        <w:gridCol w:w="359"/>
        <w:gridCol w:w="359"/>
        <w:gridCol w:w="392"/>
        <w:gridCol w:w="390"/>
        <w:gridCol w:w="400"/>
        <w:gridCol w:w="383"/>
      </w:tblGrid>
      <w:tr w:rsidR="00124D27" w:rsidRPr="004D307F" w14:paraId="4EF03356" w14:textId="77777777" w:rsidTr="000E2834">
        <w:trPr>
          <w:trHeight w:val="275"/>
          <w:tblHeader/>
        </w:trPr>
        <w:tc>
          <w:tcPr>
            <w:tcW w:w="0" w:type="auto"/>
            <w:hideMark/>
          </w:tcPr>
          <w:p w14:paraId="213334A4" w14:textId="77777777" w:rsidR="00124D27" w:rsidRPr="004D307F" w:rsidRDefault="00124D27"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CASES21 Code</w:t>
            </w:r>
          </w:p>
        </w:tc>
        <w:tc>
          <w:tcPr>
            <w:tcW w:w="0" w:type="auto"/>
            <w:hideMark/>
          </w:tcPr>
          <w:p w14:paraId="44772DFA" w14:textId="77777777" w:rsidR="00124D27" w:rsidRPr="004D307F" w:rsidRDefault="00124D27"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Education Category</w:t>
            </w:r>
          </w:p>
        </w:tc>
        <w:tc>
          <w:tcPr>
            <w:tcW w:w="0" w:type="auto"/>
            <w:gridSpan w:val="6"/>
            <w:hideMark/>
          </w:tcPr>
          <w:p w14:paraId="74E6A260" w14:textId="1CF55EC9" w:rsidR="00124D27" w:rsidRPr="004D307F" w:rsidRDefault="00124D27" w:rsidP="00124D27">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SFO Category</w:t>
            </w:r>
          </w:p>
        </w:tc>
      </w:tr>
      <w:tr w:rsidR="00AD16F0" w:rsidRPr="004D307F" w14:paraId="269767A4" w14:textId="77777777" w:rsidTr="000E2834">
        <w:trPr>
          <w:trHeight w:val="344"/>
        </w:trPr>
        <w:tc>
          <w:tcPr>
            <w:tcW w:w="0" w:type="auto"/>
            <w:hideMark/>
          </w:tcPr>
          <w:p w14:paraId="6FEE4AD2" w14:textId="77777777" w:rsidR="00AD16F0" w:rsidRPr="004D307F" w:rsidRDefault="00AD16F0" w:rsidP="00AD16F0">
            <w:pPr>
              <w:spacing w:after="0" w:line="24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23B95FAA" w14:textId="77777777" w:rsidR="00AD16F0" w:rsidRPr="004D307F" w:rsidRDefault="00AD16F0" w:rsidP="00AD16F0">
            <w:pPr>
              <w:spacing w:after="0" w:line="360" w:lineRule="atLeast"/>
              <w:rPr>
                <w:rFonts w:ascii="Times New Roman" w:eastAsia="Times New Roman" w:hAnsi="Times New Roman" w:cs="Times New Roman"/>
                <w:color w:val="323E4F" w:themeColor="text2" w:themeShade="BF"/>
                <w:sz w:val="20"/>
                <w:szCs w:val="20"/>
                <w:lang w:eastAsia="en-AU"/>
              </w:rPr>
            </w:pPr>
          </w:p>
        </w:tc>
        <w:tc>
          <w:tcPr>
            <w:tcW w:w="0" w:type="auto"/>
            <w:hideMark/>
          </w:tcPr>
          <w:p w14:paraId="1997BC86"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A</w:t>
            </w:r>
          </w:p>
        </w:tc>
        <w:tc>
          <w:tcPr>
            <w:tcW w:w="0" w:type="auto"/>
            <w:hideMark/>
          </w:tcPr>
          <w:p w14:paraId="6D282A42"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B</w:t>
            </w:r>
          </w:p>
        </w:tc>
        <w:tc>
          <w:tcPr>
            <w:tcW w:w="0" w:type="auto"/>
            <w:hideMark/>
          </w:tcPr>
          <w:p w14:paraId="38EA0E0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C</w:t>
            </w:r>
          </w:p>
        </w:tc>
        <w:tc>
          <w:tcPr>
            <w:tcW w:w="0" w:type="auto"/>
            <w:hideMark/>
          </w:tcPr>
          <w:p w14:paraId="0629EE1B"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D</w:t>
            </w:r>
          </w:p>
        </w:tc>
        <w:tc>
          <w:tcPr>
            <w:tcW w:w="0" w:type="auto"/>
            <w:hideMark/>
          </w:tcPr>
          <w:p w14:paraId="11A02C12"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w:t>
            </w:r>
          </w:p>
        </w:tc>
        <w:tc>
          <w:tcPr>
            <w:tcW w:w="0" w:type="auto"/>
            <w:hideMark/>
          </w:tcPr>
          <w:p w14:paraId="48C7731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U</w:t>
            </w:r>
          </w:p>
        </w:tc>
      </w:tr>
      <w:tr w:rsidR="00AD16F0" w:rsidRPr="004D307F" w14:paraId="3AAD9EFF" w14:textId="77777777" w:rsidTr="000E2834">
        <w:trPr>
          <w:trHeight w:val="344"/>
        </w:trPr>
        <w:tc>
          <w:tcPr>
            <w:tcW w:w="0" w:type="auto"/>
            <w:hideMark/>
          </w:tcPr>
          <w:p w14:paraId="196FC517"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FE8B3E8"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Not Stated/Unknown</w:t>
            </w:r>
          </w:p>
        </w:tc>
        <w:tc>
          <w:tcPr>
            <w:tcW w:w="0" w:type="auto"/>
            <w:hideMark/>
          </w:tcPr>
          <w:p w14:paraId="4D4AC01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7B83973"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180DDBA"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7C6E01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338FC30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2D3A8FDB"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5E241894" w14:textId="77777777" w:rsidTr="000E2834">
        <w:trPr>
          <w:trHeight w:val="344"/>
        </w:trPr>
        <w:tc>
          <w:tcPr>
            <w:tcW w:w="0" w:type="auto"/>
            <w:hideMark/>
          </w:tcPr>
          <w:p w14:paraId="31B97FB1"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34648816"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SFE </w:t>
            </w:r>
            <w:proofErr w:type="spellStart"/>
            <w:r w:rsidRPr="004D307F">
              <w:rPr>
                <w:rFonts w:ascii="VIC-Regular" w:eastAsia="Times New Roman" w:hAnsi="VIC-Regular" w:cs="Times New Roman"/>
                <w:color w:val="323E4F" w:themeColor="text2" w:themeShade="BF"/>
                <w:sz w:val="24"/>
                <w:szCs w:val="24"/>
                <w:lang w:eastAsia="en-AU"/>
              </w:rPr>
              <w:t>Yr</w:t>
            </w:r>
            <w:proofErr w:type="spellEnd"/>
            <w:r w:rsidRPr="004D307F">
              <w:rPr>
                <w:rFonts w:ascii="VIC-Regular" w:eastAsia="Times New Roman" w:hAnsi="VIC-Regular" w:cs="Times New Roman"/>
                <w:color w:val="323E4F" w:themeColor="text2" w:themeShade="BF"/>
                <w:sz w:val="24"/>
                <w:szCs w:val="24"/>
                <w:lang w:eastAsia="en-AU"/>
              </w:rPr>
              <w:t xml:space="preserve"> 9 or below</w:t>
            </w:r>
          </w:p>
        </w:tc>
        <w:tc>
          <w:tcPr>
            <w:tcW w:w="0" w:type="auto"/>
            <w:hideMark/>
          </w:tcPr>
          <w:p w14:paraId="0FC5853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279464E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2F098B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631E617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1F8D0D2A"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013EB7F6"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3430E808" w14:textId="77777777" w:rsidTr="000E2834">
        <w:trPr>
          <w:trHeight w:val="344"/>
        </w:trPr>
        <w:tc>
          <w:tcPr>
            <w:tcW w:w="0" w:type="auto"/>
            <w:hideMark/>
          </w:tcPr>
          <w:p w14:paraId="29CFD928"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25CAAE59"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SFE </w:t>
            </w:r>
            <w:proofErr w:type="spellStart"/>
            <w:r w:rsidRPr="004D307F">
              <w:rPr>
                <w:rFonts w:ascii="VIC-Regular" w:eastAsia="Times New Roman" w:hAnsi="VIC-Regular" w:cs="Times New Roman"/>
                <w:color w:val="323E4F" w:themeColor="text2" w:themeShade="BF"/>
                <w:sz w:val="24"/>
                <w:szCs w:val="24"/>
                <w:lang w:eastAsia="en-AU"/>
              </w:rPr>
              <w:t>Yr</w:t>
            </w:r>
            <w:proofErr w:type="spellEnd"/>
            <w:r w:rsidRPr="004D307F">
              <w:rPr>
                <w:rFonts w:ascii="VIC-Regular" w:eastAsia="Times New Roman" w:hAnsi="VIC-Regular" w:cs="Times New Roman"/>
                <w:color w:val="323E4F" w:themeColor="text2" w:themeShade="BF"/>
                <w:sz w:val="24"/>
                <w:szCs w:val="24"/>
                <w:lang w:eastAsia="en-AU"/>
              </w:rPr>
              <w:t xml:space="preserve"> 10 or equivalent</w:t>
            </w:r>
          </w:p>
        </w:tc>
        <w:tc>
          <w:tcPr>
            <w:tcW w:w="0" w:type="auto"/>
            <w:hideMark/>
          </w:tcPr>
          <w:p w14:paraId="6B8F4580"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726A300A"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EC1E93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201DC1DF"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30A35377"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04C5D2B4"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37456050" w14:textId="77777777" w:rsidTr="000E2834">
        <w:trPr>
          <w:trHeight w:val="344"/>
        </w:trPr>
        <w:tc>
          <w:tcPr>
            <w:tcW w:w="0" w:type="auto"/>
            <w:hideMark/>
          </w:tcPr>
          <w:p w14:paraId="53424DED"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31B460D4"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SFE </w:t>
            </w:r>
            <w:proofErr w:type="spellStart"/>
            <w:r w:rsidRPr="004D307F">
              <w:rPr>
                <w:rFonts w:ascii="VIC-Regular" w:eastAsia="Times New Roman" w:hAnsi="VIC-Regular" w:cs="Times New Roman"/>
                <w:color w:val="323E4F" w:themeColor="text2" w:themeShade="BF"/>
                <w:sz w:val="24"/>
                <w:szCs w:val="24"/>
                <w:lang w:eastAsia="en-AU"/>
              </w:rPr>
              <w:t>Yr</w:t>
            </w:r>
            <w:proofErr w:type="spellEnd"/>
            <w:r w:rsidRPr="004D307F">
              <w:rPr>
                <w:rFonts w:ascii="VIC-Regular" w:eastAsia="Times New Roman" w:hAnsi="VIC-Regular" w:cs="Times New Roman"/>
                <w:color w:val="323E4F" w:themeColor="text2" w:themeShade="BF"/>
                <w:sz w:val="24"/>
                <w:szCs w:val="24"/>
                <w:lang w:eastAsia="en-AU"/>
              </w:rPr>
              <w:t> 11 or equivalent</w:t>
            </w:r>
          </w:p>
        </w:tc>
        <w:tc>
          <w:tcPr>
            <w:tcW w:w="0" w:type="auto"/>
            <w:hideMark/>
          </w:tcPr>
          <w:p w14:paraId="6FF375C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9FA98E0"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DC7C92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047BC53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1B499ABC"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71C1EA45"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41C4DDDB" w14:textId="77777777" w:rsidTr="000E2834">
        <w:trPr>
          <w:trHeight w:val="344"/>
        </w:trPr>
        <w:tc>
          <w:tcPr>
            <w:tcW w:w="0" w:type="auto"/>
            <w:hideMark/>
          </w:tcPr>
          <w:p w14:paraId="7B8CB1A7"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5F8856A4"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SFE </w:t>
            </w:r>
            <w:proofErr w:type="spellStart"/>
            <w:r w:rsidRPr="004D307F">
              <w:rPr>
                <w:rFonts w:ascii="VIC-Regular" w:eastAsia="Times New Roman" w:hAnsi="VIC-Regular" w:cs="Times New Roman"/>
                <w:color w:val="323E4F" w:themeColor="text2" w:themeShade="BF"/>
                <w:sz w:val="24"/>
                <w:szCs w:val="24"/>
                <w:lang w:eastAsia="en-AU"/>
              </w:rPr>
              <w:t>Yr</w:t>
            </w:r>
            <w:proofErr w:type="spellEnd"/>
            <w:r w:rsidRPr="004D307F">
              <w:rPr>
                <w:rFonts w:ascii="VIC-Regular" w:eastAsia="Times New Roman" w:hAnsi="VIC-Regular" w:cs="Times New Roman"/>
                <w:color w:val="323E4F" w:themeColor="text2" w:themeShade="BF"/>
                <w:sz w:val="24"/>
                <w:szCs w:val="24"/>
                <w:lang w:eastAsia="en-AU"/>
              </w:rPr>
              <w:t xml:space="preserve"> 12 or equivalent</w:t>
            </w:r>
          </w:p>
        </w:tc>
        <w:tc>
          <w:tcPr>
            <w:tcW w:w="0" w:type="auto"/>
            <w:hideMark/>
          </w:tcPr>
          <w:p w14:paraId="0C70BEE7"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5C5857EB"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431AE75"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0FEA16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038309FF"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55232EB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1E072772" w14:textId="77777777" w:rsidTr="000E2834">
        <w:trPr>
          <w:trHeight w:val="344"/>
        </w:trPr>
        <w:tc>
          <w:tcPr>
            <w:tcW w:w="0" w:type="auto"/>
            <w:hideMark/>
          </w:tcPr>
          <w:p w14:paraId="387FE231"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1D153E28"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Certificate I to IV</w:t>
            </w:r>
          </w:p>
        </w:tc>
        <w:tc>
          <w:tcPr>
            <w:tcW w:w="0" w:type="auto"/>
            <w:hideMark/>
          </w:tcPr>
          <w:p w14:paraId="52FE3B87"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7E3E905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133714E"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D8E9D2B"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133060A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1</w:t>
            </w:r>
          </w:p>
        </w:tc>
        <w:tc>
          <w:tcPr>
            <w:tcW w:w="0" w:type="auto"/>
            <w:hideMark/>
          </w:tcPr>
          <w:p w14:paraId="41F98F9C"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03FAA323" w14:textId="77777777" w:rsidTr="000E2834">
        <w:trPr>
          <w:trHeight w:val="344"/>
        </w:trPr>
        <w:tc>
          <w:tcPr>
            <w:tcW w:w="0" w:type="auto"/>
            <w:hideMark/>
          </w:tcPr>
          <w:p w14:paraId="1380F6BD"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w:t>
            </w:r>
          </w:p>
        </w:tc>
        <w:tc>
          <w:tcPr>
            <w:tcW w:w="0" w:type="auto"/>
            <w:hideMark/>
          </w:tcPr>
          <w:p w14:paraId="55867E96"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SFE Advanced Dip/Diploma</w:t>
            </w:r>
          </w:p>
        </w:tc>
        <w:tc>
          <w:tcPr>
            <w:tcW w:w="0" w:type="auto"/>
            <w:hideMark/>
          </w:tcPr>
          <w:p w14:paraId="23B316B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287C06C3"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391C1FDC"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6FF1D8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41C9F62"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2</w:t>
            </w:r>
          </w:p>
        </w:tc>
        <w:tc>
          <w:tcPr>
            <w:tcW w:w="0" w:type="auto"/>
            <w:hideMark/>
          </w:tcPr>
          <w:p w14:paraId="591B3630"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r w:rsidR="00AD16F0" w:rsidRPr="004D307F" w14:paraId="01EAA570" w14:textId="77777777" w:rsidTr="000E2834">
        <w:trPr>
          <w:trHeight w:val="344"/>
        </w:trPr>
        <w:tc>
          <w:tcPr>
            <w:tcW w:w="0" w:type="auto"/>
            <w:hideMark/>
          </w:tcPr>
          <w:p w14:paraId="41512512"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6107F595"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SFE </w:t>
            </w:r>
            <w:proofErr w:type="gramStart"/>
            <w:r w:rsidRPr="004D307F">
              <w:rPr>
                <w:rFonts w:ascii="VIC-Regular" w:eastAsia="Times New Roman" w:hAnsi="VIC-Regular" w:cs="Times New Roman"/>
                <w:color w:val="323E4F" w:themeColor="text2" w:themeShade="BF"/>
                <w:sz w:val="24"/>
                <w:szCs w:val="24"/>
                <w:lang w:eastAsia="en-AU"/>
              </w:rPr>
              <w:t>Bachelor</w:t>
            </w:r>
            <w:proofErr w:type="gramEnd"/>
            <w:r w:rsidRPr="004D307F">
              <w:rPr>
                <w:rFonts w:ascii="VIC-Regular" w:eastAsia="Times New Roman" w:hAnsi="VIC-Regular" w:cs="Times New Roman"/>
                <w:color w:val="323E4F" w:themeColor="text2" w:themeShade="BF"/>
                <w:sz w:val="24"/>
                <w:szCs w:val="24"/>
                <w:lang w:eastAsia="en-AU"/>
              </w:rPr>
              <w:t xml:space="preserve"> degree or above</w:t>
            </w:r>
          </w:p>
        </w:tc>
        <w:tc>
          <w:tcPr>
            <w:tcW w:w="0" w:type="auto"/>
            <w:hideMark/>
          </w:tcPr>
          <w:p w14:paraId="0965515D"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EEF166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53B616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5214B383"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7F37958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127086A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r>
    </w:tbl>
    <w:p w14:paraId="21D97B5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density of need according to each school’s new SFOE index will further weight the Social Disadvantage loadings.</w:t>
      </w:r>
    </w:p>
    <w:p w14:paraId="2F5CFD7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calculate the SFO index, the parent’s occupation is </w:t>
      </w:r>
      <w:proofErr w:type="spellStart"/>
      <w:r w:rsidRPr="004D307F">
        <w:rPr>
          <w:rFonts w:ascii="VIC-Regular" w:eastAsia="Times New Roman" w:hAnsi="VIC-Regular" w:cs="Times New Roman"/>
          <w:color w:val="011A3C"/>
          <w:sz w:val="24"/>
          <w:szCs w:val="24"/>
          <w:lang w:val="en" w:eastAsia="en-AU"/>
        </w:rPr>
        <w:t>categorised</w:t>
      </w:r>
      <w:proofErr w:type="spellEnd"/>
      <w:r w:rsidRPr="004D307F">
        <w:rPr>
          <w:rFonts w:ascii="VIC-Regular" w:eastAsia="Times New Roman" w:hAnsi="VIC-Regular" w:cs="Times New Roman"/>
          <w:color w:val="011A3C"/>
          <w:sz w:val="24"/>
          <w:szCs w:val="24"/>
          <w:lang w:val="en" w:eastAsia="en-AU"/>
        </w:rPr>
        <w:t xml:space="preserve"> and weighted according to the categories found in Table 2 below. Data regarding occupational categories is collected each year as part of the August census</w:t>
      </w:r>
    </w:p>
    <w:p w14:paraId="1D758931"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Table 2</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0"/>
        <w:gridCol w:w="6835"/>
        <w:gridCol w:w="1649"/>
      </w:tblGrid>
      <w:tr w:rsidR="00AD16F0" w:rsidRPr="004D307F" w14:paraId="22C6F4D3" w14:textId="77777777" w:rsidTr="000E2834">
        <w:trPr>
          <w:tblHeader/>
        </w:trPr>
        <w:tc>
          <w:tcPr>
            <w:tcW w:w="0" w:type="auto"/>
            <w:hideMark/>
          </w:tcPr>
          <w:p w14:paraId="411CDC0A" w14:textId="77777777" w:rsidR="00AD16F0" w:rsidRPr="004D307F" w:rsidRDefault="00AD16F0" w:rsidP="000E28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lastRenderedPageBreak/>
              <w:t>Category</w:t>
            </w:r>
          </w:p>
        </w:tc>
        <w:tc>
          <w:tcPr>
            <w:tcW w:w="0" w:type="auto"/>
            <w:hideMark/>
          </w:tcPr>
          <w:p w14:paraId="0B32512A"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Occupation Grouping</w:t>
            </w:r>
          </w:p>
        </w:tc>
        <w:tc>
          <w:tcPr>
            <w:tcW w:w="856" w:type="pct"/>
            <w:hideMark/>
          </w:tcPr>
          <w:p w14:paraId="24607075" w14:textId="77777777" w:rsidR="00AD16F0" w:rsidRPr="004D307F" w:rsidRDefault="00AD16F0" w:rsidP="000E28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Weighting</w:t>
            </w:r>
          </w:p>
        </w:tc>
      </w:tr>
      <w:tr w:rsidR="00AD16F0" w:rsidRPr="004D307F" w14:paraId="20B03929" w14:textId="77777777" w:rsidTr="000E2834">
        <w:tc>
          <w:tcPr>
            <w:tcW w:w="0" w:type="auto"/>
            <w:hideMark/>
          </w:tcPr>
          <w:p w14:paraId="45AAFE98"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A</w:t>
            </w:r>
          </w:p>
        </w:tc>
        <w:tc>
          <w:tcPr>
            <w:tcW w:w="0" w:type="auto"/>
            <w:hideMark/>
          </w:tcPr>
          <w:p w14:paraId="4BF5F30C"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Senior management in large business organisation, government administration and defence, and qualified professionals</w:t>
            </w:r>
          </w:p>
        </w:tc>
        <w:tc>
          <w:tcPr>
            <w:tcW w:w="856" w:type="pct"/>
            <w:hideMark/>
          </w:tcPr>
          <w:p w14:paraId="3579E76E"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0.00</w:t>
            </w:r>
          </w:p>
        </w:tc>
      </w:tr>
      <w:tr w:rsidR="00AD16F0" w:rsidRPr="004D307F" w14:paraId="4E55E16C" w14:textId="77777777" w:rsidTr="000E2834">
        <w:tc>
          <w:tcPr>
            <w:tcW w:w="0" w:type="auto"/>
            <w:hideMark/>
          </w:tcPr>
          <w:p w14:paraId="238D9756"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B</w:t>
            </w:r>
          </w:p>
        </w:tc>
        <w:tc>
          <w:tcPr>
            <w:tcW w:w="0" w:type="auto"/>
            <w:hideMark/>
          </w:tcPr>
          <w:p w14:paraId="09F395FD"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Other business managers, arts/media/sports </w:t>
            </w:r>
            <w:proofErr w:type="gramStart"/>
            <w:r w:rsidRPr="004D307F">
              <w:rPr>
                <w:rFonts w:ascii="VIC-Regular" w:eastAsia="Times New Roman" w:hAnsi="VIC-Regular" w:cs="Times New Roman"/>
                <w:color w:val="323E4F" w:themeColor="text2" w:themeShade="BF"/>
                <w:sz w:val="24"/>
                <w:szCs w:val="24"/>
                <w:lang w:eastAsia="en-AU"/>
              </w:rPr>
              <w:t>persons</w:t>
            </w:r>
            <w:proofErr w:type="gramEnd"/>
            <w:r w:rsidRPr="004D307F">
              <w:rPr>
                <w:rFonts w:ascii="VIC-Regular" w:eastAsia="Times New Roman" w:hAnsi="VIC-Regular" w:cs="Times New Roman"/>
                <w:color w:val="323E4F" w:themeColor="text2" w:themeShade="BF"/>
                <w:sz w:val="24"/>
                <w:szCs w:val="24"/>
                <w:lang w:eastAsia="en-AU"/>
              </w:rPr>
              <w:t xml:space="preserve"> and associate professionals</w:t>
            </w:r>
          </w:p>
        </w:tc>
        <w:tc>
          <w:tcPr>
            <w:tcW w:w="856" w:type="pct"/>
            <w:hideMark/>
          </w:tcPr>
          <w:p w14:paraId="60CDB2EC"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0.25</w:t>
            </w:r>
          </w:p>
        </w:tc>
      </w:tr>
      <w:tr w:rsidR="00AD16F0" w:rsidRPr="004D307F" w14:paraId="58D1EDF8" w14:textId="77777777" w:rsidTr="000E2834">
        <w:tc>
          <w:tcPr>
            <w:tcW w:w="0" w:type="auto"/>
            <w:hideMark/>
          </w:tcPr>
          <w:p w14:paraId="4FB5D655"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C</w:t>
            </w:r>
          </w:p>
        </w:tc>
        <w:tc>
          <w:tcPr>
            <w:tcW w:w="0" w:type="auto"/>
            <w:hideMark/>
          </w:tcPr>
          <w:p w14:paraId="0DEC5C84"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Tradesmen/women, skilled office, </w:t>
            </w:r>
            <w:proofErr w:type="gramStart"/>
            <w:r w:rsidRPr="004D307F">
              <w:rPr>
                <w:rFonts w:ascii="VIC-Regular" w:eastAsia="Times New Roman" w:hAnsi="VIC-Regular" w:cs="Times New Roman"/>
                <w:color w:val="323E4F" w:themeColor="text2" w:themeShade="BF"/>
                <w:sz w:val="24"/>
                <w:szCs w:val="24"/>
                <w:lang w:eastAsia="en-AU"/>
              </w:rPr>
              <w:t>sales</w:t>
            </w:r>
            <w:proofErr w:type="gramEnd"/>
            <w:r w:rsidRPr="004D307F">
              <w:rPr>
                <w:rFonts w:ascii="VIC-Regular" w:eastAsia="Times New Roman" w:hAnsi="VIC-Regular" w:cs="Times New Roman"/>
                <w:color w:val="323E4F" w:themeColor="text2" w:themeShade="BF"/>
                <w:sz w:val="24"/>
                <w:szCs w:val="24"/>
                <w:lang w:eastAsia="en-AU"/>
              </w:rPr>
              <w:t xml:space="preserve"> and service staff</w:t>
            </w:r>
          </w:p>
        </w:tc>
        <w:tc>
          <w:tcPr>
            <w:tcW w:w="856" w:type="pct"/>
            <w:hideMark/>
          </w:tcPr>
          <w:p w14:paraId="3FA5DB11"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0.50</w:t>
            </w:r>
          </w:p>
        </w:tc>
      </w:tr>
      <w:tr w:rsidR="00AD16F0" w:rsidRPr="004D307F" w14:paraId="30C2DE6E" w14:textId="77777777" w:rsidTr="000E2834">
        <w:tc>
          <w:tcPr>
            <w:tcW w:w="0" w:type="auto"/>
            <w:hideMark/>
          </w:tcPr>
          <w:p w14:paraId="08A33849"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D</w:t>
            </w:r>
          </w:p>
        </w:tc>
        <w:tc>
          <w:tcPr>
            <w:tcW w:w="0" w:type="auto"/>
            <w:hideMark/>
          </w:tcPr>
          <w:p w14:paraId="78B2FF4A"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Machine operators, hospitality staff, assistants, </w:t>
            </w:r>
            <w:proofErr w:type="gramStart"/>
            <w:r w:rsidRPr="004D307F">
              <w:rPr>
                <w:rFonts w:ascii="VIC-Regular" w:eastAsia="Times New Roman" w:hAnsi="VIC-Regular" w:cs="Times New Roman"/>
                <w:color w:val="323E4F" w:themeColor="text2" w:themeShade="BF"/>
                <w:sz w:val="24"/>
                <w:szCs w:val="24"/>
                <w:lang w:eastAsia="en-AU"/>
              </w:rPr>
              <w:t>labourers</w:t>
            </w:r>
            <w:proofErr w:type="gramEnd"/>
            <w:r w:rsidRPr="004D307F">
              <w:rPr>
                <w:rFonts w:ascii="VIC-Regular" w:eastAsia="Times New Roman" w:hAnsi="VIC-Regular" w:cs="Times New Roman"/>
                <w:color w:val="323E4F" w:themeColor="text2" w:themeShade="BF"/>
                <w:sz w:val="24"/>
                <w:szCs w:val="24"/>
                <w:lang w:eastAsia="en-AU"/>
              </w:rPr>
              <w:t xml:space="preserve"> and related workers</w:t>
            </w:r>
          </w:p>
        </w:tc>
        <w:tc>
          <w:tcPr>
            <w:tcW w:w="856" w:type="pct"/>
            <w:hideMark/>
          </w:tcPr>
          <w:p w14:paraId="05F8B19F"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0.75</w:t>
            </w:r>
          </w:p>
        </w:tc>
      </w:tr>
      <w:tr w:rsidR="00AD16F0" w:rsidRPr="004D307F" w14:paraId="365A89AF" w14:textId="77777777" w:rsidTr="000E2834">
        <w:tc>
          <w:tcPr>
            <w:tcW w:w="0" w:type="auto"/>
            <w:hideMark/>
          </w:tcPr>
          <w:p w14:paraId="3EDBE83E" w14:textId="77777777" w:rsidR="00AD16F0" w:rsidRPr="004D307F" w:rsidRDefault="00AD16F0" w:rsidP="000E28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w:t>
            </w:r>
          </w:p>
        </w:tc>
        <w:tc>
          <w:tcPr>
            <w:tcW w:w="0" w:type="auto"/>
            <w:hideMark/>
          </w:tcPr>
          <w:p w14:paraId="15697AE7"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Unemployed &amp; pensioners (for 12 months or longer)</w:t>
            </w:r>
          </w:p>
        </w:tc>
        <w:tc>
          <w:tcPr>
            <w:tcW w:w="856" w:type="pct"/>
            <w:hideMark/>
          </w:tcPr>
          <w:p w14:paraId="0A9CA45F"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1.00</w:t>
            </w:r>
          </w:p>
        </w:tc>
      </w:tr>
    </w:tbl>
    <w:p w14:paraId="4A60C8C1" w14:textId="16AC38AD"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Data recorded in the August census as “unknown” is </w:t>
      </w:r>
      <w:r w:rsidR="000E2834" w:rsidRPr="004D307F">
        <w:rPr>
          <w:rFonts w:ascii="VIC-Regular" w:eastAsia="Times New Roman" w:hAnsi="VIC-Regular" w:cs="Times New Roman"/>
          <w:color w:val="011A3C"/>
          <w:sz w:val="24"/>
          <w:szCs w:val="24"/>
          <w:lang w:val="en" w:eastAsia="en-AU"/>
        </w:rPr>
        <w:t xml:space="preserve">allocated to </w:t>
      </w:r>
      <w:r w:rsidRPr="004D307F">
        <w:rPr>
          <w:rFonts w:ascii="VIC-Regular" w:eastAsia="Times New Roman" w:hAnsi="VIC-Regular" w:cs="Times New Roman"/>
          <w:color w:val="011A3C"/>
          <w:sz w:val="24"/>
          <w:szCs w:val="24"/>
          <w:lang w:val="en" w:eastAsia="en-AU"/>
        </w:rPr>
        <w:t xml:space="preserve">the SFO density </w:t>
      </w:r>
      <w:r w:rsidR="00113120" w:rsidRPr="004D307F">
        <w:rPr>
          <w:rFonts w:ascii="VIC-Regular" w:eastAsia="Times New Roman" w:hAnsi="VIC-Regular" w:cs="Times New Roman"/>
          <w:color w:val="011A3C"/>
          <w:sz w:val="24"/>
          <w:szCs w:val="24"/>
          <w:lang w:val="en" w:eastAsia="en-AU"/>
        </w:rPr>
        <w:t>category as ‘</w:t>
      </w:r>
      <w:r w:rsidRPr="004D307F">
        <w:rPr>
          <w:rFonts w:ascii="VIC-Regular" w:eastAsia="Times New Roman" w:hAnsi="VIC-Regular" w:cs="Times New Roman"/>
          <w:color w:val="011A3C"/>
          <w:sz w:val="24"/>
          <w:szCs w:val="24"/>
          <w:lang w:val="en" w:eastAsia="en-AU"/>
        </w:rPr>
        <w:t>Occupation Group A</w:t>
      </w:r>
      <w:r w:rsidR="00113120"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and attracts a zero weighting.</w:t>
      </w:r>
    </w:p>
    <w:p w14:paraId="7E026735" w14:textId="680710BF"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detailed </w:t>
      </w:r>
      <w:proofErr w:type="spellStart"/>
      <w:r w:rsidRPr="004D307F">
        <w:rPr>
          <w:rFonts w:ascii="VIC-Regular" w:eastAsia="Times New Roman" w:hAnsi="VIC-Regular" w:cs="Times New Roman"/>
          <w:color w:val="011A3C"/>
          <w:sz w:val="24"/>
          <w:szCs w:val="24"/>
          <w:lang w:val="en" w:eastAsia="en-AU"/>
        </w:rPr>
        <w:t>categorisation</w:t>
      </w:r>
      <w:proofErr w:type="spellEnd"/>
      <w:r w:rsidRPr="004D307F">
        <w:rPr>
          <w:rFonts w:ascii="VIC-Regular" w:eastAsia="Times New Roman" w:hAnsi="VIC-Regular" w:cs="Times New Roman"/>
          <w:color w:val="011A3C"/>
          <w:sz w:val="24"/>
          <w:szCs w:val="24"/>
          <w:lang w:val="en" w:eastAsia="en-AU"/>
        </w:rPr>
        <w:t xml:space="preserve"> of SFO occupational categories</w:t>
      </w:r>
      <w:r w:rsidR="00D836DB" w:rsidRPr="004D307F">
        <w:rPr>
          <w:rFonts w:ascii="VIC-Regular" w:eastAsia="Times New Roman" w:hAnsi="VIC-Regular" w:cs="Times New Roman"/>
          <w:color w:val="011A3C"/>
          <w:sz w:val="24"/>
          <w:szCs w:val="24"/>
          <w:lang w:val="en" w:eastAsia="en-AU"/>
        </w:rPr>
        <w:t>, refer to the</w:t>
      </w:r>
      <w:r w:rsidRPr="004D307F">
        <w:rPr>
          <w:rFonts w:ascii="VIC-Regular" w:eastAsia="Times New Roman" w:hAnsi="VIC-Regular" w:cs="Times New Roman"/>
          <w:color w:val="011A3C"/>
          <w:sz w:val="24"/>
          <w:szCs w:val="24"/>
          <w:lang w:val="en" w:eastAsia="en-AU"/>
        </w:rPr>
        <w:t xml:space="preserve"> link below:</w:t>
      </w:r>
    </w:p>
    <w:p w14:paraId="3D3E46F4" w14:textId="77777777" w:rsidR="00AD16F0" w:rsidRPr="004D307F" w:rsidRDefault="00A3542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44" w:history="1">
        <w:r w:rsidR="00AD16F0" w:rsidRPr="004D307F">
          <w:rPr>
            <w:rFonts w:ascii="VIC-Regular" w:eastAsia="Times New Roman" w:hAnsi="VIC-Regular" w:cs="Times New Roman"/>
            <w:color w:val="011A3C"/>
            <w:sz w:val="24"/>
            <w:szCs w:val="24"/>
            <w:lang w:val="en" w:eastAsia="en-AU"/>
          </w:rPr>
          <w:t>SFO.aspx</w:t>
        </w:r>
      </w:hyperlink>
    </w:p>
    <w:p w14:paraId="1934CB4C" w14:textId="77777777" w:rsidR="00AD16F0" w:rsidRPr="004D307F" w:rsidRDefault="00AD16F0" w:rsidP="00C53D2A">
      <w:pPr>
        <w:rPr>
          <w:b/>
          <w:bCs/>
          <w:lang w:val="en" w:eastAsia="en-AU"/>
        </w:rPr>
      </w:pPr>
      <w:r w:rsidRPr="004D307F">
        <w:rPr>
          <w:b/>
          <w:bCs/>
          <w:lang w:val="en" w:eastAsia="en-AU"/>
        </w:rPr>
        <w:t>SFO, SFO and SFOE index calculation</w:t>
      </w:r>
    </w:p>
    <w:p w14:paraId="1967CF1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SFO index is then calculated using the method below: </w:t>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b/>
          <w:bCs/>
          <w:color w:val="011A3C"/>
          <w:sz w:val="24"/>
          <w:szCs w:val="24"/>
          <w:lang w:val="en" w:eastAsia="en-AU"/>
        </w:rPr>
        <w:t>SFO calculation =</w:t>
      </w:r>
      <w:r w:rsidRPr="004D307F">
        <w:rPr>
          <w:rFonts w:ascii="VIC-Regular" w:eastAsia="Times New Roman" w:hAnsi="VIC-Regular" w:cs="Times New Roman"/>
          <w:color w:val="011A3C"/>
          <w:sz w:val="24"/>
          <w:szCs w:val="24"/>
          <w:lang w:val="en" w:eastAsia="en-AU"/>
        </w:rPr>
        <w:t xml:space="preserve"> (number of students x weighting for each occupational category) / total number of students based on the occupational groupings and weightings in Table 2</w:t>
      </w:r>
    </w:p>
    <w:p w14:paraId="3E8187B1"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calculate the SFE index, the parent’s educational qualification is </w:t>
      </w:r>
      <w:proofErr w:type="spellStart"/>
      <w:r w:rsidRPr="004D307F">
        <w:rPr>
          <w:rFonts w:ascii="VIC-Regular" w:eastAsia="Times New Roman" w:hAnsi="VIC-Regular" w:cs="Times New Roman"/>
          <w:color w:val="011A3C"/>
          <w:sz w:val="24"/>
          <w:szCs w:val="24"/>
          <w:lang w:val="en" w:eastAsia="en-AU"/>
        </w:rPr>
        <w:t>categorised</w:t>
      </w:r>
      <w:proofErr w:type="spellEnd"/>
      <w:r w:rsidRPr="004D307F">
        <w:rPr>
          <w:rFonts w:ascii="VIC-Regular" w:eastAsia="Times New Roman" w:hAnsi="VIC-Regular" w:cs="Times New Roman"/>
          <w:color w:val="011A3C"/>
          <w:sz w:val="24"/>
          <w:szCs w:val="24"/>
          <w:lang w:val="en" w:eastAsia="en-AU"/>
        </w:rPr>
        <w:t xml:space="preserve"> and weighted according to the categories found in Table 3 below. Data regarding educational qualification is collected annually as part of the August census.</w:t>
      </w:r>
    </w:p>
    <w:p w14:paraId="0A3F6A52"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9"/>
        <w:gridCol w:w="5472"/>
        <w:gridCol w:w="1485"/>
      </w:tblGrid>
      <w:tr w:rsidR="00AD16F0" w:rsidRPr="004D307F" w14:paraId="0FCD0208" w14:textId="77777777" w:rsidTr="00080034">
        <w:trPr>
          <w:tblHeader/>
        </w:trPr>
        <w:tc>
          <w:tcPr>
            <w:tcW w:w="0" w:type="auto"/>
            <w:hideMark/>
          </w:tcPr>
          <w:p w14:paraId="3DDE772C"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CASES21 Code</w:t>
            </w:r>
          </w:p>
        </w:tc>
        <w:tc>
          <w:tcPr>
            <w:tcW w:w="0" w:type="auto"/>
            <w:hideMark/>
          </w:tcPr>
          <w:p w14:paraId="1A8EB358"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Qualification Grouping</w:t>
            </w:r>
          </w:p>
        </w:tc>
        <w:tc>
          <w:tcPr>
            <w:tcW w:w="0" w:type="auto"/>
            <w:hideMark/>
          </w:tcPr>
          <w:p w14:paraId="6F830112"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Weighting</w:t>
            </w:r>
          </w:p>
        </w:tc>
      </w:tr>
      <w:tr w:rsidR="00AD16F0" w:rsidRPr="004D307F" w14:paraId="71D9A649" w14:textId="77777777" w:rsidTr="00080034">
        <w:tc>
          <w:tcPr>
            <w:tcW w:w="0" w:type="auto"/>
            <w:hideMark/>
          </w:tcPr>
          <w:p w14:paraId="46D3B55D"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42E17D10"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Not stated/Unknown</w:t>
            </w:r>
          </w:p>
        </w:tc>
        <w:tc>
          <w:tcPr>
            <w:tcW w:w="0" w:type="auto"/>
            <w:hideMark/>
          </w:tcPr>
          <w:p w14:paraId="5F87A534"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0.00</w:t>
            </w:r>
          </w:p>
        </w:tc>
      </w:tr>
      <w:tr w:rsidR="00AD16F0" w:rsidRPr="004D307F" w14:paraId="62361FF4" w14:textId="77777777" w:rsidTr="00080034">
        <w:tc>
          <w:tcPr>
            <w:tcW w:w="0" w:type="auto"/>
            <w:hideMark/>
          </w:tcPr>
          <w:p w14:paraId="45CD3C06"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6D84959B"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proofErr w:type="gramStart"/>
            <w:r w:rsidRPr="004D307F">
              <w:rPr>
                <w:rFonts w:ascii="VIC-Regular" w:eastAsia="Times New Roman" w:hAnsi="VIC-Regular" w:cs="Times New Roman"/>
                <w:color w:val="323E4F" w:themeColor="text2" w:themeShade="BF"/>
                <w:sz w:val="24"/>
                <w:szCs w:val="24"/>
                <w:lang w:eastAsia="en-AU"/>
              </w:rPr>
              <w:t>Bachelor</w:t>
            </w:r>
            <w:proofErr w:type="gramEnd"/>
            <w:r w:rsidRPr="004D307F">
              <w:rPr>
                <w:rFonts w:ascii="VIC-Regular" w:eastAsia="Times New Roman" w:hAnsi="VIC-Regular" w:cs="Times New Roman"/>
                <w:color w:val="323E4F" w:themeColor="text2" w:themeShade="BF"/>
                <w:sz w:val="24"/>
                <w:szCs w:val="24"/>
                <w:lang w:eastAsia="en-AU"/>
              </w:rPr>
              <w:t xml:space="preserve"> degree or above</w:t>
            </w:r>
          </w:p>
        </w:tc>
        <w:tc>
          <w:tcPr>
            <w:tcW w:w="0" w:type="auto"/>
            <w:hideMark/>
          </w:tcPr>
          <w:p w14:paraId="126C5CF0"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0.00</w:t>
            </w:r>
          </w:p>
        </w:tc>
      </w:tr>
      <w:tr w:rsidR="00AD16F0" w:rsidRPr="004D307F" w14:paraId="61C3873E" w14:textId="77777777" w:rsidTr="00080034">
        <w:tc>
          <w:tcPr>
            <w:tcW w:w="0" w:type="auto"/>
            <w:hideMark/>
          </w:tcPr>
          <w:p w14:paraId="5174B964"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w:t>
            </w:r>
          </w:p>
        </w:tc>
        <w:tc>
          <w:tcPr>
            <w:tcW w:w="0" w:type="auto"/>
            <w:hideMark/>
          </w:tcPr>
          <w:p w14:paraId="05F924CC"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Advanced diploma/Diploma</w:t>
            </w:r>
          </w:p>
        </w:tc>
        <w:tc>
          <w:tcPr>
            <w:tcW w:w="0" w:type="auto"/>
            <w:hideMark/>
          </w:tcPr>
          <w:p w14:paraId="42055610"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0.40</w:t>
            </w:r>
          </w:p>
        </w:tc>
      </w:tr>
      <w:tr w:rsidR="00AD16F0" w:rsidRPr="004D307F" w14:paraId="1947C446" w14:textId="77777777" w:rsidTr="00080034">
        <w:tc>
          <w:tcPr>
            <w:tcW w:w="0" w:type="auto"/>
            <w:hideMark/>
          </w:tcPr>
          <w:p w14:paraId="252830CA"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11E47201"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Certificate I to IV (inc. trade certificate)</w:t>
            </w:r>
          </w:p>
        </w:tc>
        <w:tc>
          <w:tcPr>
            <w:tcW w:w="0" w:type="auto"/>
            <w:hideMark/>
          </w:tcPr>
          <w:p w14:paraId="03F641D2"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0.50</w:t>
            </w:r>
          </w:p>
        </w:tc>
      </w:tr>
      <w:tr w:rsidR="00AD16F0" w:rsidRPr="004D307F" w14:paraId="72867884" w14:textId="77777777" w:rsidTr="00080034">
        <w:tc>
          <w:tcPr>
            <w:tcW w:w="0" w:type="auto"/>
            <w:hideMark/>
          </w:tcPr>
          <w:p w14:paraId="714160A2"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74251152"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12 or equivalent</w:t>
            </w:r>
          </w:p>
        </w:tc>
        <w:tc>
          <w:tcPr>
            <w:tcW w:w="0" w:type="auto"/>
            <w:hideMark/>
          </w:tcPr>
          <w:p w14:paraId="4D167B56"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0.40</w:t>
            </w:r>
          </w:p>
        </w:tc>
      </w:tr>
      <w:tr w:rsidR="00AD16F0" w:rsidRPr="004D307F" w14:paraId="06FAA619" w14:textId="77777777" w:rsidTr="00080034">
        <w:tc>
          <w:tcPr>
            <w:tcW w:w="0" w:type="auto"/>
            <w:hideMark/>
          </w:tcPr>
          <w:p w14:paraId="2BCA5DD6"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lastRenderedPageBreak/>
              <w:t>3</w:t>
            </w:r>
          </w:p>
        </w:tc>
        <w:tc>
          <w:tcPr>
            <w:tcW w:w="0" w:type="auto"/>
            <w:hideMark/>
          </w:tcPr>
          <w:p w14:paraId="0D7E9437"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11 or equivalent</w:t>
            </w:r>
          </w:p>
        </w:tc>
        <w:tc>
          <w:tcPr>
            <w:tcW w:w="0" w:type="auto"/>
            <w:hideMark/>
          </w:tcPr>
          <w:p w14:paraId="4C08C1AB"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0.70</w:t>
            </w:r>
          </w:p>
        </w:tc>
      </w:tr>
      <w:tr w:rsidR="00AD16F0" w:rsidRPr="004D307F" w14:paraId="4A507812" w14:textId="77777777" w:rsidTr="00080034">
        <w:tc>
          <w:tcPr>
            <w:tcW w:w="0" w:type="auto"/>
            <w:hideMark/>
          </w:tcPr>
          <w:p w14:paraId="58C2D2EA"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45223FF0"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10 or equivalent</w:t>
            </w:r>
          </w:p>
        </w:tc>
        <w:tc>
          <w:tcPr>
            <w:tcW w:w="0" w:type="auto"/>
            <w:hideMark/>
          </w:tcPr>
          <w:p w14:paraId="4DFBA75D"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0.90</w:t>
            </w:r>
          </w:p>
        </w:tc>
      </w:tr>
      <w:tr w:rsidR="00AD16F0" w:rsidRPr="004D307F" w14:paraId="3FD6984C" w14:textId="77777777" w:rsidTr="00080034">
        <w:tc>
          <w:tcPr>
            <w:tcW w:w="0" w:type="auto"/>
            <w:hideMark/>
          </w:tcPr>
          <w:p w14:paraId="0C1B29DA"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09214579"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9 or equivalent or below</w:t>
            </w:r>
          </w:p>
        </w:tc>
        <w:tc>
          <w:tcPr>
            <w:tcW w:w="0" w:type="auto"/>
            <w:hideMark/>
          </w:tcPr>
          <w:p w14:paraId="5C72EC0D" w14:textId="77777777" w:rsidR="00AD16F0" w:rsidRPr="004D307F" w:rsidRDefault="00AD16F0" w:rsidP="00124D2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1.00</w:t>
            </w:r>
          </w:p>
        </w:tc>
      </w:tr>
    </w:tbl>
    <w:p w14:paraId="269D72D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CASES21 Code 8 is No non-school qualification and defaults to the highest year of school completion.</w:t>
      </w:r>
    </w:p>
    <w:p w14:paraId="014AF2FB"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SFE index is then calculated using the method below: </w:t>
      </w:r>
    </w:p>
    <w:p w14:paraId="335830F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SFE calculation = (number of students x weighting for each educational category) / total number of students</w:t>
      </w:r>
    </w:p>
    <w:p w14:paraId="595C67C0"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determine the SFOE index with the SFO and SFE indices, the following calculation is used:</w:t>
      </w:r>
    </w:p>
    <w:p w14:paraId="4905102C"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SFOE calculation =</w:t>
      </w:r>
      <w:r w:rsidRPr="004D307F">
        <w:rPr>
          <w:rFonts w:ascii="VIC-Regular" w:eastAsia="Times New Roman" w:hAnsi="VIC-Regular" w:cs="Times New Roman"/>
          <w:color w:val="011A3C"/>
          <w:sz w:val="24"/>
          <w:szCs w:val="24"/>
          <w:lang w:val="en" w:eastAsia="en-AU"/>
        </w:rPr>
        <w:t xml:space="preserve"> (SFO index + SFE index) / 2</w:t>
      </w:r>
    </w:p>
    <w:p w14:paraId="624A3ADA"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 If a school has an SFO of 0.6342 and an SFE of 0.6156, the SFOE index would be 0.6249.</w:t>
      </w:r>
    </w:p>
    <w:p w14:paraId="54C0B95A"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Bold" w:eastAsia="Times New Roman" w:hAnsi="VIC-Bold" w:cs="Times New Roman"/>
          <w:color w:val="011A3C"/>
          <w:sz w:val="27"/>
          <w:szCs w:val="27"/>
          <w:lang w:val="en" w:eastAsia="en-AU"/>
        </w:rPr>
        <w:t>How social disadvantage funding is calculated</w:t>
      </w:r>
    </w:p>
    <w:p w14:paraId="00938AB7"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Social Disadvantage funding is allocated to schools based on the number of eligible students. Measures are applied to provide more stability in funding while reflecting the need profile of current and more recent student cohorts. A weighted rolling average based on the current year and two years preceding will be used to determine the inputs that Social Disadvantage funding allocations are based on. The weightings are 70 per cent of the current year, 20 per cent of the prior year, and 10 per cent of the year before that will be applied to the campus SFOE index and the number of eligible Level 1 and 2 students.</w:t>
      </w:r>
    </w:p>
    <w:p w14:paraId="373D39DD"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determine how much Social Disadvantage funding a school will receive, the following method is used (weighted accordingly for the current year and the two previous years): </w:t>
      </w:r>
    </w:p>
    <w:p w14:paraId="42E1B3A5" w14:textId="77777777" w:rsidR="00AD16F0" w:rsidRPr="004D307F" w:rsidRDefault="00AD16F0" w:rsidP="00ED0863">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school’s SFOE will be used to calculate the rate of Social Disadvantage loading each student will attract. Where a school’s SFOE is at or below the Minimum SFOE Threshold, the minimum rate of each loading will be applied and, where it is at or above the Maximum SFOE </w:t>
      </w:r>
      <w:r w:rsidRPr="004D307F">
        <w:rPr>
          <w:rFonts w:ascii="VIC-Regular" w:eastAsia="Times New Roman" w:hAnsi="VIC-Regular" w:cs="Times New Roman"/>
          <w:color w:val="011A3C"/>
          <w:sz w:val="24"/>
          <w:szCs w:val="24"/>
          <w:lang w:val="en" w:eastAsia="en-AU"/>
        </w:rPr>
        <w:lastRenderedPageBreak/>
        <w:t>Threshold, each student attracts the Maximum Rate for their loading. (Thresholds and rates can be found in Table 4). </w:t>
      </w:r>
    </w:p>
    <w:p w14:paraId="67B59682" w14:textId="77777777" w:rsidR="00AD16F0" w:rsidRPr="004D307F" w:rsidRDefault="00AD16F0" w:rsidP="00ED0863">
      <w:pPr>
        <w:numPr>
          <w:ilvl w:val="0"/>
          <w:numId w:val="2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schools with an SFOE between the Minimum SFOE threshold and the Maximum SFOE threshold, the rate will be tapered based on their SFOE index. To determine the taper, the following calculation is used:</w:t>
      </w:r>
    </w:p>
    <w:p w14:paraId="3C5BE3B3"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((Campus' SFOE – Minimum SFOE Threshold) / (Maximum SFOE Threshold-Minimum SFOE Threshold))</w:t>
      </w:r>
    </w:p>
    <w:p w14:paraId="2C3B282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is then applied to each loading rate by:</w:t>
      </w:r>
    </w:p>
    <w:p w14:paraId="747FA5F2"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Min Funding Rate + (Taper x (Max Funding Rate – Min Funding Rate))</w:t>
      </w:r>
    </w:p>
    <w:p w14:paraId="600E2FF2" w14:textId="77777777" w:rsidR="00AD16F0" w:rsidRPr="004D307F" w:rsidRDefault="00AD16F0" w:rsidP="00ED0863">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Once the Social Disadvantage loading rates are determined for the school, it is multiplied by the number of enrolled students eligible for either the level 1 loading or level 2 loading, respectively. The enrolment is based on the students recorded in the August census of the preceding year.</w:t>
      </w:r>
    </w:p>
    <w:p w14:paraId="1B523AA5" w14:textId="77777777" w:rsidR="00AD16F0" w:rsidRPr="004D307F" w:rsidRDefault="00AD16F0" w:rsidP="00ED0863">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school’s overall Social Disadvantage funding is calculated by combining both the total level 1 and level 2 loadings their students are eligible for. </w:t>
      </w:r>
    </w:p>
    <w:p w14:paraId="3CA09CB7" w14:textId="77777777" w:rsidR="00AD16F0" w:rsidRPr="004D307F" w:rsidRDefault="00AD16F0" w:rsidP="00ED0863">
      <w:pPr>
        <w:numPr>
          <w:ilvl w:val="0"/>
          <w:numId w:val="2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further reduce negative funding variability, a $90,000 floor on negative funding changes is applied to a school’s Social Disadvantage funding allocation from one year to the next. This means that a school’s Social Disadvantage funding allocation will not reduce by more than $90,000 year on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975"/>
        <w:gridCol w:w="976"/>
        <w:gridCol w:w="976"/>
        <w:gridCol w:w="1169"/>
        <w:gridCol w:w="1169"/>
        <w:gridCol w:w="1169"/>
        <w:gridCol w:w="1169"/>
      </w:tblGrid>
      <w:tr w:rsidR="00AD16F0" w:rsidRPr="004D307F" w14:paraId="034B5224" w14:textId="77777777" w:rsidTr="00113120">
        <w:trPr>
          <w:tblHeader/>
        </w:trPr>
        <w:tc>
          <w:tcPr>
            <w:tcW w:w="500" w:type="pct"/>
            <w:gridSpan w:val="8"/>
            <w:vAlign w:val="center"/>
            <w:hideMark/>
          </w:tcPr>
          <w:p w14:paraId="78A8EAF9" w14:textId="77777777" w:rsidR="00AD16F0" w:rsidRPr="004D307F" w:rsidRDefault="00AD16F0" w:rsidP="00AD16F0">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b/>
                <w:bCs/>
                <w:color w:val="323E4F" w:themeColor="text2" w:themeShade="BF"/>
                <w:sz w:val="24"/>
                <w:szCs w:val="24"/>
                <w:lang w:eastAsia="en-AU"/>
              </w:rPr>
              <w:t>Example</w:t>
            </w:r>
            <w:r w:rsidRPr="004D307F">
              <w:rPr>
                <w:rFonts w:ascii="VIC-Bold" w:eastAsia="Times New Roman" w:hAnsi="VIC-Bold" w:cs="Times New Roman"/>
                <w:color w:val="323E4F" w:themeColor="text2" w:themeShade="BF"/>
                <w:sz w:val="24"/>
                <w:szCs w:val="24"/>
                <w:lang w:eastAsia="en-AU"/>
              </w:rPr>
              <w:t xml:space="preserve"> - Social Disadvantage funding for a primary school with the following SFOE and enrolment numbers over three years:</w:t>
            </w:r>
          </w:p>
        </w:tc>
      </w:tr>
      <w:tr w:rsidR="00124D27" w:rsidRPr="004D307F" w14:paraId="1257E45A" w14:textId="77777777" w:rsidTr="00113120">
        <w:trPr>
          <w:tblHeader/>
        </w:trPr>
        <w:tc>
          <w:tcPr>
            <w:tcW w:w="705" w:type="pct"/>
            <w:hideMark/>
          </w:tcPr>
          <w:p w14:paraId="7B9ACFF8" w14:textId="77777777" w:rsidR="00AD16F0" w:rsidRPr="004D307F" w:rsidRDefault="00AD16F0" w:rsidP="00AD16F0">
            <w:pPr>
              <w:spacing w:after="0" w:line="240" w:lineRule="auto"/>
              <w:rPr>
                <w:rFonts w:ascii="Times New Roman" w:eastAsia="Times New Roman" w:hAnsi="Times New Roman" w:cs="Times New Roman"/>
                <w:color w:val="323E4F" w:themeColor="text2" w:themeShade="BF"/>
                <w:sz w:val="24"/>
                <w:szCs w:val="24"/>
                <w:lang w:eastAsia="en-AU"/>
              </w:rPr>
            </w:pPr>
          </w:p>
        </w:tc>
        <w:tc>
          <w:tcPr>
            <w:tcW w:w="500" w:type="pct"/>
            <w:vAlign w:val="center"/>
            <w:hideMark/>
          </w:tcPr>
          <w:p w14:paraId="7D295354"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2020 Actual</w:t>
            </w:r>
          </w:p>
        </w:tc>
        <w:tc>
          <w:tcPr>
            <w:tcW w:w="500" w:type="pct"/>
            <w:vAlign w:val="center"/>
            <w:hideMark/>
          </w:tcPr>
          <w:p w14:paraId="356EC68F"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2019 Actual</w:t>
            </w:r>
          </w:p>
        </w:tc>
        <w:tc>
          <w:tcPr>
            <w:tcW w:w="500" w:type="pct"/>
            <w:vAlign w:val="center"/>
            <w:hideMark/>
          </w:tcPr>
          <w:p w14:paraId="75C43E54"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2018 Actual</w:t>
            </w:r>
          </w:p>
        </w:tc>
        <w:tc>
          <w:tcPr>
            <w:tcW w:w="500" w:type="pct"/>
            <w:vAlign w:val="center"/>
            <w:hideMark/>
          </w:tcPr>
          <w:p w14:paraId="04980951"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2020 Weighted (70%)</w:t>
            </w:r>
          </w:p>
        </w:tc>
        <w:tc>
          <w:tcPr>
            <w:tcW w:w="500" w:type="pct"/>
            <w:vAlign w:val="center"/>
            <w:hideMark/>
          </w:tcPr>
          <w:p w14:paraId="57AA1203"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2019 Weighted (20%)</w:t>
            </w:r>
          </w:p>
        </w:tc>
        <w:tc>
          <w:tcPr>
            <w:tcW w:w="500" w:type="pct"/>
            <w:vAlign w:val="center"/>
            <w:hideMark/>
          </w:tcPr>
          <w:p w14:paraId="3281CFA9"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2018 Weighted (10%)</w:t>
            </w:r>
          </w:p>
        </w:tc>
        <w:tc>
          <w:tcPr>
            <w:tcW w:w="500" w:type="pct"/>
            <w:vAlign w:val="center"/>
            <w:hideMark/>
          </w:tcPr>
          <w:p w14:paraId="390866AE" w14:textId="77777777" w:rsidR="00AD16F0" w:rsidRPr="004D307F" w:rsidRDefault="00AD16F0" w:rsidP="00113120">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Weighted Average</w:t>
            </w:r>
          </w:p>
        </w:tc>
      </w:tr>
      <w:tr w:rsidR="00124D27" w:rsidRPr="004D307F" w14:paraId="674B9DF9" w14:textId="77777777" w:rsidTr="00113120">
        <w:tc>
          <w:tcPr>
            <w:tcW w:w="705" w:type="pct"/>
            <w:hideMark/>
          </w:tcPr>
          <w:p w14:paraId="50DFFA94" w14:textId="77777777" w:rsidR="00AD16F0" w:rsidRPr="004D307F" w:rsidRDefault="00AD16F0" w:rsidP="004D307F">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SFOE</w:t>
            </w:r>
          </w:p>
        </w:tc>
        <w:tc>
          <w:tcPr>
            <w:tcW w:w="500" w:type="pct"/>
            <w:vAlign w:val="center"/>
            <w:hideMark/>
          </w:tcPr>
          <w:p w14:paraId="3B9CEE36"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0.6021</w:t>
            </w:r>
          </w:p>
        </w:tc>
        <w:tc>
          <w:tcPr>
            <w:tcW w:w="500" w:type="pct"/>
            <w:vAlign w:val="center"/>
            <w:hideMark/>
          </w:tcPr>
          <w:p w14:paraId="0E6B5D6B"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0.5313</w:t>
            </w:r>
          </w:p>
        </w:tc>
        <w:tc>
          <w:tcPr>
            <w:tcW w:w="500" w:type="pct"/>
            <w:vAlign w:val="center"/>
            <w:hideMark/>
          </w:tcPr>
          <w:p w14:paraId="47EB9681"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0.5189</w:t>
            </w:r>
          </w:p>
        </w:tc>
        <w:tc>
          <w:tcPr>
            <w:tcW w:w="500" w:type="pct"/>
            <w:vAlign w:val="center"/>
            <w:hideMark/>
          </w:tcPr>
          <w:p w14:paraId="33F9BB64"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0.4215</w:t>
            </w:r>
          </w:p>
        </w:tc>
        <w:tc>
          <w:tcPr>
            <w:tcW w:w="500" w:type="pct"/>
            <w:vAlign w:val="center"/>
            <w:hideMark/>
          </w:tcPr>
          <w:p w14:paraId="0E96ADB8"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0.1063</w:t>
            </w:r>
          </w:p>
        </w:tc>
        <w:tc>
          <w:tcPr>
            <w:tcW w:w="500" w:type="pct"/>
            <w:vAlign w:val="center"/>
            <w:hideMark/>
          </w:tcPr>
          <w:p w14:paraId="45931CC6"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0.0519</w:t>
            </w:r>
          </w:p>
        </w:tc>
        <w:tc>
          <w:tcPr>
            <w:tcW w:w="500" w:type="pct"/>
            <w:vAlign w:val="center"/>
            <w:hideMark/>
          </w:tcPr>
          <w:p w14:paraId="37C3A2DC"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0.5797</w:t>
            </w:r>
          </w:p>
        </w:tc>
      </w:tr>
      <w:tr w:rsidR="00124D27" w:rsidRPr="004D307F" w14:paraId="5AD3BADF" w14:textId="77777777" w:rsidTr="00113120">
        <w:tc>
          <w:tcPr>
            <w:tcW w:w="705" w:type="pct"/>
            <w:hideMark/>
          </w:tcPr>
          <w:p w14:paraId="5AF8414E" w14:textId="77777777" w:rsidR="00AD16F0" w:rsidRPr="004D307F" w:rsidRDefault="00AD16F0" w:rsidP="004D307F">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1</w:t>
            </w:r>
          </w:p>
        </w:tc>
        <w:tc>
          <w:tcPr>
            <w:tcW w:w="500" w:type="pct"/>
            <w:vAlign w:val="center"/>
            <w:hideMark/>
          </w:tcPr>
          <w:p w14:paraId="00EE441A"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166</w:t>
            </w:r>
          </w:p>
        </w:tc>
        <w:tc>
          <w:tcPr>
            <w:tcW w:w="500" w:type="pct"/>
            <w:vAlign w:val="center"/>
            <w:hideMark/>
          </w:tcPr>
          <w:p w14:paraId="4FB74919"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174</w:t>
            </w:r>
          </w:p>
        </w:tc>
        <w:tc>
          <w:tcPr>
            <w:tcW w:w="500" w:type="pct"/>
            <w:vAlign w:val="center"/>
            <w:hideMark/>
          </w:tcPr>
          <w:p w14:paraId="457C3201"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160</w:t>
            </w:r>
          </w:p>
        </w:tc>
        <w:tc>
          <w:tcPr>
            <w:tcW w:w="500" w:type="pct"/>
            <w:vAlign w:val="center"/>
            <w:hideMark/>
          </w:tcPr>
          <w:p w14:paraId="48972136"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116.2</w:t>
            </w:r>
          </w:p>
        </w:tc>
        <w:tc>
          <w:tcPr>
            <w:tcW w:w="500" w:type="pct"/>
            <w:vAlign w:val="center"/>
            <w:hideMark/>
          </w:tcPr>
          <w:p w14:paraId="68E1EE14"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34.8</w:t>
            </w:r>
          </w:p>
        </w:tc>
        <w:tc>
          <w:tcPr>
            <w:tcW w:w="500" w:type="pct"/>
            <w:vAlign w:val="center"/>
            <w:hideMark/>
          </w:tcPr>
          <w:p w14:paraId="3E7770D3"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w:t>
            </w:r>
          </w:p>
        </w:tc>
        <w:tc>
          <w:tcPr>
            <w:tcW w:w="500" w:type="pct"/>
            <w:vAlign w:val="center"/>
            <w:hideMark/>
          </w:tcPr>
          <w:p w14:paraId="0730164A"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167</w:t>
            </w:r>
          </w:p>
        </w:tc>
      </w:tr>
      <w:tr w:rsidR="00124D27" w:rsidRPr="004D307F" w14:paraId="6CE60405" w14:textId="77777777" w:rsidTr="00113120">
        <w:tc>
          <w:tcPr>
            <w:tcW w:w="705" w:type="pct"/>
            <w:hideMark/>
          </w:tcPr>
          <w:p w14:paraId="07B4DA60" w14:textId="77777777" w:rsidR="00AD16F0" w:rsidRPr="004D307F" w:rsidRDefault="00AD16F0" w:rsidP="004D307F">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2</w:t>
            </w:r>
          </w:p>
        </w:tc>
        <w:tc>
          <w:tcPr>
            <w:tcW w:w="500" w:type="pct"/>
            <w:vAlign w:val="center"/>
            <w:hideMark/>
          </w:tcPr>
          <w:p w14:paraId="402A54CA"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118</w:t>
            </w:r>
          </w:p>
        </w:tc>
        <w:tc>
          <w:tcPr>
            <w:tcW w:w="500" w:type="pct"/>
            <w:vAlign w:val="center"/>
            <w:hideMark/>
          </w:tcPr>
          <w:p w14:paraId="3303A0E6"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140</w:t>
            </w:r>
          </w:p>
        </w:tc>
        <w:tc>
          <w:tcPr>
            <w:tcW w:w="500" w:type="pct"/>
            <w:vAlign w:val="center"/>
            <w:hideMark/>
          </w:tcPr>
          <w:p w14:paraId="2D407764"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144</w:t>
            </w:r>
          </w:p>
        </w:tc>
        <w:tc>
          <w:tcPr>
            <w:tcW w:w="500" w:type="pct"/>
            <w:vAlign w:val="center"/>
            <w:hideMark/>
          </w:tcPr>
          <w:p w14:paraId="1D30F705"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82.6</w:t>
            </w:r>
          </w:p>
        </w:tc>
        <w:tc>
          <w:tcPr>
            <w:tcW w:w="500" w:type="pct"/>
            <w:vAlign w:val="center"/>
            <w:hideMark/>
          </w:tcPr>
          <w:p w14:paraId="7A813D6D"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w:t>
            </w:r>
          </w:p>
        </w:tc>
        <w:tc>
          <w:tcPr>
            <w:tcW w:w="500" w:type="pct"/>
            <w:vAlign w:val="center"/>
            <w:hideMark/>
          </w:tcPr>
          <w:p w14:paraId="4B1E6ACB"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14.4</w:t>
            </w:r>
          </w:p>
        </w:tc>
        <w:tc>
          <w:tcPr>
            <w:tcW w:w="500" w:type="pct"/>
            <w:vAlign w:val="center"/>
            <w:hideMark/>
          </w:tcPr>
          <w:p w14:paraId="68F3D2AC" w14:textId="77777777" w:rsidR="00AD16F0" w:rsidRPr="004D307F" w:rsidRDefault="00AD16F0" w:rsidP="00113120">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125</w:t>
            </w:r>
          </w:p>
        </w:tc>
      </w:tr>
    </w:tbl>
    <w:p w14:paraId="4F353777" w14:textId="1DC08067" w:rsidR="00AD16F0" w:rsidRPr="004D307F" w:rsidRDefault="00AD16F0" w:rsidP="00AD16F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Example of Loading </w:t>
      </w:r>
      <w:r w:rsidR="00C53D2A" w:rsidRPr="004D307F">
        <w:rPr>
          <w:rFonts w:ascii="VIC-Regular" w:eastAsia="Times New Roman" w:hAnsi="VIC-Regular" w:cs="Times New Roman"/>
          <w:b/>
          <w:bCs/>
          <w:color w:val="011A3C"/>
          <w:sz w:val="24"/>
          <w:szCs w:val="24"/>
          <w:lang w:val="en" w:eastAsia="en-AU"/>
        </w:rPr>
        <w:t>calculations for</w:t>
      </w:r>
      <w:r w:rsidR="00E70DB3" w:rsidRPr="004D307F">
        <w:rPr>
          <w:rFonts w:ascii="VIC-Regular" w:eastAsia="Times New Roman" w:hAnsi="VIC-Regular" w:cs="Times New Roman"/>
          <w:b/>
          <w:bCs/>
          <w:color w:val="011A3C"/>
          <w:sz w:val="24"/>
          <w:szCs w:val="24"/>
          <w:lang w:val="en" w:eastAsia="en-AU"/>
        </w:rPr>
        <w:t xml:space="preserve"> a primary school </w:t>
      </w:r>
      <w:r w:rsidRPr="004D307F">
        <w:rPr>
          <w:rFonts w:ascii="VIC-Regular" w:eastAsia="Times New Roman" w:hAnsi="VIC-Regular" w:cs="Times New Roman"/>
          <w:b/>
          <w:bCs/>
          <w:color w:val="011A3C"/>
          <w:sz w:val="24"/>
          <w:szCs w:val="24"/>
          <w:lang w:val="en" w:eastAsia="en-AU"/>
        </w:rPr>
        <w:t>(excluding the floor):</w:t>
      </w:r>
    </w:p>
    <w:p w14:paraId="479DAF9D" w14:textId="6CBBDD4D"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w:t>
      </w:r>
      <w:bookmarkStart w:id="21" w:name="_Hlk50714244"/>
      <w:bookmarkStart w:id="22" w:name="_Hlk50720787"/>
      <w:r w:rsidRPr="004D307F">
        <w:rPr>
          <w:rFonts w:ascii="VIC-Regular" w:eastAsia="Times New Roman" w:hAnsi="VIC-Regular" w:cs="Times New Roman"/>
          <w:color w:val="011A3C"/>
          <w:sz w:val="24"/>
          <w:szCs w:val="24"/>
          <w:lang w:val="en" w:eastAsia="en-AU"/>
        </w:rPr>
        <w:t>Level 1 student: ($</w:t>
      </w:r>
      <w:r w:rsidR="00276061" w:rsidRPr="004D307F">
        <w:rPr>
          <w:rFonts w:ascii="VIC-Regular" w:eastAsia="Times New Roman" w:hAnsi="VIC-Regular" w:cs="Times New Roman"/>
          <w:color w:val="011A3C"/>
          <w:sz w:val="24"/>
          <w:szCs w:val="24"/>
          <w:lang w:val="en" w:eastAsia="en-AU"/>
        </w:rPr>
        <w:t>968</w:t>
      </w:r>
      <w:r w:rsidRPr="004D307F">
        <w:rPr>
          <w:rFonts w:ascii="VIC-Regular" w:eastAsia="Times New Roman" w:hAnsi="VIC-Regular" w:cs="Times New Roman"/>
          <w:color w:val="011A3C"/>
          <w:sz w:val="24"/>
          <w:szCs w:val="24"/>
          <w:lang w:val="en" w:eastAsia="en-AU"/>
        </w:rPr>
        <w:t xml:space="preserve"> + ((0.5797 – 0.36</w:t>
      </w:r>
      <w:r w:rsidR="00276061" w:rsidRPr="004D307F">
        <w:rPr>
          <w:rFonts w:ascii="VIC-Regular" w:eastAsia="Times New Roman" w:hAnsi="VIC-Regular" w:cs="Times New Roman"/>
          <w:color w:val="011A3C"/>
          <w:sz w:val="24"/>
          <w:szCs w:val="24"/>
          <w:lang w:val="en" w:eastAsia="en-AU"/>
        </w:rPr>
        <w:t>12</w:t>
      </w:r>
      <w:r w:rsidRPr="004D307F">
        <w:rPr>
          <w:rFonts w:ascii="VIC-Regular" w:eastAsia="Times New Roman" w:hAnsi="VIC-Regular" w:cs="Times New Roman"/>
          <w:color w:val="011A3C"/>
          <w:sz w:val="24"/>
          <w:szCs w:val="24"/>
          <w:lang w:val="en" w:eastAsia="en-AU"/>
        </w:rPr>
        <w:t>) / (0.6192 – 0.36</w:t>
      </w:r>
      <w:r w:rsidR="00276061" w:rsidRPr="004D307F">
        <w:rPr>
          <w:rFonts w:ascii="VIC-Regular" w:eastAsia="Times New Roman" w:hAnsi="VIC-Regular" w:cs="Times New Roman"/>
          <w:color w:val="011A3C"/>
          <w:sz w:val="24"/>
          <w:szCs w:val="24"/>
          <w:lang w:val="en" w:eastAsia="en-AU"/>
        </w:rPr>
        <w:t>12</w:t>
      </w:r>
      <w:r w:rsidRPr="004D307F">
        <w:rPr>
          <w:rFonts w:ascii="VIC-Regular" w:eastAsia="Times New Roman" w:hAnsi="VIC-Regular" w:cs="Times New Roman"/>
          <w:color w:val="011A3C"/>
          <w:sz w:val="24"/>
          <w:szCs w:val="24"/>
          <w:lang w:val="en" w:eastAsia="en-AU"/>
        </w:rPr>
        <w:t>)) * ($</w:t>
      </w:r>
      <w:r w:rsidR="00276061" w:rsidRPr="004D307F">
        <w:rPr>
          <w:rFonts w:ascii="VIC-Regular" w:eastAsia="Times New Roman" w:hAnsi="VIC-Regular" w:cs="Times New Roman"/>
          <w:color w:val="011A3C"/>
          <w:sz w:val="24"/>
          <w:szCs w:val="24"/>
          <w:lang w:val="en" w:eastAsia="en-AU"/>
        </w:rPr>
        <w:t>5241</w:t>
      </w:r>
      <w:r w:rsidRPr="004D307F">
        <w:rPr>
          <w:rFonts w:ascii="VIC-Regular" w:eastAsia="Times New Roman" w:hAnsi="VIC-Regular" w:cs="Times New Roman"/>
          <w:color w:val="011A3C"/>
          <w:sz w:val="24"/>
          <w:szCs w:val="24"/>
          <w:lang w:val="en" w:eastAsia="en-AU"/>
        </w:rPr>
        <w:t xml:space="preserve"> – $</w:t>
      </w:r>
      <w:r w:rsidR="00276061" w:rsidRPr="004D307F">
        <w:rPr>
          <w:rFonts w:ascii="VIC-Regular" w:eastAsia="Times New Roman" w:hAnsi="VIC-Regular" w:cs="Times New Roman"/>
          <w:color w:val="011A3C"/>
          <w:sz w:val="24"/>
          <w:szCs w:val="24"/>
          <w:lang w:val="en" w:eastAsia="en-AU"/>
        </w:rPr>
        <w:t>968</w:t>
      </w:r>
      <w:r w:rsidRPr="004D307F">
        <w:rPr>
          <w:rFonts w:ascii="VIC-Regular" w:eastAsia="Times New Roman" w:hAnsi="VIC-Regular" w:cs="Times New Roman"/>
          <w:color w:val="011A3C"/>
          <w:sz w:val="24"/>
          <w:szCs w:val="24"/>
          <w:lang w:val="en" w:eastAsia="en-AU"/>
        </w:rPr>
        <w:t xml:space="preserve">)) * 167 enrolment </w:t>
      </w:r>
      <w:r w:rsidR="00C53D2A" w:rsidRPr="004D307F">
        <w:rPr>
          <w:rFonts w:ascii="VIC-Regular" w:eastAsia="Times New Roman" w:hAnsi="VIC-Regular" w:cs="Times New Roman"/>
          <w:color w:val="011A3C"/>
          <w:sz w:val="24"/>
          <w:szCs w:val="24"/>
          <w:lang w:val="en" w:eastAsia="en-AU"/>
        </w:rPr>
        <w:t>= $</w:t>
      </w:r>
      <w:r w:rsidR="002F13F4" w:rsidRPr="004D307F">
        <w:rPr>
          <w:rFonts w:ascii="VIC-Regular" w:eastAsia="Times New Roman" w:hAnsi="VIC-Regular" w:cs="Times New Roman"/>
          <w:color w:val="011A3C"/>
          <w:sz w:val="24"/>
          <w:szCs w:val="24"/>
          <w:lang w:val="en" w:eastAsia="en-AU"/>
        </w:rPr>
        <w:t>765,996</w:t>
      </w:r>
    </w:p>
    <w:p w14:paraId="1EFED2ED" w14:textId="0ED0A630" w:rsidR="00A12061" w:rsidRPr="004D307F" w:rsidRDefault="00AD16F0" w:rsidP="00AD16F0">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Level 2 student: ($4</w:t>
      </w:r>
      <w:r w:rsidR="00276061" w:rsidRPr="004D307F">
        <w:rPr>
          <w:rFonts w:ascii="VIC-Regular" w:eastAsia="Times New Roman" w:hAnsi="VIC-Regular" w:cs="Times New Roman"/>
          <w:color w:val="011A3C"/>
          <w:sz w:val="24"/>
          <w:szCs w:val="24"/>
          <w:lang w:val="en" w:eastAsia="en-AU"/>
        </w:rPr>
        <w:t>84</w:t>
      </w:r>
      <w:r w:rsidRPr="004D307F">
        <w:rPr>
          <w:rFonts w:ascii="VIC-Regular" w:eastAsia="Times New Roman" w:hAnsi="VIC-Regular" w:cs="Times New Roman"/>
          <w:color w:val="011A3C"/>
          <w:sz w:val="24"/>
          <w:szCs w:val="24"/>
          <w:lang w:val="en" w:eastAsia="en-AU"/>
        </w:rPr>
        <w:t xml:space="preserve"> + ((0.5797 – 0.36</w:t>
      </w:r>
      <w:r w:rsidR="00276061" w:rsidRPr="004D307F">
        <w:rPr>
          <w:rFonts w:ascii="VIC-Regular" w:eastAsia="Times New Roman" w:hAnsi="VIC-Regular" w:cs="Times New Roman"/>
          <w:color w:val="011A3C"/>
          <w:sz w:val="24"/>
          <w:szCs w:val="24"/>
          <w:lang w:val="en" w:eastAsia="en-AU"/>
        </w:rPr>
        <w:t>12</w:t>
      </w:r>
      <w:r w:rsidRPr="004D307F">
        <w:rPr>
          <w:rFonts w:ascii="VIC-Regular" w:eastAsia="Times New Roman" w:hAnsi="VIC-Regular" w:cs="Times New Roman"/>
          <w:color w:val="011A3C"/>
          <w:sz w:val="24"/>
          <w:szCs w:val="24"/>
          <w:lang w:val="en" w:eastAsia="en-AU"/>
        </w:rPr>
        <w:t>) / (0.6192 – 0.36</w:t>
      </w:r>
      <w:r w:rsidR="00276061" w:rsidRPr="004D307F">
        <w:rPr>
          <w:rFonts w:ascii="VIC-Regular" w:eastAsia="Times New Roman" w:hAnsi="VIC-Regular" w:cs="Times New Roman"/>
          <w:color w:val="011A3C"/>
          <w:sz w:val="24"/>
          <w:szCs w:val="24"/>
          <w:lang w:val="en" w:eastAsia="en-AU"/>
        </w:rPr>
        <w:t>12</w:t>
      </w:r>
      <w:r w:rsidRPr="004D307F">
        <w:rPr>
          <w:rFonts w:ascii="VIC-Regular" w:eastAsia="Times New Roman" w:hAnsi="VIC-Regular" w:cs="Times New Roman"/>
          <w:color w:val="011A3C"/>
          <w:sz w:val="24"/>
          <w:szCs w:val="24"/>
          <w:lang w:val="en" w:eastAsia="en-AU"/>
        </w:rPr>
        <w:t>)) * ($</w:t>
      </w:r>
      <w:r w:rsidR="00276061" w:rsidRPr="004D307F">
        <w:rPr>
          <w:rFonts w:ascii="VIC-Regular" w:eastAsia="Times New Roman" w:hAnsi="VIC-Regular" w:cs="Times New Roman"/>
          <w:color w:val="011A3C"/>
          <w:sz w:val="24"/>
          <w:szCs w:val="24"/>
          <w:lang w:val="en" w:eastAsia="en-AU"/>
        </w:rPr>
        <w:t>2622</w:t>
      </w:r>
      <w:r w:rsidRPr="004D307F">
        <w:rPr>
          <w:rFonts w:ascii="VIC-Regular" w:eastAsia="Times New Roman" w:hAnsi="VIC-Regular" w:cs="Times New Roman"/>
          <w:color w:val="011A3C"/>
          <w:sz w:val="24"/>
          <w:szCs w:val="24"/>
          <w:lang w:val="en" w:eastAsia="en-AU"/>
        </w:rPr>
        <w:t>– $4</w:t>
      </w:r>
      <w:r w:rsidR="00276061" w:rsidRPr="004D307F">
        <w:rPr>
          <w:rFonts w:ascii="VIC-Regular" w:eastAsia="Times New Roman" w:hAnsi="VIC-Regular" w:cs="Times New Roman"/>
          <w:color w:val="011A3C"/>
          <w:sz w:val="24"/>
          <w:szCs w:val="24"/>
          <w:lang w:val="en" w:eastAsia="en-AU"/>
        </w:rPr>
        <w:t>84</w:t>
      </w:r>
      <w:r w:rsidRPr="004D307F">
        <w:rPr>
          <w:rFonts w:ascii="VIC-Regular" w:eastAsia="Times New Roman" w:hAnsi="VIC-Regular" w:cs="Times New Roman"/>
          <w:color w:val="011A3C"/>
          <w:sz w:val="24"/>
          <w:szCs w:val="24"/>
          <w:lang w:val="en" w:eastAsia="en-AU"/>
        </w:rPr>
        <w:t xml:space="preserve">)) * 125 enrolment </w:t>
      </w:r>
      <w:r w:rsidR="00C53D2A" w:rsidRPr="004D307F">
        <w:rPr>
          <w:rFonts w:ascii="VIC-Regular" w:eastAsia="Times New Roman" w:hAnsi="VIC-Regular" w:cs="Times New Roman"/>
          <w:color w:val="011A3C"/>
          <w:sz w:val="24"/>
          <w:szCs w:val="24"/>
          <w:lang w:val="en" w:eastAsia="en-AU"/>
        </w:rPr>
        <w:t>= $</w:t>
      </w:r>
      <w:r w:rsidR="002F13F4" w:rsidRPr="004D307F">
        <w:rPr>
          <w:rFonts w:ascii="VIC-Regular" w:eastAsia="Times New Roman" w:hAnsi="VIC-Regular" w:cs="Times New Roman"/>
          <w:color w:val="011A3C"/>
          <w:sz w:val="24"/>
          <w:szCs w:val="24"/>
          <w:lang w:val="en" w:eastAsia="en-AU"/>
        </w:rPr>
        <w:t>286,834</w:t>
      </w:r>
      <w:bookmarkEnd w:id="21"/>
      <w:r w:rsidRPr="004D307F">
        <w:rPr>
          <w:rFonts w:ascii="VIC-Regular" w:eastAsia="Times New Roman" w:hAnsi="VIC-Regular" w:cs="Times New Roman"/>
          <w:color w:val="011A3C"/>
          <w:sz w:val="24"/>
          <w:szCs w:val="24"/>
          <w:lang w:val="en" w:eastAsia="en-AU"/>
        </w:rPr>
        <w:t xml:space="preserve">• Total Social Disadvantage funding: </w:t>
      </w:r>
      <w:r w:rsidR="00E70DB3" w:rsidRPr="004D307F">
        <w:rPr>
          <w:rFonts w:ascii="VIC-Regular" w:eastAsia="Times New Roman" w:hAnsi="VIC-Regular" w:cs="Times New Roman"/>
          <w:color w:val="011A3C"/>
          <w:sz w:val="24"/>
          <w:szCs w:val="24"/>
          <w:lang w:val="en" w:eastAsia="en-AU"/>
        </w:rPr>
        <w:t>$</w:t>
      </w:r>
      <w:r w:rsidR="007106F7" w:rsidRPr="004D307F">
        <w:rPr>
          <w:rFonts w:ascii="VIC-Regular" w:eastAsia="Times New Roman" w:hAnsi="VIC-Regular" w:cs="Times New Roman"/>
          <w:color w:val="011A3C"/>
          <w:sz w:val="24"/>
          <w:szCs w:val="24"/>
          <w:lang w:val="en" w:eastAsia="en-AU"/>
        </w:rPr>
        <w:t>765,996</w:t>
      </w:r>
      <w:r w:rsidR="00E70DB3"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 </w:t>
      </w:r>
      <w:r w:rsidR="00E70DB3" w:rsidRPr="004D307F">
        <w:rPr>
          <w:rFonts w:ascii="VIC-Regular" w:eastAsia="Times New Roman" w:hAnsi="VIC-Regular" w:cs="Times New Roman"/>
          <w:color w:val="011A3C"/>
          <w:sz w:val="24"/>
          <w:szCs w:val="24"/>
          <w:lang w:val="en" w:eastAsia="en-AU"/>
        </w:rPr>
        <w:t>$</w:t>
      </w:r>
      <w:r w:rsidR="007106F7" w:rsidRPr="004D307F">
        <w:rPr>
          <w:rFonts w:ascii="VIC-Regular" w:eastAsia="Times New Roman" w:hAnsi="VIC-Regular" w:cs="Times New Roman"/>
          <w:color w:val="011A3C"/>
          <w:sz w:val="24"/>
          <w:szCs w:val="24"/>
          <w:lang w:val="en" w:eastAsia="en-AU"/>
        </w:rPr>
        <w:t>286,834</w:t>
      </w:r>
      <w:r w:rsidR="00E70DB3" w:rsidRPr="004D307F">
        <w:rPr>
          <w:rFonts w:ascii="VIC-Regular" w:eastAsia="Times New Roman" w:hAnsi="VIC-Regular" w:cs="Times New Roman"/>
          <w:color w:val="011A3C"/>
          <w:sz w:val="24"/>
          <w:szCs w:val="24"/>
          <w:lang w:val="en" w:eastAsia="en-AU"/>
        </w:rPr>
        <w:t xml:space="preserve"> </w:t>
      </w:r>
      <w:proofErr w:type="gramStart"/>
      <w:r w:rsidRPr="004D307F">
        <w:rPr>
          <w:rFonts w:ascii="VIC-Regular" w:eastAsia="Times New Roman" w:hAnsi="VIC-Regular" w:cs="Times New Roman"/>
          <w:color w:val="011A3C"/>
          <w:sz w:val="24"/>
          <w:szCs w:val="24"/>
          <w:lang w:val="en" w:eastAsia="en-AU"/>
        </w:rPr>
        <w:t xml:space="preserve">= </w:t>
      </w:r>
      <w:r w:rsidR="00E70DB3" w:rsidRPr="004D307F">
        <w:rPr>
          <w:rFonts w:ascii="VIC-Regular" w:eastAsia="Times New Roman" w:hAnsi="VIC-Regular" w:cs="Times New Roman"/>
          <w:color w:val="011A3C"/>
          <w:sz w:val="24"/>
          <w:szCs w:val="24"/>
          <w:lang w:val="en" w:eastAsia="en-AU"/>
        </w:rPr>
        <w:t xml:space="preserve"> </w:t>
      </w:r>
      <w:r w:rsidR="002F13F4" w:rsidRPr="004D307F">
        <w:rPr>
          <w:rFonts w:ascii="VIC-Regular" w:eastAsia="Times New Roman" w:hAnsi="VIC-Regular" w:cs="Times New Roman"/>
          <w:color w:val="011A3C"/>
          <w:sz w:val="24"/>
          <w:szCs w:val="24"/>
          <w:lang w:val="en" w:eastAsia="en-AU"/>
        </w:rPr>
        <w:t>$</w:t>
      </w:r>
      <w:proofErr w:type="gramEnd"/>
      <w:r w:rsidR="002F13F4" w:rsidRPr="004D307F">
        <w:rPr>
          <w:rFonts w:ascii="VIC-Regular" w:eastAsia="Times New Roman" w:hAnsi="VIC-Regular" w:cs="Times New Roman"/>
          <w:color w:val="011A3C"/>
          <w:sz w:val="24"/>
          <w:szCs w:val="24"/>
          <w:lang w:val="en" w:eastAsia="en-AU"/>
        </w:rPr>
        <w:t>1,052,8</w:t>
      </w:r>
      <w:r w:rsidR="007106F7" w:rsidRPr="004D307F">
        <w:rPr>
          <w:rFonts w:ascii="VIC-Regular" w:eastAsia="Times New Roman" w:hAnsi="VIC-Regular" w:cs="Times New Roman"/>
          <w:color w:val="011A3C"/>
          <w:sz w:val="24"/>
          <w:szCs w:val="24"/>
          <w:lang w:val="en" w:eastAsia="en-AU"/>
        </w:rPr>
        <w:t>30</w:t>
      </w:r>
      <w:bookmarkEnd w:id="22"/>
    </w:p>
    <w:p w14:paraId="6204CCF4" w14:textId="553CF7E4"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Table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1"/>
        <w:gridCol w:w="1213"/>
        <w:gridCol w:w="1301"/>
        <w:gridCol w:w="1241"/>
        <w:gridCol w:w="1322"/>
        <w:gridCol w:w="1243"/>
        <w:gridCol w:w="1325"/>
      </w:tblGrid>
      <w:tr w:rsidR="00AD16F0" w:rsidRPr="004D307F" w14:paraId="65190952" w14:textId="77777777" w:rsidTr="00080034">
        <w:trPr>
          <w:tblHeader/>
        </w:trPr>
        <w:tc>
          <w:tcPr>
            <w:tcW w:w="705" w:type="pct"/>
            <w:hideMark/>
          </w:tcPr>
          <w:p w14:paraId="6D37A6B2" w14:textId="77777777" w:rsidR="00AD16F0" w:rsidRPr="004D307F" w:rsidRDefault="00AD16F0" w:rsidP="00AD16F0">
            <w:pPr>
              <w:spacing w:after="0" w:line="240" w:lineRule="auto"/>
              <w:rPr>
                <w:rFonts w:ascii="Times New Roman" w:eastAsia="Times New Roman" w:hAnsi="Times New Roman" w:cs="Times New Roman"/>
                <w:color w:val="323E4F" w:themeColor="text2" w:themeShade="BF"/>
                <w:sz w:val="24"/>
                <w:szCs w:val="24"/>
                <w:lang w:val="en" w:eastAsia="en-AU"/>
              </w:rPr>
            </w:pPr>
          </w:p>
        </w:tc>
        <w:tc>
          <w:tcPr>
            <w:tcW w:w="581" w:type="pct"/>
            <w:hideMark/>
          </w:tcPr>
          <w:p w14:paraId="0B02F6C0"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Minimum SFOE Threshold</w:t>
            </w:r>
          </w:p>
        </w:tc>
        <w:tc>
          <w:tcPr>
            <w:tcW w:w="0" w:type="auto"/>
            <w:hideMark/>
          </w:tcPr>
          <w:p w14:paraId="0BC0CF70"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Maximum SFOE Threshold</w:t>
            </w:r>
          </w:p>
        </w:tc>
        <w:tc>
          <w:tcPr>
            <w:tcW w:w="0" w:type="auto"/>
            <w:hideMark/>
          </w:tcPr>
          <w:p w14:paraId="7EE2AB30"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1 Student Minimum Rate</w:t>
            </w:r>
          </w:p>
        </w:tc>
        <w:tc>
          <w:tcPr>
            <w:tcW w:w="0" w:type="auto"/>
            <w:hideMark/>
          </w:tcPr>
          <w:p w14:paraId="58CE56C8"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1 Student Maximum Rate</w:t>
            </w:r>
          </w:p>
        </w:tc>
        <w:tc>
          <w:tcPr>
            <w:tcW w:w="0" w:type="auto"/>
            <w:hideMark/>
          </w:tcPr>
          <w:p w14:paraId="7EE42AB7"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2 Student Minimum Rate</w:t>
            </w:r>
          </w:p>
        </w:tc>
        <w:tc>
          <w:tcPr>
            <w:tcW w:w="0" w:type="auto"/>
            <w:hideMark/>
          </w:tcPr>
          <w:p w14:paraId="1247BC8C"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Level 2 Student Maximum Rate</w:t>
            </w:r>
          </w:p>
        </w:tc>
      </w:tr>
      <w:tr w:rsidR="00AD16F0" w:rsidRPr="004D307F" w14:paraId="10724C14" w14:textId="77777777" w:rsidTr="00080034">
        <w:tc>
          <w:tcPr>
            <w:tcW w:w="705" w:type="pct"/>
            <w:hideMark/>
          </w:tcPr>
          <w:p w14:paraId="0C876D0D"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Primary</w:t>
            </w:r>
          </w:p>
        </w:tc>
        <w:tc>
          <w:tcPr>
            <w:tcW w:w="581" w:type="pct"/>
            <w:hideMark/>
          </w:tcPr>
          <w:p w14:paraId="426F5288" w14:textId="06ED6A45"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0.3612</w:t>
            </w:r>
          </w:p>
        </w:tc>
        <w:tc>
          <w:tcPr>
            <w:tcW w:w="0" w:type="auto"/>
            <w:hideMark/>
          </w:tcPr>
          <w:p w14:paraId="43BDF7D5" w14:textId="77777777" w:rsidR="00AD16F0" w:rsidRPr="004D307F" w:rsidRDefault="00AD16F0"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0.6192</w:t>
            </w:r>
          </w:p>
        </w:tc>
        <w:tc>
          <w:tcPr>
            <w:tcW w:w="0" w:type="auto"/>
            <w:hideMark/>
          </w:tcPr>
          <w:p w14:paraId="69D98AB5" w14:textId="79AED94D"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w:t>
            </w:r>
            <w:r w:rsidR="00F14857" w:rsidRPr="004D307F">
              <w:rPr>
                <w:rFonts w:ascii="VIC-Regular" w:eastAsia="Times New Roman" w:hAnsi="VIC-Regular" w:cs="Times New Roman"/>
                <w:color w:val="323E4F" w:themeColor="text2" w:themeShade="BF"/>
                <w:sz w:val="24"/>
                <w:szCs w:val="24"/>
                <w:lang w:eastAsia="en-AU"/>
              </w:rPr>
              <w:t>74</w:t>
            </w:r>
          </w:p>
        </w:tc>
        <w:tc>
          <w:tcPr>
            <w:tcW w:w="0" w:type="auto"/>
            <w:hideMark/>
          </w:tcPr>
          <w:p w14:paraId="59AB23E9" w14:textId="43D369D1" w:rsidR="00AD16F0" w:rsidRPr="004D307F" w:rsidRDefault="00C43BE1"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w:t>
            </w:r>
            <w:r w:rsidR="00A82D75" w:rsidRPr="004D307F">
              <w:rPr>
                <w:rFonts w:ascii="VIC-Regular" w:eastAsia="Times New Roman" w:hAnsi="VIC-Regular" w:cs="Times New Roman"/>
                <w:color w:val="323E4F" w:themeColor="text2" w:themeShade="BF"/>
                <w:sz w:val="24"/>
                <w:szCs w:val="24"/>
                <w:lang w:eastAsia="en-AU"/>
              </w:rPr>
              <w:t>5,2</w:t>
            </w:r>
            <w:r w:rsidR="00F14857" w:rsidRPr="004D307F">
              <w:rPr>
                <w:rFonts w:ascii="VIC-Regular" w:eastAsia="Times New Roman" w:hAnsi="VIC-Regular" w:cs="Times New Roman"/>
                <w:color w:val="323E4F" w:themeColor="text2" w:themeShade="BF"/>
                <w:sz w:val="24"/>
                <w:szCs w:val="24"/>
                <w:lang w:eastAsia="en-AU"/>
              </w:rPr>
              <w:t>72</w:t>
            </w:r>
          </w:p>
        </w:tc>
        <w:tc>
          <w:tcPr>
            <w:tcW w:w="0" w:type="auto"/>
            <w:hideMark/>
          </w:tcPr>
          <w:p w14:paraId="158D798A" w14:textId="208F4C45"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$48</w:t>
            </w:r>
            <w:r w:rsidR="00F14857"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6F7C5914" w14:textId="346DC8A3" w:rsidR="00AD16F0" w:rsidRPr="004D307F" w:rsidRDefault="00337C31"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w:t>
            </w:r>
            <w:r w:rsidR="00F14857" w:rsidRPr="004D307F">
              <w:rPr>
                <w:rFonts w:ascii="VIC-Regular" w:eastAsia="Times New Roman" w:hAnsi="VIC-Regular" w:cs="Times New Roman"/>
                <w:color w:val="323E4F" w:themeColor="text2" w:themeShade="BF"/>
                <w:sz w:val="24"/>
                <w:szCs w:val="24"/>
                <w:lang w:eastAsia="en-AU"/>
              </w:rPr>
              <w:t>37</w:t>
            </w:r>
          </w:p>
        </w:tc>
      </w:tr>
      <w:tr w:rsidR="00AD16F0" w:rsidRPr="004D307F" w14:paraId="455A4776" w14:textId="77777777" w:rsidTr="00080034">
        <w:tc>
          <w:tcPr>
            <w:tcW w:w="705" w:type="pct"/>
            <w:hideMark/>
          </w:tcPr>
          <w:p w14:paraId="0BDD5FD4"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Secondary</w:t>
            </w:r>
          </w:p>
        </w:tc>
        <w:tc>
          <w:tcPr>
            <w:tcW w:w="581" w:type="pct"/>
            <w:hideMark/>
          </w:tcPr>
          <w:p w14:paraId="46B20335" w14:textId="204ADCC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0.3612</w:t>
            </w:r>
          </w:p>
        </w:tc>
        <w:tc>
          <w:tcPr>
            <w:tcW w:w="0" w:type="auto"/>
            <w:hideMark/>
          </w:tcPr>
          <w:p w14:paraId="3631F520" w14:textId="77777777" w:rsidR="00AD16F0" w:rsidRPr="004D307F" w:rsidRDefault="00AD16F0"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0.6192</w:t>
            </w:r>
          </w:p>
        </w:tc>
        <w:tc>
          <w:tcPr>
            <w:tcW w:w="0" w:type="auto"/>
            <w:hideMark/>
          </w:tcPr>
          <w:p w14:paraId="3595A38B" w14:textId="72B6D952"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$86</w:t>
            </w:r>
            <w:r w:rsidR="00F14857"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48AFD9F2" w14:textId="6BBC234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$4,6</w:t>
            </w:r>
            <w:r w:rsidR="00F14857" w:rsidRPr="004D307F">
              <w:rPr>
                <w:rFonts w:ascii="VIC-Regular" w:eastAsia="Times New Roman" w:hAnsi="VIC-Regular" w:cs="Times New Roman"/>
                <w:color w:val="323E4F" w:themeColor="text2" w:themeShade="BF"/>
                <w:sz w:val="24"/>
                <w:szCs w:val="24"/>
                <w:lang w:eastAsia="en-AU"/>
              </w:rPr>
              <w:t>81</w:t>
            </w:r>
          </w:p>
        </w:tc>
        <w:tc>
          <w:tcPr>
            <w:tcW w:w="0" w:type="auto"/>
            <w:hideMark/>
          </w:tcPr>
          <w:p w14:paraId="1D48F993" w14:textId="2BA1A09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$43</w:t>
            </w:r>
            <w:r w:rsidR="00F14857"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139B3C05" w14:textId="7299FC25"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$2,3</w:t>
            </w:r>
            <w:r w:rsidR="00F14857" w:rsidRPr="004D307F">
              <w:rPr>
                <w:rFonts w:ascii="VIC-Regular" w:eastAsia="Times New Roman" w:hAnsi="VIC-Regular" w:cs="Times New Roman"/>
                <w:color w:val="323E4F" w:themeColor="text2" w:themeShade="BF"/>
                <w:sz w:val="24"/>
                <w:szCs w:val="24"/>
                <w:lang w:eastAsia="en-AU"/>
              </w:rPr>
              <w:t>40</w:t>
            </w:r>
          </w:p>
        </w:tc>
      </w:tr>
      <w:tr w:rsidR="00AD16F0" w:rsidRPr="004D307F" w14:paraId="151B1C73" w14:textId="77777777" w:rsidTr="00080034">
        <w:tc>
          <w:tcPr>
            <w:tcW w:w="705" w:type="pct"/>
            <w:hideMark/>
          </w:tcPr>
          <w:p w14:paraId="337443D3"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Special</w:t>
            </w:r>
          </w:p>
        </w:tc>
        <w:tc>
          <w:tcPr>
            <w:tcW w:w="581" w:type="pct"/>
            <w:hideMark/>
          </w:tcPr>
          <w:p w14:paraId="0E5AB3D9" w14:textId="03DDF3C0" w:rsidR="00AD16F0" w:rsidRPr="004D307F" w:rsidRDefault="00276061"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0.5040</w:t>
            </w:r>
          </w:p>
        </w:tc>
        <w:tc>
          <w:tcPr>
            <w:tcW w:w="0" w:type="auto"/>
            <w:hideMark/>
          </w:tcPr>
          <w:p w14:paraId="48B2362B" w14:textId="77777777" w:rsidR="00AD16F0" w:rsidRPr="004D307F" w:rsidRDefault="00AD16F0"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0.7336</w:t>
            </w:r>
          </w:p>
        </w:tc>
        <w:tc>
          <w:tcPr>
            <w:tcW w:w="0" w:type="auto"/>
            <w:hideMark/>
          </w:tcPr>
          <w:p w14:paraId="77D4DB25" w14:textId="186B01FE"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w:t>
            </w:r>
            <w:r w:rsidR="00F14857" w:rsidRPr="004D307F">
              <w:rPr>
                <w:rFonts w:ascii="VIC-Regular" w:eastAsia="Times New Roman" w:hAnsi="VIC-Regular" w:cs="Times New Roman"/>
                <w:color w:val="323E4F" w:themeColor="text2" w:themeShade="BF"/>
                <w:sz w:val="24"/>
                <w:szCs w:val="24"/>
                <w:lang w:eastAsia="en-AU"/>
              </w:rPr>
              <w:t>74</w:t>
            </w:r>
          </w:p>
        </w:tc>
        <w:tc>
          <w:tcPr>
            <w:tcW w:w="0" w:type="auto"/>
            <w:hideMark/>
          </w:tcPr>
          <w:p w14:paraId="3BE81E3E" w14:textId="5C382C2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$5,2</w:t>
            </w:r>
            <w:r w:rsidR="00F14857" w:rsidRPr="004D307F">
              <w:rPr>
                <w:rFonts w:ascii="VIC-Regular" w:eastAsia="Times New Roman" w:hAnsi="VIC-Regular" w:cs="Times New Roman"/>
                <w:color w:val="323E4F" w:themeColor="text2" w:themeShade="BF"/>
                <w:sz w:val="24"/>
                <w:szCs w:val="24"/>
                <w:lang w:eastAsia="en-AU"/>
              </w:rPr>
              <w:t>72</w:t>
            </w:r>
          </w:p>
        </w:tc>
        <w:tc>
          <w:tcPr>
            <w:tcW w:w="0" w:type="auto"/>
            <w:hideMark/>
          </w:tcPr>
          <w:p w14:paraId="52DCF77B" w14:textId="720223C3"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r w:rsidR="00F14857" w:rsidRPr="004D307F">
              <w:rPr>
                <w:rFonts w:ascii="VIC-Regular" w:eastAsia="Times New Roman" w:hAnsi="VIC-Regular" w:cs="Times New Roman"/>
                <w:color w:val="323E4F" w:themeColor="text2" w:themeShade="BF"/>
                <w:sz w:val="24"/>
                <w:szCs w:val="24"/>
                <w:lang w:eastAsia="en-AU"/>
              </w:rPr>
              <w:t>87</w:t>
            </w:r>
          </w:p>
        </w:tc>
        <w:tc>
          <w:tcPr>
            <w:tcW w:w="0" w:type="auto"/>
            <w:hideMark/>
          </w:tcPr>
          <w:p w14:paraId="020F040D" w14:textId="5722E301"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w:t>
            </w:r>
            <w:r w:rsidR="00F14857" w:rsidRPr="004D307F">
              <w:rPr>
                <w:rFonts w:ascii="VIC-Regular" w:eastAsia="Times New Roman" w:hAnsi="VIC-Regular" w:cs="Times New Roman"/>
                <w:color w:val="323E4F" w:themeColor="text2" w:themeShade="BF"/>
                <w:sz w:val="24"/>
                <w:szCs w:val="24"/>
                <w:lang w:eastAsia="en-AU"/>
              </w:rPr>
              <w:t>37</w:t>
            </w:r>
          </w:p>
        </w:tc>
      </w:tr>
      <w:tr w:rsidR="00AD16F0" w:rsidRPr="004D307F" w14:paraId="3DF81935" w14:textId="77777777" w:rsidTr="00080034">
        <w:tc>
          <w:tcPr>
            <w:tcW w:w="705" w:type="pct"/>
            <w:hideMark/>
          </w:tcPr>
          <w:p w14:paraId="4C1F2452"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Language</w:t>
            </w:r>
          </w:p>
        </w:tc>
        <w:tc>
          <w:tcPr>
            <w:tcW w:w="581" w:type="pct"/>
            <w:hideMark/>
          </w:tcPr>
          <w:p w14:paraId="61C145A3" w14:textId="1DEABCFD"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0.3612</w:t>
            </w:r>
          </w:p>
        </w:tc>
        <w:tc>
          <w:tcPr>
            <w:tcW w:w="0" w:type="auto"/>
            <w:hideMark/>
          </w:tcPr>
          <w:p w14:paraId="4E9974FA" w14:textId="77777777" w:rsidR="00AD16F0" w:rsidRPr="004D307F" w:rsidRDefault="00AD16F0"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0.6192</w:t>
            </w:r>
          </w:p>
        </w:tc>
        <w:tc>
          <w:tcPr>
            <w:tcW w:w="0" w:type="auto"/>
            <w:hideMark/>
          </w:tcPr>
          <w:p w14:paraId="702970D6" w14:textId="706B7E3E"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w:t>
            </w:r>
            <w:r w:rsidR="00272111" w:rsidRPr="004D307F">
              <w:rPr>
                <w:rFonts w:ascii="VIC-Regular" w:eastAsia="Times New Roman" w:hAnsi="VIC-Regular" w:cs="Times New Roman"/>
                <w:color w:val="323E4F" w:themeColor="text2" w:themeShade="BF"/>
                <w:sz w:val="24"/>
                <w:szCs w:val="24"/>
                <w:lang w:eastAsia="en-AU"/>
              </w:rPr>
              <w:t>74</w:t>
            </w:r>
          </w:p>
        </w:tc>
        <w:tc>
          <w:tcPr>
            <w:tcW w:w="0" w:type="auto"/>
            <w:hideMark/>
          </w:tcPr>
          <w:p w14:paraId="00DAAFAB" w14:textId="66D70B67"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$5,2</w:t>
            </w:r>
            <w:r w:rsidR="00272111" w:rsidRPr="004D307F">
              <w:rPr>
                <w:rFonts w:ascii="VIC-Regular" w:eastAsia="Times New Roman" w:hAnsi="VIC-Regular" w:cs="Times New Roman"/>
                <w:color w:val="323E4F" w:themeColor="text2" w:themeShade="BF"/>
                <w:sz w:val="24"/>
                <w:szCs w:val="24"/>
                <w:lang w:eastAsia="en-AU"/>
              </w:rPr>
              <w:t>72</w:t>
            </w:r>
          </w:p>
        </w:tc>
        <w:tc>
          <w:tcPr>
            <w:tcW w:w="0" w:type="auto"/>
            <w:hideMark/>
          </w:tcPr>
          <w:p w14:paraId="6091D237" w14:textId="62DD6A6C"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$48</w:t>
            </w:r>
            <w:r w:rsidR="00272111"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553A706E" w14:textId="6348A2AD" w:rsidR="00AD16F0" w:rsidRPr="004D307F" w:rsidRDefault="00A82D75"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w:t>
            </w:r>
            <w:r w:rsidR="00272111" w:rsidRPr="004D307F">
              <w:rPr>
                <w:rFonts w:ascii="VIC-Regular" w:eastAsia="Times New Roman" w:hAnsi="VIC-Regular" w:cs="Times New Roman"/>
                <w:color w:val="323E4F" w:themeColor="text2" w:themeShade="BF"/>
                <w:sz w:val="24"/>
                <w:szCs w:val="24"/>
                <w:lang w:eastAsia="en-AU"/>
              </w:rPr>
              <w:t>37</w:t>
            </w:r>
          </w:p>
        </w:tc>
      </w:tr>
    </w:tbl>
    <w:p w14:paraId="71EBD9A5" w14:textId="6083B7E9"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minimum funding allocation = $5</w:t>
      </w:r>
      <w:r w:rsidR="00113120"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000</w:t>
      </w:r>
    </w:p>
    <w:p w14:paraId="00099584" w14:textId="3744ADED"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enrolment is based on the numbers of Level 1 and 2 students recorded in annually in the August census of the preceding year. </w:t>
      </w:r>
      <w:bookmarkStart w:id="23" w:name="_Hlk94698274"/>
      <w:r w:rsidRPr="004D307F">
        <w:rPr>
          <w:rFonts w:ascii="VIC-Regular" w:eastAsia="Times New Roman" w:hAnsi="VIC-Regular" w:cs="Times New Roman"/>
          <w:color w:val="011A3C"/>
          <w:sz w:val="24"/>
          <w:szCs w:val="24"/>
          <w:lang w:val="en" w:eastAsia="en-AU"/>
        </w:rPr>
        <w:t xml:space="preserve">Data for </w:t>
      </w:r>
      <w:r w:rsidR="00EC0EB3" w:rsidRPr="004D307F">
        <w:rPr>
          <w:rFonts w:ascii="VIC-Regular" w:eastAsia="Times New Roman" w:hAnsi="VIC-Regular" w:cs="Times New Roman"/>
          <w:color w:val="011A3C"/>
          <w:sz w:val="24"/>
          <w:szCs w:val="24"/>
          <w:lang w:val="en" w:eastAsia="en-AU"/>
        </w:rPr>
        <w:t xml:space="preserve">2022 </w:t>
      </w:r>
      <w:r w:rsidRPr="004D307F">
        <w:rPr>
          <w:rFonts w:ascii="VIC-Regular" w:eastAsia="Times New Roman" w:hAnsi="VIC-Regular" w:cs="Times New Roman"/>
          <w:color w:val="011A3C"/>
          <w:sz w:val="24"/>
          <w:szCs w:val="24"/>
          <w:lang w:val="en" w:eastAsia="en-AU"/>
        </w:rPr>
        <w:t xml:space="preserve">is calculated using August </w:t>
      </w:r>
      <w:r w:rsidR="00EC0EB3" w:rsidRPr="004D307F">
        <w:rPr>
          <w:rFonts w:ascii="VIC-Regular" w:eastAsia="Times New Roman" w:hAnsi="VIC-Regular" w:cs="Times New Roman"/>
          <w:color w:val="011A3C"/>
          <w:sz w:val="24"/>
          <w:szCs w:val="24"/>
          <w:lang w:val="en" w:eastAsia="en-AU"/>
        </w:rPr>
        <w:t xml:space="preserve">2021 </w:t>
      </w:r>
      <w:r w:rsidRPr="004D307F">
        <w:rPr>
          <w:rFonts w:ascii="VIC-Regular" w:eastAsia="Times New Roman" w:hAnsi="VIC-Regular" w:cs="Times New Roman"/>
          <w:color w:val="011A3C"/>
          <w:sz w:val="24"/>
          <w:szCs w:val="24"/>
          <w:lang w:val="en" w:eastAsia="en-AU"/>
        </w:rPr>
        <w:t xml:space="preserve">census data submitted by schools and is not adjusted for the </w:t>
      </w:r>
      <w:r w:rsidR="00EC0EB3" w:rsidRPr="004D307F">
        <w:rPr>
          <w:rFonts w:ascii="VIC-Regular" w:eastAsia="Times New Roman" w:hAnsi="VIC-Regular" w:cs="Times New Roman"/>
          <w:color w:val="011A3C"/>
          <w:sz w:val="24"/>
          <w:szCs w:val="24"/>
          <w:lang w:val="en" w:eastAsia="en-AU"/>
        </w:rPr>
        <w:t xml:space="preserve">2022 </w:t>
      </w:r>
      <w:r w:rsidRPr="004D307F">
        <w:rPr>
          <w:rFonts w:ascii="VIC-Regular" w:eastAsia="Times New Roman" w:hAnsi="VIC-Regular" w:cs="Times New Roman"/>
          <w:color w:val="011A3C"/>
          <w:sz w:val="24"/>
          <w:szCs w:val="24"/>
          <w:lang w:val="en" w:eastAsia="en-AU"/>
        </w:rPr>
        <w:t>calendar year. The rolling weighted average also relies on August census data from the two periods prior (</w:t>
      </w:r>
      <w:r w:rsidR="00EC0EB3" w:rsidRPr="004D307F">
        <w:rPr>
          <w:rFonts w:ascii="VIC-Regular" w:eastAsia="Times New Roman" w:hAnsi="VIC-Regular" w:cs="Times New Roman"/>
          <w:color w:val="011A3C"/>
          <w:sz w:val="24"/>
          <w:szCs w:val="24"/>
          <w:lang w:val="en" w:eastAsia="en-AU"/>
        </w:rPr>
        <w:t xml:space="preserve">2020 </w:t>
      </w:r>
      <w:r w:rsidRPr="004D307F">
        <w:rPr>
          <w:rFonts w:ascii="VIC-Regular" w:eastAsia="Times New Roman" w:hAnsi="VIC-Regular" w:cs="Times New Roman"/>
          <w:color w:val="011A3C"/>
          <w:sz w:val="24"/>
          <w:szCs w:val="24"/>
          <w:lang w:val="en" w:eastAsia="en-AU"/>
        </w:rPr>
        <w:t xml:space="preserve">and </w:t>
      </w:r>
      <w:r w:rsidR="00EC0EB3" w:rsidRPr="004D307F">
        <w:rPr>
          <w:rFonts w:ascii="VIC-Regular" w:eastAsia="Times New Roman" w:hAnsi="VIC-Regular" w:cs="Times New Roman"/>
          <w:color w:val="011A3C"/>
          <w:sz w:val="24"/>
          <w:szCs w:val="24"/>
          <w:lang w:val="en" w:eastAsia="en-AU"/>
        </w:rPr>
        <w:t>2019</w:t>
      </w:r>
      <w:r w:rsidRPr="004D307F">
        <w:rPr>
          <w:rFonts w:ascii="VIC-Regular" w:eastAsia="Times New Roman" w:hAnsi="VIC-Regular" w:cs="Times New Roman"/>
          <w:color w:val="011A3C"/>
          <w:sz w:val="24"/>
          <w:szCs w:val="24"/>
          <w:lang w:val="en" w:eastAsia="en-AU"/>
        </w:rPr>
        <w:t>).</w:t>
      </w:r>
    </w:p>
    <w:bookmarkEnd w:id="23"/>
    <w:p w14:paraId="0AB9A520" w14:textId="7F9FB7DB" w:rsidR="00AD16F0" w:rsidRPr="004D307F" w:rsidRDefault="00AD16F0" w:rsidP="00AD16F0">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Bold" w:eastAsia="Times New Roman" w:hAnsi="VIC-Bold" w:cs="Times New Roman"/>
          <w:color w:val="011A3C"/>
          <w:sz w:val="27"/>
          <w:szCs w:val="27"/>
          <w:lang w:val="en" w:eastAsia="en-AU"/>
        </w:rPr>
        <w:t xml:space="preserve">Equity (social disadvantage) funding displayed in the </w:t>
      </w:r>
      <w:r w:rsidR="001039D9" w:rsidRPr="004D307F">
        <w:rPr>
          <w:rFonts w:ascii="VIC-Bold" w:eastAsia="Times New Roman" w:hAnsi="VIC-Bold" w:cs="Times New Roman"/>
          <w:color w:val="011A3C"/>
          <w:sz w:val="27"/>
          <w:szCs w:val="27"/>
          <w:lang w:val="en" w:eastAsia="en-AU"/>
        </w:rPr>
        <w:t>Student Resource Package (</w:t>
      </w:r>
      <w:r w:rsidRPr="004D307F">
        <w:rPr>
          <w:rFonts w:ascii="VIC-Bold" w:eastAsia="Times New Roman" w:hAnsi="VIC-Bold" w:cs="Times New Roman"/>
          <w:color w:val="011A3C"/>
          <w:sz w:val="27"/>
          <w:szCs w:val="27"/>
          <w:lang w:val="en" w:eastAsia="en-AU"/>
        </w:rPr>
        <w:t>SRP</w:t>
      </w:r>
      <w:r w:rsidR="001039D9" w:rsidRPr="004D307F">
        <w:rPr>
          <w:rFonts w:ascii="VIC-Bold" w:eastAsia="Times New Roman" w:hAnsi="VIC-Bold" w:cs="Times New Roman"/>
          <w:color w:val="011A3C"/>
          <w:sz w:val="27"/>
          <w:szCs w:val="27"/>
          <w:lang w:val="en" w:eastAsia="en-AU"/>
        </w:rPr>
        <w:t>)</w:t>
      </w:r>
      <w:r w:rsidRPr="004D307F">
        <w:rPr>
          <w:rFonts w:ascii="VIC-Bold" w:eastAsia="Times New Roman" w:hAnsi="VIC-Bold" w:cs="Times New Roman"/>
          <w:color w:val="011A3C"/>
          <w:sz w:val="27"/>
          <w:szCs w:val="27"/>
          <w:lang w:val="en" w:eastAsia="en-AU"/>
        </w:rPr>
        <w:t xml:space="preserve"> reports</w:t>
      </w:r>
    </w:p>
    <w:p w14:paraId="1E079E37" w14:textId="48291B4D" w:rsidR="00AD16F0" w:rsidRPr="004D307F" w:rsidRDefault="00AD16F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calculated through the Equity (Social Disadvantage) formula is displayed in the SRP reports under the section entitled Education State (Including Additional Gonski). </w:t>
      </w:r>
    </w:p>
    <w:p w14:paraId="254D71B4" w14:textId="1FF2E2D3" w:rsidR="00AD16F0" w:rsidRPr="004D307F" w:rsidRDefault="00C05DD4" w:rsidP="00AD16F0">
      <w:pPr>
        <w:rPr>
          <w:sz w:val="20"/>
          <w:szCs w:val="20"/>
        </w:rPr>
      </w:pPr>
      <w:r w:rsidRPr="004D307F">
        <w:rPr>
          <w:rFonts w:ascii="VIC-Regular" w:eastAsia="Times New Roman" w:hAnsi="VIC-Regular" w:cs="Times New Roman"/>
          <w:color w:val="011A3C"/>
          <w:sz w:val="20"/>
          <w:szCs w:val="20"/>
          <w:lang w:val="en" w:eastAsia="en-AU"/>
        </w:rPr>
        <w:t>*The equity calculation for Parkville College is undertaken outside the standard formulation outlined in this section.</w:t>
      </w:r>
      <w:r w:rsidRPr="004D307F">
        <w:rPr>
          <w:sz w:val="20"/>
          <w:szCs w:val="20"/>
        </w:rPr>
        <w:t xml:space="preserve"> </w:t>
      </w:r>
      <w:r w:rsidR="00AD16F0" w:rsidRPr="004D307F">
        <w:rPr>
          <w:sz w:val="20"/>
          <w:szCs w:val="20"/>
        </w:rPr>
        <w:br w:type="page"/>
      </w:r>
    </w:p>
    <w:p w14:paraId="270FBFDD" w14:textId="4FABF694" w:rsidR="00AD16F0" w:rsidRPr="004D307F" w:rsidRDefault="00AD16F0" w:rsidP="00B566E7">
      <w:pPr>
        <w:pStyle w:val="Heading2"/>
      </w:pPr>
      <w:bookmarkStart w:id="24" w:name="_Toc99882734"/>
      <w:r w:rsidRPr="004D307F">
        <w:lastRenderedPageBreak/>
        <w:t>Equity (Catch Up) (Reference 12)</w:t>
      </w:r>
      <w:bookmarkEnd w:id="24"/>
    </w:p>
    <w:p w14:paraId="224040FA" w14:textId="617D2B42"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Equity (Catch Up) funding will target students who enter secondary schools and are at risk of educational failure. Secondary students who did not meet the national minimum standards in the National Assessment Program — Literacy and Numeracy (NAPLAN) in Year 5 (Reading) will each attract the </w:t>
      </w:r>
      <w:r w:rsidR="00992D19" w:rsidRPr="004D307F">
        <w:rPr>
          <w:rFonts w:ascii="VIC-Regular" w:eastAsia="Times New Roman" w:hAnsi="VIC-Regular" w:cs="Times New Roman"/>
          <w:color w:val="011A3C"/>
          <w:sz w:val="24"/>
          <w:szCs w:val="24"/>
          <w:lang w:val="en" w:eastAsia="en-AU"/>
        </w:rPr>
        <w:t>catch-up</w:t>
      </w:r>
      <w:r w:rsidRPr="004D307F">
        <w:rPr>
          <w:rFonts w:ascii="VIC-Regular" w:eastAsia="Times New Roman" w:hAnsi="VIC-Regular" w:cs="Times New Roman"/>
          <w:color w:val="011A3C"/>
          <w:sz w:val="24"/>
          <w:szCs w:val="24"/>
          <w:lang w:val="en" w:eastAsia="en-AU"/>
        </w:rPr>
        <w:t xml:space="preserve"> loading. This </w:t>
      </w:r>
      <w:proofErr w:type="gramStart"/>
      <w:r w:rsidRPr="004D307F">
        <w:rPr>
          <w:rFonts w:ascii="VIC-Regular" w:eastAsia="Times New Roman" w:hAnsi="VIC-Regular" w:cs="Times New Roman"/>
          <w:color w:val="011A3C"/>
          <w:sz w:val="24"/>
          <w:szCs w:val="24"/>
          <w:lang w:val="en" w:eastAsia="en-AU"/>
        </w:rPr>
        <w:t>catch up</w:t>
      </w:r>
      <w:proofErr w:type="gramEnd"/>
      <w:r w:rsidRPr="004D307F">
        <w:rPr>
          <w:rFonts w:ascii="VIC-Regular" w:eastAsia="Times New Roman" w:hAnsi="VIC-Regular" w:cs="Times New Roman"/>
          <w:color w:val="011A3C"/>
          <w:sz w:val="24"/>
          <w:szCs w:val="24"/>
          <w:lang w:val="en" w:eastAsia="en-AU"/>
        </w:rPr>
        <w:t xml:space="preserve"> loading is not affected by the school’s or student’s level of disadvantage and is based only of the academic achievement of the student. </w:t>
      </w:r>
    </w:p>
    <w:p w14:paraId="1609796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w:t>
      </w:r>
      <w:proofErr w:type="gramStart"/>
      <w:r w:rsidRPr="004D307F">
        <w:rPr>
          <w:rFonts w:ascii="VIC-Regular" w:eastAsia="Times New Roman" w:hAnsi="VIC-Regular" w:cs="Times New Roman"/>
          <w:color w:val="011A3C"/>
          <w:sz w:val="24"/>
          <w:szCs w:val="24"/>
          <w:lang w:val="en" w:eastAsia="en-AU"/>
        </w:rPr>
        <w:t>catch up</w:t>
      </w:r>
      <w:proofErr w:type="gramEnd"/>
      <w:r w:rsidRPr="004D307F">
        <w:rPr>
          <w:rFonts w:ascii="VIC-Regular" w:eastAsia="Times New Roman" w:hAnsi="VIC-Regular" w:cs="Times New Roman"/>
          <w:color w:val="011A3C"/>
          <w:sz w:val="24"/>
          <w:szCs w:val="24"/>
          <w:lang w:val="en" w:eastAsia="en-AU"/>
        </w:rPr>
        <w:t xml:space="preserve"> loading will be allocated according to the number of enrolled students who have not met the agreed NAPLAN national minimum standard in Year 5. The annual payment will continue for the student’s entire secondary school education. The funding will allow secondary schools to invest in proven interventions, such as one-on-one numeracy support or targeting teaching coaching to assist students to catch up academically. </w:t>
      </w:r>
    </w:p>
    <w:p w14:paraId="04845D29"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Identifying eligible students</w:t>
      </w:r>
    </w:p>
    <w:p w14:paraId="64F6AC75"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enrolled in government secondary schools are identified via their NAPLAN results at Year 5 using their Victorian School Number (VSN). The number of students is aggregated at a school/campus level to provide a total number of students per school/campus.</w:t>
      </w:r>
    </w:p>
    <w:p w14:paraId="6642F80B" w14:textId="5D6865E3"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5" w:name="_Hlk81822417"/>
      <w:r w:rsidRPr="004D307F">
        <w:rPr>
          <w:rFonts w:ascii="VIC-Regular" w:eastAsia="Times New Roman" w:hAnsi="VIC-Regular" w:cs="Times New Roman"/>
          <w:color w:val="011A3C"/>
          <w:sz w:val="24"/>
          <w:szCs w:val="24"/>
          <w:lang w:val="en" w:eastAsia="en-AU"/>
        </w:rPr>
        <w:t xml:space="preserve">An update of student movements using updated NAPLAN data </w:t>
      </w:r>
      <w:r w:rsidR="001E1E44" w:rsidRPr="004D307F">
        <w:rPr>
          <w:rFonts w:ascii="VIC-Regular" w:eastAsia="Times New Roman" w:hAnsi="VIC-Regular" w:cs="Times New Roman"/>
          <w:color w:val="011A3C"/>
          <w:sz w:val="24"/>
          <w:szCs w:val="24"/>
          <w:lang w:val="en" w:eastAsia="en-AU"/>
        </w:rPr>
        <w:t xml:space="preserve">is </w:t>
      </w:r>
      <w:r w:rsidRPr="004D307F">
        <w:rPr>
          <w:rFonts w:ascii="VIC-Regular" w:eastAsia="Times New Roman" w:hAnsi="VIC-Regular" w:cs="Times New Roman"/>
          <w:color w:val="011A3C"/>
          <w:sz w:val="24"/>
          <w:szCs w:val="24"/>
          <w:lang w:val="en" w:eastAsia="en-AU"/>
        </w:rPr>
        <w:t xml:space="preserve">applied </w:t>
      </w:r>
      <w:r w:rsidR="00150D85" w:rsidRPr="004D307F">
        <w:rPr>
          <w:rFonts w:ascii="VIC-Regular" w:eastAsia="Times New Roman" w:hAnsi="VIC-Regular" w:cs="Times New Roman"/>
          <w:color w:val="011A3C"/>
          <w:sz w:val="24"/>
          <w:szCs w:val="24"/>
          <w:lang w:val="en" w:eastAsia="en-AU"/>
        </w:rPr>
        <w:t>annually during the</w:t>
      </w:r>
      <w:r w:rsidR="001E1E44"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Confirmed SRP release.</w:t>
      </w:r>
    </w:p>
    <w:bookmarkEnd w:id="25"/>
    <w:p w14:paraId="32329B48"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Year level match to NAPLAN results</w:t>
      </w:r>
    </w:p>
    <w:p w14:paraId="7E026763" w14:textId="658E21BB" w:rsidR="001E1E44" w:rsidRPr="004D307F" w:rsidRDefault="001E1E44" w:rsidP="004D307F">
      <w:pPr>
        <w:spacing w:after="100" w:afterAutospacing="1" w:line="360" w:lineRule="atLeast"/>
        <w:rPr>
          <w:rFonts w:ascii="Arial" w:hAnsi="Arial" w:cs="Arial"/>
          <w:color w:val="0070C0"/>
          <w:lang w:eastAsia="en-AU"/>
        </w:rPr>
      </w:pPr>
      <w:r w:rsidRPr="004D307F">
        <w:rPr>
          <w:rFonts w:ascii="VIC-Regular" w:eastAsia="Times New Roman" w:hAnsi="VIC-Regular" w:cs="Times New Roman"/>
          <w:color w:val="011A3C"/>
          <w:sz w:val="24"/>
          <w:szCs w:val="24"/>
          <w:lang w:val="en" w:eastAsia="en-AU"/>
        </w:rPr>
        <w:t>In most cases, a student’s Year 5 NAPLAN result will be used to determine their eligibility for Catch</w:t>
      </w:r>
      <w:r w:rsidR="006870DA">
        <w:rPr>
          <w:rFonts w:ascii="VIC-Regular" w:eastAsia="Times New Roman" w:hAnsi="VIC-Regular" w:cs="Times New Roman"/>
          <w:color w:val="011A3C"/>
          <w:sz w:val="24"/>
          <w:szCs w:val="24"/>
          <w:lang w:val="en" w:eastAsia="en-AU"/>
        </w:rPr>
        <w:t xml:space="preserve"> </w:t>
      </w:r>
      <w:r w:rsidR="00E54AA9">
        <w:rPr>
          <w:rFonts w:ascii="VIC-Regular" w:eastAsia="Times New Roman" w:hAnsi="VIC-Regular" w:cs="Times New Roman"/>
          <w:color w:val="011A3C"/>
          <w:sz w:val="24"/>
          <w:szCs w:val="24"/>
          <w:lang w:val="en" w:eastAsia="en-AU"/>
        </w:rPr>
        <w:t>U</w:t>
      </w:r>
      <w:r w:rsidRPr="004D307F">
        <w:rPr>
          <w:rFonts w:ascii="VIC-Regular" w:eastAsia="Times New Roman" w:hAnsi="VIC-Regular" w:cs="Times New Roman"/>
          <w:color w:val="011A3C"/>
          <w:sz w:val="24"/>
          <w:szCs w:val="24"/>
          <w:lang w:val="en" w:eastAsia="en-AU"/>
        </w:rPr>
        <w:t>p loading.</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The number of eligible FTE enrolments at each campus are determined by matching the current year Feb</w:t>
      </w:r>
      <w:r w:rsidR="00E54AA9">
        <w:rPr>
          <w:rFonts w:ascii="VIC-Regular" w:eastAsia="Times New Roman" w:hAnsi="VIC-Regular" w:cs="Times New Roman"/>
          <w:color w:val="011A3C"/>
          <w:sz w:val="24"/>
          <w:szCs w:val="24"/>
          <w:lang w:val="en" w:eastAsia="en-AU"/>
        </w:rPr>
        <w:t>ruary</w:t>
      </w:r>
      <w:r w:rsidRPr="004D307F">
        <w:rPr>
          <w:rFonts w:ascii="VIC-Regular" w:eastAsia="Times New Roman" w:hAnsi="VIC-Regular" w:cs="Times New Roman"/>
          <w:color w:val="011A3C"/>
          <w:sz w:val="24"/>
          <w:szCs w:val="24"/>
          <w:lang w:val="en" w:eastAsia="en-AU"/>
        </w:rPr>
        <w:t xml:space="preserve"> census enrolment records to their corresponding NAPLAN Catch</w:t>
      </w:r>
      <w:r w:rsidR="006870DA">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Up record (as per the table below for 2022 Catch</w:t>
      </w:r>
      <w:r w:rsidR="006870DA">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Up)</w:t>
      </w:r>
      <w:r w:rsidR="00A966AD">
        <w:rPr>
          <w:rFonts w:ascii="VIC-Regular" w:eastAsia="Times New Roman" w:hAnsi="VIC-Regular" w:cs="Times New Roman"/>
          <w:color w:val="011A3C"/>
          <w:sz w:val="24"/>
          <w:szCs w:val="24"/>
          <w:lang w:val="en" w:eastAsia="en-AU"/>
        </w:rPr>
        <w:t>.</w:t>
      </w:r>
    </w:p>
    <w:p w14:paraId="23B9CD9E" w14:textId="2AE99D03" w:rsidR="001E1E44" w:rsidRPr="004D307F" w:rsidRDefault="001E1E44" w:rsidP="004D307F">
      <w:pPr>
        <w:spacing w:before="100" w:beforeAutospacing="1" w:after="100" w:afterAutospacing="1" w:line="288" w:lineRule="atLeast"/>
        <w:outlineLvl w:val="3"/>
        <w:rPr>
          <w:rFonts w:ascii="Arial" w:hAnsi="Arial" w:cs="Arial"/>
          <w:color w:val="0070C0"/>
          <w:lang w:eastAsia="en-AU"/>
        </w:rPr>
      </w:pPr>
      <w:r w:rsidRPr="004D307F">
        <w:rPr>
          <w:rFonts w:ascii="VIC-Bold" w:eastAsia="Times New Roman" w:hAnsi="VIC-Bold" w:cs="Times New Roman"/>
          <w:b/>
          <w:bCs/>
          <w:color w:val="011A3C"/>
          <w:sz w:val="24"/>
          <w:szCs w:val="24"/>
          <w:lang w:val="en" w:eastAsia="en-AU"/>
        </w:rPr>
        <w:t>2022 funded year</w:t>
      </w:r>
    </w:p>
    <w:tbl>
      <w:tblPr>
        <w:tblW w:w="0" w:type="auto"/>
        <w:tblInd w:w="-118" w:type="dxa"/>
        <w:tblCellMar>
          <w:left w:w="0" w:type="dxa"/>
          <w:right w:w="0" w:type="dxa"/>
        </w:tblCellMar>
        <w:tblLook w:val="04A0" w:firstRow="1" w:lastRow="0" w:firstColumn="1" w:lastColumn="0" w:noHBand="0" w:noVBand="1"/>
      </w:tblPr>
      <w:tblGrid>
        <w:gridCol w:w="2181"/>
        <w:gridCol w:w="1107"/>
        <w:gridCol w:w="1103"/>
        <w:gridCol w:w="1095"/>
        <w:gridCol w:w="1107"/>
        <w:gridCol w:w="1102"/>
        <w:gridCol w:w="1429"/>
      </w:tblGrid>
      <w:tr w:rsidR="000F3581" w:rsidRPr="004D307F" w14:paraId="638AF594" w14:textId="77777777" w:rsidTr="00B61E94">
        <w:trPr>
          <w:trHeight w:val="397"/>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1DBE6"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7</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DD48F"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4028CD"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69F274"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10</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87058A"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EC37DC"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Year 12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27934A" w14:textId="77777777" w:rsidR="001E1E44" w:rsidRPr="004D307F" w:rsidRDefault="001E1E44" w:rsidP="004D307F">
            <w:pPr>
              <w:spacing w:after="0" w:line="240" w:lineRule="atLeast"/>
              <w:jc w:val="center"/>
              <w:rPr>
                <w:rFonts w:ascii="VIC-Bold" w:eastAsia="Times New Roman" w:hAnsi="VIC-Bold" w:cs="Times New Roman"/>
                <w:color w:val="323E4F" w:themeColor="text2" w:themeShade="BF"/>
                <w:sz w:val="24"/>
                <w:szCs w:val="24"/>
                <w:lang w:eastAsia="en-AU"/>
              </w:rPr>
            </w:pPr>
            <w:proofErr w:type="spellStart"/>
            <w:r w:rsidRPr="004D307F">
              <w:rPr>
                <w:rFonts w:ascii="VIC-Bold" w:eastAsia="Times New Roman" w:hAnsi="VIC-Bold" w:cs="Times New Roman"/>
                <w:color w:val="323E4F" w:themeColor="text2" w:themeShade="BF"/>
                <w:sz w:val="24"/>
                <w:szCs w:val="24"/>
                <w:lang w:eastAsia="en-AU"/>
              </w:rPr>
              <w:t>UnGraded</w:t>
            </w:r>
            <w:proofErr w:type="spellEnd"/>
          </w:p>
        </w:tc>
      </w:tr>
      <w:tr w:rsidR="000F3581" w:rsidRPr="004D307F" w14:paraId="6302B2C4" w14:textId="77777777" w:rsidTr="00B61E94">
        <w:trPr>
          <w:trHeight w:val="39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606EA" w14:textId="77777777" w:rsidR="001E1E44" w:rsidRPr="004D307F" w:rsidRDefault="001E1E44" w:rsidP="004D307F">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2020 yr5 (estimated)*</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427C2" w14:textId="673BFEF8"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2019 </w:t>
            </w:r>
            <w:r w:rsidR="00E54AA9">
              <w:rPr>
                <w:rFonts w:ascii="VIC-Regular" w:eastAsia="Times New Roman" w:hAnsi="VIC-Regular" w:cs="Times New Roman"/>
                <w:color w:val="323E4F" w:themeColor="text2" w:themeShade="BF"/>
                <w:sz w:val="24"/>
                <w:szCs w:val="24"/>
                <w:lang w:eastAsia="en-AU"/>
              </w:rPr>
              <w:t xml:space="preserve">Year </w:t>
            </w:r>
            <w:r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7614C5" w14:textId="2C0ECB3C"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2018 </w:t>
            </w:r>
            <w:r w:rsidR="00E54AA9">
              <w:rPr>
                <w:rFonts w:ascii="VIC-Regular" w:eastAsia="Times New Roman" w:hAnsi="VIC-Regular" w:cs="Times New Roman"/>
                <w:color w:val="323E4F" w:themeColor="text2" w:themeShade="BF"/>
                <w:sz w:val="24"/>
                <w:szCs w:val="24"/>
                <w:lang w:eastAsia="en-AU"/>
              </w:rPr>
              <w:t xml:space="preserve">Year </w:t>
            </w:r>
            <w:r w:rsidR="00E54AA9"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7947E" w14:textId="2769A92D"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2017 </w:t>
            </w:r>
            <w:r w:rsidR="00E54AA9">
              <w:rPr>
                <w:rFonts w:ascii="VIC-Regular" w:eastAsia="Times New Roman" w:hAnsi="VIC-Regular" w:cs="Times New Roman"/>
                <w:color w:val="323E4F" w:themeColor="text2" w:themeShade="BF"/>
                <w:sz w:val="24"/>
                <w:szCs w:val="24"/>
                <w:lang w:eastAsia="en-AU"/>
              </w:rPr>
              <w:t xml:space="preserve">Year </w:t>
            </w:r>
            <w:r w:rsidR="00E54AA9"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89830" w14:textId="5FD9C185"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2016 </w:t>
            </w:r>
            <w:r w:rsidR="00E54AA9">
              <w:rPr>
                <w:rFonts w:ascii="VIC-Regular" w:eastAsia="Times New Roman" w:hAnsi="VIC-Regular" w:cs="Times New Roman"/>
                <w:color w:val="323E4F" w:themeColor="text2" w:themeShade="BF"/>
                <w:sz w:val="24"/>
                <w:szCs w:val="24"/>
                <w:lang w:eastAsia="en-AU"/>
              </w:rPr>
              <w:t xml:space="preserve">Year </w:t>
            </w:r>
            <w:r w:rsidR="00E54AA9"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3514A" w14:textId="5A2949CB"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2015 </w:t>
            </w:r>
            <w:r w:rsidR="00E54AA9">
              <w:rPr>
                <w:rFonts w:ascii="VIC-Regular" w:eastAsia="Times New Roman" w:hAnsi="VIC-Regular" w:cs="Times New Roman"/>
                <w:color w:val="323E4F" w:themeColor="text2" w:themeShade="BF"/>
                <w:sz w:val="24"/>
                <w:szCs w:val="24"/>
                <w:lang w:eastAsia="en-AU"/>
              </w:rPr>
              <w:t xml:space="preserve">Year </w:t>
            </w:r>
            <w:r w:rsidR="00E54AA9" w:rsidRPr="004D307F">
              <w:rPr>
                <w:rFonts w:ascii="VIC-Regular" w:eastAsia="Times New Roman" w:hAnsi="VIC-Regular" w:cs="Times New Roman"/>
                <w:color w:val="323E4F" w:themeColor="text2" w:themeShade="BF"/>
                <w:sz w:val="24"/>
                <w:szCs w:val="24"/>
                <w:lang w:eastAsia="en-AU"/>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2546D" w14:textId="77777777" w:rsidR="001E1E44" w:rsidRPr="004D307F" w:rsidRDefault="001E1E44" w:rsidP="004D307F">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Year 5</w:t>
            </w:r>
          </w:p>
        </w:tc>
      </w:tr>
    </w:tbl>
    <w:p w14:paraId="2C2D6DD6" w14:textId="77777777" w:rsidR="001E1E44" w:rsidRPr="004D307F" w:rsidRDefault="001E1E44" w:rsidP="001E1E44">
      <w:pPr>
        <w:rPr>
          <w:rFonts w:ascii="Arial" w:hAnsi="Arial" w:cs="Arial"/>
          <w:color w:val="0070C0"/>
          <w:lang w:eastAsia="en-AU"/>
        </w:rPr>
      </w:pPr>
    </w:p>
    <w:p w14:paraId="65DB7ECF" w14:textId="2312E763" w:rsidR="001E1E44" w:rsidRPr="004D307F" w:rsidRDefault="001E1E44" w:rsidP="001E1E44">
      <w:pPr>
        <w:rPr>
          <w:rFonts w:ascii="VIC-Regular" w:eastAsia="Times New Roman" w:hAnsi="VIC-Regular" w:cs="Times New Roman"/>
          <w:color w:val="011A3C"/>
          <w:sz w:val="20"/>
          <w:szCs w:val="20"/>
          <w:lang w:val="en" w:eastAsia="en-AU"/>
        </w:rPr>
      </w:pPr>
      <w:r w:rsidRPr="004D307F">
        <w:rPr>
          <w:rFonts w:ascii="VIC-Regular" w:eastAsia="Times New Roman" w:hAnsi="VIC-Regular" w:cs="Times New Roman"/>
          <w:color w:val="011A3C"/>
          <w:sz w:val="20"/>
          <w:szCs w:val="20"/>
          <w:lang w:val="en" w:eastAsia="en-AU"/>
        </w:rPr>
        <w:lastRenderedPageBreak/>
        <w:t xml:space="preserve">* </w:t>
      </w:r>
      <w:r w:rsidR="00150D85" w:rsidRPr="004D307F">
        <w:rPr>
          <w:rFonts w:ascii="VIC-Regular" w:eastAsia="Times New Roman" w:hAnsi="VIC-Regular" w:cs="Times New Roman"/>
          <w:color w:val="011A3C"/>
          <w:sz w:val="20"/>
          <w:szCs w:val="20"/>
          <w:lang w:val="en" w:eastAsia="en-AU"/>
        </w:rPr>
        <w:t>As t</w:t>
      </w:r>
      <w:r w:rsidRPr="004D307F">
        <w:rPr>
          <w:rFonts w:ascii="VIC-Regular" w:eastAsia="Times New Roman" w:hAnsi="VIC-Regular" w:cs="Times New Roman"/>
          <w:color w:val="011A3C"/>
          <w:sz w:val="20"/>
          <w:szCs w:val="20"/>
          <w:lang w:val="en" w:eastAsia="en-AU"/>
        </w:rPr>
        <w:t xml:space="preserve">here were no NAPLAN assessments </w:t>
      </w:r>
      <w:r w:rsidR="00150D85" w:rsidRPr="004D307F">
        <w:rPr>
          <w:rFonts w:ascii="VIC-Regular" w:eastAsia="Times New Roman" w:hAnsi="VIC-Regular" w:cs="Times New Roman"/>
          <w:color w:val="011A3C"/>
          <w:sz w:val="20"/>
          <w:szCs w:val="20"/>
          <w:lang w:val="en" w:eastAsia="en-AU"/>
        </w:rPr>
        <w:t>during</w:t>
      </w:r>
      <w:r w:rsidRPr="004D307F">
        <w:rPr>
          <w:rFonts w:ascii="VIC-Regular" w:eastAsia="Times New Roman" w:hAnsi="VIC-Regular" w:cs="Times New Roman"/>
          <w:color w:val="011A3C"/>
          <w:sz w:val="20"/>
          <w:szCs w:val="20"/>
          <w:lang w:val="en" w:eastAsia="en-AU"/>
        </w:rPr>
        <w:t xml:space="preserve"> 2020. In the absence of 2020 NAPLAN data, the number of eligible </w:t>
      </w:r>
      <w:proofErr w:type="gramStart"/>
      <w:r w:rsidRPr="004D307F">
        <w:rPr>
          <w:rFonts w:ascii="VIC-Regular" w:eastAsia="Times New Roman" w:hAnsi="VIC-Regular" w:cs="Times New Roman"/>
          <w:color w:val="011A3C"/>
          <w:sz w:val="20"/>
          <w:szCs w:val="20"/>
          <w:lang w:val="en" w:eastAsia="en-AU"/>
        </w:rPr>
        <w:t>year</w:t>
      </w:r>
      <w:proofErr w:type="gramEnd"/>
      <w:r w:rsidRPr="004D307F">
        <w:rPr>
          <w:rFonts w:ascii="VIC-Regular" w:eastAsia="Times New Roman" w:hAnsi="VIC-Regular" w:cs="Times New Roman"/>
          <w:color w:val="011A3C"/>
          <w:sz w:val="20"/>
          <w:szCs w:val="20"/>
          <w:lang w:val="en" w:eastAsia="en-AU"/>
        </w:rPr>
        <w:t xml:space="preserve"> 7 catch</w:t>
      </w:r>
      <w:r w:rsidR="006870DA">
        <w:rPr>
          <w:rFonts w:ascii="VIC-Regular" w:eastAsia="Times New Roman" w:hAnsi="VIC-Regular" w:cs="Times New Roman"/>
          <w:color w:val="011A3C"/>
          <w:sz w:val="20"/>
          <w:szCs w:val="20"/>
          <w:lang w:val="en" w:eastAsia="en-AU"/>
        </w:rPr>
        <w:t xml:space="preserve"> </w:t>
      </w:r>
      <w:r w:rsidRPr="004D307F">
        <w:rPr>
          <w:rFonts w:ascii="VIC-Regular" w:eastAsia="Times New Roman" w:hAnsi="VIC-Regular" w:cs="Times New Roman"/>
          <w:color w:val="011A3C"/>
          <w:sz w:val="20"/>
          <w:szCs w:val="20"/>
          <w:lang w:val="en" w:eastAsia="en-AU"/>
        </w:rPr>
        <w:t>up students for each campus ha</w:t>
      </w:r>
      <w:r w:rsidR="00150D85" w:rsidRPr="004D307F">
        <w:rPr>
          <w:rFonts w:ascii="VIC-Regular" w:eastAsia="Times New Roman" w:hAnsi="VIC-Regular" w:cs="Times New Roman"/>
          <w:color w:val="011A3C"/>
          <w:sz w:val="20"/>
          <w:szCs w:val="20"/>
          <w:lang w:val="en" w:eastAsia="en-AU"/>
        </w:rPr>
        <w:t>s</w:t>
      </w:r>
      <w:r w:rsidRPr="004D307F">
        <w:rPr>
          <w:rFonts w:ascii="VIC-Regular" w:eastAsia="Times New Roman" w:hAnsi="VIC-Regular" w:cs="Times New Roman"/>
          <w:color w:val="011A3C"/>
          <w:sz w:val="20"/>
          <w:szCs w:val="20"/>
          <w:lang w:val="en" w:eastAsia="en-AU"/>
        </w:rPr>
        <w:t xml:space="preserve"> been estimated by averaging Catch</w:t>
      </w:r>
      <w:r w:rsidR="006870DA">
        <w:rPr>
          <w:rFonts w:ascii="VIC-Regular" w:eastAsia="Times New Roman" w:hAnsi="VIC-Regular" w:cs="Times New Roman"/>
          <w:color w:val="011A3C"/>
          <w:sz w:val="20"/>
          <w:szCs w:val="20"/>
          <w:lang w:val="en" w:eastAsia="en-AU"/>
        </w:rPr>
        <w:t xml:space="preserve"> </w:t>
      </w:r>
      <w:r w:rsidRPr="004D307F">
        <w:rPr>
          <w:rFonts w:ascii="VIC-Regular" w:eastAsia="Times New Roman" w:hAnsi="VIC-Regular" w:cs="Times New Roman"/>
          <w:color w:val="011A3C"/>
          <w:sz w:val="20"/>
          <w:szCs w:val="20"/>
          <w:lang w:val="en" w:eastAsia="en-AU"/>
        </w:rPr>
        <w:t>Up enrolments for the past 4 years (2018</w:t>
      </w:r>
      <w:r w:rsidR="00A77971">
        <w:rPr>
          <w:rFonts w:ascii="VIC-Regular" w:eastAsia="Times New Roman" w:hAnsi="VIC-Regular" w:cs="Times New Roman"/>
          <w:color w:val="011A3C"/>
          <w:sz w:val="20"/>
          <w:szCs w:val="20"/>
          <w:lang w:val="en" w:eastAsia="en-AU"/>
        </w:rPr>
        <w:t xml:space="preserve"> to 20</w:t>
      </w:r>
      <w:r w:rsidRPr="004D307F">
        <w:rPr>
          <w:rFonts w:ascii="VIC-Regular" w:eastAsia="Times New Roman" w:hAnsi="VIC-Regular" w:cs="Times New Roman"/>
          <w:color w:val="011A3C"/>
          <w:sz w:val="20"/>
          <w:szCs w:val="20"/>
          <w:lang w:val="en" w:eastAsia="en-AU"/>
        </w:rPr>
        <w:t>21).</w:t>
      </w:r>
    </w:p>
    <w:p w14:paraId="2702A5D4" w14:textId="1E9885BF"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Catch up loading and students funded under the Program for Students with Disability (PSD)</w:t>
      </w:r>
    </w:p>
    <w:p w14:paraId="2BA06CDD" w14:textId="2B48115A"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Program for Students with Disabilities (PSD) is a targeted supplementary funding program for Victorian government schools. It provides resources to schools for a defined population of students with disabilities, with moderate to severe needs. In recognition of the financial support these students receive, eligible PSD funded students attending mainstream schools will be eligible for a reduced </w:t>
      </w:r>
      <w:proofErr w:type="gramStart"/>
      <w:r w:rsidRPr="004D307F">
        <w:rPr>
          <w:rFonts w:ascii="VIC-Regular" w:eastAsia="Times New Roman" w:hAnsi="VIC-Regular" w:cs="Times New Roman"/>
          <w:color w:val="011A3C"/>
          <w:sz w:val="24"/>
          <w:szCs w:val="24"/>
          <w:lang w:val="en" w:eastAsia="en-AU"/>
        </w:rPr>
        <w:t>catch up</w:t>
      </w:r>
      <w:proofErr w:type="gramEnd"/>
      <w:r w:rsidRPr="004D307F">
        <w:rPr>
          <w:rFonts w:ascii="VIC-Regular" w:eastAsia="Times New Roman" w:hAnsi="VIC-Regular" w:cs="Times New Roman"/>
          <w:color w:val="011A3C"/>
          <w:sz w:val="24"/>
          <w:szCs w:val="24"/>
          <w:lang w:val="en" w:eastAsia="en-AU"/>
        </w:rPr>
        <w:t xml:space="preserve"> </w:t>
      </w:r>
      <w:r w:rsidR="00AF025A" w:rsidRPr="004D307F">
        <w:rPr>
          <w:rFonts w:ascii="VIC-Regular" w:eastAsia="Times New Roman" w:hAnsi="VIC-Regular" w:cs="Times New Roman"/>
          <w:color w:val="011A3C"/>
          <w:sz w:val="24"/>
          <w:szCs w:val="24"/>
          <w:lang w:val="en" w:eastAsia="en-AU"/>
        </w:rPr>
        <w:t xml:space="preserve">loading </w:t>
      </w:r>
      <w:r w:rsidR="00AF025A" w:rsidRPr="004D307F">
        <w:t>$</w:t>
      </w:r>
      <w:r w:rsidR="00FB4A51" w:rsidRPr="004D307F">
        <w:rPr>
          <w:rFonts w:ascii="VIC-Regular" w:eastAsia="Times New Roman" w:hAnsi="VIC-Regular" w:cs="Times New Roman"/>
          <w:color w:val="011A3C"/>
          <w:sz w:val="24"/>
          <w:szCs w:val="24"/>
          <w:lang w:val="en" w:eastAsia="en-AU"/>
        </w:rPr>
        <w:t>1,1</w:t>
      </w:r>
      <w:r w:rsidR="00272111" w:rsidRPr="004D307F">
        <w:rPr>
          <w:rFonts w:ascii="VIC-Regular" w:eastAsia="Times New Roman" w:hAnsi="VIC-Regular" w:cs="Times New Roman"/>
          <w:color w:val="011A3C"/>
          <w:sz w:val="24"/>
          <w:szCs w:val="24"/>
          <w:lang w:val="en" w:eastAsia="en-AU"/>
        </w:rPr>
        <w:t xml:space="preserve">50 </w:t>
      </w:r>
      <w:r w:rsidRPr="004D307F">
        <w:rPr>
          <w:rFonts w:ascii="VIC-Regular" w:eastAsia="Times New Roman" w:hAnsi="VIC-Regular" w:cs="Times New Roman"/>
          <w:color w:val="011A3C"/>
          <w:sz w:val="24"/>
          <w:szCs w:val="24"/>
          <w:lang w:val="en" w:eastAsia="en-AU"/>
        </w:rPr>
        <w:t>in 202</w:t>
      </w:r>
      <w:r w:rsidR="00272111"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Students from specialist schools will not receive catch up loading.</w:t>
      </w:r>
    </w:p>
    <w:p w14:paraId="447D32A0" w14:textId="0866052B"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There is comprehensive review of the PSD underway to investigate how to improve the way the PSD supports students with disabilities. Following the conclusion of the PSD review, the </w:t>
      </w:r>
      <w:r w:rsidR="00C53D2A" w:rsidRPr="004D307F">
        <w:rPr>
          <w:rFonts w:ascii="VIC-Regular" w:eastAsia="Times New Roman" w:hAnsi="VIC-Regular" w:cs="Times New Roman"/>
          <w:color w:val="011A3C"/>
          <w:sz w:val="24"/>
          <w:szCs w:val="24"/>
          <w:lang w:val="en" w:eastAsia="en-AU"/>
        </w:rPr>
        <w:t>catch-up</w:t>
      </w:r>
      <w:r w:rsidRPr="004D307F">
        <w:rPr>
          <w:rFonts w:ascii="VIC-Regular" w:eastAsia="Times New Roman" w:hAnsi="VIC-Regular" w:cs="Times New Roman"/>
          <w:color w:val="011A3C"/>
          <w:sz w:val="24"/>
          <w:szCs w:val="24"/>
          <w:lang w:val="en" w:eastAsia="en-AU"/>
        </w:rPr>
        <w:t xml:space="preserve"> loading approach for PSD students will be reassessed. </w:t>
      </w:r>
    </w:p>
    <w:p w14:paraId="120C03E3"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Withdrawn/absent students</w:t>
      </w:r>
    </w:p>
    <w:p w14:paraId="71FDD42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who were absent from NAPLAN are given a rating on the likelihood they achieved below the national minimum standard in NAPLAN Reading. These values are provided by the Victorian Curriculum Assessment Authority and are based on a methodology used by the Australian Curriculum, Assessment and Reporting Authority to impute NAPLAN values for absent students. This does not include exempt PSD and EAL students. </w:t>
      </w:r>
    </w:p>
    <w:p w14:paraId="31C1FC2C" w14:textId="6C521303"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Where a student is absent, they will be eligible for a portion of the </w:t>
      </w:r>
      <w:r w:rsidR="00AF025A" w:rsidRPr="004D307F">
        <w:rPr>
          <w:rFonts w:ascii="VIC-Regular" w:eastAsia="Times New Roman" w:hAnsi="VIC-Regular" w:cs="Times New Roman"/>
          <w:color w:val="011A3C"/>
          <w:sz w:val="24"/>
          <w:szCs w:val="24"/>
          <w:lang w:val="en" w:eastAsia="en-AU"/>
        </w:rPr>
        <w:t>catch-up</w:t>
      </w:r>
      <w:r w:rsidRPr="004D307F">
        <w:rPr>
          <w:rFonts w:ascii="VIC-Regular" w:eastAsia="Times New Roman" w:hAnsi="VIC-Regular" w:cs="Times New Roman"/>
          <w:color w:val="011A3C"/>
          <w:sz w:val="24"/>
          <w:szCs w:val="24"/>
          <w:lang w:val="en" w:eastAsia="en-AU"/>
        </w:rPr>
        <w:t xml:space="preserve"> loading based on the rating they receive in relation to their likelihood of being below the national minimum standard at Year 5. </w:t>
      </w:r>
    </w:p>
    <w:p w14:paraId="79F3E971" w14:textId="1735ACC5" w:rsidR="00AD16F0" w:rsidRPr="004D307F" w:rsidRDefault="00CA2F05"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Students who are recorded as withdrawn because their </w:t>
      </w:r>
      <w:r w:rsidR="00C53D2A" w:rsidRPr="004D307F">
        <w:rPr>
          <w:rFonts w:ascii="VIC-Regular" w:eastAsia="Times New Roman" w:hAnsi="VIC-Regular" w:cs="Times New Roman"/>
          <w:color w:val="011A3C"/>
          <w:sz w:val="24"/>
          <w:szCs w:val="24"/>
          <w:lang w:val="en" w:eastAsia="en-AU"/>
        </w:rPr>
        <w:t>p</w:t>
      </w:r>
      <w:r w:rsidR="00AD16F0" w:rsidRPr="004D307F">
        <w:rPr>
          <w:rFonts w:ascii="VIC-Regular" w:eastAsia="Times New Roman" w:hAnsi="VIC-Regular" w:cs="Times New Roman"/>
          <w:color w:val="011A3C"/>
          <w:sz w:val="24"/>
          <w:szCs w:val="24"/>
          <w:lang w:val="en" w:eastAsia="en-AU"/>
        </w:rPr>
        <w:t>arents have </w:t>
      </w:r>
      <w:proofErr w:type="gramStart"/>
      <w:r w:rsidR="00AD16F0" w:rsidRPr="004D307F">
        <w:rPr>
          <w:rFonts w:ascii="VIC-Regular" w:eastAsia="Times New Roman" w:hAnsi="VIC-Regular" w:cs="Times New Roman"/>
          <w:color w:val="011A3C"/>
          <w:sz w:val="24"/>
          <w:szCs w:val="24"/>
          <w:lang w:val="en" w:eastAsia="en-AU"/>
        </w:rPr>
        <w:t>made a decision</w:t>
      </w:r>
      <w:proofErr w:type="gramEnd"/>
      <w:r w:rsidR="00AD16F0" w:rsidRPr="004D307F">
        <w:rPr>
          <w:rFonts w:ascii="VIC-Regular" w:eastAsia="Times New Roman" w:hAnsi="VIC-Regular" w:cs="Times New Roman"/>
          <w:color w:val="011A3C"/>
          <w:sz w:val="24"/>
          <w:szCs w:val="24"/>
          <w:lang w:val="en" w:eastAsia="en-AU"/>
        </w:rPr>
        <w:t xml:space="preserve"> for their child not to sit Year 5 NAPLAN will not be eligible for the </w:t>
      </w:r>
      <w:r w:rsidR="00992D19" w:rsidRPr="004D307F">
        <w:rPr>
          <w:rFonts w:ascii="VIC-Regular" w:eastAsia="Times New Roman" w:hAnsi="VIC-Regular" w:cs="Times New Roman"/>
          <w:color w:val="011A3C"/>
          <w:sz w:val="24"/>
          <w:szCs w:val="24"/>
          <w:lang w:val="en" w:eastAsia="en-AU"/>
        </w:rPr>
        <w:t>catch-up</w:t>
      </w:r>
      <w:r w:rsidR="00AD16F0" w:rsidRPr="004D307F">
        <w:rPr>
          <w:rFonts w:ascii="VIC-Regular" w:eastAsia="Times New Roman" w:hAnsi="VIC-Regular" w:cs="Times New Roman"/>
          <w:color w:val="011A3C"/>
          <w:sz w:val="24"/>
          <w:szCs w:val="24"/>
          <w:lang w:val="en" w:eastAsia="en-AU"/>
        </w:rPr>
        <w:t xml:space="preserve"> loading.</w:t>
      </w:r>
    </w:p>
    <w:p w14:paraId="59B9FE58" w14:textId="36F57DA4" w:rsidR="0087250D" w:rsidRPr="004D307F" w:rsidRDefault="0087250D" w:rsidP="0087250D">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Eligibility</w:t>
      </w:r>
    </w:p>
    <w:p w14:paraId="4F5F6DEE" w14:textId="680039A6" w:rsidR="0087250D" w:rsidRPr="004D307F" w:rsidRDefault="00221E62"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Mainstream </w:t>
      </w:r>
      <w:r w:rsidR="0087250D" w:rsidRPr="004D307F">
        <w:rPr>
          <w:rFonts w:ascii="VIC-Regular" w:eastAsia="Times New Roman" w:hAnsi="VIC-Regular" w:cs="Times New Roman"/>
          <w:color w:val="011A3C"/>
          <w:sz w:val="24"/>
          <w:szCs w:val="24"/>
          <w:lang w:val="en" w:eastAsia="en-AU"/>
        </w:rPr>
        <w:t>Schools with the following campus types are eligible for Equity (Catch Up) funding at campus level</w:t>
      </w:r>
    </w:p>
    <w:p w14:paraId="1B0915E2" w14:textId="77777777" w:rsidR="0087250D" w:rsidRPr="004D307F" w:rsidRDefault="0087250D"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lastRenderedPageBreak/>
        <w:t>Secondary</w:t>
      </w:r>
    </w:p>
    <w:p w14:paraId="46995173" w14:textId="6BB073F0" w:rsidR="0087250D" w:rsidRPr="004D307F" w:rsidRDefault="0087250D"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Primary / Secondary Combined </w:t>
      </w:r>
    </w:p>
    <w:p w14:paraId="6B5CA7D6" w14:textId="7D0AE90A" w:rsidR="00221E62" w:rsidRPr="004D307F" w:rsidRDefault="00221E62"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Community</w:t>
      </w:r>
    </w:p>
    <w:p w14:paraId="269B1FAB" w14:textId="1981C180" w:rsidR="00221E62" w:rsidRPr="004D307F" w:rsidRDefault="00221E62"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 Dev</w:t>
      </w:r>
    </w:p>
    <w:p w14:paraId="0CC5C48C" w14:textId="07D274D8" w:rsidR="00221E62" w:rsidRPr="004D307F" w:rsidRDefault="00221E62"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Language</w:t>
      </w:r>
    </w:p>
    <w:p w14:paraId="3537797D" w14:textId="04A67201" w:rsidR="0087250D" w:rsidRPr="004D307F"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Regular" w:eastAsia="Times New Roman" w:hAnsi="VIC-Regular" w:cs="Times New Roman"/>
          <w:color w:val="011A3C"/>
          <w:sz w:val="24"/>
          <w:szCs w:val="24"/>
          <w:lang w:val="en" w:eastAsia="en-AU"/>
        </w:rPr>
        <w:t xml:space="preserve">Funding is calculated at the Confirmed budget </w:t>
      </w:r>
      <w:r w:rsidR="00AF025A"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campuses are provided with cash and credit funding.</w:t>
      </w:r>
      <w:r w:rsidR="00FB4A51" w:rsidRPr="004D307F">
        <w:rPr>
          <w:rFonts w:ascii="VIC-Regular" w:eastAsia="Times New Roman" w:hAnsi="VIC-Regular" w:cs="Times New Roman"/>
          <w:color w:val="011A3C"/>
          <w:sz w:val="24"/>
          <w:szCs w:val="24"/>
          <w:lang w:val="en" w:eastAsia="en-AU"/>
        </w:rPr>
        <w:t xml:space="preserve"> </w:t>
      </w:r>
      <w:bookmarkStart w:id="26" w:name="_Hlk81822764"/>
      <w:r w:rsidR="00FB4A51" w:rsidRPr="004D307F">
        <w:rPr>
          <w:rFonts w:ascii="VIC-Regular" w:eastAsia="Times New Roman" w:hAnsi="VIC-Regular" w:cs="Times New Roman"/>
          <w:color w:val="011A3C"/>
          <w:sz w:val="24"/>
          <w:szCs w:val="24"/>
          <w:lang w:val="en" w:eastAsia="en-AU"/>
        </w:rPr>
        <w:t xml:space="preserve">Allocations </w:t>
      </w:r>
      <w:r w:rsidR="0073434C" w:rsidRPr="004D307F">
        <w:rPr>
          <w:rFonts w:ascii="VIC-Regular" w:eastAsia="Times New Roman" w:hAnsi="VIC-Regular" w:cs="Times New Roman"/>
          <w:color w:val="011A3C"/>
          <w:sz w:val="24"/>
          <w:szCs w:val="24"/>
          <w:lang w:val="en" w:eastAsia="en-AU"/>
        </w:rPr>
        <w:t>provided</w:t>
      </w:r>
      <w:r w:rsidR="00FB4A51" w:rsidRPr="004D307F">
        <w:rPr>
          <w:rFonts w:ascii="VIC-Regular" w:eastAsia="Times New Roman" w:hAnsi="VIC-Regular" w:cs="Times New Roman"/>
          <w:color w:val="011A3C"/>
          <w:sz w:val="24"/>
          <w:szCs w:val="24"/>
          <w:lang w:val="en" w:eastAsia="en-AU"/>
        </w:rPr>
        <w:t xml:space="preserve"> in the Indicative budget cycle reflect </w:t>
      </w:r>
      <w:r w:rsidR="0073434C" w:rsidRPr="004D307F">
        <w:rPr>
          <w:rFonts w:ascii="VIC-Regular" w:eastAsia="Times New Roman" w:hAnsi="VIC-Regular" w:cs="Times New Roman"/>
          <w:color w:val="011A3C"/>
          <w:sz w:val="24"/>
          <w:szCs w:val="24"/>
          <w:lang w:val="en" w:eastAsia="en-AU"/>
        </w:rPr>
        <w:t xml:space="preserve">student data as </w:t>
      </w:r>
      <w:proofErr w:type="gramStart"/>
      <w:r w:rsidR="00FC2A10" w:rsidRPr="004D307F">
        <w:rPr>
          <w:rFonts w:ascii="VIC-Regular" w:eastAsia="Times New Roman" w:hAnsi="VIC-Regular" w:cs="Times New Roman"/>
          <w:color w:val="011A3C"/>
          <w:sz w:val="24"/>
          <w:szCs w:val="24"/>
          <w:lang w:val="en" w:eastAsia="en-AU"/>
        </w:rPr>
        <w:t>at</w:t>
      </w:r>
      <w:proofErr w:type="gramEnd"/>
      <w:r w:rsidR="0073434C" w:rsidRPr="004D307F">
        <w:rPr>
          <w:rFonts w:ascii="VIC-Regular" w:eastAsia="Times New Roman" w:hAnsi="VIC-Regular" w:cs="Times New Roman"/>
          <w:color w:val="011A3C"/>
          <w:sz w:val="24"/>
          <w:szCs w:val="24"/>
          <w:lang w:val="en" w:eastAsia="en-AU"/>
        </w:rPr>
        <w:t xml:space="preserve"> March </w:t>
      </w:r>
      <w:r w:rsidR="00FB4A51" w:rsidRPr="004D307F">
        <w:rPr>
          <w:rFonts w:ascii="VIC-Regular" w:eastAsia="Times New Roman" w:hAnsi="VIC-Regular" w:cs="Times New Roman"/>
          <w:color w:val="011A3C"/>
          <w:sz w:val="24"/>
          <w:szCs w:val="24"/>
          <w:lang w:val="en" w:eastAsia="en-AU"/>
        </w:rPr>
        <w:t>202</w:t>
      </w:r>
      <w:r w:rsidR="00630AFB" w:rsidRPr="004D307F">
        <w:rPr>
          <w:rFonts w:ascii="VIC-Regular" w:eastAsia="Times New Roman" w:hAnsi="VIC-Regular" w:cs="Times New Roman"/>
          <w:color w:val="011A3C"/>
          <w:sz w:val="24"/>
          <w:szCs w:val="24"/>
          <w:lang w:val="en" w:eastAsia="en-AU"/>
        </w:rPr>
        <w:t>1</w:t>
      </w:r>
      <w:r w:rsidR="0073434C" w:rsidRPr="004D307F">
        <w:rPr>
          <w:rFonts w:ascii="VIC-Regular" w:eastAsia="Times New Roman" w:hAnsi="VIC-Regular" w:cs="Times New Roman"/>
          <w:color w:val="011A3C"/>
          <w:sz w:val="24"/>
          <w:szCs w:val="24"/>
          <w:lang w:val="en" w:eastAsia="en-AU"/>
        </w:rPr>
        <w:t>.</w:t>
      </w:r>
      <w:r w:rsidR="00FB4A51" w:rsidRPr="004D307F">
        <w:rPr>
          <w:rFonts w:ascii="VIC-Regular" w:eastAsia="Times New Roman" w:hAnsi="VIC-Regular" w:cs="Times New Roman"/>
          <w:color w:val="011A3C"/>
          <w:sz w:val="24"/>
          <w:szCs w:val="24"/>
          <w:lang w:val="en" w:eastAsia="en-AU"/>
        </w:rPr>
        <w:t xml:space="preserve"> </w:t>
      </w:r>
      <w:bookmarkEnd w:id="26"/>
    </w:p>
    <w:p w14:paraId="1CB9A673"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19335156"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 school’s overall </w:t>
      </w:r>
      <w:proofErr w:type="gramStart"/>
      <w:r w:rsidRPr="004D307F">
        <w:rPr>
          <w:rFonts w:ascii="VIC-Regular" w:eastAsia="Times New Roman" w:hAnsi="VIC-Regular" w:cs="Times New Roman"/>
          <w:color w:val="011A3C"/>
          <w:sz w:val="24"/>
          <w:szCs w:val="24"/>
          <w:lang w:val="en" w:eastAsia="en-AU"/>
        </w:rPr>
        <w:t>catch up</w:t>
      </w:r>
      <w:proofErr w:type="gramEnd"/>
      <w:r w:rsidRPr="004D307F">
        <w:rPr>
          <w:rFonts w:ascii="VIC-Regular" w:eastAsia="Times New Roman" w:hAnsi="VIC-Regular" w:cs="Times New Roman"/>
          <w:color w:val="011A3C"/>
          <w:sz w:val="24"/>
          <w:szCs w:val="24"/>
          <w:lang w:val="en" w:eastAsia="en-AU"/>
        </w:rPr>
        <w:t xml:space="preserve"> funding allocation is determined by combining the amounts from the following calculations: </w:t>
      </w:r>
    </w:p>
    <w:p w14:paraId="60C415A0" w14:textId="77777777" w:rsidR="00AD16F0" w:rsidRPr="004D307F" w:rsidRDefault="00AD16F0" w:rsidP="00ED0863">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Number of secondary graded students below Y5 national minimum standard x Level 1 per capita rate (non-PSD funded)</w:t>
      </w:r>
    </w:p>
    <w:p w14:paraId="5D7E7C9B" w14:textId="77777777" w:rsidR="00AD16F0" w:rsidRPr="004D307F" w:rsidRDefault="00AD16F0" w:rsidP="00ED0863">
      <w:pPr>
        <w:numPr>
          <w:ilvl w:val="0"/>
          <w:numId w:val="2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Number of Secondary graded students below Y5 national minimum standard x Level 2 per capita rate (PSD funded)</w:t>
      </w:r>
    </w:p>
    <w:p w14:paraId="587F2C36" w14:textId="06CE7AD9"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Rates </w:t>
      </w:r>
      <w:r w:rsidRPr="004D307F">
        <w:rPr>
          <w:rFonts w:ascii="VIC-Bold" w:eastAsia="Times New Roman" w:hAnsi="VIC-Bold" w:cs="Times New Roman" w:hint="eastAsia"/>
          <w:b/>
          <w:bCs/>
          <w:color w:val="011A3C"/>
          <w:sz w:val="27"/>
          <w:szCs w:val="27"/>
          <w:lang w:val="en" w:eastAsia="en-AU"/>
        </w:rPr>
        <w:t>—</w:t>
      </w:r>
      <w:r w:rsidRPr="004D307F">
        <w:rPr>
          <w:rFonts w:ascii="VIC-Bold" w:eastAsia="Times New Roman" w:hAnsi="VIC-Bold" w:cs="Times New Roman"/>
          <w:b/>
          <w:bCs/>
          <w:color w:val="011A3C"/>
          <w:sz w:val="27"/>
          <w:szCs w:val="27"/>
          <w:lang w:val="en" w:eastAsia="en-AU"/>
        </w:rPr>
        <w:t xml:space="preserve"> 202</w:t>
      </w:r>
      <w:r w:rsidR="003112AE"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2"/>
        <w:gridCol w:w="1431"/>
        <w:gridCol w:w="1252"/>
        <w:gridCol w:w="2701"/>
      </w:tblGrid>
      <w:tr w:rsidR="00AD16F0" w:rsidRPr="004D307F" w14:paraId="4103711B" w14:textId="77777777" w:rsidTr="00080034">
        <w:trPr>
          <w:tblHeader/>
        </w:trPr>
        <w:tc>
          <w:tcPr>
            <w:tcW w:w="0" w:type="auto"/>
            <w:gridSpan w:val="4"/>
            <w:vAlign w:val="center"/>
            <w:hideMark/>
          </w:tcPr>
          <w:p w14:paraId="21CFEEA8" w14:textId="77777777" w:rsidR="00AD16F0" w:rsidRPr="004D307F"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r w:rsidRPr="004D307F">
              <w:rPr>
                <w:rFonts w:ascii="VIC-Bold" w:eastAsia="Times New Roman" w:hAnsi="VIC-Bold" w:cs="Times New Roman"/>
                <w:b/>
                <w:bCs/>
                <w:color w:val="323E4F" w:themeColor="text2" w:themeShade="BF"/>
                <w:sz w:val="24"/>
                <w:szCs w:val="24"/>
                <w:lang w:eastAsia="en-AU"/>
              </w:rPr>
              <w:t>Catch up loading</w:t>
            </w:r>
          </w:p>
        </w:tc>
      </w:tr>
      <w:tr w:rsidR="00AD16F0" w:rsidRPr="004D307F" w14:paraId="35254B25" w14:textId="77777777" w:rsidTr="00080034">
        <w:trPr>
          <w:tblHeader/>
        </w:trPr>
        <w:tc>
          <w:tcPr>
            <w:tcW w:w="0" w:type="auto"/>
            <w:hideMark/>
          </w:tcPr>
          <w:p w14:paraId="3C16FCFD"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Catch Up</w:t>
            </w:r>
          </w:p>
        </w:tc>
        <w:tc>
          <w:tcPr>
            <w:tcW w:w="0" w:type="auto"/>
            <w:hideMark/>
          </w:tcPr>
          <w:p w14:paraId="58F44A21"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2ECCB41F"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7E26E4D2"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Catch Up ($)</w:t>
            </w:r>
          </w:p>
        </w:tc>
      </w:tr>
      <w:tr w:rsidR="00FB4A51" w:rsidRPr="004D307F" w14:paraId="602470B4" w14:textId="77777777" w:rsidTr="00080034">
        <w:tc>
          <w:tcPr>
            <w:tcW w:w="0" w:type="auto"/>
            <w:hideMark/>
          </w:tcPr>
          <w:p w14:paraId="72C091D8" w14:textId="77777777" w:rsidR="00FB4A51" w:rsidRPr="004D307F" w:rsidRDefault="00FB4A51" w:rsidP="00FB4A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Level 1 (non-PSD funded)</w:t>
            </w:r>
          </w:p>
        </w:tc>
        <w:tc>
          <w:tcPr>
            <w:tcW w:w="0" w:type="auto"/>
            <w:hideMark/>
          </w:tcPr>
          <w:p w14:paraId="60A80FA4" w14:textId="0F15AE4F"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1,145</w:t>
            </w:r>
          </w:p>
        </w:tc>
        <w:tc>
          <w:tcPr>
            <w:tcW w:w="0" w:type="auto"/>
            <w:hideMark/>
          </w:tcPr>
          <w:p w14:paraId="2A6CF04E" w14:textId="3A4B7F72"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w:t>
            </w:r>
            <w:r w:rsidR="003112AE" w:rsidRPr="004D307F">
              <w:rPr>
                <w:rFonts w:ascii="VIC-Regular" w:eastAsia="Times New Roman" w:hAnsi="VIC-Regular" w:cs="Times New Roman"/>
                <w:color w:val="323E4F" w:themeColor="text2" w:themeShade="BF"/>
                <w:sz w:val="24"/>
                <w:szCs w:val="24"/>
                <w:lang w:eastAsia="en-AU"/>
              </w:rPr>
              <w:t>55</w:t>
            </w:r>
          </w:p>
        </w:tc>
        <w:tc>
          <w:tcPr>
            <w:tcW w:w="0" w:type="auto"/>
            <w:hideMark/>
          </w:tcPr>
          <w:p w14:paraId="304B9F21" w14:textId="7D64FD1F"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r w:rsidR="003112AE" w:rsidRPr="004D307F">
              <w:rPr>
                <w:rFonts w:ascii="VIC-Regular" w:eastAsia="Times New Roman" w:hAnsi="VIC-Regular" w:cs="Times New Roman"/>
                <w:color w:val="323E4F" w:themeColor="text2" w:themeShade="BF"/>
                <w:sz w:val="24"/>
                <w:szCs w:val="24"/>
                <w:lang w:eastAsia="en-AU"/>
              </w:rPr>
              <w:t>300</w:t>
            </w:r>
          </w:p>
        </w:tc>
      </w:tr>
      <w:tr w:rsidR="00FB4A51" w:rsidRPr="004D307F" w14:paraId="5DE138C5" w14:textId="77777777" w:rsidTr="00080034">
        <w:tc>
          <w:tcPr>
            <w:tcW w:w="0" w:type="auto"/>
            <w:hideMark/>
          </w:tcPr>
          <w:p w14:paraId="7104A0AC" w14:textId="77777777" w:rsidR="00FB4A51" w:rsidRPr="004D307F" w:rsidRDefault="00FB4A51" w:rsidP="00FB4A5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Level 2 (PSD funded)</w:t>
            </w:r>
          </w:p>
        </w:tc>
        <w:tc>
          <w:tcPr>
            <w:tcW w:w="0" w:type="auto"/>
            <w:hideMark/>
          </w:tcPr>
          <w:p w14:paraId="5994ED47" w14:textId="20B9C89A"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573</w:t>
            </w:r>
          </w:p>
        </w:tc>
        <w:tc>
          <w:tcPr>
            <w:tcW w:w="0" w:type="auto"/>
            <w:hideMark/>
          </w:tcPr>
          <w:p w14:paraId="415FB44E" w14:textId="264F7DC2"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w:t>
            </w:r>
            <w:r w:rsidR="003112AE" w:rsidRPr="004D307F">
              <w:rPr>
                <w:rFonts w:ascii="VIC-Regular" w:eastAsia="Times New Roman" w:hAnsi="VIC-Regular" w:cs="Times New Roman"/>
                <w:color w:val="323E4F" w:themeColor="text2" w:themeShade="BF"/>
                <w:sz w:val="24"/>
                <w:szCs w:val="24"/>
                <w:lang w:eastAsia="en-AU"/>
              </w:rPr>
              <w:t>7</w:t>
            </w:r>
          </w:p>
        </w:tc>
        <w:tc>
          <w:tcPr>
            <w:tcW w:w="0" w:type="auto"/>
            <w:hideMark/>
          </w:tcPr>
          <w:p w14:paraId="0F94E350" w14:textId="529839BE" w:rsidR="00FB4A51" w:rsidRPr="004D307F" w:rsidRDefault="00FB4A51" w:rsidP="00FB4A51">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w:t>
            </w:r>
            <w:r w:rsidR="003112AE" w:rsidRPr="004D307F">
              <w:rPr>
                <w:rFonts w:ascii="VIC-Regular" w:eastAsia="Times New Roman" w:hAnsi="VIC-Regular" w:cs="Times New Roman"/>
                <w:color w:val="323E4F" w:themeColor="text2" w:themeShade="BF"/>
                <w:sz w:val="24"/>
                <w:szCs w:val="24"/>
                <w:lang w:eastAsia="en-AU"/>
              </w:rPr>
              <w:t>50</w:t>
            </w:r>
          </w:p>
        </w:tc>
      </w:tr>
    </w:tbl>
    <w:p w14:paraId="244BCD10" w14:textId="1D15BF8A"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Important Item to note:</w:t>
      </w:r>
    </w:p>
    <w:p w14:paraId="17C4DFEF" w14:textId="01A012A0" w:rsidR="00AD16F0" w:rsidRPr="004D307F" w:rsidRDefault="00AD16F0" w:rsidP="005D0FF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eligible student names and or VSNs are not available to schools.</w:t>
      </w:r>
    </w:p>
    <w:p w14:paraId="1293B2D3" w14:textId="405DB27F" w:rsidR="003D1C61" w:rsidRPr="004D307F" w:rsidRDefault="003D1C61" w:rsidP="00CA2F0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5957A37" w14:textId="73E9ABBF" w:rsidR="003D1C61" w:rsidRPr="004D307F" w:rsidRDefault="003D1C61" w:rsidP="00CA2F0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666EA244" w14:textId="77777777" w:rsidR="003D1C61" w:rsidRPr="004D307F" w:rsidRDefault="003D1C61" w:rsidP="00CA2F05">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6CF9B3A"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Catch Up (Special Circumstances)</w:t>
      </w:r>
    </w:p>
    <w:p w14:paraId="1583043F" w14:textId="33D543B5"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Catch Up (Special Circumstances) funding applies to students who are exempt from sitting NAPLAN and students who cannot be matched with their NAPLAN data (</w:t>
      </w:r>
      <w:r w:rsidR="00C02DB9">
        <w:rPr>
          <w:rFonts w:ascii="VIC-Regular" w:eastAsia="Times New Roman" w:hAnsi="VIC-Regular" w:cs="Times New Roman"/>
          <w:color w:val="011A3C"/>
          <w:sz w:val="24"/>
          <w:szCs w:val="24"/>
          <w:lang w:val="en" w:eastAsia="en-AU"/>
        </w:rPr>
        <w:t>for example,</w:t>
      </w:r>
      <w:r w:rsidRPr="004D307F">
        <w:rPr>
          <w:rFonts w:ascii="VIC-Regular" w:eastAsia="Times New Roman" w:hAnsi="VIC-Regular" w:cs="Times New Roman"/>
          <w:color w:val="011A3C"/>
          <w:sz w:val="24"/>
          <w:szCs w:val="24"/>
          <w:lang w:val="en" w:eastAsia="en-AU"/>
        </w:rPr>
        <w:t xml:space="preserve"> students who sat their test interstate).</w:t>
      </w:r>
    </w:p>
    <w:p w14:paraId="5E46A83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A campus will be eligible for Catch Up (Special Circumstances) funding where it has at least 10 Special Circumstances students, and these students make up at least 10% of the secondary cohort.</w:t>
      </w:r>
    </w:p>
    <w:p w14:paraId="57B15E0A"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 exempt students at eligible campuses will receive special circumstance funding.</w:t>
      </w:r>
    </w:p>
    <w:p w14:paraId="4A7187B7"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without a NAPLAN score at eligible campuses are funded at a proportional FTE based on the campus they are attending.</w:t>
      </w:r>
    </w:p>
    <w:p w14:paraId="00704868"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is an example of the eligibility and calculation:</w:t>
      </w:r>
    </w:p>
    <w:p w14:paraId="6E9677D9"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campus has 100 secondary students, 20 of these students are currently funded for Equity (Catch Up) (= 20%).</w:t>
      </w:r>
    </w:p>
    <w:p w14:paraId="1D80B745"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campus has 5 exempt students and 5 students who cannot be matched with NAPLAN data. The campus has 10 special circumstances students in total and these students represent 10% of the secondary cohort, meaning the campus satisfies the eligibility criteria.</w:t>
      </w:r>
    </w:p>
    <w:p w14:paraId="6E03A59C"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5 exempt students will receive Catch Up (Special Circumstances) loading.</w:t>
      </w:r>
    </w:p>
    <w:p w14:paraId="1CF53FD2"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campus will also receive Catch Up (Special Circumstances) loading for 1 FTE based on the 5 students who cannot be matched with NAPLAN data (20% x 5 = 1 funded FTE).</w:t>
      </w:r>
    </w:p>
    <w:p w14:paraId="079E0F5E" w14:textId="77777777" w:rsidR="00AD16F0" w:rsidRPr="004D307F" w:rsidRDefault="00AD16F0" w:rsidP="00ED0863">
      <w:pPr>
        <w:numPr>
          <w:ilvl w:val="0"/>
          <w:numId w:val="2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6 students will be funded at half the current Catch Up rate as outlined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59"/>
        <w:gridCol w:w="1238"/>
        <w:gridCol w:w="1083"/>
        <w:gridCol w:w="2336"/>
      </w:tblGrid>
      <w:tr w:rsidR="00371B75" w:rsidRPr="004D307F" w14:paraId="4C4427E4" w14:textId="77777777" w:rsidTr="00080034">
        <w:trPr>
          <w:tblHeader/>
        </w:trPr>
        <w:tc>
          <w:tcPr>
            <w:tcW w:w="0" w:type="auto"/>
            <w:gridSpan w:val="4"/>
            <w:vAlign w:val="center"/>
            <w:hideMark/>
          </w:tcPr>
          <w:p w14:paraId="55C045D7" w14:textId="449E7F85" w:rsidR="00AD16F0" w:rsidRPr="004D307F" w:rsidRDefault="00AD16F0" w:rsidP="00AD16F0">
            <w:pPr>
              <w:spacing w:before="100" w:beforeAutospacing="1" w:after="100" w:afterAutospacing="1" w:line="288" w:lineRule="atLeast"/>
              <w:textAlignment w:val="top"/>
              <w:outlineLvl w:val="3"/>
              <w:rPr>
                <w:rFonts w:ascii="VIC-Bold" w:eastAsia="Times New Roman" w:hAnsi="VIC-Bold" w:cs="Times New Roman"/>
                <w:b/>
                <w:bCs/>
                <w:color w:val="323E4F" w:themeColor="text2" w:themeShade="BF"/>
                <w:sz w:val="24"/>
                <w:szCs w:val="24"/>
                <w:lang w:eastAsia="en-AU"/>
              </w:rPr>
            </w:pPr>
            <w:bookmarkStart w:id="27" w:name="_Hlk81823640"/>
            <w:r w:rsidRPr="004D307F">
              <w:rPr>
                <w:rFonts w:ascii="VIC-Bold" w:eastAsia="Times New Roman" w:hAnsi="VIC-Bold" w:cs="Times New Roman"/>
                <w:b/>
                <w:bCs/>
                <w:color w:val="323E4F" w:themeColor="text2" w:themeShade="BF"/>
                <w:sz w:val="24"/>
                <w:szCs w:val="24"/>
                <w:lang w:eastAsia="en-AU"/>
              </w:rPr>
              <w:t>Catch Up (Special Circumstances) Loading</w:t>
            </w:r>
            <w:bookmarkEnd w:id="27"/>
          </w:p>
        </w:tc>
      </w:tr>
      <w:tr w:rsidR="00371B75" w:rsidRPr="004D307F" w14:paraId="4D39B0C2" w14:textId="77777777" w:rsidTr="00080034">
        <w:trPr>
          <w:tblHeader/>
        </w:trPr>
        <w:tc>
          <w:tcPr>
            <w:tcW w:w="0" w:type="auto"/>
            <w:hideMark/>
          </w:tcPr>
          <w:p w14:paraId="6DBB270C"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Catch Up (Special Circumstances)</w:t>
            </w:r>
          </w:p>
        </w:tc>
        <w:tc>
          <w:tcPr>
            <w:tcW w:w="0" w:type="auto"/>
            <w:hideMark/>
          </w:tcPr>
          <w:p w14:paraId="3FD5F3AA"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0DF1A7CA"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0ABE9A7F"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Catch Up ($)</w:t>
            </w:r>
          </w:p>
        </w:tc>
      </w:tr>
      <w:tr w:rsidR="00371B75" w:rsidRPr="004D307F" w14:paraId="75BDF56B" w14:textId="77777777" w:rsidTr="00080034">
        <w:tc>
          <w:tcPr>
            <w:tcW w:w="0" w:type="auto"/>
            <w:hideMark/>
          </w:tcPr>
          <w:p w14:paraId="393EEC47" w14:textId="77777777" w:rsidR="0073434C" w:rsidRPr="004D307F" w:rsidRDefault="0073434C" w:rsidP="0073434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Level 1 (non-PSD funded)</w:t>
            </w:r>
          </w:p>
        </w:tc>
        <w:tc>
          <w:tcPr>
            <w:tcW w:w="0" w:type="auto"/>
            <w:hideMark/>
          </w:tcPr>
          <w:p w14:paraId="3DFB258D" w14:textId="274153B5" w:rsidR="0073434C" w:rsidRPr="004D307F" w:rsidRDefault="001E1E44"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572.5</w:t>
            </w:r>
            <w:r w:rsidR="00FE010D"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66DC702E" w14:textId="10350087" w:rsidR="0073434C" w:rsidRPr="004D307F" w:rsidRDefault="001E1E44"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577.5</w:t>
            </w:r>
            <w:r w:rsidR="00FE010D"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31C88C5F" w14:textId="5C61F03E" w:rsidR="0073434C" w:rsidRPr="004D307F" w:rsidRDefault="0073434C" w:rsidP="0073434C">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r w:rsidR="001E1E44" w:rsidRPr="004D307F">
              <w:rPr>
                <w:rFonts w:ascii="VIC-Regular" w:eastAsia="Times New Roman" w:hAnsi="VIC-Regular" w:cs="Times New Roman"/>
                <w:color w:val="323E4F" w:themeColor="text2" w:themeShade="BF"/>
                <w:sz w:val="24"/>
                <w:szCs w:val="24"/>
                <w:lang w:eastAsia="en-AU"/>
              </w:rPr>
              <w:t>150</w:t>
            </w:r>
            <w:r w:rsidR="00FE010D" w:rsidRPr="004D307F">
              <w:rPr>
                <w:rFonts w:ascii="VIC-Regular" w:eastAsia="Times New Roman" w:hAnsi="VIC-Regular" w:cs="Times New Roman"/>
                <w:color w:val="323E4F" w:themeColor="text2" w:themeShade="BF"/>
                <w:sz w:val="24"/>
                <w:szCs w:val="24"/>
                <w:lang w:eastAsia="en-AU"/>
              </w:rPr>
              <w:t>.00</w:t>
            </w:r>
          </w:p>
        </w:tc>
      </w:tr>
      <w:tr w:rsidR="00AD16F0" w:rsidRPr="004D307F" w14:paraId="0B0871B2" w14:textId="77777777" w:rsidTr="00080034">
        <w:tc>
          <w:tcPr>
            <w:tcW w:w="0" w:type="auto"/>
            <w:hideMark/>
          </w:tcPr>
          <w:p w14:paraId="137D1311"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Level 2 (PSD funded)</w:t>
            </w:r>
          </w:p>
        </w:tc>
        <w:tc>
          <w:tcPr>
            <w:tcW w:w="0" w:type="auto"/>
            <w:hideMark/>
          </w:tcPr>
          <w:p w14:paraId="40513D21" w14:textId="344A5304" w:rsidR="00AD16F0" w:rsidRPr="004D307F" w:rsidRDefault="001E1E44"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286.5</w:t>
            </w:r>
            <w:r w:rsidR="00FE010D"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07A2FF8C" w14:textId="225F87C9" w:rsidR="00AD16F0" w:rsidRPr="004D307F" w:rsidRDefault="001E1E44"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288.5</w:t>
            </w:r>
            <w:r w:rsidR="00FE010D" w:rsidRPr="004D307F">
              <w:rPr>
                <w:rFonts w:ascii="VIC-Regular" w:eastAsia="Times New Roman" w:hAnsi="VIC-Regular" w:cs="Times New Roman"/>
                <w:color w:val="323E4F" w:themeColor="text2" w:themeShade="BF"/>
                <w:sz w:val="24"/>
                <w:szCs w:val="24"/>
                <w:lang w:eastAsia="en-AU"/>
              </w:rPr>
              <w:t>0</w:t>
            </w:r>
          </w:p>
        </w:tc>
        <w:tc>
          <w:tcPr>
            <w:tcW w:w="0" w:type="auto"/>
            <w:hideMark/>
          </w:tcPr>
          <w:p w14:paraId="13324832" w14:textId="45E900DD" w:rsidR="00AD16F0" w:rsidRPr="004D307F" w:rsidRDefault="0025480A"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575</w:t>
            </w:r>
            <w:r w:rsidR="00FE010D" w:rsidRPr="004D307F">
              <w:rPr>
                <w:rFonts w:ascii="VIC-Regular" w:eastAsia="Times New Roman" w:hAnsi="VIC-Regular" w:cs="Times New Roman"/>
                <w:color w:val="323E4F" w:themeColor="text2" w:themeShade="BF"/>
                <w:sz w:val="24"/>
                <w:szCs w:val="24"/>
                <w:lang w:eastAsia="en-AU"/>
              </w:rPr>
              <w:t>.00</w:t>
            </w:r>
          </w:p>
        </w:tc>
      </w:tr>
    </w:tbl>
    <w:p w14:paraId="5DFE70BC" w14:textId="77777777" w:rsidR="00AD16F0" w:rsidRPr="004D307F" w:rsidRDefault="00AD16F0" w:rsidP="00AD16F0">
      <w:pPr>
        <w:rPr>
          <w:color w:val="323E4F" w:themeColor="text2" w:themeShade="BF"/>
        </w:rPr>
      </w:pPr>
    </w:p>
    <w:p w14:paraId="0537C98C" w14:textId="77777777" w:rsidR="00AD16F0" w:rsidRPr="004D307F" w:rsidRDefault="00AD16F0" w:rsidP="00AD16F0">
      <w:r w:rsidRPr="004D307F">
        <w:br w:type="page"/>
      </w:r>
    </w:p>
    <w:p w14:paraId="483BACE4" w14:textId="540AB3E4" w:rsidR="00AD16F0" w:rsidRPr="004D307F" w:rsidRDefault="00AD16F0" w:rsidP="00B566E7">
      <w:pPr>
        <w:pStyle w:val="Heading2"/>
      </w:pPr>
      <w:bookmarkStart w:id="28" w:name="_Toc99882735"/>
      <w:r w:rsidRPr="004D307F">
        <w:lastRenderedPageBreak/>
        <w:t>Mobility (Reference 14)</w:t>
      </w:r>
      <w:bookmarkEnd w:id="28"/>
    </w:p>
    <w:p w14:paraId="34648709"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with high levels of student mobility over a sustained </w:t>
      </w:r>
      <w:proofErr w:type="gramStart"/>
      <w:r w:rsidRPr="004D307F">
        <w:rPr>
          <w:rFonts w:ascii="VIC-Regular" w:eastAsia="Times New Roman" w:hAnsi="VIC-Regular" w:cs="Times New Roman"/>
          <w:color w:val="011A3C"/>
          <w:sz w:val="24"/>
          <w:szCs w:val="24"/>
          <w:lang w:val="en" w:eastAsia="en-AU"/>
        </w:rPr>
        <w:t>period of time</w:t>
      </w:r>
      <w:proofErr w:type="gramEnd"/>
      <w:r w:rsidRPr="004D307F">
        <w:rPr>
          <w:rFonts w:ascii="VIC-Regular" w:eastAsia="Times New Roman" w:hAnsi="VIC-Regular" w:cs="Times New Roman"/>
          <w:color w:val="011A3C"/>
          <w:sz w:val="24"/>
          <w:szCs w:val="24"/>
          <w:lang w:val="en" w:eastAsia="en-AU"/>
        </w:rPr>
        <w:t xml:space="preserve"> receive mobility funding. This funding should be used by schools to design and provide programs that are specific to the needs of mobile students.</w:t>
      </w:r>
    </w:p>
    <w:p w14:paraId="0F9D46CE" w14:textId="64DD80D5"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eligible for mobility funding are those with a transient enrolment density equal to or greater than 10 per cent when averaged over three years</w:t>
      </w:r>
      <w:r w:rsidR="004B3B0C" w:rsidRPr="004D307F">
        <w:rPr>
          <w:rFonts w:ascii="VIC-Regular" w:eastAsia="Times New Roman" w:hAnsi="VIC-Regular" w:cs="Times New Roman"/>
          <w:color w:val="011A3C"/>
          <w:sz w:val="24"/>
          <w:szCs w:val="24"/>
          <w:lang w:val="en" w:eastAsia="en-AU"/>
        </w:rPr>
        <w:t xml:space="preserve"> and must have mobility enrolments in all three years. </w:t>
      </w:r>
      <w:r w:rsidRPr="004D307F">
        <w:rPr>
          <w:rFonts w:ascii="VIC-Regular" w:eastAsia="Times New Roman" w:hAnsi="VIC-Regular" w:cs="Times New Roman"/>
          <w:color w:val="011A3C"/>
          <w:sz w:val="24"/>
          <w:szCs w:val="24"/>
          <w:lang w:val="en" w:eastAsia="en-AU"/>
        </w:rPr>
        <w:t xml:space="preserve"> The transient enrolment density for each school is a measure of the number of students who enrolled at the school during abnormal times as defined by the following criteria:</w:t>
      </w:r>
    </w:p>
    <w:p w14:paraId="1FB1FAD8" w14:textId="77777777" w:rsidR="00AD16F0" w:rsidRPr="004D307F" w:rsidRDefault="00AD16F0" w:rsidP="00ED0863">
      <w:pPr>
        <w:numPr>
          <w:ilvl w:val="0"/>
          <w:numId w:val="2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who enrolled at the school in the previous year after the mid-year census and up to 30 November OR who enrolled in the current year between 1 March and the current mid-year census are counted as transient enrolments.</w:t>
      </w:r>
    </w:p>
    <w:p w14:paraId="09F0F82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Transient enrolment density is calculated as the school’s transient enrolment divided by the total school enrolments provided in the August census of the previous year.</w:t>
      </w:r>
    </w:p>
    <w:p w14:paraId="7C6DA9AA"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CE95625" w14:textId="150FC951" w:rsidR="00AD16F0" w:rsidRPr="004D307F"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with the following campus types are eligible for mobility funding at campus level </w:t>
      </w:r>
      <w:r w:rsidR="0087250D" w:rsidRPr="004D307F">
        <w:rPr>
          <w:rFonts w:ascii="VIC-Regular" w:eastAsia="Times New Roman" w:hAnsi="VIC-Regular" w:cs="Times New Roman"/>
          <w:color w:val="011A3C"/>
          <w:sz w:val="24"/>
          <w:szCs w:val="24"/>
          <w:lang w:val="en" w:eastAsia="en-AU"/>
        </w:rPr>
        <w:t>if they meet the transient criteria above.</w:t>
      </w:r>
    </w:p>
    <w:p w14:paraId="0076D5B0" w14:textId="466B6219" w:rsidR="0087250D" w:rsidRPr="004D307F" w:rsidRDefault="0087250D" w:rsidP="00ED0863">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760AC74B" w14:textId="77777777" w:rsidR="0073434C" w:rsidRPr="004D307F" w:rsidRDefault="00AD16F0" w:rsidP="00ED0863">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2361AED3" w14:textId="1A9B5E49" w:rsidR="00AD16F0" w:rsidRPr="004D307F" w:rsidRDefault="00AD16F0" w:rsidP="00ED0863">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29" w:name="_Hlk50129305"/>
      <w:r w:rsidRPr="004D307F">
        <w:rPr>
          <w:rFonts w:ascii="VIC-Regular" w:eastAsia="Times New Roman" w:hAnsi="VIC-Regular" w:cs="Times New Roman"/>
          <w:color w:val="011A3C"/>
          <w:sz w:val="24"/>
          <w:szCs w:val="24"/>
          <w:lang w:val="en" w:eastAsia="en-AU"/>
        </w:rPr>
        <w:t>Primary/Secondary Combined</w:t>
      </w:r>
    </w:p>
    <w:p w14:paraId="557CDE26" w14:textId="23786489" w:rsidR="00837558" w:rsidRPr="004D307F" w:rsidRDefault="00837558" w:rsidP="00ED0863">
      <w:pPr>
        <w:numPr>
          <w:ilvl w:val="0"/>
          <w:numId w:val="2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Community</w:t>
      </w:r>
    </w:p>
    <w:bookmarkEnd w:id="29"/>
    <w:p w14:paraId="03C74AB7" w14:textId="2DCBD8A9" w:rsidR="0087250D" w:rsidRPr="004D307F" w:rsidRDefault="0087250D"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budget </w:t>
      </w:r>
      <w:r w:rsidR="00AF025A"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campuses are provided with cash and credit funding.</w:t>
      </w:r>
    </w:p>
    <w:p w14:paraId="49C09AA5"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7CF9906B"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Mobility Funding</w:t>
      </w:r>
      <w:r w:rsidRPr="004D307F">
        <w:rPr>
          <w:rFonts w:ascii="VIC-Regular" w:eastAsia="Times New Roman" w:hAnsi="VIC-Regular" w:cs="Times New Roman"/>
          <w:color w:val="011A3C"/>
          <w:sz w:val="24"/>
          <w:szCs w:val="24"/>
          <w:lang w:val="en" w:eastAsia="en-AU"/>
        </w:rPr>
        <w:t xml:space="preserve"> = Base + (Total transient enrolments x Student per capita rate)</w:t>
      </w:r>
    </w:p>
    <w:p w14:paraId="16EAE438" w14:textId="77777777" w:rsidR="0087250D" w:rsidRPr="004D307F"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Example a school with 25 transient enrolments would calculate their funding as:</w:t>
      </w:r>
    </w:p>
    <w:p w14:paraId="4D4142DE" w14:textId="3925A6C9" w:rsidR="00985091" w:rsidRPr="004D307F" w:rsidRDefault="0087250D"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Base + (Total transient enrolments (25) x Student per capita rate)</w:t>
      </w:r>
    </w:p>
    <w:p w14:paraId="2FBD954D" w14:textId="34EC05B1"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 202</w:t>
      </w:r>
      <w:r w:rsidR="00036A0A" w:rsidRPr="004D307F">
        <w:rPr>
          <w:rFonts w:ascii="VIC-Bold" w:eastAsia="Times New Roman" w:hAnsi="VIC-Bold" w:cs="Times New Roman"/>
          <w:b/>
          <w:bCs/>
          <w:color w:val="011A3C"/>
          <w:sz w:val="27"/>
          <w:szCs w:val="27"/>
          <w:lang w:val="en" w:eastAsia="en-AU"/>
        </w:rPr>
        <w:t>2</w:t>
      </w:r>
    </w:p>
    <w:p w14:paraId="17157561" w14:textId="5DA31EB5" w:rsidR="00AD16F0" w:rsidRPr="004D307F" w:rsidRDefault="00AD16F0" w:rsidP="00ED0863">
      <w:pPr>
        <w:numPr>
          <w:ilvl w:val="0"/>
          <w:numId w:val="2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Base rate ($) — </w:t>
      </w:r>
      <w:r w:rsidR="0073434C" w:rsidRPr="004D307F">
        <w:rPr>
          <w:rFonts w:ascii="VIC-Regular" w:eastAsia="Times New Roman" w:hAnsi="VIC-Regular" w:cs="Times New Roman"/>
          <w:color w:val="011A3C"/>
          <w:sz w:val="24"/>
          <w:szCs w:val="24"/>
          <w:lang w:val="en" w:eastAsia="en-AU"/>
        </w:rPr>
        <w:t>2,5</w:t>
      </w:r>
      <w:r w:rsidR="00036A0A" w:rsidRPr="004D307F">
        <w:rPr>
          <w:rFonts w:ascii="VIC-Regular" w:eastAsia="Times New Roman" w:hAnsi="VIC-Regular" w:cs="Times New Roman"/>
          <w:color w:val="011A3C"/>
          <w:sz w:val="24"/>
          <w:szCs w:val="24"/>
          <w:lang w:val="en" w:eastAsia="en-AU"/>
        </w:rPr>
        <w:t>31</w:t>
      </w:r>
    </w:p>
    <w:p w14:paraId="2D44CBE0" w14:textId="55DDE390" w:rsidR="00AD16F0" w:rsidRPr="004D307F" w:rsidRDefault="00AD16F0" w:rsidP="00ED0863">
      <w:pPr>
        <w:pStyle w:val="ListParagraph"/>
        <w:numPr>
          <w:ilvl w:val="0"/>
          <w:numId w:val="27"/>
        </w:numPr>
      </w:pPr>
      <w:r w:rsidRPr="004D307F">
        <w:rPr>
          <w:rFonts w:ascii="VIC-Regular" w:eastAsia="Times New Roman" w:hAnsi="VIC-Regular" w:cs="Times New Roman"/>
          <w:color w:val="011A3C"/>
          <w:sz w:val="24"/>
          <w:szCs w:val="24"/>
          <w:lang w:val="en" w:eastAsia="en-AU"/>
        </w:rPr>
        <w:t xml:space="preserve">Per capita ($) — </w:t>
      </w:r>
      <w:r w:rsidR="0073434C" w:rsidRPr="004D307F">
        <w:rPr>
          <w:rFonts w:ascii="VIC-Regular" w:eastAsia="Times New Roman" w:hAnsi="VIC-Regular" w:cs="Times New Roman"/>
          <w:color w:val="011A3C"/>
          <w:sz w:val="24"/>
          <w:szCs w:val="24"/>
          <w:lang w:val="en" w:eastAsia="en-AU"/>
        </w:rPr>
        <w:t>35</w:t>
      </w:r>
      <w:r w:rsidR="00036A0A" w:rsidRPr="004D307F">
        <w:rPr>
          <w:rFonts w:ascii="VIC-Regular" w:eastAsia="Times New Roman" w:hAnsi="VIC-Regular" w:cs="Times New Roman"/>
          <w:color w:val="011A3C"/>
          <w:sz w:val="24"/>
          <w:szCs w:val="24"/>
          <w:lang w:val="en" w:eastAsia="en-AU"/>
        </w:rPr>
        <w:t>1</w:t>
      </w:r>
      <w:r w:rsidRPr="004D307F">
        <w:br w:type="page"/>
      </w:r>
    </w:p>
    <w:p w14:paraId="434E2EB6" w14:textId="27814E83" w:rsidR="00AD16F0" w:rsidRPr="004D307F" w:rsidRDefault="00AD16F0" w:rsidP="00B566E7">
      <w:pPr>
        <w:pStyle w:val="Heading2"/>
      </w:pPr>
      <w:bookmarkStart w:id="30" w:name="_Toc99882736"/>
      <w:r w:rsidRPr="004D307F">
        <w:lastRenderedPageBreak/>
        <w:t>Program for Students with Disabilities Levels 1-6 (Reference 15)</w:t>
      </w:r>
      <w:bookmarkEnd w:id="30"/>
    </w:p>
    <w:p w14:paraId="2962C9E5"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Program for Students with Disabilities (PSD) is a targeted supplementary funding program for Victorian government schools. It provides resources to schools for a defined population of students with disabilities, with high needs, to support the provision of school-based educational programs.</w:t>
      </w:r>
    </w:p>
    <w:p w14:paraId="4DE81E7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receive funding for students with current eligibility at one of six levels, informed by the responses provided to the Educational Needs Questionnaire.</w:t>
      </w:r>
    </w:p>
    <w:p w14:paraId="5CE6D2D7"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Use of funding</w:t>
      </w:r>
    </w:p>
    <w:p w14:paraId="1E3360B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Resources provided to the school can be used in </w:t>
      </w:r>
      <w:proofErr w:type="gramStart"/>
      <w:r w:rsidRPr="004D307F">
        <w:rPr>
          <w:rFonts w:ascii="VIC-Regular" w:eastAsia="Times New Roman" w:hAnsi="VIC-Regular" w:cs="Times New Roman"/>
          <w:color w:val="011A3C"/>
          <w:sz w:val="24"/>
          <w:szCs w:val="24"/>
          <w:lang w:val="en" w:eastAsia="en-AU"/>
        </w:rPr>
        <w:t>a number of</w:t>
      </w:r>
      <w:proofErr w:type="gramEnd"/>
      <w:r w:rsidRPr="004D307F">
        <w:rPr>
          <w:rFonts w:ascii="VIC-Regular" w:eastAsia="Times New Roman" w:hAnsi="VIC-Regular" w:cs="Times New Roman"/>
          <w:color w:val="011A3C"/>
          <w:sz w:val="24"/>
          <w:szCs w:val="24"/>
          <w:lang w:val="en" w:eastAsia="en-AU"/>
        </w:rPr>
        <w:t xml:space="preserve"> ways to support students, including:</w:t>
      </w:r>
    </w:p>
    <w:p w14:paraId="34131C4F"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Teaching staff</w:t>
      </w:r>
    </w:p>
    <w:p w14:paraId="5C31E0E2"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staff (</w:t>
      </w:r>
      <w:proofErr w:type="gramStart"/>
      <w:r w:rsidRPr="004D307F">
        <w:rPr>
          <w:rFonts w:ascii="VIC-Regular" w:eastAsia="Times New Roman" w:hAnsi="VIC-Regular" w:cs="Times New Roman"/>
          <w:color w:val="011A3C"/>
          <w:sz w:val="24"/>
          <w:szCs w:val="24"/>
          <w:lang w:val="en" w:eastAsia="en-AU"/>
        </w:rPr>
        <w:t>e.g.</w:t>
      </w:r>
      <w:proofErr w:type="gramEnd"/>
      <w:r w:rsidRPr="004D307F">
        <w:rPr>
          <w:rFonts w:ascii="VIC-Regular" w:eastAsia="Times New Roman" w:hAnsi="VIC-Regular" w:cs="Times New Roman"/>
          <w:color w:val="011A3C"/>
          <w:sz w:val="24"/>
          <w:szCs w:val="24"/>
          <w:lang w:val="en" w:eastAsia="en-AU"/>
        </w:rPr>
        <w:t xml:space="preserve"> Special Needs Coordinator, occupational therapist, speech pathologists)</w:t>
      </w:r>
    </w:p>
    <w:p w14:paraId="008D244F"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Consultancy or professional development</w:t>
      </w:r>
    </w:p>
    <w:p w14:paraId="41B694E2"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equipment or materials</w:t>
      </w:r>
    </w:p>
    <w:p w14:paraId="147A860F"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Education support staff</w:t>
      </w:r>
    </w:p>
    <w:p w14:paraId="3B75B83A"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Associated payroll tax</w:t>
      </w:r>
    </w:p>
    <w:p w14:paraId="2E296D8D" w14:textId="77777777" w:rsidR="00AD16F0" w:rsidRPr="004D307F" w:rsidRDefault="00AD16F0" w:rsidP="00ED0863">
      <w:pPr>
        <w:numPr>
          <w:ilvl w:val="0"/>
          <w:numId w:val="1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Superannuation</w:t>
      </w:r>
    </w:p>
    <w:p w14:paraId="065C83F5" w14:textId="28159B14"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PSD resources assist schools to meet their obligations under the Disability Discrimination Act</w:t>
      </w:r>
      <w:r w:rsidR="00AB7BB2" w:rsidRPr="004D307F">
        <w:rPr>
          <w:rFonts w:ascii="VIC-Regular" w:eastAsia="Times New Roman" w:hAnsi="VIC-Regular" w:cs="Times New Roman"/>
          <w:color w:val="011A3C"/>
          <w:sz w:val="24"/>
          <w:szCs w:val="24"/>
          <w:lang w:val="en" w:eastAsia="en-AU"/>
        </w:rPr>
        <w:t xml:space="preserve"> 1992 (</w:t>
      </w:r>
      <w:proofErr w:type="spellStart"/>
      <w:r w:rsidR="00AB7BB2" w:rsidRPr="004D307F">
        <w:rPr>
          <w:rFonts w:ascii="VIC-Regular" w:eastAsia="Times New Roman" w:hAnsi="VIC-Regular" w:cs="Times New Roman"/>
          <w:color w:val="011A3C"/>
          <w:sz w:val="24"/>
          <w:szCs w:val="24"/>
          <w:lang w:val="en" w:eastAsia="en-AU"/>
        </w:rPr>
        <w:t>Cth</w:t>
      </w:r>
      <w:proofErr w:type="spellEnd"/>
      <w:r w:rsidR="00AB7BB2"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they do not define or limit the support provided by a school for a student with a disability. </w:t>
      </w:r>
    </w:p>
    <w:p w14:paraId="263EF74B" w14:textId="1D8785B8"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Student Support Group is the primary source of advice to the principal on the </w:t>
      </w:r>
      <w:proofErr w:type="spellStart"/>
      <w:r w:rsidRPr="004D307F">
        <w:rPr>
          <w:rFonts w:ascii="VIC-Regular" w:eastAsia="Times New Roman" w:hAnsi="VIC-Regular" w:cs="Times New Roman"/>
          <w:color w:val="011A3C"/>
          <w:sz w:val="24"/>
          <w:szCs w:val="24"/>
          <w:lang w:val="en" w:eastAsia="en-AU"/>
        </w:rPr>
        <w:t>personalised</w:t>
      </w:r>
      <w:proofErr w:type="spellEnd"/>
      <w:r w:rsidRPr="004D307F">
        <w:rPr>
          <w:rFonts w:ascii="VIC-Regular" w:eastAsia="Times New Roman" w:hAnsi="VIC-Regular" w:cs="Times New Roman"/>
          <w:color w:val="011A3C"/>
          <w:sz w:val="24"/>
          <w:szCs w:val="24"/>
          <w:lang w:val="en" w:eastAsia="en-AU"/>
        </w:rPr>
        <w:t xml:space="preserve"> learning and support required. Schools are required to establish Student Support Groups for all students supported under the PSD, </w:t>
      </w:r>
      <w:r w:rsidR="00AB7BB2" w:rsidRPr="004D307F">
        <w:rPr>
          <w:rFonts w:ascii="VIC-Regular" w:eastAsia="Times New Roman" w:hAnsi="VIC-Regular" w:cs="Times New Roman"/>
          <w:color w:val="011A3C"/>
          <w:sz w:val="24"/>
          <w:szCs w:val="24"/>
          <w:lang w:val="en" w:eastAsia="en-AU"/>
        </w:rPr>
        <w:t xml:space="preserve">refer to </w:t>
      </w:r>
      <w:r w:rsidRPr="004D307F">
        <w:rPr>
          <w:rFonts w:ascii="VIC-Regular" w:eastAsia="Times New Roman" w:hAnsi="VIC-Regular" w:cs="Times New Roman"/>
          <w:color w:val="011A3C"/>
          <w:sz w:val="24"/>
          <w:szCs w:val="24"/>
          <w:lang w:val="en" w:eastAsia="en-AU"/>
        </w:rPr>
        <w:t xml:space="preserve"> </w:t>
      </w:r>
      <w:hyperlink r:id="rId45" w:history="1">
        <w:r w:rsidRPr="004D307F">
          <w:rPr>
            <w:rFonts w:ascii="VIC-Regular" w:eastAsia="Times New Roman" w:hAnsi="VIC-Regular" w:cs="Times New Roman"/>
            <w:color w:val="011A3C"/>
            <w:sz w:val="24"/>
            <w:szCs w:val="24"/>
            <w:lang w:val="en" w:eastAsia="en-AU"/>
          </w:rPr>
          <w:t>Student Support Groups</w:t>
        </w:r>
      </w:hyperlink>
      <w:r w:rsidRPr="004D307F">
        <w:rPr>
          <w:rFonts w:ascii="VIC-Regular" w:eastAsia="Times New Roman" w:hAnsi="VIC-Regular" w:cs="Times New Roman"/>
          <w:color w:val="011A3C"/>
          <w:sz w:val="24"/>
          <w:szCs w:val="24"/>
          <w:lang w:val="en" w:eastAsia="en-AU"/>
        </w:rPr>
        <w:t>.</w:t>
      </w:r>
    </w:p>
    <w:p w14:paraId="3D08EC5E" w14:textId="7321B4FD" w:rsidR="00B846F8" w:rsidRPr="004D307F" w:rsidRDefault="00AD16F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the responsibility of the school, in consultation with parents/</w:t>
      </w:r>
      <w:proofErr w:type="spellStart"/>
      <w:r w:rsidRPr="004D307F">
        <w:rPr>
          <w:rFonts w:ascii="VIC-Regular" w:eastAsia="Times New Roman" w:hAnsi="VIC-Regular" w:cs="Times New Roman"/>
          <w:color w:val="011A3C"/>
          <w:sz w:val="24"/>
          <w:szCs w:val="24"/>
          <w:lang w:val="en" w:eastAsia="en-AU"/>
        </w:rPr>
        <w:t>carers</w:t>
      </w:r>
      <w:proofErr w:type="spellEnd"/>
      <w:r w:rsidRPr="004D307F">
        <w:rPr>
          <w:rFonts w:ascii="VIC-Regular" w:eastAsia="Times New Roman" w:hAnsi="VIC-Regular" w:cs="Times New Roman"/>
          <w:color w:val="011A3C"/>
          <w:sz w:val="24"/>
          <w:szCs w:val="24"/>
          <w:lang w:val="en" w:eastAsia="en-AU"/>
        </w:rPr>
        <w:t xml:space="preserve"> in the Student Support Group, to determine the specific nature of the support required, and schools are required to consider their total budget in supporting a student with a disability.</w:t>
      </w:r>
    </w:p>
    <w:p w14:paraId="78976592" w14:textId="1CDC7C31" w:rsidR="00C34127" w:rsidRPr="004D307F" w:rsidRDefault="004D6760" w:rsidP="0087250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Program for Students with Disabilities funding allocations will be progressively replaced by Disability Inclusion funding as it is introduced during the staged 5-year roll-out schedule between 2021 to 2025.</w:t>
      </w:r>
    </w:p>
    <w:p w14:paraId="3302DBCB" w14:textId="632085E0" w:rsidR="0087250D" w:rsidRPr="004D307F" w:rsidRDefault="0087250D" w:rsidP="0087250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4D307F">
        <w:rPr>
          <w:rFonts w:ascii="VIC-Regular" w:eastAsia="Times New Roman" w:hAnsi="VIC-Regular" w:cs="Times New Roman"/>
          <w:b/>
          <w:bCs/>
          <w:color w:val="011A3C"/>
          <w:sz w:val="26"/>
          <w:szCs w:val="28"/>
          <w:lang w:val="en" w:eastAsia="en-AU"/>
        </w:rPr>
        <w:t>Eligibility</w:t>
      </w:r>
    </w:p>
    <w:p w14:paraId="0FB6CF7E" w14:textId="5A736EC3" w:rsidR="0087250D" w:rsidRPr="004D307F" w:rsidRDefault="0087250D" w:rsidP="0087250D">
      <w:p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sz w:val="24"/>
          <w:szCs w:val="24"/>
          <w:lang w:val="en" w:eastAsia="en-AU"/>
        </w:rPr>
        <w:t xml:space="preserve">Schools with the following campus types </w:t>
      </w:r>
      <w:r w:rsidR="004D6760" w:rsidRPr="004D307F">
        <w:rPr>
          <w:rFonts w:ascii="VIC-Regular" w:eastAsia="Times New Roman" w:hAnsi="VIC-Regular" w:cs="Times New Roman"/>
          <w:color w:val="011A3C"/>
          <w:sz w:val="24"/>
          <w:szCs w:val="24"/>
          <w:lang w:val="en" w:eastAsia="en-AU"/>
        </w:rPr>
        <w:t xml:space="preserve">will receive </w:t>
      </w:r>
      <w:r w:rsidRPr="004D307F">
        <w:rPr>
          <w:rFonts w:ascii="VIC-Regular" w:eastAsia="Times New Roman" w:hAnsi="VIC-Regular" w:cs="Times New Roman"/>
          <w:color w:val="011A3C"/>
          <w:sz w:val="24"/>
          <w:szCs w:val="24"/>
          <w:lang w:val="en" w:eastAsia="en-AU"/>
        </w:rPr>
        <w:t>Programs for Students with Disabilities funding at school level</w:t>
      </w:r>
      <w:r w:rsidR="004D6760" w:rsidRPr="004D307F">
        <w:rPr>
          <w:rFonts w:ascii="VIC-Regular" w:eastAsia="Times New Roman" w:hAnsi="VIC-Regular" w:cs="Times New Roman"/>
          <w:color w:val="011A3C"/>
          <w:sz w:val="24"/>
          <w:szCs w:val="24"/>
          <w:lang w:val="en" w:eastAsia="en-AU"/>
        </w:rPr>
        <w:t xml:space="preserve"> for eligible students</w:t>
      </w:r>
      <w:r w:rsidRPr="004D307F">
        <w:rPr>
          <w:rFonts w:ascii="VIC-Regular" w:eastAsia="Times New Roman" w:hAnsi="VIC-Regular" w:cs="Times New Roman"/>
          <w:color w:val="011A3C"/>
          <w:sz w:val="24"/>
          <w:szCs w:val="24"/>
          <w:lang w:val="en" w:eastAsia="en-AU"/>
        </w:rPr>
        <w:t>.</w:t>
      </w:r>
    </w:p>
    <w:p w14:paraId="7342D8F5" w14:textId="77777777" w:rsidR="0087250D" w:rsidRPr="004D307F" w:rsidRDefault="0087250D"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668A1415" w14:textId="77777777" w:rsidR="0087250D" w:rsidRPr="004D307F" w:rsidRDefault="0087250D"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21DFDFDF" w14:textId="77777777" w:rsidR="0073434C" w:rsidRPr="004D307F" w:rsidRDefault="0073434C"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2F29E1F0" w14:textId="77777777" w:rsidR="0087250D" w:rsidRPr="004D307F" w:rsidRDefault="0087250D"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74CD901F" w14:textId="77777777" w:rsidR="0087250D" w:rsidRPr="004D307F" w:rsidRDefault="0087250D" w:rsidP="0087250D">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Regular" w:eastAsia="Times New Roman" w:hAnsi="VIC-Regular" w:cs="Times New Roman"/>
          <w:color w:val="011A3C"/>
          <w:sz w:val="24"/>
          <w:szCs w:val="24"/>
          <w:lang w:val="en" w:eastAsia="en-AU"/>
        </w:rPr>
        <w:t xml:space="preserve">Funding is calculated for each of the four school terms and allocated through credit funding. </w:t>
      </w:r>
    </w:p>
    <w:p w14:paraId="46877527" w14:textId="0F79B242"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 details</w:t>
      </w:r>
    </w:p>
    <w:p w14:paraId="55A63E52" w14:textId="5250364D" w:rsidR="00AD16F0" w:rsidRPr="004D307F" w:rsidRDefault="00AD16F0" w:rsidP="00AD16F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PSD resources are allocated according to enrolment information provided by schools via the </w:t>
      </w:r>
      <w:hyperlink r:id="rId46" w:history="1">
        <w:r w:rsidR="004D6760" w:rsidRPr="004D307F">
          <w:rPr>
            <w:rFonts w:ascii="VIC" w:hAnsi="VIC"/>
            <w:color w:val="0000FF"/>
            <w:sz w:val="24"/>
            <w:szCs w:val="24"/>
            <w:u w:val="single"/>
          </w:rPr>
          <w:t>Program for Students with Disabilities Management System (PSDMS)</w:t>
        </w:r>
      </w:hyperlink>
      <w:r w:rsidR="004D6760" w:rsidRPr="004D307F" w:rsidDel="004D6760">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prior to budget-critical dates early each term.</w:t>
      </w:r>
    </w:p>
    <w:p w14:paraId="3B2D0B04" w14:textId="77777777" w:rsidR="004D6760" w:rsidRPr="004D307F" w:rsidRDefault="004D6760" w:rsidP="004D676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students in specialist schools, enrolment eligibility and regional approval needs to be established.</w:t>
      </w:r>
      <w:r w:rsidRPr="004D307F">
        <w:rPr>
          <w:rFonts w:ascii="Calibri" w:eastAsia="Times New Roman" w:hAnsi="Calibri" w:cs="Calibri" w:hint="eastAsia"/>
          <w:color w:val="011A3C"/>
          <w:sz w:val="24"/>
          <w:szCs w:val="24"/>
          <w:lang w:val="en" w:eastAsia="en-AU"/>
        </w:rPr>
        <w:t> </w:t>
      </w:r>
    </w:p>
    <w:p w14:paraId="65B1B1DE" w14:textId="37C2B582" w:rsidR="00AD16F0" w:rsidRPr="004D307F" w:rsidRDefault="00AD16F0" w:rsidP="00AD16F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Where </w:t>
      </w:r>
      <w:r w:rsidR="004D6760" w:rsidRPr="004D307F">
        <w:rPr>
          <w:rFonts w:ascii="VIC" w:eastAsia="Times New Roman" w:hAnsi="VIC" w:cs="Times New Roman"/>
          <w:color w:val="011A3C"/>
          <w:sz w:val="24"/>
          <w:szCs w:val="24"/>
          <w:lang w:val="en" w:eastAsia="en-AU"/>
        </w:rPr>
        <w:t xml:space="preserve">enrolment </w:t>
      </w:r>
      <w:r w:rsidRPr="004D307F">
        <w:rPr>
          <w:rFonts w:ascii="VIC" w:eastAsia="Times New Roman" w:hAnsi="VIC" w:cs="Times New Roman"/>
          <w:color w:val="011A3C"/>
          <w:sz w:val="24"/>
          <w:szCs w:val="24"/>
          <w:lang w:val="en" w:eastAsia="en-AU"/>
        </w:rPr>
        <w:t xml:space="preserve">details are </w:t>
      </w:r>
      <w:r w:rsidR="004D6760" w:rsidRPr="004D307F">
        <w:rPr>
          <w:rFonts w:ascii="VIC" w:eastAsia="Times New Roman" w:hAnsi="VIC" w:cs="Times New Roman"/>
          <w:color w:val="011A3C"/>
          <w:sz w:val="24"/>
          <w:szCs w:val="24"/>
          <w:lang w:val="en" w:eastAsia="en-AU"/>
        </w:rPr>
        <w:t>not correct</w:t>
      </w:r>
      <w:r w:rsidRPr="004D307F">
        <w:rPr>
          <w:rFonts w:ascii="VIC" w:eastAsia="Times New Roman" w:hAnsi="VIC" w:cs="Times New Roman"/>
          <w:color w:val="011A3C"/>
          <w:sz w:val="24"/>
          <w:szCs w:val="24"/>
          <w:lang w:val="en" w:eastAsia="en-AU"/>
        </w:rPr>
        <w:t xml:space="preserve"> in CASES21, or enrolments are not registered in PSDMS prior to budget critical dates each term,</w:t>
      </w:r>
      <w:r w:rsidR="004D6760" w:rsidRPr="004D307F">
        <w:rPr>
          <w:rFonts w:ascii="VIC" w:eastAsia="Times New Roman" w:hAnsi="VIC" w:cs="Times New Roman"/>
          <w:color w:val="011A3C"/>
          <w:sz w:val="24"/>
          <w:szCs w:val="24"/>
          <w:lang w:val="en" w:eastAsia="en-AU"/>
        </w:rPr>
        <w:t xml:space="preserve"> or (for specialist schools) regionally approved,</w:t>
      </w:r>
      <w:r w:rsidRPr="004D307F">
        <w:rPr>
          <w:rFonts w:ascii="VIC" w:eastAsia="Times New Roman" w:hAnsi="VIC" w:cs="Times New Roman"/>
          <w:color w:val="011A3C"/>
          <w:sz w:val="24"/>
          <w:szCs w:val="24"/>
          <w:lang w:val="en" w:eastAsia="en-AU"/>
        </w:rPr>
        <w:t xml:space="preserve"> Program for Students with Disabilities funding cannot be guaranteed.</w:t>
      </w:r>
    </w:p>
    <w:p w14:paraId="6D0188EF" w14:textId="77777777" w:rsidR="00AD16F0" w:rsidRPr="004D307F" w:rsidRDefault="00AD16F0" w:rsidP="00AD16F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Principals must ensure all students eligible for the PSD are listed on PSDMS prior to these critical dates. Enrolment details for new students, or current students not listed on PSDMS, must be promptly uploaded from </w:t>
      </w:r>
      <w:proofErr w:type="gramStart"/>
      <w:r w:rsidRPr="004D307F">
        <w:rPr>
          <w:rFonts w:ascii="VIC" w:eastAsia="Times New Roman" w:hAnsi="VIC" w:cs="Times New Roman"/>
          <w:color w:val="011A3C"/>
          <w:sz w:val="24"/>
          <w:szCs w:val="24"/>
          <w:lang w:val="en" w:eastAsia="en-AU"/>
        </w:rPr>
        <w:t>CASES21</w:t>
      </w:r>
      <w:proofErr w:type="gramEnd"/>
      <w:r w:rsidRPr="004D307F">
        <w:rPr>
          <w:rFonts w:ascii="VIC" w:eastAsia="Times New Roman" w:hAnsi="VIC" w:cs="Times New Roman"/>
          <w:color w:val="011A3C"/>
          <w:sz w:val="24"/>
          <w:szCs w:val="24"/>
          <w:lang w:val="en" w:eastAsia="en-AU"/>
        </w:rPr>
        <w:t xml:space="preserve"> and registered in PSDMS, see </w:t>
      </w:r>
      <w:hyperlink r:id="rId47" w:history="1">
        <w:r w:rsidRPr="004D307F">
          <w:rPr>
            <w:rFonts w:ascii="VIC" w:eastAsia="Times New Roman" w:hAnsi="VIC" w:cs="Times New Roman"/>
            <w:color w:val="011A3C"/>
            <w:sz w:val="24"/>
            <w:szCs w:val="24"/>
            <w:lang w:val="en" w:eastAsia="en-AU"/>
          </w:rPr>
          <w:t>PSDMS</w:t>
        </w:r>
      </w:hyperlink>
      <w:r w:rsidRPr="004D307F">
        <w:rPr>
          <w:rFonts w:ascii="VIC" w:eastAsia="Times New Roman" w:hAnsi="VIC" w:cs="Times New Roman"/>
          <w:color w:val="011A3C"/>
          <w:sz w:val="24"/>
          <w:szCs w:val="24"/>
          <w:lang w:val="en" w:eastAsia="en-AU"/>
        </w:rPr>
        <w:t>.</w:t>
      </w:r>
    </w:p>
    <w:p w14:paraId="6EEF1941" w14:textId="43BA0222"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Where a student transfers during the school year, resources remaining for the year will be adjusted and made available to the new school from the commencement of the next school term (pending enrolment registration on PSDMS). The </w:t>
      </w:r>
      <w:r w:rsidR="001B66F8" w:rsidRPr="004D307F">
        <w:rPr>
          <w:rFonts w:ascii="VIC-Regular" w:eastAsia="Times New Roman" w:hAnsi="VIC-Regular" w:cs="Times New Roman"/>
          <w:color w:val="011A3C"/>
          <w:sz w:val="24"/>
          <w:szCs w:val="24"/>
          <w:lang w:val="en" w:eastAsia="en-AU"/>
        </w:rPr>
        <w:t xml:space="preserve">Student Resource </w:t>
      </w:r>
      <w:r w:rsidR="001039D9" w:rsidRPr="004D307F">
        <w:rPr>
          <w:rFonts w:ascii="VIC-Regular" w:eastAsia="Times New Roman" w:hAnsi="VIC-Regular" w:cs="Times New Roman"/>
          <w:color w:val="011A3C"/>
          <w:sz w:val="24"/>
          <w:szCs w:val="24"/>
          <w:lang w:val="en" w:eastAsia="en-AU"/>
        </w:rPr>
        <w:t>Package (</w:t>
      </w:r>
      <w:r w:rsidR="001B66F8" w:rsidRPr="004D307F">
        <w:rPr>
          <w:rFonts w:ascii="VIC-Regular" w:eastAsia="Times New Roman" w:hAnsi="VIC-Regular" w:cs="Times New Roman"/>
          <w:color w:val="011A3C"/>
          <w:sz w:val="24"/>
          <w:szCs w:val="24"/>
          <w:lang w:val="en" w:eastAsia="en-AU"/>
        </w:rPr>
        <w:t xml:space="preserve">SRP) </w:t>
      </w:r>
      <w:r w:rsidRPr="004D307F">
        <w:rPr>
          <w:rFonts w:ascii="VIC-Regular" w:eastAsia="Times New Roman" w:hAnsi="VIC-Regular" w:cs="Times New Roman"/>
          <w:color w:val="011A3C"/>
          <w:sz w:val="24"/>
          <w:szCs w:val="24"/>
          <w:lang w:val="en" w:eastAsia="en-AU"/>
        </w:rPr>
        <w:t>is revised at the end of each term to capture these changes. </w:t>
      </w:r>
    </w:p>
    <w:p w14:paraId="65A8CA1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Schools should make local arrangements to transfer resources for enrolment changes occurring during term.</w:t>
      </w:r>
    </w:p>
    <w:p w14:paraId="4D96BA77" w14:textId="1BBF664F" w:rsidR="00985091" w:rsidRPr="004D307F" w:rsidRDefault="00AD16F0"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Where agreement has been reached that a student is enrolled and attends two schools, the allocation will be provided on a pro-rata basis consistent with the enrolment details contained in CASES21 and registered on PSDMS.</w:t>
      </w:r>
    </w:p>
    <w:p w14:paraId="32104487" w14:textId="18C49C00"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 xml:space="preserve">Rates </w:t>
      </w:r>
      <w:r w:rsidRPr="004D307F">
        <w:rPr>
          <w:rFonts w:ascii="VIC-Bold" w:eastAsia="Times New Roman" w:hAnsi="VIC-Bold" w:cs="Times New Roman" w:hint="eastAsia"/>
          <w:b/>
          <w:bCs/>
          <w:color w:val="011A3C"/>
          <w:sz w:val="24"/>
          <w:szCs w:val="24"/>
          <w:lang w:val="en" w:eastAsia="en-AU"/>
        </w:rPr>
        <w:t>—</w:t>
      </w:r>
      <w:r w:rsidRPr="004D307F">
        <w:rPr>
          <w:rFonts w:ascii="VIC-Bold" w:eastAsia="Times New Roman" w:hAnsi="VIC-Bold" w:cs="Times New Roman"/>
          <w:b/>
          <w:bCs/>
          <w:color w:val="011A3C"/>
          <w:sz w:val="24"/>
          <w:szCs w:val="24"/>
          <w:lang w:val="en" w:eastAsia="en-AU"/>
        </w:rPr>
        <w:t xml:space="preserve"> 202</w:t>
      </w:r>
      <w:r w:rsidR="004D6760" w:rsidRPr="004D307F">
        <w:rPr>
          <w:rFonts w:ascii="VIC-Bold" w:eastAsia="Times New Roman" w:hAnsi="VIC-Bold" w:cs="Times New Roman"/>
          <w:b/>
          <w:bCs/>
          <w:color w:val="011A3C"/>
          <w:sz w:val="24"/>
          <w:szCs w:val="24"/>
          <w:lang w:val="en" w:eastAsia="en-AU"/>
        </w:rPr>
        <w:t>2</w:t>
      </w:r>
    </w:p>
    <w:p w14:paraId="3B0E3E15" w14:textId="6077A36B" w:rsidR="007F0F4A"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1 </w:t>
      </w:r>
      <w:r w:rsidR="00FE010D" w:rsidRPr="004D307F">
        <w:rPr>
          <w:rFonts w:ascii="VIC-Regular" w:eastAsia="Times New Roman" w:hAnsi="VIC-Regular" w:cs="Times New Roman"/>
          <w:color w:val="011A3C"/>
          <w:sz w:val="24"/>
          <w:szCs w:val="24"/>
          <w:lang w:val="en" w:eastAsia="en-AU"/>
        </w:rPr>
        <w:t>— (</w:t>
      </w:r>
      <w:r w:rsidRPr="004D307F">
        <w:rPr>
          <w:rFonts w:ascii="VIC-Regular" w:eastAsia="Times New Roman" w:hAnsi="VIC-Regular" w:cs="Times New Roman"/>
          <w:color w:val="011A3C"/>
          <w:sz w:val="24"/>
          <w:szCs w:val="24"/>
          <w:lang w:val="en" w:eastAsia="en-AU"/>
        </w:rPr>
        <w:t xml:space="preserve">$) </w:t>
      </w:r>
      <w:r w:rsidR="002C0C9D" w:rsidRPr="004D307F">
        <w:rPr>
          <w:rFonts w:ascii="VIC-Regular" w:eastAsia="Times New Roman" w:hAnsi="VIC-Regular" w:cs="Times New Roman"/>
          <w:color w:val="011A3C"/>
          <w:sz w:val="24"/>
          <w:szCs w:val="24"/>
          <w:lang w:val="en" w:eastAsia="en-AU"/>
        </w:rPr>
        <w:t>7,77</w:t>
      </w:r>
      <w:r w:rsidR="006804FE" w:rsidRPr="004D307F">
        <w:rPr>
          <w:rFonts w:ascii="VIC-Regular" w:eastAsia="Times New Roman" w:hAnsi="VIC-Regular" w:cs="Times New Roman"/>
          <w:color w:val="011A3C"/>
          <w:sz w:val="24"/>
          <w:szCs w:val="24"/>
          <w:lang w:val="en" w:eastAsia="en-AU"/>
        </w:rPr>
        <w:t>9</w:t>
      </w:r>
    </w:p>
    <w:p w14:paraId="71EB7337" w14:textId="4F2359A1" w:rsidR="007F0F4A"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2 — ($) </w:t>
      </w:r>
      <w:r w:rsidR="009C610B" w:rsidRPr="004D307F">
        <w:rPr>
          <w:rFonts w:ascii="VIC-Regular" w:eastAsia="Times New Roman" w:hAnsi="VIC-Regular" w:cs="Times New Roman"/>
          <w:color w:val="011A3C"/>
          <w:sz w:val="24"/>
          <w:szCs w:val="24"/>
          <w:lang w:val="en" w:eastAsia="en-AU"/>
        </w:rPr>
        <w:t>17,9</w:t>
      </w:r>
      <w:r w:rsidR="006804FE" w:rsidRPr="004D307F">
        <w:rPr>
          <w:rFonts w:ascii="VIC-Regular" w:eastAsia="Times New Roman" w:hAnsi="VIC-Regular" w:cs="Times New Roman"/>
          <w:color w:val="011A3C"/>
          <w:sz w:val="24"/>
          <w:szCs w:val="24"/>
          <w:lang w:val="en" w:eastAsia="en-AU"/>
        </w:rPr>
        <w:t>91</w:t>
      </w:r>
    </w:p>
    <w:p w14:paraId="08D122B8" w14:textId="1A3256D3" w:rsidR="00AD16F0"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3 — ($) </w:t>
      </w:r>
      <w:r w:rsidR="009C610B" w:rsidRPr="004D307F">
        <w:rPr>
          <w:rFonts w:ascii="VIC-Regular" w:eastAsia="Times New Roman" w:hAnsi="VIC-Regular" w:cs="Times New Roman"/>
          <w:color w:val="011A3C"/>
          <w:sz w:val="24"/>
          <w:szCs w:val="24"/>
          <w:lang w:val="en" w:eastAsia="en-AU"/>
        </w:rPr>
        <w:t>28,</w:t>
      </w:r>
      <w:r w:rsidR="006804FE" w:rsidRPr="004D307F">
        <w:rPr>
          <w:rFonts w:ascii="VIC-Regular" w:eastAsia="Times New Roman" w:hAnsi="VIC-Regular" w:cs="Times New Roman"/>
          <w:color w:val="011A3C"/>
          <w:sz w:val="24"/>
          <w:szCs w:val="24"/>
          <w:lang w:val="en" w:eastAsia="en-AU"/>
        </w:rPr>
        <w:t>400</w:t>
      </w:r>
    </w:p>
    <w:p w14:paraId="5A2D9FA5" w14:textId="18398E42" w:rsidR="00AD16F0"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4 — ($) </w:t>
      </w:r>
      <w:r w:rsidR="009C610B" w:rsidRPr="004D307F">
        <w:rPr>
          <w:rFonts w:ascii="VIC-Regular" w:eastAsia="Times New Roman" w:hAnsi="VIC-Regular" w:cs="Times New Roman"/>
          <w:color w:val="011A3C"/>
          <w:sz w:val="24"/>
          <w:szCs w:val="24"/>
          <w:lang w:val="en" w:eastAsia="en-AU"/>
        </w:rPr>
        <w:t>38,7</w:t>
      </w:r>
      <w:r w:rsidR="006804FE" w:rsidRPr="004D307F">
        <w:rPr>
          <w:rFonts w:ascii="VIC-Regular" w:eastAsia="Times New Roman" w:hAnsi="VIC-Regular" w:cs="Times New Roman"/>
          <w:color w:val="011A3C"/>
          <w:sz w:val="24"/>
          <w:szCs w:val="24"/>
          <w:lang w:val="en" w:eastAsia="en-AU"/>
        </w:rPr>
        <w:t>60</w:t>
      </w:r>
    </w:p>
    <w:p w14:paraId="2842D62C" w14:textId="731336E4" w:rsidR="007F0F4A"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5 — ($) </w:t>
      </w:r>
      <w:r w:rsidR="009C610B" w:rsidRPr="004D307F">
        <w:rPr>
          <w:rFonts w:ascii="VIC-Regular" w:eastAsia="Times New Roman" w:hAnsi="VIC-Regular" w:cs="Times New Roman"/>
          <w:color w:val="011A3C"/>
          <w:sz w:val="24"/>
          <w:szCs w:val="24"/>
          <w:lang w:val="en" w:eastAsia="en-AU"/>
        </w:rPr>
        <w:t>49,</w:t>
      </w:r>
      <w:r w:rsidR="006804FE" w:rsidRPr="004D307F">
        <w:rPr>
          <w:rFonts w:ascii="VIC-Regular" w:eastAsia="Times New Roman" w:hAnsi="VIC-Regular" w:cs="Times New Roman"/>
          <w:color w:val="011A3C"/>
          <w:sz w:val="24"/>
          <w:szCs w:val="24"/>
          <w:lang w:val="en" w:eastAsia="en-AU"/>
        </w:rPr>
        <w:t>041</w:t>
      </w:r>
    </w:p>
    <w:p w14:paraId="74989440" w14:textId="68C522B3" w:rsidR="0087250D" w:rsidRPr="004D307F" w:rsidRDefault="00AD16F0"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Level 6 </w:t>
      </w:r>
      <w:r w:rsidR="00FE010D" w:rsidRPr="004D307F">
        <w:rPr>
          <w:rFonts w:ascii="VIC-Regular" w:eastAsia="Times New Roman" w:hAnsi="VIC-Regular" w:cs="Times New Roman"/>
          <w:color w:val="011A3C"/>
          <w:sz w:val="24"/>
          <w:szCs w:val="24"/>
          <w:lang w:val="en" w:eastAsia="en-AU"/>
        </w:rPr>
        <w:t>— (</w:t>
      </w:r>
      <w:r w:rsidRPr="004D307F">
        <w:rPr>
          <w:rFonts w:ascii="VIC-Regular" w:eastAsia="Times New Roman" w:hAnsi="VIC-Regular" w:cs="Times New Roman"/>
          <w:color w:val="011A3C"/>
          <w:sz w:val="24"/>
          <w:szCs w:val="24"/>
          <w:lang w:val="en" w:eastAsia="en-AU"/>
        </w:rPr>
        <w:t xml:space="preserve">$) </w:t>
      </w:r>
      <w:r w:rsidR="009C610B" w:rsidRPr="004D307F">
        <w:rPr>
          <w:rFonts w:ascii="VIC-Regular" w:eastAsia="Times New Roman" w:hAnsi="VIC-Regular" w:cs="Times New Roman"/>
          <w:color w:val="011A3C"/>
          <w:sz w:val="24"/>
          <w:szCs w:val="24"/>
          <w:lang w:val="en" w:eastAsia="en-AU"/>
        </w:rPr>
        <w:t>59,3</w:t>
      </w:r>
      <w:r w:rsidR="006804FE" w:rsidRPr="004D307F">
        <w:rPr>
          <w:rFonts w:ascii="VIC-Regular" w:eastAsia="Times New Roman" w:hAnsi="VIC-Regular" w:cs="Times New Roman"/>
          <w:color w:val="011A3C"/>
          <w:sz w:val="24"/>
          <w:szCs w:val="24"/>
          <w:lang w:val="en" w:eastAsia="en-AU"/>
        </w:rPr>
        <w:t>77</w:t>
      </w:r>
    </w:p>
    <w:p w14:paraId="18337D72" w14:textId="77777777" w:rsidR="004B67E8" w:rsidRPr="004D307F" w:rsidRDefault="0087250D" w:rsidP="004B67E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 </w:t>
      </w:r>
    </w:p>
    <w:p w14:paraId="3C65C6A6" w14:textId="6DD11D44" w:rsidR="0087250D" w:rsidRPr="004D307F" w:rsidRDefault="004B67E8"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 </w:t>
      </w:r>
      <w:r w:rsidR="0087250D" w:rsidRPr="004D307F">
        <w:rPr>
          <w:rFonts w:ascii="VIC-Regular" w:eastAsia="Times New Roman" w:hAnsi="VIC-Regular" w:cs="Times New Roman"/>
          <w:color w:val="011A3C"/>
          <w:sz w:val="24"/>
          <w:szCs w:val="24"/>
          <w:lang w:val="en" w:eastAsia="en-AU"/>
        </w:rPr>
        <w:t>school with 5 Level 3 enrolments would calculate their funding as:</w:t>
      </w:r>
    </w:p>
    <w:p w14:paraId="278295DD" w14:textId="77777777" w:rsidR="0087250D" w:rsidRPr="004D307F" w:rsidRDefault="0087250D"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Level 3 enrolments (5) x Level 3 Rate</w:t>
      </w:r>
    </w:p>
    <w:p w14:paraId="46978D89" w14:textId="4CDD6408" w:rsidR="0087250D" w:rsidRPr="004D307F" w:rsidRDefault="0087250D"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calculation will be repeated for all enrolment levels at the school.</w:t>
      </w:r>
    </w:p>
    <w:p w14:paraId="5B698EDD"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Important items to note:</w:t>
      </w:r>
    </w:p>
    <w:p w14:paraId="7B9A8DD2" w14:textId="77777777" w:rsidR="00AD16F0" w:rsidRPr="004D307F" w:rsidRDefault="00AD16F0" w:rsidP="00ED0863">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Indicative SRP is based on PSD application and enrolment information as at Term 3 the year prior. Allocations are updated in the Confirmed SRP, capturing enrolment and application changes that occur between Term 3 and Term 1.</w:t>
      </w:r>
    </w:p>
    <w:p w14:paraId="733FB3D0" w14:textId="77777777" w:rsidR="00AD16F0" w:rsidRPr="004D307F" w:rsidRDefault="00AD16F0" w:rsidP="00ED0863">
      <w:pPr>
        <w:numPr>
          <w:ilvl w:val="0"/>
          <w:numId w:val="1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PSD allocations should be reviewed termly in PSDMS (Resource Allocation Listing) and the SRP (Budget Details report), and any questions can be logged via the DET Service Gateway. Reconciliation requests can only be considered on a one-term basis. Requests for budget adjustments cannot be considered beyond the previous term.</w:t>
      </w:r>
    </w:p>
    <w:p w14:paraId="6DE21C95" w14:textId="77777777" w:rsidR="00AD16F0" w:rsidRPr="004D307F" w:rsidRDefault="00AD16F0" w:rsidP="00AD16F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Further information</w:t>
      </w:r>
    </w:p>
    <w:p w14:paraId="166F813C" w14:textId="1B54B13F" w:rsidR="00AD16F0" w:rsidRPr="004D307F" w:rsidRDefault="00A35420" w:rsidP="00ED0863">
      <w:pPr>
        <w:numPr>
          <w:ilvl w:val="0"/>
          <w:numId w:val="15"/>
        </w:numPr>
        <w:spacing w:before="100" w:beforeAutospacing="1" w:after="100" w:afterAutospacing="1" w:line="360" w:lineRule="atLeast"/>
        <w:rPr>
          <w:rStyle w:val="Hyperlink"/>
          <w:rFonts w:ascii="VIC" w:hAnsi="VIC"/>
          <w:sz w:val="24"/>
          <w:szCs w:val="24"/>
        </w:rPr>
      </w:pPr>
      <w:hyperlink r:id="rId48" w:history="1">
        <w:r w:rsidR="00AD16F0" w:rsidRPr="004D307F">
          <w:rPr>
            <w:rStyle w:val="Hyperlink"/>
            <w:rFonts w:ascii="VIC" w:hAnsi="VIC"/>
            <w:sz w:val="24"/>
            <w:szCs w:val="24"/>
          </w:rPr>
          <w:t>Program for Students with Disabilities —</w:t>
        </w:r>
        <w:r w:rsidR="00AD16F0" w:rsidRPr="004D307F">
          <w:rPr>
            <w:rStyle w:val="Hyperlink"/>
            <w:rFonts w:ascii="Calibri" w:hAnsi="Calibri" w:cs="Calibri"/>
            <w:sz w:val="24"/>
            <w:szCs w:val="24"/>
          </w:rPr>
          <w:t> </w:t>
        </w:r>
        <w:r w:rsidR="00AD16F0" w:rsidRPr="004D307F">
          <w:rPr>
            <w:rStyle w:val="Hyperlink"/>
            <w:rFonts w:ascii="VIC" w:hAnsi="VIC"/>
            <w:sz w:val="24"/>
            <w:szCs w:val="24"/>
          </w:rPr>
          <w:t>guidelines for schools</w:t>
        </w:r>
      </w:hyperlink>
    </w:p>
    <w:p w14:paraId="4EBD8D13" w14:textId="77777777" w:rsidR="00AD16F0" w:rsidRPr="004D307F" w:rsidRDefault="00A35420" w:rsidP="00ED0863">
      <w:pPr>
        <w:numPr>
          <w:ilvl w:val="0"/>
          <w:numId w:val="15"/>
        </w:numPr>
        <w:spacing w:before="100" w:beforeAutospacing="1" w:after="100" w:afterAutospacing="1" w:line="360" w:lineRule="atLeast"/>
        <w:rPr>
          <w:rStyle w:val="Hyperlink"/>
          <w:rFonts w:ascii="VIC" w:hAnsi="VIC"/>
          <w:sz w:val="24"/>
          <w:szCs w:val="24"/>
        </w:rPr>
      </w:pPr>
      <w:hyperlink r:id="rId49" w:history="1">
        <w:r w:rsidR="00AD16F0" w:rsidRPr="004D307F">
          <w:rPr>
            <w:rStyle w:val="Hyperlink"/>
            <w:rFonts w:ascii="VIC" w:hAnsi="VIC"/>
            <w:sz w:val="24"/>
            <w:szCs w:val="24"/>
          </w:rPr>
          <w:t>Student Support Groups</w:t>
        </w:r>
      </w:hyperlink>
    </w:p>
    <w:p w14:paraId="58D9E72B" w14:textId="77777777" w:rsidR="00AD16F0" w:rsidRPr="004D307F" w:rsidRDefault="00A35420" w:rsidP="00ED0863">
      <w:pPr>
        <w:numPr>
          <w:ilvl w:val="0"/>
          <w:numId w:val="15"/>
        </w:numPr>
        <w:spacing w:before="100" w:beforeAutospacing="1" w:after="100" w:afterAutospacing="1" w:line="360" w:lineRule="atLeast"/>
        <w:rPr>
          <w:rStyle w:val="Hyperlink"/>
          <w:rFonts w:ascii="VIC" w:hAnsi="VIC"/>
          <w:sz w:val="24"/>
          <w:szCs w:val="24"/>
        </w:rPr>
      </w:pPr>
      <w:hyperlink r:id="rId50" w:history="1">
        <w:r w:rsidR="00AD16F0" w:rsidRPr="004D307F">
          <w:rPr>
            <w:rStyle w:val="Hyperlink"/>
            <w:rFonts w:ascii="VIC" w:hAnsi="VIC"/>
            <w:sz w:val="24"/>
            <w:szCs w:val="24"/>
          </w:rPr>
          <w:t>Program for Students with Disabilities Management System (PSDMS) — information and user guides</w:t>
        </w:r>
      </w:hyperlink>
      <w:r w:rsidR="00AD16F0" w:rsidRPr="004D307F">
        <w:rPr>
          <w:rStyle w:val="Hyperlink"/>
          <w:rFonts w:ascii="VIC" w:hAnsi="VIC"/>
          <w:sz w:val="24"/>
          <w:szCs w:val="24"/>
        </w:rPr>
        <w:t xml:space="preserve"> </w:t>
      </w:r>
    </w:p>
    <w:p w14:paraId="3A865196" w14:textId="77777777" w:rsidR="00AD16F0" w:rsidRPr="004D307F" w:rsidRDefault="00A35420" w:rsidP="00ED0863">
      <w:pPr>
        <w:numPr>
          <w:ilvl w:val="1"/>
          <w:numId w:val="15"/>
        </w:numPr>
        <w:spacing w:before="100" w:beforeAutospacing="1" w:after="100" w:afterAutospacing="1" w:line="360" w:lineRule="atLeast"/>
        <w:rPr>
          <w:rStyle w:val="Hyperlink"/>
          <w:rFonts w:ascii="VIC" w:hAnsi="VIC"/>
          <w:sz w:val="24"/>
          <w:szCs w:val="24"/>
        </w:rPr>
      </w:pPr>
      <w:hyperlink r:id="rId51" w:history="1">
        <w:r w:rsidR="00AD16F0" w:rsidRPr="004D307F">
          <w:rPr>
            <w:rStyle w:val="Hyperlink"/>
            <w:rFonts w:ascii="VIC" w:hAnsi="VIC"/>
            <w:sz w:val="24"/>
            <w:szCs w:val="24"/>
          </w:rPr>
          <w:t>PSDMS log in (for registered users)</w:t>
        </w:r>
      </w:hyperlink>
    </w:p>
    <w:p w14:paraId="3C167809" w14:textId="77777777" w:rsidR="004D6760" w:rsidRPr="004D307F" w:rsidRDefault="00A35420" w:rsidP="00ED0863">
      <w:pPr>
        <w:numPr>
          <w:ilvl w:val="0"/>
          <w:numId w:val="15"/>
        </w:numPr>
        <w:spacing w:before="100" w:beforeAutospacing="1" w:after="100" w:afterAutospacing="1" w:line="360" w:lineRule="atLeast"/>
        <w:rPr>
          <w:rFonts w:ascii="VIC" w:eastAsia="Times New Roman" w:hAnsi="VIC" w:cs="Times New Roman"/>
          <w:color w:val="011A3C"/>
          <w:sz w:val="24"/>
          <w:szCs w:val="24"/>
          <w:lang w:val="en" w:eastAsia="en-AU"/>
        </w:rPr>
      </w:pPr>
      <w:hyperlink r:id="rId52" w:history="1">
        <w:r w:rsidR="004D6760" w:rsidRPr="004D307F">
          <w:rPr>
            <w:rFonts w:ascii="VIC" w:eastAsia="Times New Roman" w:hAnsi="VIC" w:cs="Times New Roman"/>
            <w:color w:val="011A3C"/>
            <w:sz w:val="24"/>
            <w:szCs w:val="24"/>
            <w:lang w:val="en" w:eastAsia="en-AU"/>
          </w:rPr>
          <w:t>DET Services Portal</w:t>
        </w:r>
      </w:hyperlink>
    </w:p>
    <w:p w14:paraId="4507B262" w14:textId="77777777" w:rsidR="004D6760" w:rsidRPr="004D307F" w:rsidRDefault="00A35420" w:rsidP="00ED0863">
      <w:pPr>
        <w:numPr>
          <w:ilvl w:val="0"/>
          <w:numId w:val="15"/>
        </w:numPr>
        <w:spacing w:before="100" w:beforeAutospacing="1" w:after="100" w:afterAutospacing="1" w:line="360" w:lineRule="atLeast"/>
        <w:rPr>
          <w:rFonts w:ascii="VIC" w:eastAsia="Times New Roman" w:hAnsi="VIC" w:cs="Times New Roman"/>
          <w:color w:val="011A3C"/>
          <w:sz w:val="24"/>
          <w:szCs w:val="24"/>
          <w:lang w:val="en" w:eastAsia="en-AU"/>
        </w:rPr>
      </w:pPr>
      <w:hyperlink r:id="rId53" w:history="1">
        <w:r w:rsidR="004D6760" w:rsidRPr="004D307F">
          <w:rPr>
            <w:rStyle w:val="Hyperlink"/>
            <w:rFonts w:ascii="VIC" w:eastAsia="Times New Roman" w:hAnsi="VIC" w:cs="Times New Roman"/>
            <w:sz w:val="24"/>
            <w:szCs w:val="24"/>
            <w:lang w:val="en" w:eastAsia="en-AU"/>
          </w:rPr>
          <w:t>Disability Inclusion funding and support</w:t>
        </w:r>
      </w:hyperlink>
    </w:p>
    <w:p w14:paraId="10111DAB" w14:textId="77777777" w:rsidR="00A12061" w:rsidRPr="004D307F" w:rsidRDefault="00A12061">
      <w:pPr>
        <w:rPr>
          <w:rFonts w:ascii="VIC" w:eastAsia="Times New Roman" w:hAnsi="VIC" w:cstheme="majorBidi"/>
          <w:b/>
          <w:color w:val="2F5496" w:themeColor="accent1" w:themeShade="BF"/>
          <w:sz w:val="24"/>
          <w:szCs w:val="24"/>
          <w:lang w:val="en" w:eastAsia="en-AU"/>
        </w:rPr>
      </w:pPr>
      <w:r w:rsidRPr="004D307F">
        <w:rPr>
          <w:rFonts w:ascii="VIC" w:hAnsi="VIC"/>
          <w:sz w:val="24"/>
          <w:szCs w:val="24"/>
        </w:rPr>
        <w:br w:type="page"/>
      </w:r>
    </w:p>
    <w:p w14:paraId="4DC5249A" w14:textId="22254EC1" w:rsidR="00A266A0" w:rsidRPr="004D307F" w:rsidRDefault="00A266A0" w:rsidP="00B566E7">
      <w:pPr>
        <w:pStyle w:val="Heading2"/>
      </w:pPr>
      <w:bookmarkStart w:id="31" w:name="_Toc99882737"/>
      <w:r w:rsidRPr="004D307F">
        <w:lastRenderedPageBreak/>
        <w:t>Program for Students with Disabilities — Transition Support Funding (Reference 66)</w:t>
      </w:r>
      <w:bookmarkEnd w:id="31"/>
    </w:p>
    <w:p w14:paraId="2B019A71" w14:textId="173B386B" w:rsidR="00A266A0" w:rsidRPr="004D307F" w:rsidRDefault="00A266A0" w:rsidP="00A266A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is available to government secondary schools to support students starting Year 7 in 202</w:t>
      </w:r>
      <w:r w:rsidR="00205123"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who are no longer eligible for the Program for Students with Disabilities (PSD) after their Year 6-7 Review.</w:t>
      </w:r>
    </w:p>
    <w:p w14:paraId="778EBC9C" w14:textId="77777777" w:rsidR="00A266A0" w:rsidRPr="004D307F" w:rsidRDefault="00A266A0" w:rsidP="00A266A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funding supports the delivery of </w:t>
      </w:r>
      <w:proofErr w:type="spellStart"/>
      <w:r w:rsidRPr="004D307F">
        <w:rPr>
          <w:rFonts w:ascii="VIC-Regular" w:eastAsia="Times New Roman" w:hAnsi="VIC-Regular" w:cs="Times New Roman"/>
          <w:color w:val="011A3C"/>
          <w:sz w:val="24"/>
          <w:szCs w:val="24"/>
          <w:lang w:val="en" w:eastAsia="en-AU"/>
        </w:rPr>
        <w:t>personalised</w:t>
      </w:r>
      <w:proofErr w:type="spellEnd"/>
      <w:r w:rsidRPr="004D307F">
        <w:rPr>
          <w:rFonts w:ascii="VIC-Regular" w:eastAsia="Times New Roman" w:hAnsi="VIC-Regular" w:cs="Times New Roman"/>
          <w:color w:val="011A3C"/>
          <w:sz w:val="24"/>
          <w:szCs w:val="24"/>
          <w:lang w:val="en" w:eastAsia="en-AU"/>
        </w:rPr>
        <w:t xml:space="preserve"> teaching and learning programs that respond to students' needs.</w:t>
      </w:r>
    </w:p>
    <w:p w14:paraId="39E6AB87" w14:textId="76AB279B"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are encouraged to use the </w:t>
      </w:r>
      <w:hyperlink r:id="rId54" w:history="1">
        <w:r w:rsidR="00205123" w:rsidRPr="004D307F">
          <w:rPr>
            <w:rStyle w:val="Hyperlink"/>
            <w:rFonts w:ascii="VIC-Regular" w:hAnsi="VIC-Regular" w:cs="Times New Roman"/>
            <w:sz w:val="24"/>
            <w:szCs w:val="24"/>
          </w:rPr>
          <w:t>Student Support Group (SSG</w:t>
        </w:r>
        <w:r w:rsidR="00205123" w:rsidRPr="004D307F">
          <w:rPr>
            <w:rStyle w:val="Hyperlink"/>
            <w:rFonts w:ascii="VIC-Regular" w:eastAsia="Times New Roman" w:hAnsi="VIC-Regular" w:cs="Times New Roman"/>
            <w:sz w:val="24"/>
            <w:szCs w:val="24"/>
            <w:lang w:val="en" w:eastAsia="en-AU"/>
          </w:rPr>
          <w:t>)</w:t>
        </w:r>
      </w:hyperlink>
      <w:r w:rsidRPr="004D307F">
        <w:rPr>
          <w:rFonts w:ascii="VIC-Regular" w:eastAsia="Times New Roman" w:hAnsi="VIC-Regular" w:cs="Times New Roman"/>
          <w:color w:val="011A3C"/>
          <w:sz w:val="24"/>
          <w:szCs w:val="24"/>
          <w:lang w:val="en" w:eastAsia="en-AU"/>
        </w:rPr>
        <w:t xml:space="preserve"> process to draw on the expertise of the group to formulate and commit to specific strategies and implementation plans that will support the student's educational needs, inclusion and engagement. The progress of the agreed strategies should be regularly reviewed at SSG meetings each term. </w:t>
      </w:r>
    </w:p>
    <w:p w14:paraId="347C5301" w14:textId="7C045979" w:rsidR="00205123" w:rsidRPr="004D307F" w:rsidRDefault="00205123"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allocations will be progressively replaced by Disability Inclusion Tier 2 school-level funding as part of the implementation of</w:t>
      </w:r>
      <w:r w:rsidR="00B241D3" w:rsidRPr="004D307F">
        <w:rPr>
          <w:rFonts w:ascii="VIC-Regular" w:eastAsia="Times New Roman" w:hAnsi="VIC-Regular" w:cs="Times New Roman"/>
          <w:color w:val="011A3C"/>
          <w:sz w:val="24"/>
          <w:szCs w:val="24"/>
          <w:lang w:val="en" w:eastAsia="en-AU"/>
        </w:rPr>
        <w:t xml:space="preserve"> the </w:t>
      </w:r>
      <w:r w:rsidRPr="004D307F">
        <w:rPr>
          <w:rFonts w:ascii="VIC-Regular" w:eastAsia="Times New Roman" w:hAnsi="VIC-Regular" w:cs="Times New Roman"/>
          <w:color w:val="011A3C"/>
          <w:sz w:val="24"/>
          <w:szCs w:val="24"/>
          <w:lang w:val="en" w:eastAsia="en-AU"/>
        </w:rPr>
        <w:t>Disability Inclusion funding and suppor</w:t>
      </w:r>
      <w:r w:rsidR="00B241D3" w:rsidRPr="004D307F">
        <w:rPr>
          <w:rFonts w:ascii="VIC-Regular" w:eastAsia="Times New Roman" w:hAnsi="VIC-Regular" w:cs="Times New Roman"/>
          <w:color w:val="011A3C"/>
          <w:sz w:val="24"/>
          <w:szCs w:val="24"/>
          <w:lang w:val="en" w:eastAsia="en-AU"/>
        </w:rPr>
        <w:t>t model</w:t>
      </w:r>
      <w:r w:rsidRPr="004D307F">
        <w:rPr>
          <w:rFonts w:ascii="VIC-Regular" w:eastAsia="Times New Roman" w:hAnsi="VIC-Regular" w:cs="Times New Roman"/>
          <w:color w:val="011A3C"/>
          <w:sz w:val="24"/>
          <w:szCs w:val="24"/>
          <w:lang w:val="en" w:eastAsia="en-AU"/>
        </w:rPr>
        <w:t>.</w:t>
      </w:r>
    </w:p>
    <w:p w14:paraId="44309C3B" w14:textId="77777777" w:rsidR="001059CF" w:rsidRPr="004D307F" w:rsidRDefault="001059CF" w:rsidP="001059C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7F51513" w14:textId="77777777" w:rsidR="00205123" w:rsidRPr="004D307F" w:rsidRDefault="00205123" w:rsidP="001059C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will continue to be available to schools until they transition to Disability Inclusion during the staged 5-year roll-out schedule between 2021 to 2025.</w:t>
      </w:r>
    </w:p>
    <w:p w14:paraId="17E65F86" w14:textId="7540D04E" w:rsidR="001059CF" w:rsidRPr="004D307F" w:rsidRDefault="00205123" w:rsidP="001059C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Remaining s</w:t>
      </w:r>
      <w:r w:rsidR="001059CF" w:rsidRPr="004D307F">
        <w:rPr>
          <w:rFonts w:ascii="VIC-Regular" w:eastAsia="Times New Roman" w:hAnsi="VIC-Regular" w:cs="Times New Roman"/>
          <w:color w:val="011A3C"/>
          <w:sz w:val="24"/>
          <w:szCs w:val="24"/>
          <w:lang w:val="en" w:eastAsia="en-AU"/>
        </w:rPr>
        <w:t>chools with the following campus types are eligible for Transition Support funding at school level.</w:t>
      </w:r>
    </w:p>
    <w:p w14:paraId="7BEB5438" w14:textId="77777777" w:rsidR="001059CF" w:rsidRPr="004D307F" w:rsidRDefault="001059CF"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0E0ADF8F" w14:textId="6955809B" w:rsidR="001059CF" w:rsidRPr="004D307F" w:rsidRDefault="001059CF"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w:t>
      </w:r>
      <w:r w:rsidR="00AB7BB2" w:rsidRPr="004D307F">
        <w:rPr>
          <w:rFonts w:ascii="VIC-Regular" w:eastAsia="Times New Roman" w:hAnsi="VIC-Regular" w:cs="Times New Roman"/>
          <w:color w:val="011A3C"/>
          <w:sz w:val="24"/>
          <w:szCs w:val="24"/>
          <w:lang w:val="en" w:eastAsia="en-AU"/>
        </w:rPr>
        <w:t>mary</w:t>
      </w:r>
      <w:r w:rsidRPr="004D307F">
        <w:rPr>
          <w:rFonts w:ascii="VIC-Regular" w:eastAsia="Times New Roman" w:hAnsi="VIC-Regular" w:cs="Times New Roman"/>
          <w:color w:val="011A3C"/>
          <w:sz w:val="24"/>
          <w:szCs w:val="24"/>
          <w:lang w:val="en" w:eastAsia="en-AU"/>
        </w:rPr>
        <w:t>/Sec</w:t>
      </w:r>
      <w:r w:rsidR="00AB7BB2" w:rsidRPr="004D307F">
        <w:rPr>
          <w:rFonts w:ascii="VIC-Regular" w:eastAsia="Times New Roman" w:hAnsi="VIC-Regular" w:cs="Times New Roman"/>
          <w:color w:val="011A3C"/>
          <w:sz w:val="24"/>
          <w:szCs w:val="24"/>
          <w:lang w:val="en" w:eastAsia="en-AU"/>
        </w:rPr>
        <w:t>ondary</w:t>
      </w:r>
      <w:r w:rsidR="005B40E3" w:rsidRPr="004D307F">
        <w:rPr>
          <w:rFonts w:ascii="VIC-Regular" w:eastAsia="Times New Roman" w:hAnsi="VIC-Regular" w:cs="Times New Roman"/>
          <w:color w:val="011A3C"/>
          <w:sz w:val="24"/>
          <w:szCs w:val="24"/>
          <w:lang w:val="en" w:eastAsia="en-AU"/>
        </w:rPr>
        <w:t xml:space="preserve"> Combined</w:t>
      </w:r>
    </w:p>
    <w:p w14:paraId="522F2420" w14:textId="77777777" w:rsidR="001059CF" w:rsidRPr="004D307F" w:rsidRDefault="001059CF" w:rsidP="00ED0863">
      <w:pPr>
        <w:numPr>
          <w:ilvl w:val="0"/>
          <w:numId w:val="1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7589BBC9" w14:textId="13450C7C" w:rsidR="001059CF" w:rsidRPr="004D307F" w:rsidRDefault="001059CF" w:rsidP="001059CF">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Confirmed and Revised budget </w:t>
      </w:r>
      <w:proofErr w:type="gramStart"/>
      <w:r w:rsidRPr="004D307F">
        <w:rPr>
          <w:rFonts w:ascii="VIC-Regular" w:eastAsia="Times New Roman" w:hAnsi="VIC-Regular" w:cs="Times New Roman"/>
          <w:color w:val="011A3C"/>
          <w:sz w:val="24"/>
          <w:szCs w:val="24"/>
          <w:lang w:val="en" w:eastAsia="en-AU"/>
        </w:rPr>
        <w:t>cycles</w:t>
      </w:r>
      <w:r w:rsidR="00AB7BB2" w:rsidRPr="004D307F">
        <w:rPr>
          <w:rFonts w:ascii="VIC-Regular" w:eastAsia="Times New Roman" w:hAnsi="VIC-Regular" w:cs="Times New Roman"/>
          <w:color w:val="011A3C"/>
          <w:sz w:val="24"/>
          <w:szCs w:val="24"/>
          <w:lang w:val="en" w:eastAsia="en-AU"/>
        </w:rPr>
        <w:t>,</w:t>
      </w:r>
      <w:proofErr w:type="gramEnd"/>
      <w:r w:rsidRPr="004D307F">
        <w:rPr>
          <w:rFonts w:ascii="VIC-Regular" w:eastAsia="Times New Roman" w:hAnsi="VIC-Regular" w:cs="Times New Roman"/>
          <w:color w:val="011A3C"/>
          <w:sz w:val="24"/>
          <w:szCs w:val="24"/>
          <w:lang w:val="en" w:eastAsia="en-AU"/>
        </w:rPr>
        <w:t xml:space="preserve"> </w:t>
      </w:r>
      <w:r w:rsidR="00AB7BB2" w:rsidRPr="004D307F">
        <w:rPr>
          <w:rFonts w:ascii="VIC-Regular" w:eastAsia="Times New Roman" w:hAnsi="VIC-Regular" w:cs="Times New Roman"/>
          <w:color w:val="011A3C"/>
          <w:sz w:val="24"/>
          <w:szCs w:val="24"/>
          <w:lang w:val="en" w:eastAsia="en-AU"/>
        </w:rPr>
        <w:t>F</w:t>
      </w:r>
      <w:r w:rsidRPr="004D307F">
        <w:rPr>
          <w:rFonts w:ascii="VIC-Regular" w:eastAsia="Times New Roman" w:hAnsi="VIC-Regular" w:cs="Times New Roman"/>
          <w:color w:val="011A3C"/>
          <w:sz w:val="24"/>
          <w:szCs w:val="24"/>
          <w:lang w:val="en" w:eastAsia="en-AU"/>
        </w:rPr>
        <w:t>unding is allocated through cash funding.</w:t>
      </w:r>
    </w:p>
    <w:p w14:paraId="614F2173" w14:textId="77777777" w:rsidR="00A266A0" w:rsidRPr="004D307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Use of funding</w:t>
      </w:r>
    </w:p>
    <w:p w14:paraId="33C31697" w14:textId="77777777"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resources, in consultation with the Student Support Group, can be used to access:</w:t>
      </w:r>
    </w:p>
    <w:p w14:paraId="5E466237" w14:textId="77777777" w:rsidR="00A266A0" w:rsidRPr="004D307F" w:rsidRDefault="00A266A0" w:rsidP="00ED0863">
      <w:pPr>
        <w:numPr>
          <w:ilvl w:val="0"/>
          <w:numId w:val="139"/>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consultation or support from specialist education or allied health staff</w:t>
      </w:r>
    </w:p>
    <w:p w14:paraId="4D32BD22" w14:textId="77777777" w:rsidR="00A266A0" w:rsidRPr="004D307F" w:rsidRDefault="00A266A0" w:rsidP="00ED0863">
      <w:pPr>
        <w:numPr>
          <w:ilvl w:val="0"/>
          <w:numId w:val="139"/>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professional development</w:t>
      </w:r>
    </w:p>
    <w:p w14:paraId="2E8EA36F" w14:textId="77777777" w:rsidR="00A266A0" w:rsidRPr="004D307F" w:rsidRDefault="00A266A0" w:rsidP="00ED0863">
      <w:pPr>
        <w:numPr>
          <w:ilvl w:val="0"/>
          <w:numId w:val="139"/>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equipment or materials.</w:t>
      </w:r>
    </w:p>
    <w:p w14:paraId="3120AA3F" w14:textId="77777777"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Examples are provided below. </w:t>
      </w:r>
    </w:p>
    <w:p w14:paraId="4D301352" w14:textId="5AFCB741"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resources do not define or limit the support provided by a school for a student. It is the responsibility of the school, in consultation with parents/</w:t>
      </w:r>
      <w:proofErr w:type="spellStart"/>
      <w:r w:rsidRPr="004D307F">
        <w:rPr>
          <w:rFonts w:ascii="VIC-Regular" w:eastAsia="Times New Roman" w:hAnsi="VIC-Regular" w:cs="Times New Roman"/>
          <w:color w:val="011A3C"/>
          <w:sz w:val="24"/>
          <w:szCs w:val="24"/>
          <w:lang w:val="en" w:eastAsia="en-AU"/>
        </w:rPr>
        <w:t>carers</w:t>
      </w:r>
      <w:proofErr w:type="spellEnd"/>
      <w:r w:rsidRPr="004D307F">
        <w:rPr>
          <w:rFonts w:ascii="VIC-Regular" w:eastAsia="Times New Roman" w:hAnsi="VIC-Regular" w:cs="Times New Roman"/>
          <w:color w:val="011A3C"/>
          <w:sz w:val="24"/>
          <w:szCs w:val="24"/>
          <w:lang w:val="en" w:eastAsia="en-AU"/>
        </w:rPr>
        <w:t xml:space="preserve"> in the Student Support Group, to determine the specific nature of the support required, and schools are required to consider their total budget in supporting students with disability and diverse learning needs.</w:t>
      </w:r>
    </w:p>
    <w:p w14:paraId="486201DC" w14:textId="77777777" w:rsidR="00A266A0" w:rsidRPr="004D307F" w:rsidRDefault="00A266A0" w:rsidP="00A266A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Transition Support Funding resources should not be targeted to students in receipt of supplementary funding through the Program for Students with Disabilities.</w:t>
      </w:r>
    </w:p>
    <w:p w14:paraId="72EE434A" w14:textId="7AC58D99" w:rsidR="00A266A0" w:rsidRPr="004D307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Calculation </w:t>
      </w:r>
    </w:p>
    <w:p w14:paraId="39985D14" w14:textId="77777777" w:rsidR="00A266A0" w:rsidRPr="004D307F" w:rsidRDefault="00A266A0" w:rsidP="00A266A0">
      <w:pPr>
        <w:rPr>
          <w:rFonts w:ascii="VIC" w:hAnsi="VIC" w:cstheme="majorHAnsi"/>
          <w:sz w:val="24"/>
          <w:szCs w:val="24"/>
          <w:lang w:val="en"/>
        </w:rPr>
      </w:pPr>
      <w:r w:rsidRPr="004D307F">
        <w:rPr>
          <w:rFonts w:ascii="VIC" w:eastAsia="Times New Roman" w:hAnsi="VIC" w:cs="Times New Roman"/>
          <w:color w:val="011A3C"/>
          <w:sz w:val="24"/>
          <w:szCs w:val="24"/>
          <w:lang w:val="en" w:eastAsia="en-AU"/>
        </w:rPr>
        <w:t>Transition Support Funding is calculated on a pro-rata basis according to enrolment information provided by schools via the</w:t>
      </w:r>
      <w:r w:rsidRPr="004D307F">
        <w:rPr>
          <w:rFonts w:ascii="VIC" w:hAnsi="VIC" w:cstheme="majorHAnsi"/>
          <w:sz w:val="24"/>
          <w:szCs w:val="24"/>
          <w:lang w:val="en"/>
        </w:rPr>
        <w:t xml:space="preserve"> </w:t>
      </w:r>
      <w:hyperlink r:id="rId55" w:history="1">
        <w:r w:rsidRPr="004D307F">
          <w:rPr>
            <w:rFonts w:ascii="VIC" w:hAnsi="VIC" w:cstheme="majorHAnsi"/>
            <w:color w:val="0000FF"/>
            <w:sz w:val="24"/>
            <w:szCs w:val="24"/>
            <w:u w:val="single"/>
            <w:lang w:val="en"/>
          </w:rPr>
          <w:t>Program for Students with Disabilities Management System (PSDMS)</w:t>
        </w:r>
      </w:hyperlink>
      <w:r w:rsidRPr="004D307F">
        <w:rPr>
          <w:rFonts w:ascii="VIC" w:hAnsi="VIC" w:cstheme="majorHAnsi"/>
          <w:sz w:val="24"/>
          <w:szCs w:val="24"/>
          <w:lang w:val="en"/>
        </w:rPr>
        <w:t xml:space="preserve"> </w:t>
      </w:r>
      <w:r w:rsidRPr="004D307F">
        <w:rPr>
          <w:rFonts w:ascii="VIC" w:eastAsia="Times New Roman" w:hAnsi="VIC" w:cs="Times New Roman"/>
          <w:color w:val="011A3C"/>
          <w:sz w:val="24"/>
          <w:szCs w:val="24"/>
          <w:lang w:val="en" w:eastAsia="en-AU"/>
        </w:rPr>
        <w:t>in Term 1.</w:t>
      </w:r>
    </w:p>
    <w:p w14:paraId="25379106" w14:textId="77777777"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 principals will be emailed directly to detail Transition Support Funding allocations following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release of the Confirmed Student Resource Package.</w:t>
      </w:r>
    </w:p>
    <w:p w14:paraId="5FC354F7" w14:textId="77777777" w:rsidR="00A266A0" w:rsidRPr="004D307F" w:rsidRDefault="00A266A0" w:rsidP="00A266A0">
      <w:pPr>
        <w:rPr>
          <w:rFonts w:ascii="VIC" w:hAnsi="VIC" w:cstheme="majorHAnsi"/>
          <w:sz w:val="24"/>
          <w:szCs w:val="24"/>
        </w:rPr>
      </w:pPr>
      <w:r w:rsidRPr="004D307F">
        <w:rPr>
          <w:rFonts w:ascii="VIC" w:eastAsia="Times New Roman" w:hAnsi="VIC" w:cs="Times New Roman"/>
          <w:color w:val="011A3C"/>
          <w:sz w:val="24"/>
          <w:szCs w:val="24"/>
          <w:lang w:val="en" w:eastAsia="en-AU"/>
        </w:rPr>
        <w:t>If a school identifies a student for Transition Support Funding after Term 1, a pro-rata allocation will be considered.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In these instances, schools are advised to log a request through the </w:t>
      </w:r>
      <w:hyperlink r:id="rId56" w:tgtFrame="_blank" w:history="1">
        <w:r w:rsidRPr="004D307F">
          <w:rPr>
            <w:rFonts w:ascii="VIC" w:hAnsi="VIC" w:cstheme="majorHAnsi"/>
            <w:color w:val="0000FF"/>
            <w:sz w:val="24"/>
            <w:szCs w:val="24"/>
            <w:u w:val="single"/>
          </w:rPr>
          <w:t>DET Services</w:t>
        </w:r>
        <w:r w:rsidRPr="004D307F">
          <w:rPr>
            <w:rFonts w:ascii="Calibri" w:hAnsi="Calibri" w:cs="Calibri"/>
            <w:color w:val="0000FF"/>
            <w:sz w:val="24"/>
            <w:szCs w:val="24"/>
            <w:u w:val="single"/>
          </w:rPr>
          <w:t> </w:t>
        </w:r>
        <w:r w:rsidRPr="004D307F">
          <w:rPr>
            <w:rFonts w:ascii="VIC" w:hAnsi="VIC" w:cstheme="majorHAnsi"/>
            <w:color w:val="0000FF"/>
            <w:sz w:val="24"/>
            <w:szCs w:val="24"/>
            <w:u w:val="single"/>
          </w:rPr>
          <w:t>Portal</w:t>
        </w:r>
      </w:hyperlink>
      <w:r w:rsidRPr="004D307F">
        <w:rPr>
          <w:rFonts w:ascii="VIC" w:hAnsi="VIC" w:cstheme="majorHAnsi"/>
          <w:sz w:val="24"/>
          <w:szCs w:val="24"/>
          <w:lang w:val="en"/>
        </w:rPr>
        <w:t>.</w:t>
      </w:r>
    </w:p>
    <w:p w14:paraId="639F7400" w14:textId="77777777"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Where a student in receipt of Transition Support Funding changes government schools during the year, schools should make local arrangements to transfer resources (including specialist equipment or materials).</w:t>
      </w:r>
    </w:p>
    <w:p w14:paraId="77320FE5" w14:textId="528434C6" w:rsidR="00A266A0" w:rsidRPr="004D307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- 202</w:t>
      </w:r>
      <w:r w:rsidR="00205123" w:rsidRPr="004D307F">
        <w:rPr>
          <w:rFonts w:ascii="VIC-Bold" w:eastAsia="Times New Roman" w:hAnsi="VIC-Bold" w:cs="Times New Roman"/>
          <w:b/>
          <w:bCs/>
          <w:color w:val="011A3C"/>
          <w:sz w:val="27"/>
          <w:szCs w:val="27"/>
          <w:lang w:val="en" w:eastAsia="en-AU"/>
        </w:rPr>
        <w:t>2</w:t>
      </w:r>
    </w:p>
    <w:p w14:paraId="5698B39C" w14:textId="048EAA44" w:rsidR="00A266A0" w:rsidRPr="004D307F" w:rsidRDefault="00A266A0" w:rsidP="00ED0863">
      <w:pPr>
        <w:pStyle w:val="ListParagraph"/>
        <w:numPr>
          <w:ilvl w:val="0"/>
          <w:numId w:val="158"/>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eligible student (pro-rata) – Cash ($) $3,000</w:t>
      </w:r>
    </w:p>
    <w:p w14:paraId="7026B490" w14:textId="77777777" w:rsidR="001059CF" w:rsidRPr="004D307F" w:rsidRDefault="001059CF" w:rsidP="001059CF">
      <w:pPr>
        <w:ind w:left="720"/>
        <w:contextualSpacing/>
        <w:rPr>
          <w:rFonts w:asciiTheme="majorHAnsi" w:hAnsiTheme="majorHAnsi" w:cstheme="majorHAnsi"/>
          <w:lang w:val="en"/>
        </w:rPr>
      </w:pPr>
    </w:p>
    <w:p w14:paraId="3B2F4568" w14:textId="77777777" w:rsidR="00A266A0" w:rsidRPr="004D307F" w:rsidRDefault="00A266A0" w:rsidP="00A266A0">
      <w:pPr>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Examples for use of funding</w:t>
      </w:r>
    </w:p>
    <w:p w14:paraId="1F86898A" w14:textId="34E97442"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consultation with the Student Support Group, consideration can be given to providing more intense support at the beginning of the school </w:t>
      </w:r>
      <w:r w:rsidR="00443B74" w:rsidRPr="004D307F">
        <w:rPr>
          <w:rFonts w:ascii="VIC" w:eastAsia="Times New Roman" w:hAnsi="VIC" w:cs="Times New Roman"/>
          <w:color w:val="011A3C"/>
          <w:sz w:val="24"/>
          <w:szCs w:val="24"/>
          <w:lang w:val="en" w:eastAsia="en-AU"/>
        </w:rPr>
        <w:t>year or</w:t>
      </w:r>
      <w:r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lastRenderedPageBreak/>
        <w:t xml:space="preserve">identifying equipment and materials that will be used over a longer </w:t>
      </w:r>
      <w:proofErr w:type="gramStart"/>
      <w:r w:rsidRPr="004D307F">
        <w:rPr>
          <w:rFonts w:ascii="VIC" w:eastAsia="Times New Roman" w:hAnsi="VIC" w:cs="Times New Roman"/>
          <w:color w:val="011A3C"/>
          <w:sz w:val="24"/>
          <w:szCs w:val="24"/>
          <w:lang w:val="en" w:eastAsia="en-AU"/>
        </w:rPr>
        <w:t>period of time</w:t>
      </w:r>
      <w:proofErr w:type="gramEnd"/>
      <w:r w:rsidRPr="004D307F">
        <w:rPr>
          <w:rFonts w:ascii="VIC" w:eastAsia="Times New Roman" w:hAnsi="VIC" w:cs="Times New Roman"/>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For example:</w:t>
      </w:r>
    </w:p>
    <w:p w14:paraId="0757360C" w14:textId="77777777" w:rsidR="00A266A0" w:rsidRPr="004D307F" w:rsidRDefault="00A266A0" w:rsidP="00A266A0">
      <w:pPr>
        <w:rPr>
          <w:rFonts w:ascii="VIC" w:hAnsi="VIC" w:cstheme="majorHAnsi"/>
          <w:b/>
          <w:bCs/>
          <w:sz w:val="24"/>
          <w:szCs w:val="24"/>
          <w:lang w:val="en"/>
        </w:rPr>
      </w:pPr>
      <w:r w:rsidRPr="004D307F">
        <w:rPr>
          <w:rFonts w:ascii="VIC" w:hAnsi="VIC" w:cstheme="majorHAnsi"/>
          <w:b/>
          <w:bCs/>
          <w:sz w:val="24"/>
          <w:szCs w:val="24"/>
          <w:lang w:val="en"/>
        </w:rPr>
        <w:t xml:space="preserve">For a student with </w:t>
      </w:r>
      <w:proofErr w:type="spellStart"/>
      <w:r w:rsidRPr="004D307F">
        <w:rPr>
          <w:rFonts w:ascii="VIC" w:hAnsi="VIC" w:cstheme="majorHAnsi"/>
          <w:b/>
          <w:bCs/>
          <w:sz w:val="24"/>
          <w:szCs w:val="24"/>
          <w:lang w:val="en"/>
        </w:rPr>
        <w:t>behaviour</w:t>
      </w:r>
      <w:proofErr w:type="spellEnd"/>
      <w:r w:rsidRPr="004D307F">
        <w:rPr>
          <w:rFonts w:ascii="VIC" w:hAnsi="VIC" w:cstheme="majorHAnsi"/>
          <w:b/>
          <w:bCs/>
          <w:sz w:val="24"/>
          <w:szCs w:val="24"/>
          <w:lang w:val="en"/>
        </w:rPr>
        <w:t xml:space="preserve"> support needs</w:t>
      </w:r>
    </w:p>
    <w:p w14:paraId="3367229C" w14:textId="2C0F1A06" w:rsidR="00BF1637"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Transition Support Funding may be used for professional development and consultation focused </w:t>
      </w:r>
      <w:proofErr w:type="gramStart"/>
      <w:r w:rsidRPr="004D307F">
        <w:rPr>
          <w:rFonts w:ascii="VIC" w:eastAsia="Times New Roman" w:hAnsi="VIC" w:cs="Times New Roman"/>
          <w:color w:val="011A3C"/>
          <w:sz w:val="24"/>
          <w:szCs w:val="24"/>
          <w:lang w:val="en" w:eastAsia="en-AU"/>
        </w:rPr>
        <w:t>at</w:t>
      </w:r>
      <w:proofErr w:type="gramEnd"/>
      <w:r w:rsidRPr="004D307F">
        <w:rPr>
          <w:rFonts w:ascii="VIC" w:eastAsia="Times New Roman" w:hAnsi="VIC" w:cs="Times New Roman"/>
          <w:color w:val="011A3C"/>
          <w:sz w:val="24"/>
          <w:szCs w:val="24"/>
          <w:lang w:val="en" w:eastAsia="en-AU"/>
        </w:rPr>
        <w:t xml:space="preserve"> the beginning of the school year.</w:t>
      </w:r>
      <w:r w:rsidRPr="004D307F">
        <w:rPr>
          <w:rFonts w:ascii="Calibri" w:eastAsia="Times New Roman" w:hAnsi="Calibri" w:cs="Calibri" w:hint="eastAsia"/>
          <w:color w:val="011A3C"/>
          <w:sz w:val="24"/>
          <w:szCs w:val="24"/>
          <w:lang w:val="en" w:eastAsia="en-AU"/>
        </w:rPr>
        <w:t> </w:t>
      </w:r>
      <w:r w:rsidR="00BF1637" w:rsidRPr="004D307F">
        <w:rPr>
          <w:rFonts w:ascii="VIC" w:eastAsia="Times New Roman" w:hAnsi="VIC" w:cs="Times New Roman"/>
          <w:color w:val="011A3C"/>
          <w:sz w:val="24"/>
          <w:szCs w:val="24"/>
          <w:lang w:val="en" w:eastAsia="en-AU"/>
        </w:rPr>
        <w:t xml:space="preserve">Transition Support Funding could be used to: </w:t>
      </w:r>
    </w:p>
    <w:p w14:paraId="5BBD575C" w14:textId="77777777" w:rsidR="00BF1637" w:rsidRPr="004D307F" w:rsidRDefault="00A266A0" w:rsidP="00ED0863">
      <w:pPr>
        <w:pStyle w:val="ListParagraph"/>
        <w:numPr>
          <w:ilvl w:val="0"/>
          <w:numId w:val="158"/>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provide school staff with the necessary knowledge and skills</w:t>
      </w:r>
    </w:p>
    <w:p w14:paraId="66DAB32E" w14:textId="480D9FF2" w:rsidR="00BF1637" w:rsidRPr="004D307F" w:rsidRDefault="00A266A0" w:rsidP="00ED0863">
      <w:pPr>
        <w:pStyle w:val="ListParagraph"/>
        <w:numPr>
          <w:ilvl w:val="0"/>
          <w:numId w:val="158"/>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 develop and implement </w:t>
      </w:r>
      <w:proofErr w:type="spellStart"/>
      <w:r w:rsidR="00BF1637"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ehaviour</w:t>
      </w:r>
      <w:proofErr w:type="spellEnd"/>
      <w:r w:rsidRPr="004D307F">
        <w:rPr>
          <w:rFonts w:ascii="VIC" w:eastAsia="Times New Roman" w:hAnsi="VIC" w:cs="Times New Roman"/>
          <w:color w:val="011A3C"/>
          <w:sz w:val="24"/>
          <w:szCs w:val="24"/>
          <w:lang w:val="en" w:eastAsia="en-AU"/>
        </w:rPr>
        <w:t xml:space="preserve"> </w:t>
      </w:r>
      <w:r w:rsidR="00BF1637" w:rsidRPr="004D307F">
        <w:rPr>
          <w:rFonts w:ascii="VIC" w:eastAsia="Times New Roman" w:hAnsi="VIC" w:cs="Times New Roman"/>
          <w:color w:val="011A3C"/>
          <w:sz w:val="24"/>
          <w:szCs w:val="24"/>
          <w:lang w:val="en" w:eastAsia="en-AU"/>
        </w:rPr>
        <w:t>S</w:t>
      </w:r>
      <w:r w:rsidRPr="004D307F">
        <w:rPr>
          <w:rFonts w:ascii="VIC" w:eastAsia="Times New Roman" w:hAnsi="VIC" w:cs="Times New Roman"/>
          <w:color w:val="011A3C"/>
          <w:sz w:val="24"/>
          <w:szCs w:val="24"/>
          <w:lang w:val="en" w:eastAsia="en-AU"/>
        </w:rPr>
        <w:t xml:space="preserve">upport </w:t>
      </w:r>
      <w:r w:rsidR="00BF1637" w:rsidRPr="004D307F">
        <w:rPr>
          <w:rFonts w:ascii="VIC" w:eastAsia="Times New Roman" w:hAnsi="VIC" w:cs="Times New Roman"/>
          <w:color w:val="011A3C"/>
          <w:sz w:val="24"/>
          <w:szCs w:val="24"/>
          <w:lang w:val="en" w:eastAsia="en-AU"/>
        </w:rPr>
        <w:t>P</w:t>
      </w:r>
      <w:r w:rsidRPr="004D307F">
        <w:rPr>
          <w:rFonts w:ascii="VIC" w:eastAsia="Times New Roman" w:hAnsi="VIC" w:cs="Times New Roman"/>
          <w:color w:val="011A3C"/>
          <w:sz w:val="24"/>
          <w:szCs w:val="24"/>
          <w:lang w:val="en" w:eastAsia="en-AU"/>
        </w:rPr>
        <w:t>lans and resources across the school</w:t>
      </w:r>
      <w:r w:rsidR="00BF1637" w:rsidRPr="004D307F">
        <w:rPr>
          <w:rFonts w:ascii="VIC" w:eastAsia="Times New Roman" w:hAnsi="VIC" w:cs="Times New Roman"/>
          <w:color w:val="011A3C"/>
          <w:sz w:val="24"/>
          <w:szCs w:val="24"/>
          <w:lang w:val="en" w:eastAsia="en-AU"/>
        </w:rPr>
        <w:t xml:space="preserve"> </w:t>
      </w:r>
    </w:p>
    <w:p w14:paraId="37C125B4" w14:textId="4DBDE52C" w:rsidR="00A266A0" w:rsidRPr="004D307F" w:rsidRDefault="00A266A0" w:rsidP="00ED0863">
      <w:pPr>
        <w:pStyle w:val="ListParagraph"/>
        <w:numPr>
          <w:ilvl w:val="0"/>
          <w:numId w:val="158"/>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support other adjustments to the school environment as the student begins secondary school.</w:t>
      </w:r>
    </w:p>
    <w:p w14:paraId="07D03ED7" w14:textId="77777777" w:rsidR="00A266A0" w:rsidRPr="004D307F" w:rsidRDefault="00A266A0" w:rsidP="00A266A0">
      <w:pPr>
        <w:rPr>
          <w:rFonts w:ascii="VIC" w:hAnsi="VIC" w:cstheme="majorHAnsi"/>
          <w:b/>
          <w:bCs/>
          <w:sz w:val="24"/>
          <w:szCs w:val="24"/>
          <w:lang w:val="en"/>
        </w:rPr>
      </w:pPr>
      <w:r w:rsidRPr="004D307F">
        <w:rPr>
          <w:rFonts w:ascii="VIC" w:hAnsi="VIC" w:cstheme="majorHAnsi"/>
          <w:b/>
          <w:bCs/>
          <w:sz w:val="24"/>
          <w:szCs w:val="24"/>
          <w:lang w:val="en"/>
        </w:rPr>
        <w:t>For a student with learning support needs</w:t>
      </w:r>
    </w:p>
    <w:p w14:paraId="5B07666A" w14:textId="684E2D29"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Transition Support Funding may be used to access specialist education or allied health support.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This may identify specialist equipment and educational resources that the school can purchase for the student's </w:t>
      </w:r>
      <w:proofErr w:type="spellStart"/>
      <w:r w:rsidRPr="004D307F">
        <w:rPr>
          <w:rFonts w:ascii="VIC" w:eastAsia="Times New Roman" w:hAnsi="VIC" w:cs="Times New Roman"/>
          <w:color w:val="011A3C"/>
          <w:sz w:val="24"/>
          <w:szCs w:val="24"/>
          <w:lang w:val="en" w:eastAsia="en-AU"/>
        </w:rPr>
        <w:t>personalised</w:t>
      </w:r>
      <w:proofErr w:type="spellEnd"/>
      <w:r w:rsidRPr="004D307F">
        <w:rPr>
          <w:rFonts w:ascii="VIC" w:eastAsia="Times New Roman" w:hAnsi="VIC" w:cs="Times New Roman"/>
          <w:color w:val="011A3C"/>
          <w:sz w:val="24"/>
          <w:szCs w:val="24"/>
          <w:lang w:val="en" w:eastAsia="en-AU"/>
        </w:rPr>
        <w:t xml:space="preserve"> learning and support needs.</w:t>
      </w:r>
    </w:p>
    <w:p w14:paraId="45F0E612" w14:textId="77777777" w:rsidR="00A266A0" w:rsidRPr="004D307F" w:rsidRDefault="00A266A0" w:rsidP="00A266A0">
      <w:pPr>
        <w:rPr>
          <w:rFonts w:ascii="VIC" w:hAnsi="VIC" w:cstheme="majorHAnsi"/>
          <w:b/>
          <w:bCs/>
          <w:sz w:val="24"/>
          <w:szCs w:val="24"/>
          <w:lang w:val="en"/>
        </w:rPr>
      </w:pPr>
      <w:r w:rsidRPr="004D307F">
        <w:rPr>
          <w:rFonts w:ascii="VIC" w:hAnsi="VIC" w:cstheme="majorHAnsi"/>
          <w:b/>
          <w:bCs/>
          <w:sz w:val="24"/>
          <w:szCs w:val="24"/>
          <w:lang w:val="en"/>
        </w:rPr>
        <w:t>For a student with sensory or health support needs</w:t>
      </w:r>
    </w:p>
    <w:p w14:paraId="45B71A27" w14:textId="77777777" w:rsidR="00A266A0" w:rsidRPr="004D307F" w:rsidRDefault="00A266A0" w:rsidP="00A266A0">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Transition Support Funding may be used to purchase personal equipment or resources, specific to the student's needs that will enhance their access and participation in the school's educational programs.</w:t>
      </w:r>
    </w:p>
    <w:p w14:paraId="1C732D4D" w14:textId="77777777" w:rsidR="00A266A0" w:rsidRPr="004D307F" w:rsidRDefault="00A266A0" w:rsidP="00A266A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Further information</w:t>
      </w:r>
    </w:p>
    <w:p w14:paraId="099DA25E" w14:textId="77777777" w:rsidR="00A266A0" w:rsidRPr="004D307F" w:rsidRDefault="00A35420" w:rsidP="00ED0863">
      <w:pPr>
        <w:numPr>
          <w:ilvl w:val="0"/>
          <w:numId w:val="140"/>
        </w:numPr>
        <w:spacing w:after="0" w:line="240" w:lineRule="auto"/>
        <w:ind w:hanging="357"/>
        <w:rPr>
          <w:rStyle w:val="Hyperlink"/>
          <w:rFonts w:ascii="VIC" w:eastAsia="Times New Roman" w:hAnsi="VIC" w:cs="Times New Roman"/>
          <w:sz w:val="24"/>
          <w:szCs w:val="24"/>
          <w:lang w:eastAsia="en-AU"/>
        </w:rPr>
      </w:pPr>
      <w:hyperlink r:id="rId57" w:history="1">
        <w:r w:rsidR="00A266A0" w:rsidRPr="004D307F">
          <w:rPr>
            <w:rStyle w:val="Hyperlink"/>
            <w:rFonts w:ascii="VIC" w:eastAsia="Times New Roman" w:hAnsi="VIC" w:cs="Times New Roman"/>
            <w:sz w:val="24"/>
            <w:szCs w:val="24"/>
            <w:lang w:eastAsia="en-AU"/>
          </w:rPr>
          <w:t xml:space="preserve">Students with Disability </w:t>
        </w:r>
      </w:hyperlink>
    </w:p>
    <w:p w14:paraId="7F6A96E2" w14:textId="2AA21ED6" w:rsidR="00A266A0" w:rsidRPr="004D307F" w:rsidRDefault="00AE3868" w:rsidP="00ED0863">
      <w:pPr>
        <w:numPr>
          <w:ilvl w:val="0"/>
          <w:numId w:val="140"/>
        </w:numPr>
        <w:spacing w:after="0" w:line="240" w:lineRule="auto"/>
        <w:ind w:hanging="357"/>
        <w:rPr>
          <w:rStyle w:val="Hyperlink"/>
          <w:rFonts w:ascii="VIC" w:eastAsia="Times New Roman" w:hAnsi="VIC" w:cs="Times New Roman"/>
          <w:sz w:val="24"/>
          <w:szCs w:val="24"/>
          <w:lang w:eastAsia="en-AU"/>
        </w:rPr>
      </w:pPr>
      <w:r w:rsidRPr="004D307F">
        <w:rPr>
          <w:rFonts w:ascii="VIC" w:eastAsia="Times New Roman" w:hAnsi="VIC" w:cs="Times New Roman"/>
          <w:sz w:val="24"/>
          <w:szCs w:val="24"/>
          <w:lang w:eastAsia="en-AU"/>
        </w:rPr>
        <w:fldChar w:fldCharType="begin"/>
      </w:r>
      <w:r w:rsidRPr="004D307F">
        <w:rPr>
          <w:rFonts w:ascii="VIC" w:eastAsia="Times New Roman" w:hAnsi="VIC" w:cs="Times New Roman"/>
          <w:sz w:val="24"/>
          <w:szCs w:val="24"/>
          <w:lang w:eastAsia="en-AU"/>
        </w:rPr>
        <w:instrText xml:space="preserve"> HYPERLINK "https://www2.education.vic.gov.au/pal/student-support-groups/policy" </w:instrText>
      </w:r>
      <w:r w:rsidRPr="004D307F">
        <w:rPr>
          <w:rFonts w:ascii="VIC" w:eastAsia="Times New Roman" w:hAnsi="VIC" w:cs="Times New Roman"/>
          <w:sz w:val="24"/>
          <w:szCs w:val="24"/>
          <w:lang w:eastAsia="en-AU"/>
        </w:rPr>
        <w:fldChar w:fldCharType="separate"/>
      </w:r>
      <w:r w:rsidR="00A266A0" w:rsidRPr="004D307F">
        <w:rPr>
          <w:rStyle w:val="Hyperlink"/>
          <w:rFonts w:ascii="VIC" w:eastAsia="Times New Roman" w:hAnsi="VIC" w:cs="Times New Roman"/>
          <w:sz w:val="24"/>
          <w:szCs w:val="24"/>
          <w:lang w:eastAsia="en-AU"/>
        </w:rPr>
        <w:t>Student Support</w:t>
      </w:r>
      <w:r w:rsidR="00A266A0" w:rsidRPr="004D307F">
        <w:rPr>
          <w:rStyle w:val="Hyperlink"/>
          <w:rFonts w:ascii="Calibri" w:eastAsia="Times New Roman" w:hAnsi="Calibri" w:cs="Calibri"/>
          <w:sz w:val="24"/>
          <w:szCs w:val="24"/>
          <w:lang w:eastAsia="en-AU"/>
        </w:rPr>
        <w:t> </w:t>
      </w:r>
      <w:r w:rsidR="00A266A0" w:rsidRPr="004D307F">
        <w:rPr>
          <w:rStyle w:val="Hyperlink"/>
          <w:rFonts w:ascii="VIC" w:eastAsia="Times New Roman" w:hAnsi="VIC" w:cs="Times New Roman"/>
          <w:sz w:val="24"/>
          <w:szCs w:val="24"/>
          <w:lang w:eastAsia="en-AU"/>
        </w:rPr>
        <w:t>Groups</w:t>
      </w:r>
      <w:r w:rsidRPr="004D307F">
        <w:rPr>
          <w:rStyle w:val="Hyperlink"/>
          <w:rFonts w:ascii="VIC" w:eastAsia="Times New Roman" w:hAnsi="VIC" w:cs="Times New Roman"/>
          <w:sz w:val="24"/>
          <w:szCs w:val="24"/>
          <w:lang w:eastAsia="en-AU"/>
        </w:rPr>
        <w:t xml:space="preserve"> </w:t>
      </w:r>
    </w:p>
    <w:p w14:paraId="372B58C8" w14:textId="167CE72E" w:rsidR="00A266A0" w:rsidRPr="004D307F" w:rsidRDefault="00AE3868" w:rsidP="00ED0863">
      <w:pPr>
        <w:numPr>
          <w:ilvl w:val="0"/>
          <w:numId w:val="140"/>
        </w:numPr>
        <w:spacing w:after="0" w:line="240" w:lineRule="auto"/>
        <w:ind w:hanging="357"/>
        <w:rPr>
          <w:rStyle w:val="Hyperlink"/>
          <w:rFonts w:ascii="VIC" w:eastAsia="Times New Roman" w:hAnsi="VIC" w:cs="Times New Roman"/>
          <w:sz w:val="24"/>
          <w:szCs w:val="24"/>
          <w:lang w:eastAsia="en-AU"/>
        </w:rPr>
      </w:pPr>
      <w:r w:rsidRPr="004D307F">
        <w:rPr>
          <w:rFonts w:ascii="VIC" w:eastAsia="Times New Roman" w:hAnsi="VIC" w:cs="Times New Roman"/>
          <w:sz w:val="24"/>
          <w:szCs w:val="24"/>
          <w:lang w:eastAsia="en-AU"/>
        </w:rPr>
        <w:fldChar w:fldCharType="end"/>
      </w:r>
      <w:hyperlink r:id="rId58" w:history="1">
        <w:r w:rsidR="00A266A0" w:rsidRPr="004D307F">
          <w:rPr>
            <w:rStyle w:val="Hyperlink"/>
            <w:rFonts w:ascii="VIC" w:eastAsia="Times New Roman" w:hAnsi="VIC" w:cs="Times New Roman"/>
            <w:sz w:val="24"/>
            <w:szCs w:val="24"/>
            <w:lang w:eastAsia="en-AU"/>
          </w:rPr>
          <w:t>Program for Students with Disabilities Management System (PSDMS) — information and user</w:t>
        </w:r>
        <w:r w:rsidR="00A266A0" w:rsidRPr="004D307F">
          <w:rPr>
            <w:rStyle w:val="Hyperlink"/>
            <w:rFonts w:ascii="Calibri" w:eastAsia="Times New Roman" w:hAnsi="Calibri" w:cs="Calibri"/>
            <w:sz w:val="24"/>
            <w:szCs w:val="24"/>
            <w:lang w:eastAsia="en-AU"/>
          </w:rPr>
          <w:t> </w:t>
        </w:r>
        <w:r w:rsidR="00A266A0" w:rsidRPr="004D307F">
          <w:rPr>
            <w:rStyle w:val="Hyperlink"/>
            <w:rFonts w:ascii="VIC" w:eastAsia="Times New Roman" w:hAnsi="VIC" w:cs="Times New Roman"/>
            <w:sz w:val="24"/>
            <w:szCs w:val="24"/>
            <w:lang w:eastAsia="en-AU"/>
          </w:rPr>
          <w:t>guides</w:t>
        </w:r>
      </w:hyperlink>
    </w:p>
    <w:p w14:paraId="14F9D417" w14:textId="77777777" w:rsidR="00A266A0" w:rsidRPr="004D307F" w:rsidRDefault="00A35420" w:rsidP="00ED0863">
      <w:pPr>
        <w:numPr>
          <w:ilvl w:val="1"/>
          <w:numId w:val="140"/>
        </w:numPr>
        <w:spacing w:after="0" w:line="240" w:lineRule="auto"/>
        <w:ind w:hanging="357"/>
        <w:rPr>
          <w:rStyle w:val="Hyperlink"/>
          <w:rFonts w:ascii="VIC" w:eastAsia="Times New Roman" w:hAnsi="VIC" w:cs="Times New Roman"/>
          <w:sz w:val="24"/>
          <w:szCs w:val="24"/>
          <w:lang w:eastAsia="en-AU"/>
        </w:rPr>
      </w:pPr>
      <w:hyperlink r:id="rId59" w:history="1">
        <w:r w:rsidR="00A266A0" w:rsidRPr="004D307F">
          <w:rPr>
            <w:rStyle w:val="Hyperlink"/>
            <w:rFonts w:ascii="VIC" w:eastAsia="Times New Roman" w:hAnsi="VIC" w:cs="Times New Roman"/>
            <w:sz w:val="24"/>
            <w:szCs w:val="24"/>
            <w:lang w:eastAsia="en-AU"/>
          </w:rPr>
          <w:t>PSDMS log in (for registered</w:t>
        </w:r>
        <w:r w:rsidR="00A266A0" w:rsidRPr="004D307F">
          <w:rPr>
            <w:rStyle w:val="Hyperlink"/>
            <w:rFonts w:ascii="Calibri" w:eastAsia="Times New Roman" w:hAnsi="Calibri" w:cs="Calibri"/>
            <w:sz w:val="24"/>
            <w:szCs w:val="24"/>
            <w:lang w:eastAsia="en-AU"/>
          </w:rPr>
          <w:t> </w:t>
        </w:r>
        <w:r w:rsidR="00A266A0" w:rsidRPr="004D307F">
          <w:rPr>
            <w:rStyle w:val="Hyperlink"/>
            <w:rFonts w:ascii="VIC" w:eastAsia="Times New Roman" w:hAnsi="VIC" w:cs="Times New Roman"/>
            <w:sz w:val="24"/>
            <w:szCs w:val="24"/>
            <w:lang w:eastAsia="en-AU"/>
          </w:rPr>
          <w:t>users)</w:t>
        </w:r>
      </w:hyperlink>
    </w:p>
    <w:p w14:paraId="4F4A2B41" w14:textId="19497892" w:rsidR="00A266A0" w:rsidRPr="004D307F" w:rsidRDefault="00A35420" w:rsidP="00ED0863">
      <w:pPr>
        <w:numPr>
          <w:ilvl w:val="0"/>
          <w:numId w:val="140"/>
        </w:numPr>
        <w:spacing w:after="0" w:line="240" w:lineRule="auto"/>
        <w:ind w:hanging="357"/>
        <w:rPr>
          <w:rStyle w:val="Hyperlink"/>
          <w:rFonts w:ascii="VIC" w:eastAsia="Times New Roman" w:hAnsi="VIC" w:cs="Times New Roman"/>
          <w:sz w:val="24"/>
          <w:szCs w:val="24"/>
          <w:lang w:eastAsia="en-AU"/>
        </w:rPr>
      </w:pPr>
      <w:hyperlink r:id="rId60" w:tgtFrame="_blank" w:history="1">
        <w:r w:rsidR="00A266A0" w:rsidRPr="004D307F">
          <w:rPr>
            <w:rStyle w:val="Hyperlink"/>
            <w:rFonts w:ascii="VIC" w:eastAsia="Times New Roman" w:hAnsi="VIC" w:cs="Times New Roman"/>
            <w:sz w:val="24"/>
            <w:szCs w:val="24"/>
            <w:lang w:eastAsia="en-AU"/>
          </w:rPr>
          <w:t>DET Services</w:t>
        </w:r>
        <w:r w:rsidR="00A266A0" w:rsidRPr="004D307F">
          <w:rPr>
            <w:rStyle w:val="Hyperlink"/>
            <w:rFonts w:ascii="Calibri" w:eastAsia="Times New Roman" w:hAnsi="Calibri" w:cs="Calibri"/>
            <w:sz w:val="24"/>
            <w:szCs w:val="24"/>
            <w:lang w:eastAsia="en-AU"/>
          </w:rPr>
          <w:t> </w:t>
        </w:r>
        <w:r w:rsidR="00A266A0" w:rsidRPr="004D307F">
          <w:rPr>
            <w:rStyle w:val="Hyperlink"/>
            <w:rFonts w:ascii="VIC" w:eastAsia="Times New Roman" w:hAnsi="VIC" w:cs="Times New Roman"/>
            <w:sz w:val="24"/>
            <w:szCs w:val="24"/>
            <w:lang w:eastAsia="en-AU"/>
          </w:rPr>
          <w:t>Portal</w:t>
        </w:r>
      </w:hyperlink>
    </w:p>
    <w:p w14:paraId="7A7D977A" w14:textId="77777777" w:rsidR="00BF1637" w:rsidRPr="004D307F" w:rsidRDefault="00A35420" w:rsidP="00ED0863">
      <w:pPr>
        <w:numPr>
          <w:ilvl w:val="0"/>
          <w:numId w:val="140"/>
        </w:numPr>
        <w:spacing w:after="0" w:line="240" w:lineRule="auto"/>
        <w:ind w:hanging="357"/>
        <w:rPr>
          <w:rStyle w:val="Hyperlink"/>
          <w:rFonts w:ascii="VIC" w:eastAsia="Times New Roman" w:hAnsi="VIC" w:cs="Times New Roman"/>
          <w:sz w:val="24"/>
          <w:szCs w:val="24"/>
          <w:lang w:eastAsia="en-AU"/>
        </w:rPr>
      </w:pPr>
      <w:hyperlink r:id="rId61" w:history="1">
        <w:proofErr w:type="spellStart"/>
        <w:r w:rsidR="00BF1637" w:rsidRPr="004D307F">
          <w:rPr>
            <w:rStyle w:val="Hyperlink"/>
            <w:rFonts w:ascii="VIC" w:eastAsia="Times New Roman" w:hAnsi="VIC" w:cs="Times New Roman"/>
            <w:sz w:val="24"/>
            <w:szCs w:val="24"/>
            <w:lang w:val="en" w:eastAsia="en-AU"/>
          </w:rPr>
          <w:t>Behaviour</w:t>
        </w:r>
        <w:proofErr w:type="spellEnd"/>
        <w:r w:rsidR="00BF1637" w:rsidRPr="004D307F">
          <w:rPr>
            <w:rStyle w:val="Hyperlink"/>
            <w:rFonts w:ascii="VIC" w:eastAsia="Times New Roman" w:hAnsi="VIC" w:cs="Times New Roman"/>
            <w:sz w:val="24"/>
            <w:szCs w:val="24"/>
            <w:lang w:val="en" w:eastAsia="en-AU"/>
          </w:rPr>
          <w:t xml:space="preserve"> Support Plans</w:t>
        </w:r>
      </w:hyperlink>
    </w:p>
    <w:p w14:paraId="32A32C97" w14:textId="3A417F23" w:rsidR="00BF1637" w:rsidRPr="004D307F" w:rsidRDefault="00A35420" w:rsidP="00ED0863">
      <w:pPr>
        <w:numPr>
          <w:ilvl w:val="0"/>
          <w:numId w:val="140"/>
        </w:numPr>
        <w:spacing w:after="0" w:line="240" w:lineRule="auto"/>
        <w:ind w:hanging="357"/>
        <w:rPr>
          <w:rStyle w:val="Hyperlink"/>
          <w:rFonts w:ascii="VIC" w:eastAsia="Times New Roman" w:hAnsi="VIC" w:cs="Times New Roman"/>
          <w:sz w:val="24"/>
          <w:szCs w:val="24"/>
          <w:lang w:eastAsia="en-AU"/>
        </w:rPr>
      </w:pPr>
      <w:hyperlink r:id="rId62" w:history="1">
        <w:r w:rsidR="00BF1637" w:rsidRPr="004D307F">
          <w:rPr>
            <w:rStyle w:val="Hyperlink"/>
            <w:rFonts w:ascii="VIC" w:eastAsia="Times New Roman" w:hAnsi="VIC" w:cs="Times New Roman"/>
            <w:sz w:val="24"/>
            <w:szCs w:val="24"/>
            <w:lang w:val="en" w:eastAsia="en-AU"/>
          </w:rPr>
          <w:t>Health Care Needs</w:t>
        </w:r>
      </w:hyperlink>
      <w:r w:rsidR="00BF1637" w:rsidRPr="004D307F">
        <w:rPr>
          <w:rStyle w:val="Hyperlink"/>
          <w:rFonts w:ascii="VIC" w:eastAsia="Times New Roman" w:hAnsi="VIC" w:cs="Times New Roman"/>
          <w:sz w:val="24"/>
          <w:szCs w:val="24"/>
          <w:lang w:eastAsia="en-AU"/>
        </w:rPr>
        <w:t xml:space="preserve"> </w:t>
      </w:r>
    </w:p>
    <w:p w14:paraId="667B809B" w14:textId="77777777" w:rsidR="00A266A0" w:rsidRPr="004D307F" w:rsidRDefault="00A266A0">
      <w:pPr>
        <w:rPr>
          <w:rFonts w:asciiTheme="majorHAnsi" w:eastAsia="Times New Roman" w:hAnsiTheme="majorHAnsi" w:cstheme="majorBidi"/>
          <w:b/>
          <w:color w:val="2F5496" w:themeColor="accent1" w:themeShade="BF"/>
          <w:sz w:val="36"/>
          <w:szCs w:val="26"/>
          <w:lang w:val="en" w:eastAsia="en-AU"/>
        </w:rPr>
      </w:pPr>
      <w:r w:rsidRPr="004D307F">
        <w:br w:type="page"/>
      </w:r>
    </w:p>
    <w:p w14:paraId="314B5FAA" w14:textId="5CF892C9" w:rsidR="00AD16F0" w:rsidRPr="004D307F" w:rsidRDefault="00AD16F0" w:rsidP="00B566E7">
      <w:pPr>
        <w:pStyle w:val="Heading2"/>
      </w:pPr>
      <w:bookmarkStart w:id="32" w:name="_Toc99882738"/>
      <w:r w:rsidRPr="004D307F">
        <w:lastRenderedPageBreak/>
        <w:t>Special School Complexity Allowance (Reference 18)</w:t>
      </w:r>
      <w:bookmarkEnd w:id="32"/>
    </w:p>
    <w:p w14:paraId="33A1CC2F"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school complexity allowance will apply to specialist schools receiving per capita student based core index and Program for Student with Disabilities level 1-6 allocations.</w:t>
      </w:r>
    </w:p>
    <w:p w14:paraId="6122EF3A" w14:textId="5DFA85EF"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Specialist school complexity allowance is calculated once a year (confirmed budget cycle) by multiplying the Core Index enrolment totals (Reference 5) by a school specific index point from the chart below. The index point is determined by calculating the weighted mean of the Students with Disabilities index levels 1-6 in the school</w:t>
      </w:r>
      <w:r w:rsidR="00443B74" w:rsidRPr="004D307F">
        <w:rPr>
          <w:rFonts w:ascii="VIC-Regular" w:eastAsia="Times New Roman" w:hAnsi="VIC-Regular" w:cs="Times New Roman"/>
          <w:color w:val="011A3C"/>
          <w:sz w:val="24"/>
          <w:szCs w:val="24"/>
          <w:lang w:val="en" w:eastAsia="en-AU"/>
        </w:rPr>
        <w:t xml:space="preserve"> as</w:t>
      </w:r>
      <w:r w:rsidRPr="004D307F">
        <w:rPr>
          <w:rFonts w:ascii="VIC-Regular" w:eastAsia="Times New Roman" w:hAnsi="VIC-Regular" w:cs="Times New Roman"/>
          <w:color w:val="011A3C"/>
          <w:sz w:val="24"/>
          <w:szCs w:val="24"/>
          <w:lang w:val="en" w:eastAsia="en-AU"/>
        </w:rPr>
        <w:t xml:space="preserve"> at</w:t>
      </w:r>
      <w:r w:rsidR="00443B74" w:rsidRPr="004D307F">
        <w:rPr>
          <w:rFonts w:ascii="VIC-Regular" w:eastAsia="Times New Roman" w:hAnsi="VIC-Regular" w:cs="Times New Roman"/>
          <w:color w:val="011A3C"/>
          <w:sz w:val="24"/>
          <w:szCs w:val="24"/>
          <w:lang w:val="en" w:eastAsia="en-AU"/>
        </w:rPr>
        <w:t xml:space="preserve"> </w:t>
      </w:r>
      <w:r w:rsidR="00F12663" w:rsidRPr="004D307F">
        <w:rPr>
          <w:rFonts w:ascii="VIC-Regular" w:eastAsia="Times New Roman" w:hAnsi="VIC-Regular" w:cs="Times New Roman"/>
          <w:color w:val="011A3C"/>
          <w:sz w:val="24"/>
          <w:szCs w:val="24"/>
          <w:lang w:val="en" w:eastAsia="en-AU"/>
        </w:rPr>
        <w:t>Term 1</w:t>
      </w:r>
      <w:r w:rsidRPr="004D307F">
        <w:rPr>
          <w:rFonts w:ascii="VIC-Regular" w:eastAsia="Times New Roman" w:hAnsi="VIC-Regular" w:cs="Times New Roman"/>
          <w:color w:val="011A3C"/>
          <w:sz w:val="24"/>
          <w:szCs w:val="24"/>
          <w:lang w:val="en" w:eastAsia="en-AU"/>
        </w:rPr>
        <w:t>.</w:t>
      </w:r>
    </w:p>
    <w:p w14:paraId="1440813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An example of the Special School Complexity Allowance calculation can be seen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5"/>
        <w:gridCol w:w="1881"/>
        <w:gridCol w:w="5220"/>
      </w:tblGrid>
      <w:tr w:rsidR="00371B75" w:rsidRPr="004D307F" w14:paraId="43172051" w14:textId="77777777" w:rsidTr="00080034">
        <w:tc>
          <w:tcPr>
            <w:tcW w:w="0" w:type="auto"/>
            <w:gridSpan w:val="3"/>
            <w:vAlign w:val="center"/>
            <w:hideMark/>
          </w:tcPr>
          <w:p w14:paraId="09A96868" w14:textId="7602B047" w:rsidR="00AD16F0" w:rsidRPr="004D307F" w:rsidRDefault="00AD16F0" w:rsidP="00AD16F0">
            <w:pPr>
              <w:spacing w:before="100" w:beforeAutospacing="1" w:after="100" w:afterAutospacing="1" w:line="288" w:lineRule="atLeast"/>
              <w:textAlignment w:val="top"/>
              <w:outlineLvl w:val="3"/>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b/>
                <w:bCs/>
                <w:color w:val="323E4F" w:themeColor="text2" w:themeShade="BF"/>
                <w:sz w:val="24"/>
                <w:szCs w:val="24"/>
                <w:lang w:eastAsia="en-AU"/>
              </w:rPr>
              <w:t xml:space="preserve">Example </w:t>
            </w:r>
            <w:r w:rsidRPr="004D307F">
              <w:rPr>
                <w:rFonts w:ascii="VIC-Bold" w:eastAsia="Times New Roman" w:hAnsi="VIC-Bold" w:cs="Times New Roman"/>
                <w:color w:val="323E4F" w:themeColor="text2" w:themeShade="BF"/>
                <w:sz w:val="24"/>
                <w:szCs w:val="24"/>
                <w:lang w:eastAsia="en-AU"/>
              </w:rPr>
              <w:t>— Special School Complexity Allowance calculation</w:t>
            </w:r>
            <w:r w:rsidR="007667A1" w:rsidRPr="004D307F">
              <w:rPr>
                <w:rFonts w:ascii="VIC-Bold" w:eastAsia="Times New Roman" w:hAnsi="VIC-Bold" w:cs="Times New Roman"/>
                <w:color w:val="323E4F" w:themeColor="text2" w:themeShade="BF"/>
                <w:sz w:val="24"/>
                <w:szCs w:val="24"/>
                <w:lang w:eastAsia="en-AU"/>
              </w:rPr>
              <w:t xml:space="preserve"> to derive the index point</w:t>
            </w:r>
          </w:p>
        </w:tc>
      </w:tr>
      <w:tr w:rsidR="00371B75" w:rsidRPr="004D307F" w14:paraId="5BA40CBF" w14:textId="77777777" w:rsidTr="00080034">
        <w:tc>
          <w:tcPr>
            <w:tcW w:w="0" w:type="auto"/>
            <w:hideMark/>
          </w:tcPr>
          <w:p w14:paraId="693FA8A7"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PSD Level</w:t>
            </w:r>
          </w:p>
        </w:tc>
        <w:tc>
          <w:tcPr>
            <w:tcW w:w="0" w:type="auto"/>
            <w:hideMark/>
          </w:tcPr>
          <w:p w14:paraId="4A35F7B8" w14:textId="7777777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No of Students</w:t>
            </w:r>
          </w:p>
        </w:tc>
        <w:tc>
          <w:tcPr>
            <w:tcW w:w="0" w:type="auto"/>
            <w:hideMark/>
          </w:tcPr>
          <w:p w14:paraId="136D1AA6" w14:textId="66CF72D7" w:rsidR="00AD16F0" w:rsidRPr="004D307F" w:rsidRDefault="00AD16F0" w:rsidP="0008003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 xml:space="preserve">Weighting Value </w:t>
            </w:r>
            <w:r w:rsidR="007667A1" w:rsidRPr="004D307F">
              <w:rPr>
                <w:rFonts w:ascii="VIC-Bold" w:eastAsia="Times New Roman" w:hAnsi="VIC-Bold" w:cs="Times New Roman"/>
                <w:color w:val="323E4F" w:themeColor="text2" w:themeShade="BF"/>
                <w:sz w:val="24"/>
                <w:szCs w:val="24"/>
                <w:lang w:eastAsia="en-AU"/>
              </w:rPr>
              <w:t>PSD Level x No. of Students</w:t>
            </w:r>
          </w:p>
        </w:tc>
      </w:tr>
      <w:tr w:rsidR="00371B75" w:rsidRPr="004D307F" w14:paraId="34FEBC4C" w14:textId="77777777" w:rsidTr="00080034">
        <w:tc>
          <w:tcPr>
            <w:tcW w:w="0" w:type="auto"/>
            <w:hideMark/>
          </w:tcPr>
          <w:p w14:paraId="3F89EF4D"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29AE36BD"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w:t>
            </w:r>
          </w:p>
        </w:tc>
        <w:tc>
          <w:tcPr>
            <w:tcW w:w="0" w:type="auto"/>
            <w:hideMark/>
          </w:tcPr>
          <w:p w14:paraId="1B76BB5E"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w:t>
            </w:r>
          </w:p>
        </w:tc>
      </w:tr>
      <w:tr w:rsidR="00371B75" w:rsidRPr="004D307F" w14:paraId="095AA27B" w14:textId="77777777" w:rsidTr="00080034">
        <w:tc>
          <w:tcPr>
            <w:tcW w:w="0" w:type="auto"/>
            <w:hideMark/>
          </w:tcPr>
          <w:p w14:paraId="2B8A7D76"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7AFBE723"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w:t>
            </w:r>
          </w:p>
        </w:tc>
        <w:tc>
          <w:tcPr>
            <w:tcW w:w="0" w:type="auto"/>
            <w:hideMark/>
          </w:tcPr>
          <w:p w14:paraId="2CDF30AA"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p>
        </w:tc>
      </w:tr>
      <w:tr w:rsidR="00371B75" w:rsidRPr="004D307F" w14:paraId="6E0F9461" w14:textId="77777777" w:rsidTr="00080034">
        <w:tc>
          <w:tcPr>
            <w:tcW w:w="0" w:type="auto"/>
            <w:hideMark/>
          </w:tcPr>
          <w:p w14:paraId="75180F6A"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37144155"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1F1B1C0B"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w:t>
            </w:r>
          </w:p>
        </w:tc>
      </w:tr>
      <w:tr w:rsidR="00371B75" w:rsidRPr="004D307F" w14:paraId="12A1C9CF" w14:textId="77777777" w:rsidTr="00080034">
        <w:tc>
          <w:tcPr>
            <w:tcW w:w="0" w:type="auto"/>
            <w:hideMark/>
          </w:tcPr>
          <w:p w14:paraId="66BC4AE4"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6091FE31"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5BD1972F"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w:t>
            </w:r>
          </w:p>
        </w:tc>
      </w:tr>
      <w:tr w:rsidR="00371B75" w:rsidRPr="004D307F" w14:paraId="37C82F72" w14:textId="77777777" w:rsidTr="00080034">
        <w:tc>
          <w:tcPr>
            <w:tcW w:w="0" w:type="auto"/>
            <w:hideMark/>
          </w:tcPr>
          <w:p w14:paraId="63C7B49B"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7F68972A"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6A7C25EF"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w:t>
            </w:r>
          </w:p>
        </w:tc>
      </w:tr>
      <w:tr w:rsidR="00371B75" w:rsidRPr="004D307F" w14:paraId="3DF263E7" w14:textId="77777777" w:rsidTr="00080034">
        <w:tc>
          <w:tcPr>
            <w:tcW w:w="0" w:type="auto"/>
            <w:hideMark/>
          </w:tcPr>
          <w:p w14:paraId="15D0F84A"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w:t>
            </w:r>
          </w:p>
        </w:tc>
        <w:tc>
          <w:tcPr>
            <w:tcW w:w="0" w:type="auto"/>
            <w:hideMark/>
          </w:tcPr>
          <w:p w14:paraId="0CD1FA7D"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p>
        </w:tc>
        <w:tc>
          <w:tcPr>
            <w:tcW w:w="0" w:type="auto"/>
            <w:hideMark/>
          </w:tcPr>
          <w:p w14:paraId="6E834B73" w14:textId="0F74D2AF"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p>
        </w:tc>
      </w:tr>
      <w:tr w:rsidR="00371B75" w:rsidRPr="004D307F" w14:paraId="316EE53E" w14:textId="77777777" w:rsidTr="00080034">
        <w:tc>
          <w:tcPr>
            <w:tcW w:w="0" w:type="auto"/>
            <w:hideMark/>
          </w:tcPr>
          <w:p w14:paraId="16EF68C4" w14:textId="3F7595CC" w:rsidR="00AD16F0" w:rsidRPr="004D307F" w:rsidRDefault="007667A1"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No. of Students</w:t>
            </w:r>
          </w:p>
        </w:tc>
        <w:tc>
          <w:tcPr>
            <w:tcW w:w="0" w:type="auto"/>
            <w:hideMark/>
          </w:tcPr>
          <w:p w14:paraId="7992E47E"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w:t>
            </w:r>
          </w:p>
        </w:tc>
        <w:tc>
          <w:tcPr>
            <w:tcW w:w="0" w:type="auto"/>
            <w:hideMark/>
          </w:tcPr>
          <w:p w14:paraId="1354A5F2" w14:textId="77777777" w:rsidR="00AD16F0" w:rsidRPr="004D307F" w:rsidRDefault="00AD16F0" w:rsidP="00080034">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130</w:t>
            </w:r>
          </w:p>
        </w:tc>
      </w:tr>
    </w:tbl>
    <w:p w14:paraId="468977FB" w14:textId="036201DF" w:rsidR="00AD16F0" w:rsidRPr="004D307F" w:rsidRDefault="007667A1"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323E4F" w:themeColor="text2" w:themeShade="BF"/>
          <w:sz w:val="24"/>
          <w:szCs w:val="24"/>
          <w:lang w:val="en" w:eastAsia="en-AU"/>
        </w:rPr>
        <w:t>Index Point = 130 (weighted value)/ 45 (no. of students) = 2.9</w:t>
      </w:r>
      <w:r w:rsidR="00711257" w:rsidRPr="004D307F">
        <w:rPr>
          <w:rFonts w:ascii="VIC-Regular" w:eastAsia="Times New Roman" w:hAnsi="VIC-Regular" w:cs="Times New Roman"/>
          <w:color w:val="323E4F" w:themeColor="text2" w:themeShade="BF"/>
          <w:sz w:val="24"/>
          <w:szCs w:val="24"/>
          <w:lang w:val="en" w:eastAsia="en-AU"/>
        </w:rPr>
        <w:t xml:space="preserve"> </w:t>
      </w:r>
      <w:r w:rsidR="00AD16F0" w:rsidRPr="004D307F">
        <w:rPr>
          <w:rFonts w:ascii="VIC-Regular" w:eastAsia="Times New Roman" w:hAnsi="VIC-Regular" w:cs="Times New Roman"/>
          <w:color w:val="323E4F" w:themeColor="text2" w:themeShade="BF"/>
          <w:sz w:val="24"/>
          <w:szCs w:val="24"/>
          <w:lang w:val="en" w:eastAsia="en-AU"/>
        </w:rPr>
        <w:t>Supplemen</w:t>
      </w:r>
      <w:r w:rsidR="00AD16F0" w:rsidRPr="004D307F">
        <w:rPr>
          <w:rFonts w:ascii="VIC-Regular" w:eastAsia="Times New Roman" w:hAnsi="VIC-Regular" w:cs="Times New Roman"/>
          <w:color w:val="011A3C"/>
          <w:sz w:val="24"/>
          <w:szCs w:val="24"/>
          <w:lang w:val="en" w:eastAsia="en-AU"/>
        </w:rPr>
        <w:t xml:space="preserve">tation per student = </w:t>
      </w:r>
      <w:r w:rsidR="00C9456F" w:rsidRPr="004D307F">
        <w:rPr>
          <w:rFonts w:ascii="VIC-Regular" w:eastAsia="Times New Roman" w:hAnsi="VIC-Regular" w:cs="Times New Roman"/>
          <w:color w:val="011A3C"/>
          <w:sz w:val="24"/>
          <w:szCs w:val="24"/>
          <w:lang w:val="en" w:eastAsia="en-AU"/>
        </w:rPr>
        <w:t>$949.10</w:t>
      </w:r>
      <w:r w:rsidR="00AD16F0" w:rsidRPr="004D307F">
        <w:rPr>
          <w:rFonts w:ascii="VIC-Regular" w:eastAsia="Times New Roman" w:hAnsi="VIC-Regular" w:cs="Times New Roman"/>
          <w:color w:val="011A3C"/>
          <w:sz w:val="24"/>
          <w:szCs w:val="24"/>
          <w:lang w:val="en" w:eastAsia="en-AU"/>
        </w:rPr>
        <w:t xml:space="preserve"> (from rates table</w:t>
      </w:r>
      <w:r w:rsidRPr="004D307F">
        <w:t xml:space="preserve"> </w:t>
      </w:r>
      <w:r w:rsidRPr="004D307F">
        <w:rPr>
          <w:rFonts w:ascii="VIC-Regular" w:eastAsia="Times New Roman" w:hAnsi="VIC-Regular" w:cs="Times New Roman"/>
          <w:color w:val="011A3C"/>
          <w:sz w:val="24"/>
          <w:szCs w:val="24"/>
          <w:lang w:val="en" w:eastAsia="en-AU"/>
        </w:rPr>
        <w:t>for index point 2.9)</w:t>
      </w:r>
      <w:r w:rsidR="00AD16F0" w:rsidRPr="004D307F">
        <w:rPr>
          <w:rFonts w:ascii="VIC-Regular" w:eastAsia="Times New Roman" w:hAnsi="VIC-Regular" w:cs="Times New Roman"/>
          <w:color w:val="011A3C"/>
          <w:sz w:val="24"/>
          <w:szCs w:val="24"/>
          <w:lang w:val="en" w:eastAsia="en-AU"/>
        </w:rPr>
        <w:t>)</w:t>
      </w:r>
    </w:p>
    <w:p w14:paraId="22CCBD0A" w14:textId="267196C5"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Special School Complexity Allowance = </w:t>
      </w:r>
      <w:r w:rsidR="00C9456F" w:rsidRPr="004D307F">
        <w:rPr>
          <w:rFonts w:ascii="VIC-Regular" w:eastAsia="Times New Roman" w:hAnsi="VIC-Regular" w:cs="Times New Roman"/>
          <w:color w:val="011A3C"/>
          <w:sz w:val="24"/>
          <w:szCs w:val="24"/>
          <w:lang w:val="en" w:eastAsia="en-AU"/>
        </w:rPr>
        <w:t xml:space="preserve">$949.10 </w:t>
      </w:r>
      <w:r w:rsidRPr="004D307F">
        <w:rPr>
          <w:rFonts w:ascii="VIC-Regular" w:eastAsia="Times New Roman" w:hAnsi="VIC-Regular" w:cs="Times New Roman"/>
          <w:color w:val="011A3C"/>
          <w:sz w:val="24"/>
          <w:szCs w:val="24"/>
          <w:lang w:val="en" w:eastAsia="en-AU"/>
        </w:rPr>
        <w:t xml:space="preserve">x 45 = </w:t>
      </w:r>
      <w:r w:rsidR="00C9456F" w:rsidRPr="004D307F">
        <w:rPr>
          <w:rFonts w:ascii="VIC-Regular" w:eastAsia="Times New Roman" w:hAnsi="VIC-Regular" w:cs="Times New Roman"/>
          <w:color w:val="011A3C"/>
          <w:sz w:val="24"/>
          <w:szCs w:val="24"/>
          <w:lang w:val="en" w:eastAsia="en-AU"/>
        </w:rPr>
        <w:t>$42,709.50</w:t>
      </w:r>
    </w:p>
    <w:p w14:paraId="237CEED8"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0AE38F84" w14:textId="0419002E"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w:t>
      </w:r>
      <w:r w:rsidR="009758B9" w:rsidRPr="004D307F">
        <w:rPr>
          <w:rFonts w:ascii="VIC-Regular" w:hAnsi="VIC-Regular"/>
          <w:color w:val="011A3C"/>
          <w:lang w:val="en"/>
        </w:rPr>
        <w:t xml:space="preserve"> the specialist school complexity allowance.</w:t>
      </w:r>
    </w:p>
    <w:tbl>
      <w:tblPr>
        <w:tblW w:w="5000" w:type="pct"/>
        <w:tblCellMar>
          <w:top w:w="15" w:type="dxa"/>
          <w:left w:w="15" w:type="dxa"/>
          <w:bottom w:w="15" w:type="dxa"/>
          <w:right w:w="15" w:type="dxa"/>
        </w:tblCellMar>
        <w:tblLook w:val="04A0" w:firstRow="1" w:lastRow="0" w:firstColumn="1" w:lastColumn="0" w:noHBand="0" w:noVBand="1"/>
      </w:tblPr>
      <w:tblGrid>
        <w:gridCol w:w="1121"/>
        <w:gridCol w:w="7905"/>
      </w:tblGrid>
      <w:tr w:rsidR="00AD16F0" w:rsidRPr="004D307F" w14:paraId="547DA189" w14:textId="77777777" w:rsidTr="00AD16F0">
        <w:tc>
          <w:tcPr>
            <w:tcW w:w="0" w:type="auto"/>
            <w:hideMark/>
          </w:tcPr>
          <w:p w14:paraId="57057386" w14:textId="77777777" w:rsidR="00AD16F0" w:rsidRPr="004D307F" w:rsidRDefault="00AD16F0" w:rsidP="00AD16F0">
            <w:pPr>
              <w:spacing w:after="0" w:line="360" w:lineRule="atLeast"/>
              <w:rPr>
                <w:rFonts w:ascii="VIC-Regular" w:eastAsia="Times New Roman" w:hAnsi="VIC-Regular" w:cs="Times New Roman"/>
                <w:b/>
                <w:bCs/>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Type</w:t>
            </w:r>
          </w:p>
        </w:tc>
        <w:tc>
          <w:tcPr>
            <w:tcW w:w="0" w:type="auto"/>
            <w:hideMark/>
          </w:tcPr>
          <w:p w14:paraId="072DBAD8" w14:textId="055C539E"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Day Special</w:t>
            </w:r>
            <w:r w:rsidRPr="004D307F">
              <w:rPr>
                <w:rFonts w:ascii="VIC-Regular" w:eastAsia="Times New Roman" w:hAnsi="VIC-Regular" w:cs="Times New Roman"/>
                <w:color w:val="323E4F" w:themeColor="text2" w:themeShade="BF"/>
                <w:sz w:val="24"/>
                <w:szCs w:val="24"/>
                <w:lang w:eastAsia="en-AU"/>
              </w:rPr>
              <w:br/>
            </w:r>
            <w:proofErr w:type="spellStart"/>
            <w:r w:rsidRPr="004D307F">
              <w:rPr>
                <w:rFonts w:ascii="VIC-Regular" w:eastAsia="Times New Roman" w:hAnsi="VIC-Regular" w:cs="Times New Roman"/>
                <w:color w:val="323E4F" w:themeColor="text2" w:themeShade="BF"/>
                <w:sz w:val="24"/>
                <w:szCs w:val="24"/>
                <w:lang w:eastAsia="en-AU"/>
              </w:rPr>
              <w:t>Special</w:t>
            </w:r>
            <w:proofErr w:type="spellEnd"/>
            <w:r w:rsidRPr="004D307F">
              <w:rPr>
                <w:rFonts w:ascii="VIC-Regular" w:eastAsia="Times New Roman" w:hAnsi="VIC-Regular" w:cs="Times New Roman"/>
                <w:color w:val="323E4F" w:themeColor="text2" w:themeShade="BF"/>
                <w:sz w:val="24"/>
                <w:szCs w:val="24"/>
                <w:lang w:eastAsia="en-AU"/>
              </w:rPr>
              <w:t xml:space="preserve"> Development</w:t>
            </w:r>
          </w:p>
          <w:p w14:paraId="42008208" w14:textId="7963CFFA" w:rsidR="00B52991" w:rsidRPr="004D307F"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Disability</w:t>
            </w:r>
          </w:p>
          <w:p w14:paraId="052E9918" w14:textId="0956B28B" w:rsidR="00B52991" w:rsidRPr="004D307F"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lastRenderedPageBreak/>
              <w:t>Special</w:t>
            </w:r>
          </w:p>
          <w:p w14:paraId="5E236F3B" w14:textId="12DC04B3" w:rsidR="00442CC2" w:rsidRPr="004D307F" w:rsidRDefault="00B52991" w:rsidP="00AD16F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Furlong Park School for Deaf Children</w:t>
            </w:r>
          </w:p>
          <w:p w14:paraId="006597CF" w14:textId="77777777" w:rsidR="00AD16F0" w:rsidRPr="004D307F" w:rsidRDefault="00AD16F0" w:rsidP="00AD16F0">
            <w:pPr>
              <w:spacing w:after="0" w:line="360" w:lineRule="atLeast"/>
              <w:rPr>
                <w:rFonts w:ascii="VIC-Regular" w:eastAsia="Times New Roman" w:hAnsi="VIC-Regular" w:cs="Times New Roman"/>
                <w:color w:val="323E4F" w:themeColor="text2" w:themeShade="BF"/>
                <w:sz w:val="24"/>
                <w:szCs w:val="24"/>
                <w:lang w:eastAsia="en-AU"/>
              </w:rPr>
            </w:pPr>
          </w:p>
        </w:tc>
      </w:tr>
    </w:tbl>
    <w:p w14:paraId="72AAED98" w14:textId="7777777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Calculation</w:t>
      </w:r>
    </w:p>
    <w:p w14:paraId="2269CCD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 School Complexity Allowance = Core Index enrolment × Supplementation per Student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8"/>
        <w:gridCol w:w="2258"/>
        <w:gridCol w:w="747"/>
        <w:gridCol w:w="2258"/>
        <w:gridCol w:w="747"/>
        <w:gridCol w:w="2258"/>
      </w:tblGrid>
      <w:tr w:rsidR="00371B75" w:rsidRPr="004D307F" w14:paraId="247547F3" w14:textId="77777777" w:rsidTr="006C7CCA">
        <w:trPr>
          <w:tblHeader/>
          <w:jc w:val="center"/>
        </w:trPr>
        <w:tc>
          <w:tcPr>
            <w:tcW w:w="0" w:type="auto"/>
            <w:gridSpan w:val="6"/>
            <w:vAlign w:val="center"/>
            <w:hideMark/>
          </w:tcPr>
          <w:p w14:paraId="4FE522CF" w14:textId="7B1DEA21" w:rsidR="00AD16F0" w:rsidRPr="004D307F" w:rsidRDefault="007667A1" w:rsidP="00AD16F0">
            <w:pPr>
              <w:spacing w:after="0" w:line="360" w:lineRule="atLeast"/>
              <w:textAlignment w:val="top"/>
              <w:rPr>
                <w:rFonts w:ascii="VIC-Regular" w:eastAsia="Times New Roman" w:hAnsi="VIC-Regular" w:cs="Times New Roman"/>
                <w:b/>
                <w:bCs/>
                <w:color w:val="323E4F" w:themeColor="text2" w:themeShade="BF"/>
                <w:sz w:val="24"/>
                <w:szCs w:val="24"/>
                <w:lang w:eastAsia="en-AU"/>
              </w:rPr>
            </w:pPr>
            <w:r w:rsidRPr="004D307F">
              <w:rPr>
                <w:rFonts w:ascii="VIC-Regular" w:eastAsia="Times New Roman" w:hAnsi="VIC-Regular" w:cs="Times New Roman"/>
                <w:b/>
                <w:bCs/>
                <w:color w:val="323E4F" w:themeColor="text2" w:themeShade="BF"/>
                <w:sz w:val="24"/>
                <w:szCs w:val="24"/>
                <w:lang w:eastAsia="en-AU"/>
              </w:rPr>
              <w:t xml:space="preserve">Index Point </w:t>
            </w:r>
            <w:r w:rsidR="00AD16F0" w:rsidRPr="004D307F">
              <w:rPr>
                <w:rFonts w:ascii="VIC-Regular" w:eastAsia="Times New Roman" w:hAnsi="VIC-Regular" w:cs="Times New Roman"/>
                <w:b/>
                <w:bCs/>
                <w:color w:val="323E4F" w:themeColor="text2" w:themeShade="BF"/>
                <w:sz w:val="24"/>
                <w:szCs w:val="24"/>
                <w:lang w:eastAsia="en-AU"/>
              </w:rPr>
              <w:t xml:space="preserve">Rates </w:t>
            </w:r>
            <w:r w:rsidR="00AD16F0" w:rsidRPr="004D307F">
              <w:rPr>
                <w:rFonts w:ascii="VIC-Regular" w:eastAsia="Times New Roman" w:hAnsi="VIC-Regular" w:cs="Times New Roman" w:hint="eastAsia"/>
                <w:b/>
                <w:bCs/>
                <w:color w:val="323E4F" w:themeColor="text2" w:themeShade="BF"/>
                <w:sz w:val="24"/>
                <w:szCs w:val="24"/>
                <w:lang w:eastAsia="en-AU"/>
              </w:rPr>
              <w:t>—</w:t>
            </w:r>
            <w:r w:rsidR="00AD16F0" w:rsidRPr="004D307F">
              <w:rPr>
                <w:rFonts w:ascii="VIC-Regular" w:eastAsia="Times New Roman" w:hAnsi="VIC-Regular" w:cs="Times New Roman"/>
                <w:b/>
                <w:bCs/>
                <w:color w:val="323E4F" w:themeColor="text2" w:themeShade="BF"/>
                <w:sz w:val="24"/>
                <w:szCs w:val="24"/>
                <w:lang w:eastAsia="en-AU"/>
              </w:rPr>
              <w:t xml:space="preserve"> 202</w:t>
            </w:r>
            <w:r w:rsidR="001112BF" w:rsidRPr="004D307F">
              <w:rPr>
                <w:rFonts w:ascii="VIC-Regular" w:eastAsia="Times New Roman" w:hAnsi="VIC-Regular" w:cs="Times New Roman"/>
                <w:b/>
                <w:bCs/>
                <w:color w:val="323E4F" w:themeColor="text2" w:themeShade="BF"/>
                <w:sz w:val="24"/>
                <w:szCs w:val="24"/>
                <w:lang w:eastAsia="en-AU"/>
              </w:rPr>
              <w:t>2</w:t>
            </w:r>
          </w:p>
        </w:tc>
      </w:tr>
      <w:tr w:rsidR="00371B75" w:rsidRPr="004D307F" w14:paraId="7FA3AD1F" w14:textId="77777777" w:rsidTr="006C7CCA">
        <w:trPr>
          <w:tblHeader/>
          <w:jc w:val="center"/>
        </w:trPr>
        <w:tc>
          <w:tcPr>
            <w:tcW w:w="0" w:type="auto"/>
            <w:hideMark/>
          </w:tcPr>
          <w:p w14:paraId="42560C92"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Index Point</w:t>
            </w:r>
          </w:p>
        </w:tc>
        <w:tc>
          <w:tcPr>
            <w:tcW w:w="0" w:type="auto"/>
            <w:hideMark/>
          </w:tcPr>
          <w:p w14:paraId="7A2D07F7"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Supplementation per Student ($)</w:t>
            </w:r>
          </w:p>
        </w:tc>
        <w:tc>
          <w:tcPr>
            <w:tcW w:w="0" w:type="auto"/>
            <w:hideMark/>
          </w:tcPr>
          <w:p w14:paraId="2C978126"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Index Point</w:t>
            </w:r>
          </w:p>
        </w:tc>
        <w:tc>
          <w:tcPr>
            <w:tcW w:w="0" w:type="auto"/>
            <w:hideMark/>
          </w:tcPr>
          <w:p w14:paraId="4B42505E"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Supplementation per Student ($)</w:t>
            </w:r>
          </w:p>
        </w:tc>
        <w:tc>
          <w:tcPr>
            <w:tcW w:w="0" w:type="auto"/>
            <w:hideMark/>
          </w:tcPr>
          <w:p w14:paraId="4A11FD84"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Index Point</w:t>
            </w:r>
          </w:p>
        </w:tc>
        <w:tc>
          <w:tcPr>
            <w:tcW w:w="0" w:type="auto"/>
            <w:hideMark/>
          </w:tcPr>
          <w:p w14:paraId="2F3782DA" w14:textId="77777777" w:rsidR="00AD16F0" w:rsidRPr="004D307F" w:rsidRDefault="00AD16F0" w:rsidP="00AD16F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Supplementation per Student ($)</w:t>
            </w:r>
          </w:p>
        </w:tc>
      </w:tr>
      <w:tr w:rsidR="00371B75" w:rsidRPr="004D307F" w14:paraId="0496726F" w14:textId="77777777" w:rsidTr="006C7CCA">
        <w:trPr>
          <w:jc w:val="center"/>
        </w:trPr>
        <w:tc>
          <w:tcPr>
            <w:tcW w:w="0" w:type="auto"/>
            <w:hideMark/>
          </w:tcPr>
          <w:p w14:paraId="45358CDA"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w:t>
            </w:r>
          </w:p>
        </w:tc>
        <w:tc>
          <w:tcPr>
            <w:tcW w:w="0" w:type="auto"/>
            <w:hideMark/>
          </w:tcPr>
          <w:p w14:paraId="32695426" w14:textId="32F310B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242.80</w:t>
            </w:r>
          </w:p>
        </w:tc>
        <w:tc>
          <w:tcPr>
            <w:tcW w:w="0" w:type="auto"/>
            <w:hideMark/>
          </w:tcPr>
          <w:p w14:paraId="0DCDFE3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2.7</w:t>
            </w:r>
          </w:p>
        </w:tc>
        <w:tc>
          <w:tcPr>
            <w:tcW w:w="0" w:type="auto"/>
            <w:hideMark/>
          </w:tcPr>
          <w:p w14:paraId="329D3CBF" w14:textId="31D597F2"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874.80</w:t>
            </w:r>
          </w:p>
        </w:tc>
        <w:tc>
          <w:tcPr>
            <w:tcW w:w="0" w:type="auto"/>
            <w:hideMark/>
          </w:tcPr>
          <w:p w14:paraId="553045E6"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4.4</w:t>
            </w:r>
          </w:p>
        </w:tc>
        <w:tc>
          <w:tcPr>
            <w:tcW w:w="0" w:type="auto"/>
            <w:hideMark/>
          </w:tcPr>
          <w:p w14:paraId="37F67294" w14:textId="6A32F9BA"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1,506.80</w:t>
            </w:r>
          </w:p>
        </w:tc>
      </w:tr>
      <w:tr w:rsidR="00371B75" w:rsidRPr="004D307F" w14:paraId="033A8E7E" w14:textId="77777777" w:rsidTr="006C7CCA">
        <w:trPr>
          <w:jc w:val="center"/>
        </w:trPr>
        <w:tc>
          <w:tcPr>
            <w:tcW w:w="0" w:type="auto"/>
            <w:hideMark/>
          </w:tcPr>
          <w:p w14:paraId="1AB0B78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w:t>
            </w:r>
          </w:p>
        </w:tc>
        <w:tc>
          <w:tcPr>
            <w:tcW w:w="0" w:type="auto"/>
            <w:hideMark/>
          </w:tcPr>
          <w:p w14:paraId="087EBB60" w14:textId="40A3341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279.90</w:t>
            </w:r>
          </w:p>
        </w:tc>
        <w:tc>
          <w:tcPr>
            <w:tcW w:w="0" w:type="auto"/>
            <w:hideMark/>
          </w:tcPr>
          <w:p w14:paraId="00E6FDDD"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2.8</w:t>
            </w:r>
          </w:p>
        </w:tc>
        <w:tc>
          <w:tcPr>
            <w:tcW w:w="0" w:type="auto"/>
            <w:hideMark/>
          </w:tcPr>
          <w:p w14:paraId="38A5AC4D" w14:textId="5012B9F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911.90</w:t>
            </w:r>
          </w:p>
        </w:tc>
        <w:tc>
          <w:tcPr>
            <w:tcW w:w="0" w:type="auto"/>
            <w:hideMark/>
          </w:tcPr>
          <w:p w14:paraId="46CFD57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4.5</w:t>
            </w:r>
          </w:p>
        </w:tc>
        <w:tc>
          <w:tcPr>
            <w:tcW w:w="0" w:type="auto"/>
            <w:hideMark/>
          </w:tcPr>
          <w:p w14:paraId="2E3D5D8C" w14:textId="7975F201"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1,543.90</w:t>
            </w:r>
          </w:p>
        </w:tc>
      </w:tr>
      <w:tr w:rsidR="00371B75" w:rsidRPr="004D307F" w14:paraId="2D013839" w14:textId="77777777" w:rsidTr="006C7CCA">
        <w:trPr>
          <w:jc w:val="center"/>
        </w:trPr>
        <w:tc>
          <w:tcPr>
            <w:tcW w:w="0" w:type="auto"/>
            <w:hideMark/>
          </w:tcPr>
          <w:p w14:paraId="787927F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w:t>
            </w:r>
          </w:p>
        </w:tc>
        <w:tc>
          <w:tcPr>
            <w:tcW w:w="0" w:type="auto"/>
            <w:hideMark/>
          </w:tcPr>
          <w:p w14:paraId="5AFE8D9D" w14:textId="3CD1FB10"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317.10</w:t>
            </w:r>
          </w:p>
        </w:tc>
        <w:tc>
          <w:tcPr>
            <w:tcW w:w="0" w:type="auto"/>
            <w:hideMark/>
          </w:tcPr>
          <w:p w14:paraId="728BA60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2.9</w:t>
            </w:r>
          </w:p>
        </w:tc>
        <w:tc>
          <w:tcPr>
            <w:tcW w:w="0" w:type="auto"/>
            <w:hideMark/>
          </w:tcPr>
          <w:p w14:paraId="726CA318" w14:textId="5E996176"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949.10</w:t>
            </w:r>
          </w:p>
        </w:tc>
        <w:tc>
          <w:tcPr>
            <w:tcW w:w="0" w:type="auto"/>
            <w:hideMark/>
          </w:tcPr>
          <w:p w14:paraId="4CB9C00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4.6</w:t>
            </w:r>
          </w:p>
        </w:tc>
        <w:tc>
          <w:tcPr>
            <w:tcW w:w="0" w:type="auto"/>
            <w:hideMark/>
          </w:tcPr>
          <w:p w14:paraId="0D08FDE7" w14:textId="3D3CE51A"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1,581.10</w:t>
            </w:r>
          </w:p>
        </w:tc>
      </w:tr>
      <w:tr w:rsidR="00371B75" w:rsidRPr="004D307F" w14:paraId="4AC88BEC" w14:textId="77777777" w:rsidTr="006C7CCA">
        <w:trPr>
          <w:jc w:val="center"/>
        </w:trPr>
        <w:tc>
          <w:tcPr>
            <w:tcW w:w="0" w:type="auto"/>
            <w:hideMark/>
          </w:tcPr>
          <w:p w14:paraId="22D6AA1E"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w:t>
            </w:r>
          </w:p>
        </w:tc>
        <w:tc>
          <w:tcPr>
            <w:tcW w:w="0" w:type="auto"/>
            <w:hideMark/>
          </w:tcPr>
          <w:p w14:paraId="2048F859" w14:textId="642DEC3C"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354.30</w:t>
            </w:r>
          </w:p>
        </w:tc>
        <w:tc>
          <w:tcPr>
            <w:tcW w:w="0" w:type="auto"/>
            <w:hideMark/>
          </w:tcPr>
          <w:p w14:paraId="2A6C31B2"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p>
        </w:tc>
        <w:tc>
          <w:tcPr>
            <w:tcW w:w="0" w:type="auto"/>
            <w:hideMark/>
          </w:tcPr>
          <w:p w14:paraId="13BB3875" w14:textId="50CCB92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986.30</w:t>
            </w:r>
          </w:p>
        </w:tc>
        <w:tc>
          <w:tcPr>
            <w:tcW w:w="0" w:type="auto"/>
            <w:hideMark/>
          </w:tcPr>
          <w:p w14:paraId="10719C3A"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4.7</w:t>
            </w:r>
          </w:p>
        </w:tc>
        <w:tc>
          <w:tcPr>
            <w:tcW w:w="0" w:type="auto"/>
            <w:hideMark/>
          </w:tcPr>
          <w:p w14:paraId="718307A0" w14:textId="58E8C51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1,618.30</w:t>
            </w:r>
          </w:p>
        </w:tc>
      </w:tr>
      <w:tr w:rsidR="00371B75" w:rsidRPr="004D307F" w14:paraId="44003AAF" w14:textId="77777777" w:rsidTr="006C7CCA">
        <w:trPr>
          <w:jc w:val="center"/>
        </w:trPr>
        <w:tc>
          <w:tcPr>
            <w:tcW w:w="0" w:type="auto"/>
            <w:hideMark/>
          </w:tcPr>
          <w:p w14:paraId="0AACADE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w:t>
            </w:r>
          </w:p>
        </w:tc>
        <w:tc>
          <w:tcPr>
            <w:tcW w:w="0" w:type="auto"/>
            <w:hideMark/>
          </w:tcPr>
          <w:p w14:paraId="1D978614" w14:textId="74DE0A13"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391.50</w:t>
            </w:r>
          </w:p>
        </w:tc>
        <w:tc>
          <w:tcPr>
            <w:tcW w:w="0" w:type="auto"/>
            <w:hideMark/>
          </w:tcPr>
          <w:p w14:paraId="58FF71F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3.1</w:t>
            </w:r>
          </w:p>
        </w:tc>
        <w:tc>
          <w:tcPr>
            <w:tcW w:w="0" w:type="auto"/>
            <w:hideMark/>
          </w:tcPr>
          <w:p w14:paraId="5AC44CF3" w14:textId="05356B60"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1,023.50</w:t>
            </w:r>
          </w:p>
        </w:tc>
        <w:tc>
          <w:tcPr>
            <w:tcW w:w="0" w:type="auto"/>
            <w:hideMark/>
          </w:tcPr>
          <w:p w14:paraId="37C8EAE8"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4.8</w:t>
            </w:r>
          </w:p>
        </w:tc>
        <w:tc>
          <w:tcPr>
            <w:tcW w:w="0" w:type="auto"/>
            <w:hideMark/>
          </w:tcPr>
          <w:p w14:paraId="31E89DF3" w14:textId="6D64E7B6"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1,655.50</w:t>
            </w:r>
          </w:p>
        </w:tc>
      </w:tr>
      <w:tr w:rsidR="00371B75" w:rsidRPr="004D307F" w14:paraId="41B297C9" w14:textId="77777777" w:rsidTr="006C7CCA">
        <w:trPr>
          <w:jc w:val="center"/>
        </w:trPr>
        <w:tc>
          <w:tcPr>
            <w:tcW w:w="0" w:type="auto"/>
            <w:hideMark/>
          </w:tcPr>
          <w:p w14:paraId="57D82962"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1.5</w:t>
            </w:r>
          </w:p>
        </w:tc>
        <w:tc>
          <w:tcPr>
            <w:tcW w:w="0" w:type="auto"/>
            <w:hideMark/>
          </w:tcPr>
          <w:p w14:paraId="1AB87E54" w14:textId="531A26E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428.60</w:t>
            </w:r>
          </w:p>
        </w:tc>
        <w:tc>
          <w:tcPr>
            <w:tcW w:w="0" w:type="auto"/>
            <w:hideMark/>
          </w:tcPr>
          <w:p w14:paraId="32D31B4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3.2</w:t>
            </w:r>
          </w:p>
        </w:tc>
        <w:tc>
          <w:tcPr>
            <w:tcW w:w="0" w:type="auto"/>
            <w:hideMark/>
          </w:tcPr>
          <w:p w14:paraId="67CB616A" w14:textId="2D535A70"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1,060.60</w:t>
            </w:r>
          </w:p>
        </w:tc>
        <w:tc>
          <w:tcPr>
            <w:tcW w:w="0" w:type="auto"/>
            <w:hideMark/>
          </w:tcPr>
          <w:p w14:paraId="006516CC"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4.9</w:t>
            </w:r>
          </w:p>
        </w:tc>
        <w:tc>
          <w:tcPr>
            <w:tcW w:w="0" w:type="auto"/>
            <w:hideMark/>
          </w:tcPr>
          <w:p w14:paraId="41284A2E" w14:textId="71C15174"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1,692.70</w:t>
            </w:r>
          </w:p>
        </w:tc>
      </w:tr>
      <w:tr w:rsidR="00371B75" w:rsidRPr="004D307F" w14:paraId="3D5541D4" w14:textId="77777777" w:rsidTr="006C7CCA">
        <w:trPr>
          <w:jc w:val="center"/>
        </w:trPr>
        <w:tc>
          <w:tcPr>
            <w:tcW w:w="0" w:type="auto"/>
            <w:hideMark/>
          </w:tcPr>
          <w:p w14:paraId="7B75D06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w:t>
            </w:r>
          </w:p>
        </w:tc>
        <w:tc>
          <w:tcPr>
            <w:tcW w:w="0" w:type="auto"/>
            <w:hideMark/>
          </w:tcPr>
          <w:p w14:paraId="71C9368A" w14:textId="205EB605"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465.80</w:t>
            </w:r>
          </w:p>
        </w:tc>
        <w:tc>
          <w:tcPr>
            <w:tcW w:w="0" w:type="auto"/>
            <w:hideMark/>
          </w:tcPr>
          <w:p w14:paraId="4F3E49A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3.3</w:t>
            </w:r>
          </w:p>
        </w:tc>
        <w:tc>
          <w:tcPr>
            <w:tcW w:w="0" w:type="auto"/>
            <w:hideMark/>
          </w:tcPr>
          <w:p w14:paraId="239BD5A6" w14:textId="6C79A06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1,097.80</w:t>
            </w:r>
          </w:p>
        </w:tc>
        <w:tc>
          <w:tcPr>
            <w:tcW w:w="0" w:type="auto"/>
            <w:hideMark/>
          </w:tcPr>
          <w:p w14:paraId="2C5FF635"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5.0</w:t>
            </w:r>
          </w:p>
        </w:tc>
        <w:tc>
          <w:tcPr>
            <w:tcW w:w="0" w:type="auto"/>
            <w:hideMark/>
          </w:tcPr>
          <w:p w14:paraId="78750BDE" w14:textId="110C61CC"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1,729.80</w:t>
            </w:r>
          </w:p>
        </w:tc>
      </w:tr>
      <w:tr w:rsidR="00371B75" w:rsidRPr="004D307F" w14:paraId="1E37C75E" w14:textId="77777777" w:rsidTr="006C7CCA">
        <w:trPr>
          <w:jc w:val="center"/>
        </w:trPr>
        <w:tc>
          <w:tcPr>
            <w:tcW w:w="0" w:type="auto"/>
            <w:hideMark/>
          </w:tcPr>
          <w:p w14:paraId="0ACB375D"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w:t>
            </w:r>
          </w:p>
        </w:tc>
        <w:tc>
          <w:tcPr>
            <w:tcW w:w="0" w:type="auto"/>
            <w:hideMark/>
          </w:tcPr>
          <w:p w14:paraId="311799FE" w14:textId="23108DA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503.00</w:t>
            </w:r>
          </w:p>
        </w:tc>
        <w:tc>
          <w:tcPr>
            <w:tcW w:w="0" w:type="auto"/>
            <w:hideMark/>
          </w:tcPr>
          <w:p w14:paraId="717B6961"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3.4</w:t>
            </w:r>
          </w:p>
        </w:tc>
        <w:tc>
          <w:tcPr>
            <w:tcW w:w="0" w:type="auto"/>
            <w:hideMark/>
          </w:tcPr>
          <w:p w14:paraId="2686B2B7" w14:textId="4D17F306"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1,135.00</w:t>
            </w:r>
          </w:p>
        </w:tc>
        <w:tc>
          <w:tcPr>
            <w:tcW w:w="0" w:type="auto"/>
            <w:hideMark/>
          </w:tcPr>
          <w:p w14:paraId="1882CF5B"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5.1</w:t>
            </w:r>
          </w:p>
        </w:tc>
        <w:tc>
          <w:tcPr>
            <w:tcW w:w="0" w:type="auto"/>
            <w:hideMark/>
          </w:tcPr>
          <w:p w14:paraId="6D59845D" w14:textId="2AD30A7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1,767.00</w:t>
            </w:r>
          </w:p>
        </w:tc>
      </w:tr>
      <w:tr w:rsidR="00371B75" w:rsidRPr="004D307F" w14:paraId="1111ABB1" w14:textId="77777777" w:rsidTr="006C7CCA">
        <w:trPr>
          <w:jc w:val="center"/>
        </w:trPr>
        <w:tc>
          <w:tcPr>
            <w:tcW w:w="0" w:type="auto"/>
            <w:hideMark/>
          </w:tcPr>
          <w:p w14:paraId="5CE8240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w:t>
            </w:r>
          </w:p>
        </w:tc>
        <w:tc>
          <w:tcPr>
            <w:tcW w:w="0" w:type="auto"/>
            <w:hideMark/>
          </w:tcPr>
          <w:p w14:paraId="50BC3528" w14:textId="7D455689"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540.20</w:t>
            </w:r>
          </w:p>
        </w:tc>
        <w:tc>
          <w:tcPr>
            <w:tcW w:w="0" w:type="auto"/>
            <w:hideMark/>
          </w:tcPr>
          <w:p w14:paraId="5F5013F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3.5</w:t>
            </w:r>
          </w:p>
        </w:tc>
        <w:tc>
          <w:tcPr>
            <w:tcW w:w="0" w:type="auto"/>
            <w:hideMark/>
          </w:tcPr>
          <w:p w14:paraId="1E1B2C7F" w14:textId="6815C7C5"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1,172.20</w:t>
            </w:r>
          </w:p>
        </w:tc>
        <w:tc>
          <w:tcPr>
            <w:tcW w:w="0" w:type="auto"/>
            <w:hideMark/>
          </w:tcPr>
          <w:p w14:paraId="1386D357"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5.2</w:t>
            </w:r>
          </w:p>
        </w:tc>
        <w:tc>
          <w:tcPr>
            <w:tcW w:w="0" w:type="auto"/>
            <w:hideMark/>
          </w:tcPr>
          <w:p w14:paraId="366663DB" w14:textId="269DB01A"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1,804.20</w:t>
            </w:r>
          </w:p>
        </w:tc>
      </w:tr>
      <w:tr w:rsidR="00371B75" w:rsidRPr="004D307F" w14:paraId="1CBB737B" w14:textId="77777777" w:rsidTr="006C7CCA">
        <w:trPr>
          <w:jc w:val="center"/>
        </w:trPr>
        <w:tc>
          <w:tcPr>
            <w:tcW w:w="0" w:type="auto"/>
            <w:hideMark/>
          </w:tcPr>
          <w:p w14:paraId="6DF464B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w:t>
            </w:r>
          </w:p>
        </w:tc>
        <w:tc>
          <w:tcPr>
            <w:tcW w:w="0" w:type="auto"/>
            <w:hideMark/>
          </w:tcPr>
          <w:p w14:paraId="53C7A767" w14:textId="0A799FA1"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577.30</w:t>
            </w:r>
          </w:p>
        </w:tc>
        <w:tc>
          <w:tcPr>
            <w:tcW w:w="0" w:type="auto"/>
            <w:hideMark/>
          </w:tcPr>
          <w:p w14:paraId="2D6DF0D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3.6</w:t>
            </w:r>
          </w:p>
        </w:tc>
        <w:tc>
          <w:tcPr>
            <w:tcW w:w="0" w:type="auto"/>
            <w:hideMark/>
          </w:tcPr>
          <w:p w14:paraId="6DBC1F98" w14:textId="76ED903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1,209.30</w:t>
            </w:r>
          </w:p>
        </w:tc>
        <w:tc>
          <w:tcPr>
            <w:tcW w:w="0" w:type="auto"/>
            <w:hideMark/>
          </w:tcPr>
          <w:p w14:paraId="651507B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5.3</w:t>
            </w:r>
          </w:p>
        </w:tc>
        <w:tc>
          <w:tcPr>
            <w:tcW w:w="0" w:type="auto"/>
            <w:hideMark/>
          </w:tcPr>
          <w:p w14:paraId="72D627A2" w14:textId="12C29F0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1,841.30</w:t>
            </w:r>
          </w:p>
        </w:tc>
      </w:tr>
      <w:tr w:rsidR="00371B75" w:rsidRPr="004D307F" w14:paraId="5AD63067" w14:textId="77777777" w:rsidTr="006C7CCA">
        <w:trPr>
          <w:jc w:val="center"/>
        </w:trPr>
        <w:tc>
          <w:tcPr>
            <w:tcW w:w="0" w:type="auto"/>
            <w:hideMark/>
          </w:tcPr>
          <w:p w14:paraId="5E49F27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w:t>
            </w:r>
          </w:p>
        </w:tc>
        <w:tc>
          <w:tcPr>
            <w:tcW w:w="0" w:type="auto"/>
            <w:hideMark/>
          </w:tcPr>
          <w:p w14:paraId="55E70B87" w14:textId="4F5C35A6"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614.50</w:t>
            </w:r>
          </w:p>
        </w:tc>
        <w:tc>
          <w:tcPr>
            <w:tcW w:w="0" w:type="auto"/>
            <w:hideMark/>
          </w:tcPr>
          <w:p w14:paraId="1BB22D83"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3.7</w:t>
            </w:r>
          </w:p>
        </w:tc>
        <w:tc>
          <w:tcPr>
            <w:tcW w:w="0" w:type="auto"/>
            <w:hideMark/>
          </w:tcPr>
          <w:p w14:paraId="1D88AA8C" w14:textId="1F82F42D"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1,246.50</w:t>
            </w:r>
          </w:p>
        </w:tc>
        <w:tc>
          <w:tcPr>
            <w:tcW w:w="0" w:type="auto"/>
            <w:hideMark/>
          </w:tcPr>
          <w:p w14:paraId="1F0379EE"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5.4</w:t>
            </w:r>
          </w:p>
        </w:tc>
        <w:tc>
          <w:tcPr>
            <w:tcW w:w="0" w:type="auto"/>
            <w:hideMark/>
          </w:tcPr>
          <w:p w14:paraId="6369545C" w14:textId="7DDE3823"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1,878.50</w:t>
            </w:r>
          </w:p>
        </w:tc>
      </w:tr>
      <w:tr w:rsidR="00371B75" w:rsidRPr="004D307F" w14:paraId="73E0C55B" w14:textId="77777777" w:rsidTr="006C7CCA">
        <w:trPr>
          <w:jc w:val="center"/>
        </w:trPr>
        <w:tc>
          <w:tcPr>
            <w:tcW w:w="0" w:type="auto"/>
            <w:hideMark/>
          </w:tcPr>
          <w:p w14:paraId="660BB73B"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2.1</w:t>
            </w:r>
          </w:p>
        </w:tc>
        <w:tc>
          <w:tcPr>
            <w:tcW w:w="0" w:type="auto"/>
            <w:hideMark/>
          </w:tcPr>
          <w:p w14:paraId="6A814E23" w14:textId="511C961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651.70</w:t>
            </w:r>
          </w:p>
        </w:tc>
        <w:tc>
          <w:tcPr>
            <w:tcW w:w="0" w:type="auto"/>
            <w:hideMark/>
          </w:tcPr>
          <w:p w14:paraId="7D9F90A5"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3.8</w:t>
            </w:r>
          </w:p>
        </w:tc>
        <w:tc>
          <w:tcPr>
            <w:tcW w:w="0" w:type="auto"/>
            <w:hideMark/>
          </w:tcPr>
          <w:p w14:paraId="6D7CF469" w14:textId="50B6E8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1,283.70</w:t>
            </w:r>
          </w:p>
        </w:tc>
        <w:tc>
          <w:tcPr>
            <w:tcW w:w="0" w:type="auto"/>
            <w:hideMark/>
          </w:tcPr>
          <w:p w14:paraId="6DB964B1"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5.5</w:t>
            </w:r>
          </w:p>
        </w:tc>
        <w:tc>
          <w:tcPr>
            <w:tcW w:w="0" w:type="auto"/>
            <w:hideMark/>
          </w:tcPr>
          <w:p w14:paraId="7C58C093" w14:textId="1400FD9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1,915.70</w:t>
            </w:r>
          </w:p>
        </w:tc>
      </w:tr>
      <w:tr w:rsidR="00371B75" w:rsidRPr="004D307F" w14:paraId="511E217D" w14:textId="77777777" w:rsidTr="006C7CCA">
        <w:trPr>
          <w:jc w:val="center"/>
        </w:trPr>
        <w:tc>
          <w:tcPr>
            <w:tcW w:w="0" w:type="auto"/>
            <w:hideMark/>
          </w:tcPr>
          <w:p w14:paraId="11001AF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2.2</w:t>
            </w:r>
          </w:p>
        </w:tc>
        <w:tc>
          <w:tcPr>
            <w:tcW w:w="0" w:type="auto"/>
            <w:hideMark/>
          </w:tcPr>
          <w:p w14:paraId="4C162BCC" w14:textId="050D53F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688.90</w:t>
            </w:r>
          </w:p>
        </w:tc>
        <w:tc>
          <w:tcPr>
            <w:tcW w:w="0" w:type="auto"/>
            <w:hideMark/>
          </w:tcPr>
          <w:p w14:paraId="099B1D4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3.9</w:t>
            </w:r>
          </w:p>
        </w:tc>
        <w:tc>
          <w:tcPr>
            <w:tcW w:w="0" w:type="auto"/>
            <w:hideMark/>
          </w:tcPr>
          <w:p w14:paraId="1EC01E44" w14:textId="6B5AD07E"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1,320.90</w:t>
            </w:r>
          </w:p>
        </w:tc>
        <w:tc>
          <w:tcPr>
            <w:tcW w:w="0" w:type="auto"/>
            <w:hideMark/>
          </w:tcPr>
          <w:p w14:paraId="4B55E3E1"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5.6</w:t>
            </w:r>
          </w:p>
        </w:tc>
        <w:tc>
          <w:tcPr>
            <w:tcW w:w="0" w:type="auto"/>
            <w:hideMark/>
          </w:tcPr>
          <w:p w14:paraId="39140C06" w14:textId="15FD609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1,952.90</w:t>
            </w:r>
          </w:p>
        </w:tc>
      </w:tr>
      <w:tr w:rsidR="00371B75" w:rsidRPr="004D307F" w14:paraId="03065435" w14:textId="77777777" w:rsidTr="006C7CCA">
        <w:trPr>
          <w:jc w:val="center"/>
        </w:trPr>
        <w:tc>
          <w:tcPr>
            <w:tcW w:w="0" w:type="auto"/>
            <w:hideMark/>
          </w:tcPr>
          <w:p w14:paraId="0BF7940D"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2.3</w:t>
            </w:r>
          </w:p>
        </w:tc>
        <w:tc>
          <w:tcPr>
            <w:tcW w:w="0" w:type="auto"/>
            <w:hideMark/>
          </w:tcPr>
          <w:p w14:paraId="33F76FD2" w14:textId="346F7392"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726.10</w:t>
            </w:r>
          </w:p>
        </w:tc>
        <w:tc>
          <w:tcPr>
            <w:tcW w:w="0" w:type="auto"/>
            <w:hideMark/>
          </w:tcPr>
          <w:p w14:paraId="36898E8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4.0</w:t>
            </w:r>
          </w:p>
        </w:tc>
        <w:tc>
          <w:tcPr>
            <w:tcW w:w="0" w:type="auto"/>
            <w:hideMark/>
          </w:tcPr>
          <w:p w14:paraId="562C9BB7" w14:textId="32B1856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1,358.10</w:t>
            </w:r>
          </w:p>
        </w:tc>
        <w:tc>
          <w:tcPr>
            <w:tcW w:w="0" w:type="auto"/>
            <w:hideMark/>
          </w:tcPr>
          <w:p w14:paraId="085EA5CF"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5.7</w:t>
            </w:r>
          </w:p>
        </w:tc>
        <w:tc>
          <w:tcPr>
            <w:tcW w:w="0" w:type="auto"/>
            <w:hideMark/>
          </w:tcPr>
          <w:p w14:paraId="320BA003" w14:textId="5F578055"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1,990.10</w:t>
            </w:r>
          </w:p>
        </w:tc>
      </w:tr>
      <w:tr w:rsidR="00371B75" w:rsidRPr="004D307F" w14:paraId="5AC1EC96" w14:textId="77777777" w:rsidTr="006C7CCA">
        <w:trPr>
          <w:jc w:val="center"/>
        </w:trPr>
        <w:tc>
          <w:tcPr>
            <w:tcW w:w="0" w:type="auto"/>
            <w:hideMark/>
          </w:tcPr>
          <w:p w14:paraId="24D922D0"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2.4</w:t>
            </w:r>
          </w:p>
        </w:tc>
        <w:tc>
          <w:tcPr>
            <w:tcW w:w="0" w:type="auto"/>
            <w:hideMark/>
          </w:tcPr>
          <w:p w14:paraId="391949D3" w14:textId="3AE31465"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763.20</w:t>
            </w:r>
          </w:p>
        </w:tc>
        <w:tc>
          <w:tcPr>
            <w:tcW w:w="0" w:type="auto"/>
            <w:hideMark/>
          </w:tcPr>
          <w:p w14:paraId="1A320057"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4.1</w:t>
            </w:r>
          </w:p>
        </w:tc>
        <w:tc>
          <w:tcPr>
            <w:tcW w:w="0" w:type="auto"/>
            <w:hideMark/>
          </w:tcPr>
          <w:p w14:paraId="0B43D789" w14:textId="3492468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1,395.20</w:t>
            </w:r>
          </w:p>
        </w:tc>
        <w:tc>
          <w:tcPr>
            <w:tcW w:w="0" w:type="auto"/>
            <w:hideMark/>
          </w:tcPr>
          <w:p w14:paraId="44B052A6"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5.8</w:t>
            </w:r>
          </w:p>
        </w:tc>
        <w:tc>
          <w:tcPr>
            <w:tcW w:w="0" w:type="auto"/>
            <w:hideMark/>
          </w:tcPr>
          <w:p w14:paraId="3B5F86C4" w14:textId="6AA868B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2,027.20</w:t>
            </w:r>
          </w:p>
        </w:tc>
      </w:tr>
      <w:tr w:rsidR="00371B75" w:rsidRPr="004D307F" w14:paraId="0B72EC83" w14:textId="77777777" w:rsidTr="006C7CCA">
        <w:trPr>
          <w:jc w:val="center"/>
        </w:trPr>
        <w:tc>
          <w:tcPr>
            <w:tcW w:w="0" w:type="auto"/>
            <w:hideMark/>
          </w:tcPr>
          <w:p w14:paraId="5C9E191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w:t>
            </w:r>
          </w:p>
        </w:tc>
        <w:tc>
          <w:tcPr>
            <w:tcW w:w="0" w:type="auto"/>
            <w:hideMark/>
          </w:tcPr>
          <w:p w14:paraId="3835AF6C" w14:textId="59C6B6E8"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800.40</w:t>
            </w:r>
          </w:p>
        </w:tc>
        <w:tc>
          <w:tcPr>
            <w:tcW w:w="0" w:type="auto"/>
            <w:hideMark/>
          </w:tcPr>
          <w:p w14:paraId="7E9785D1"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4.2</w:t>
            </w:r>
          </w:p>
        </w:tc>
        <w:tc>
          <w:tcPr>
            <w:tcW w:w="0" w:type="auto"/>
            <w:hideMark/>
          </w:tcPr>
          <w:p w14:paraId="15F59CFD" w14:textId="3763CE7B"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1,432.40</w:t>
            </w:r>
          </w:p>
        </w:tc>
        <w:tc>
          <w:tcPr>
            <w:tcW w:w="0" w:type="auto"/>
            <w:hideMark/>
          </w:tcPr>
          <w:p w14:paraId="0A944558"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5.9</w:t>
            </w:r>
          </w:p>
        </w:tc>
        <w:tc>
          <w:tcPr>
            <w:tcW w:w="0" w:type="auto"/>
            <w:hideMark/>
          </w:tcPr>
          <w:p w14:paraId="7534F39E" w14:textId="0AF50341"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2,064.40</w:t>
            </w:r>
          </w:p>
        </w:tc>
      </w:tr>
      <w:tr w:rsidR="007667A1" w:rsidRPr="004D307F" w14:paraId="0B519080" w14:textId="77777777" w:rsidTr="006C7CCA">
        <w:trPr>
          <w:jc w:val="center"/>
        </w:trPr>
        <w:tc>
          <w:tcPr>
            <w:tcW w:w="0" w:type="auto"/>
            <w:hideMark/>
          </w:tcPr>
          <w:p w14:paraId="52E817A9"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2.6</w:t>
            </w:r>
          </w:p>
        </w:tc>
        <w:tc>
          <w:tcPr>
            <w:tcW w:w="0" w:type="auto"/>
            <w:hideMark/>
          </w:tcPr>
          <w:p w14:paraId="2CE07F78" w14:textId="748A7B6C"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837.60</w:t>
            </w:r>
          </w:p>
        </w:tc>
        <w:tc>
          <w:tcPr>
            <w:tcW w:w="0" w:type="auto"/>
            <w:hideMark/>
          </w:tcPr>
          <w:p w14:paraId="3B86E69A" w14:textId="7FADE1E1"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4.3</w:t>
            </w:r>
          </w:p>
        </w:tc>
        <w:tc>
          <w:tcPr>
            <w:tcW w:w="0" w:type="auto"/>
            <w:hideMark/>
          </w:tcPr>
          <w:p w14:paraId="41496AC7" w14:textId="4CBF7A7C"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1,469.60</w:t>
            </w:r>
          </w:p>
        </w:tc>
        <w:tc>
          <w:tcPr>
            <w:tcW w:w="0" w:type="auto"/>
            <w:hideMark/>
          </w:tcPr>
          <w:p w14:paraId="38921D0D" w14:textId="77777777"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6.0</w:t>
            </w:r>
          </w:p>
        </w:tc>
        <w:tc>
          <w:tcPr>
            <w:tcW w:w="0" w:type="auto"/>
            <w:hideMark/>
          </w:tcPr>
          <w:p w14:paraId="58713D82" w14:textId="68CAC9BA" w:rsidR="007667A1" w:rsidRPr="004D307F" w:rsidRDefault="007667A1" w:rsidP="007667A1">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2,101.60</w:t>
            </w:r>
          </w:p>
        </w:tc>
      </w:tr>
    </w:tbl>
    <w:p w14:paraId="53214408" w14:textId="77777777" w:rsidR="00AD16F0" w:rsidRPr="004D307F" w:rsidRDefault="00AD16F0" w:rsidP="00AD16F0">
      <w:pPr>
        <w:rPr>
          <w:color w:val="323E4F" w:themeColor="text2" w:themeShade="BF"/>
        </w:rPr>
      </w:pPr>
    </w:p>
    <w:p w14:paraId="3E3BD653" w14:textId="77777777" w:rsidR="00AD16F0" w:rsidRPr="004D307F" w:rsidRDefault="00AD16F0" w:rsidP="00AD16F0">
      <w:r w:rsidRPr="004D307F">
        <w:br w:type="page"/>
      </w:r>
    </w:p>
    <w:p w14:paraId="189A0BD1" w14:textId="67ACCF8F" w:rsidR="00AD16F0" w:rsidRPr="004D307F" w:rsidRDefault="00AD16F0" w:rsidP="00B566E7">
      <w:pPr>
        <w:pStyle w:val="Heading2"/>
      </w:pPr>
      <w:bookmarkStart w:id="33" w:name="_Toc99882739"/>
      <w:r w:rsidRPr="004D307F">
        <w:lastRenderedPageBreak/>
        <w:t>Paramedical and Interpreter Staff Salaries (Reference 19)</w:t>
      </w:r>
      <w:bookmarkEnd w:id="33"/>
    </w:p>
    <w:p w14:paraId="31155E55" w14:textId="1DAD0BF7" w:rsidR="009758B9" w:rsidRPr="004D307F" w:rsidRDefault="009758B9" w:rsidP="009758B9">
      <w:pPr>
        <w:pStyle w:val="NormalWeb"/>
        <w:spacing w:line="360" w:lineRule="atLeast"/>
        <w:rPr>
          <w:rFonts w:ascii="VIC-Regular" w:hAnsi="VIC-Regular"/>
          <w:color w:val="011A3C"/>
          <w:lang w:val="en"/>
        </w:rPr>
      </w:pPr>
      <w:r w:rsidRPr="004D307F">
        <w:rPr>
          <w:rFonts w:ascii="VIC-Regular" w:hAnsi="VIC-Regular"/>
          <w:color w:val="011A3C"/>
          <w:lang w:val="en"/>
        </w:rPr>
        <w:t>Paramedical and Interpreter Staff funding is allocated to deaf facilities with secondary enrolments. The funding is inclusive of on costs, (9.75% superannuation and 5.</w:t>
      </w:r>
      <w:r w:rsidR="001E1E44" w:rsidRPr="004D307F">
        <w:rPr>
          <w:rFonts w:ascii="VIC-Regular" w:hAnsi="VIC-Regular"/>
          <w:color w:val="011A3C"/>
          <w:lang w:val="en"/>
        </w:rPr>
        <w:t>85</w:t>
      </w:r>
      <w:r w:rsidRPr="004D307F">
        <w:rPr>
          <w:rFonts w:ascii="VIC-Regular" w:hAnsi="VIC-Regular"/>
          <w:color w:val="011A3C"/>
          <w:lang w:val="en"/>
        </w:rPr>
        <w:t>% payroll tax), 1.35% leave loading, plus 1.5% for short-term relief costs.</w:t>
      </w:r>
    </w:p>
    <w:p w14:paraId="2B157413" w14:textId="77777777" w:rsidR="009758B9" w:rsidRPr="004D307F" w:rsidRDefault="009758B9"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7112B7F1" w14:textId="77777777" w:rsidR="009758B9" w:rsidRPr="004D307F" w:rsidRDefault="009758B9" w:rsidP="009758B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with the following campus types with secondary enrolments are eligible for Interpreter funding at campus level</w:t>
      </w:r>
    </w:p>
    <w:p w14:paraId="76279DD8" w14:textId="3E44FA94"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Deaf</w:t>
      </w:r>
      <w:r w:rsidR="00877911" w:rsidRPr="004D307F">
        <w:rPr>
          <w:rFonts w:ascii="VIC" w:eastAsia="Times New Roman" w:hAnsi="VIC" w:cs="Times New Roman"/>
          <w:color w:val="011A3C"/>
          <w:sz w:val="24"/>
          <w:szCs w:val="24"/>
          <w:lang w:val="en" w:eastAsia="en-AU"/>
        </w:rPr>
        <w:t>*</w:t>
      </w:r>
    </w:p>
    <w:p w14:paraId="4CA32D80" w14:textId="130AE75E" w:rsidR="009758B9" w:rsidRPr="004D307F" w:rsidRDefault="009758B9" w:rsidP="004D307F">
      <w:pPr>
        <w:spacing w:before="100" w:beforeAutospacing="1" w:after="100" w:afterAutospacing="1" w:line="360" w:lineRule="atLeast"/>
        <w:rPr>
          <w:rFonts w:ascii="VIC" w:hAnsi="VIC"/>
          <w:lang w:val="en"/>
        </w:rPr>
      </w:pPr>
      <w:r w:rsidRPr="004D307F">
        <w:rPr>
          <w:rFonts w:ascii="VIC" w:eastAsia="Times New Roman" w:hAnsi="VIC" w:cs="Times New Roman"/>
          <w:color w:val="011A3C"/>
          <w:sz w:val="24"/>
          <w:szCs w:val="24"/>
          <w:lang w:val="en" w:eastAsia="en-AU"/>
        </w:rPr>
        <w:t xml:space="preserve">Funding is calculated at the Indicative, Confirmed and Revised cycles and schools are provided </w:t>
      </w:r>
      <w:r w:rsidR="00554F86" w:rsidRPr="004D307F">
        <w:rPr>
          <w:rFonts w:ascii="VIC" w:eastAsia="Times New Roman" w:hAnsi="VIC" w:cs="Times New Roman"/>
          <w:color w:val="011A3C"/>
          <w:sz w:val="24"/>
          <w:szCs w:val="24"/>
          <w:lang w:val="en" w:eastAsia="en-AU"/>
        </w:rPr>
        <w:t xml:space="preserve">as </w:t>
      </w:r>
      <w:r w:rsidRPr="004D307F">
        <w:rPr>
          <w:rFonts w:ascii="VIC" w:eastAsia="Times New Roman" w:hAnsi="VIC" w:cs="Times New Roman"/>
          <w:color w:val="011A3C"/>
          <w:sz w:val="24"/>
          <w:szCs w:val="24"/>
          <w:lang w:val="en" w:eastAsia="en-AU"/>
        </w:rPr>
        <w:t>credit funding</w:t>
      </w:r>
    </w:p>
    <w:p w14:paraId="1BD0A8DD" w14:textId="77777777" w:rsidR="009758B9" w:rsidRPr="004D307F" w:rsidRDefault="009758B9" w:rsidP="009758B9">
      <w:pPr>
        <w:pStyle w:val="Heading3"/>
        <w:rPr>
          <w:rFonts w:ascii="VIC" w:hAnsi="VIC"/>
          <w:b/>
          <w:bCs/>
          <w:color w:val="011A3C"/>
          <w:lang w:val="en"/>
        </w:rPr>
      </w:pPr>
      <w:r w:rsidRPr="004D307F">
        <w:rPr>
          <w:rFonts w:ascii="VIC" w:hAnsi="VIC"/>
          <w:b/>
          <w:bCs/>
          <w:color w:val="011A3C"/>
          <w:lang w:val="en"/>
        </w:rPr>
        <w:t>Calculation details</w:t>
      </w:r>
    </w:p>
    <w:p w14:paraId="2EEAF2CA" w14:textId="284E3855" w:rsidR="009758B9" w:rsidRPr="004D307F" w:rsidRDefault="009758B9" w:rsidP="009758B9">
      <w:pPr>
        <w:pStyle w:val="NormalWeb"/>
        <w:spacing w:line="360" w:lineRule="atLeast"/>
        <w:rPr>
          <w:rFonts w:ascii="VIC" w:hAnsi="VIC"/>
          <w:color w:val="011A3C"/>
          <w:lang w:val="en"/>
        </w:rPr>
      </w:pPr>
      <w:r w:rsidRPr="004D307F">
        <w:rPr>
          <w:rFonts w:ascii="VIC" w:hAnsi="VIC"/>
          <w:color w:val="011A3C"/>
          <w:lang w:val="en"/>
        </w:rPr>
        <w:t xml:space="preserve">Funding is allocated based </w:t>
      </w:r>
      <w:r w:rsidR="00554F86" w:rsidRPr="004D307F">
        <w:rPr>
          <w:rFonts w:ascii="VIC" w:hAnsi="VIC"/>
          <w:color w:val="011A3C"/>
          <w:lang w:val="en"/>
        </w:rPr>
        <w:t xml:space="preserve">on </w:t>
      </w:r>
      <w:r w:rsidRPr="004D307F">
        <w:rPr>
          <w:rFonts w:ascii="VIC" w:hAnsi="VIC"/>
          <w:color w:val="011A3C"/>
          <w:lang w:val="en"/>
        </w:rPr>
        <w:t>enrolments and resourcing model for deaf facilities.</w:t>
      </w:r>
    </w:p>
    <w:p w14:paraId="69053A41" w14:textId="77777777" w:rsidR="00A515CE" w:rsidRPr="004D307F" w:rsidRDefault="00A515CE" w:rsidP="009758B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Deaf schools with secondary enrolments are funded at a rate of 1 EFT for every 6 enrolments.</w:t>
      </w:r>
    </w:p>
    <w:p w14:paraId="1E95E83F" w14:textId="645362C4" w:rsidR="00AD16F0" w:rsidRPr="004D307F" w:rsidRDefault="009758B9" w:rsidP="000D10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example: A school with 8 secondary enrolments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will be funded for 8 secondary enrolments divided by 6 EFT =</w:t>
      </w:r>
      <w:r w:rsidR="003D146E"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(8/6) = 1.33 EFT (rounded)</w:t>
      </w:r>
    </w:p>
    <w:p w14:paraId="77FB6D7C" w14:textId="2E614F26" w:rsidR="00AD16F0" w:rsidRPr="004D307F" w:rsidRDefault="00877911" w:rsidP="00AD16F0">
      <w:pPr>
        <w:rPr>
          <w:rFonts w:ascii="VIC-Regular" w:eastAsia="Times New Roman" w:hAnsi="VIC-Regular" w:cs="Times New Roman"/>
          <w:color w:val="011A3C"/>
          <w:sz w:val="20"/>
          <w:szCs w:val="20"/>
          <w:lang w:val="en" w:eastAsia="en-AU"/>
        </w:rPr>
      </w:pPr>
      <w:r w:rsidRPr="004D307F">
        <w:rPr>
          <w:rFonts w:ascii="VIC-Regular" w:eastAsia="Times New Roman" w:hAnsi="VIC-Regular" w:cs="Times New Roman"/>
          <w:color w:val="011A3C"/>
          <w:sz w:val="20"/>
          <w:szCs w:val="20"/>
          <w:lang w:val="en" w:eastAsia="en-AU"/>
        </w:rPr>
        <w:t xml:space="preserve">*Deaf campuses must be attached to a primary, </w:t>
      </w:r>
      <w:proofErr w:type="gramStart"/>
      <w:r w:rsidRPr="004D307F">
        <w:rPr>
          <w:rFonts w:ascii="VIC-Regular" w:eastAsia="Times New Roman" w:hAnsi="VIC-Regular" w:cs="Times New Roman"/>
          <w:color w:val="011A3C"/>
          <w:sz w:val="20"/>
          <w:szCs w:val="20"/>
          <w:lang w:val="en" w:eastAsia="en-AU"/>
        </w:rPr>
        <w:t>secondary</w:t>
      </w:r>
      <w:proofErr w:type="gramEnd"/>
      <w:r w:rsidRPr="004D307F">
        <w:rPr>
          <w:rFonts w:ascii="VIC-Regular" w:eastAsia="Times New Roman" w:hAnsi="VIC-Regular" w:cs="Times New Roman"/>
          <w:color w:val="011A3C"/>
          <w:sz w:val="20"/>
          <w:szCs w:val="20"/>
          <w:lang w:val="en" w:eastAsia="en-AU"/>
        </w:rPr>
        <w:t xml:space="preserve"> or primary/secondary combined school.</w:t>
      </w:r>
      <w:r w:rsidR="00AD16F0" w:rsidRPr="004D307F">
        <w:rPr>
          <w:rFonts w:ascii="VIC-Regular" w:eastAsia="Times New Roman" w:hAnsi="VIC-Regular" w:cs="Times New Roman"/>
          <w:color w:val="011A3C"/>
          <w:sz w:val="20"/>
          <w:szCs w:val="20"/>
          <w:lang w:val="en" w:eastAsia="en-AU"/>
        </w:rPr>
        <w:br w:type="page"/>
      </w:r>
    </w:p>
    <w:p w14:paraId="03A41B85" w14:textId="4AC80599" w:rsidR="00AD16F0" w:rsidRPr="004D307F" w:rsidRDefault="00AD16F0" w:rsidP="00B566E7">
      <w:pPr>
        <w:pStyle w:val="Heading2"/>
      </w:pPr>
      <w:bookmarkStart w:id="34" w:name="_Toc99882740"/>
      <w:r w:rsidRPr="004D307F">
        <w:lastRenderedPageBreak/>
        <w:t>Medical Intervention Support (Reference 20)</w:t>
      </w:r>
      <w:bookmarkEnd w:id="34"/>
    </w:p>
    <w:p w14:paraId="49C07F54"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Medical Intervention Support (MIS) funding supports schools to engage appropriately trained staff to assist students who require regular, complex medical support at school.</w:t>
      </w:r>
    </w:p>
    <w:p w14:paraId="78E19453"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MIS funding is available to support schools to put in place the necessary work arrangements for the delivery of </w:t>
      </w:r>
      <w:proofErr w:type="spellStart"/>
      <w:r w:rsidRPr="004D307F">
        <w:rPr>
          <w:rFonts w:ascii="VIC-Regular" w:eastAsia="Times New Roman" w:hAnsi="VIC-Regular" w:cs="Times New Roman"/>
          <w:color w:val="011A3C"/>
          <w:sz w:val="24"/>
          <w:szCs w:val="24"/>
          <w:lang w:val="en" w:eastAsia="en-AU"/>
        </w:rPr>
        <w:t>specialised</w:t>
      </w:r>
      <w:proofErr w:type="spellEnd"/>
      <w:r w:rsidRPr="004D307F">
        <w:rPr>
          <w:rFonts w:ascii="VIC-Regular" w:eastAsia="Times New Roman" w:hAnsi="VIC-Regular" w:cs="Times New Roman"/>
          <w:color w:val="011A3C"/>
          <w:sz w:val="24"/>
          <w:szCs w:val="24"/>
          <w:lang w:val="en" w:eastAsia="en-AU"/>
        </w:rPr>
        <w:t xml:space="preserve"> assistance to these students. This involves engagement of appropriately trained Education Support (ES) staff to undertake duties and responsibilities for delivering supporting procedures, consistent with Level 1, Range 2 of the ES Class.</w:t>
      </w:r>
    </w:p>
    <w:p w14:paraId="01043A0E" w14:textId="60A9586F"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ES staff member must have undergone specific training to support the student’s medical needs. Training may be provided by an appropriate healthcare provider, or through the School </w:t>
      </w:r>
      <w:r w:rsidR="0005396A" w:rsidRPr="004D307F">
        <w:rPr>
          <w:rFonts w:ascii="VIC-Regular" w:eastAsia="Times New Roman" w:hAnsi="VIC-Regular" w:cs="Times New Roman"/>
          <w:color w:val="011A3C"/>
          <w:sz w:val="24"/>
          <w:szCs w:val="24"/>
          <w:lang w:val="en" w:eastAsia="en-AU"/>
        </w:rPr>
        <w:t>C</w:t>
      </w:r>
      <w:r w:rsidRPr="004D307F">
        <w:rPr>
          <w:rFonts w:ascii="VIC-Regular" w:eastAsia="Times New Roman" w:hAnsi="VIC-Regular" w:cs="Times New Roman"/>
          <w:color w:val="011A3C"/>
          <w:sz w:val="24"/>
          <w:szCs w:val="24"/>
          <w:lang w:val="en" w:eastAsia="en-AU"/>
        </w:rPr>
        <w:t>are Program.</w:t>
      </w:r>
    </w:p>
    <w:p w14:paraId="44D2B47C" w14:textId="77777777" w:rsidR="009758B9" w:rsidRPr="004D307F" w:rsidRDefault="009758B9" w:rsidP="009758B9">
      <w:pPr>
        <w:spacing w:before="100" w:beforeAutospacing="1" w:after="100" w:afterAutospacing="1" w:line="360" w:lineRule="atLeast"/>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262C519" w14:textId="77777777" w:rsidR="009758B9" w:rsidRPr="004D307F" w:rsidRDefault="009758B9" w:rsidP="009758B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with the following campus types are eligible for Medical Intervention funding at campus level.</w:t>
      </w:r>
    </w:p>
    <w:p w14:paraId="023037F0" w14:textId="77777777"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w:t>
      </w:r>
    </w:p>
    <w:p w14:paraId="0EDE9C3A" w14:textId="77777777"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0D1C0CBB" w14:textId="77777777"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/Secondary Combined </w:t>
      </w:r>
    </w:p>
    <w:p w14:paraId="08211A22" w14:textId="77777777" w:rsidR="009758B9" w:rsidRPr="004D307F" w:rsidRDefault="009758B9"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Special</w:t>
      </w:r>
    </w:p>
    <w:p w14:paraId="4EB1F3E1" w14:textId="77777777" w:rsidR="00A12061" w:rsidRPr="004D307F" w:rsidRDefault="009758B9" w:rsidP="00AD16F0">
      <w:pPr>
        <w:spacing w:before="100" w:beforeAutospacing="1" w:after="100" w:afterAutospacing="1" w:line="288" w:lineRule="atLeast"/>
        <w:outlineLvl w:val="2"/>
        <w:rPr>
          <w:rFonts w:ascii="VIC" w:hAnsi="VIC"/>
          <w:sz w:val="24"/>
          <w:szCs w:val="24"/>
          <w:lang w:val="en" w:eastAsia="en-AU"/>
        </w:rPr>
      </w:pPr>
      <w:r w:rsidRPr="004D307F">
        <w:rPr>
          <w:rFonts w:ascii="VIC" w:hAnsi="VIC"/>
          <w:color w:val="323E4F" w:themeColor="text2" w:themeShade="BF"/>
          <w:sz w:val="24"/>
          <w:szCs w:val="24"/>
          <w:lang w:val="en" w:eastAsia="en-AU"/>
        </w:rPr>
        <w:t>Funding is calculated for each of the four school terms and is allocated through credit funding</w:t>
      </w:r>
      <w:r w:rsidRPr="004D307F">
        <w:rPr>
          <w:rFonts w:ascii="VIC" w:hAnsi="VIC"/>
          <w:sz w:val="24"/>
          <w:szCs w:val="24"/>
          <w:lang w:val="en" w:eastAsia="en-AU"/>
        </w:rPr>
        <w:t xml:space="preserve">. </w:t>
      </w:r>
    </w:p>
    <w:p w14:paraId="49C4E909" w14:textId="45ABF23E"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Rates </w:t>
      </w:r>
      <w:r w:rsidRPr="004D307F">
        <w:rPr>
          <w:rFonts w:ascii="VIC-Bold" w:eastAsia="Times New Roman" w:hAnsi="VIC-Bold" w:cs="Times New Roman" w:hint="eastAsia"/>
          <w:b/>
          <w:bCs/>
          <w:color w:val="011A3C"/>
          <w:sz w:val="27"/>
          <w:szCs w:val="27"/>
          <w:lang w:val="en" w:eastAsia="en-AU"/>
        </w:rPr>
        <w:t>—</w:t>
      </w:r>
      <w:r w:rsidRPr="004D307F">
        <w:rPr>
          <w:rFonts w:ascii="VIC-Bold" w:eastAsia="Times New Roman" w:hAnsi="VIC-Bold" w:cs="Times New Roman"/>
          <w:b/>
          <w:bCs/>
          <w:color w:val="011A3C"/>
          <w:sz w:val="27"/>
          <w:szCs w:val="27"/>
          <w:lang w:val="en" w:eastAsia="en-AU"/>
        </w:rPr>
        <w:t xml:space="preserve"> 202</w:t>
      </w:r>
      <w:r w:rsidR="005F3BD1" w:rsidRPr="004D307F">
        <w:rPr>
          <w:rFonts w:ascii="VIC-Bold" w:eastAsia="Times New Roman" w:hAnsi="VIC-Bold" w:cs="Times New Roman"/>
          <w:b/>
          <w:bCs/>
          <w:color w:val="011A3C"/>
          <w:sz w:val="27"/>
          <w:szCs w:val="27"/>
          <w:lang w:val="en" w:eastAsia="en-AU"/>
        </w:rPr>
        <w:t>2</w:t>
      </w:r>
    </w:p>
    <w:p w14:paraId="2B90A5E2" w14:textId="77777777" w:rsidR="008E7838"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Rate per eligible student: </w:t>
      </w:r>
      <w:r w:rsidR="0061578B" w:rsidRPr="004D307F">
        <w:rPr>
          <w:rFonts w:ascii="VIC-Regular" w:eastAsia="Times New Roman" w:hAnsi="VIC-Regular" w:cs="Times New Roman"/>
          <w:color w:val="011A3C"/>
          <w:sz w:val="24"/>
          <w:szCs w:val="24"/>
          <w:lang w:val="en" w:eastAsia="en-AU"/>
        </w:rPr>
        <w:t>$14,013</w:t>
      </w:r>
    </w:p>
    <w:p w14:paraId="2EA1EDE1" w14:textId="4DD97CAC"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Medical Intervention Support is allocated on a pro rata basis according to applications received from schools and the enrolment of an eligible student.</w:t>
      </w:r>
    </w:p>
    <w:p w14:paraId="152F930E" w14:textId="77777777"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cases where the student transfers to another school, an application for Medical Intervention Support is required from the new school.</w:t>
      </w:r>
    </w:p>
    <w:p w14:paraId="5D292A0B" w14:textId="77777777" w:rsidR="00AD16F0" w:rsidRPr="004D307F" w:rsidRDefault="00AD16F0" w:rsidP="00474C70">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Further information</w:t>
      </w:r>
    </w:p>
    <w:p w14:paraId="0F3EDD69" w14:textId="77777777" w:rsidR="00AD16F0" w:rsidRPr="004D307F" w:rsidRDefault="00AD16F0" w:rsidP="00474C70">
      <w:pPr>
        <w:keepNext/>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Medical Intervention Support guidelines are available at:</w:t>
      </w:r>
    </w:p>
    <w:p w14:paraId="79C0D0D2" w14:textId="77777777" w:rsidR="00AD16F0" w:rsidRPr="004D307F" w:rsidRDefault="00A35420" w:rsidP="00ED0863">
      <w:pPr>
        <w:numPr>
          <w:ilvl w:val="0"/>
          <w:numId w:val="140"/>
        </w:numPr>
        <w:spacing w:after="0" w:line="240" w:lineRule="auto"/>
        <w:ind w:hanging="357"/>
      </w:pPr>
      <w:hyperlink r:id="rId63" w:history="1">
        <w:r w:rsidR="00AD16F0" w:rsidRPr="00F34CE4">
          <w:rPr>
            <w:rStyle w:val="Hyperlink"/>
            <w:rFonts w:ascii="VIC" w:hAnsi="VIC"/>
            <w:sz w:val="24"/>
            <w:szCs w:val="24"/>
          </w:rPr>
          <w:t>Medical Intervention Support</w:t>
        </w:r>
      </w:hyperlink>
      <w:r w:rsidR="00AD16F0" w:rsidRPr="004D307F">
        <w:br w:type="page"/>
      </w:r>
    </w:p>
    <w:p w14:paraId="7517F3A9" w14:textId="4D05B149" w:rsidR="00AD16F0" w:rsidRPr="004D307F" w:rsidRDefault="00AD16F0" w:rsidP="00B566E7">
      <w:pPr>
        <w:pStyle w:val="Heading2"/>
      </w:pPr>
      <w:bookmarkStart w:id="35" w:name="_Toc99882741"/>
      <w:r w:rsidRPr="004D307F">
        <w:lastRenderedPageBreak/>
        <w:t>Special School Transport Administration (Reference 25)</w:t>
      </w:r>
      <w:bookmarkEnd w:id="35"/>
    </w:p>
    <w:p w14:paraId="32EB7F79" w14:textId="2C255B45" w:rsidR="00AD16F0" w:rsidRPr="004D307F" w:rsidRDefault="00AD16F0" w:rsidP="00AD16F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Special School Transport Administration allocation is provided in recognition of the arrangements required to manage transport arrangements in consultation with bus contractors and parents.</w:t>
      </w:r>
    </w:p>
    <w:p w14:paraId="1CDD488C" w14:textId="77777777" w:rsidR="00820471" w:rsidRPr="004D307F" w:rsidRDefault="00820471" w:rsidP="00820471">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bookmarkStart w:id="36" w:name="_Hlk46925874"/>
      <w:r w:rsidRPr="004D307F">
        <w:rPr>
          <w:rFonts w:ascii="VIC-Regular" w:eastAsia="Times New Roman" w:hAnsi="VIC-Regular" w:cs="Times New Roman"/>
          <w:b/>
          <w:bCs/>
          <w:color w:val="011A3C"/>
          <w:sz w:val="24"/>
          <w:szCs w:val="24"/>
          <w:lang w:val="en" w:eastAsia="en-AU"/>
        </w:rPr>
        <w:t>Eligibility</w:t>
      </w:r>
    </w:p>
    <w:p w14:paraId="7034E518" w14:textId="2CD95FA4" w:rsidR="00820471" w:rsidRPr="004D307F" w:rsidRDefault="00820471"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Special Schools</w:t>
      </w:r>
      <w:r w:rsidR="008E7838" w:rsidRPr="004D307F">
        <w:rPr>
          <w:rFonts w:ascii="VIC-Regular" w:eastAsia="Times New Roman" w:hAnsi="VIC-Regular" w:cs="Times New Roman"/>
          <w:color w:val="011A3C"/>
          <w:lang w:val="en" w:eastAsia="en-AU"/>
        </w:rPr>
        <w:t xml:space="preserve">*  </w:t>
      </w:r>
    </w:p>
    <w:p w14:paraId="3845B970" w14:textId="707910E8" w:rsidR="00820471" w:rsidRPr="004D307F" w:rsidRDefault="00820471"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proofErr w:type="spellStart"/>
      <w:r w:rsidRPr="004D307F">
        <w:rPr>
          <w:rFonts w:ascii="VIC-Regular" w:eastAsia="Times New Roman" w:hAnsi="VIC-Regular" w:cs="Times New Roman"/>
          <w:color w:val="011A3C"/>
          <w:lang w:val="en" w:eastAsia="en-AU"/>
        </w:rPr>
        <w:t>Autisti</w:t>
      </w:r>
      <w:r w:rsidR="001112BF" w:rsidRPr="004D307F">
        <w:rPr>
          <w:rFonts w:ascii="VIC-Regular" w:eastAsia="Times New Roman" w:hAnsi="VIC-Regular" w:cs="Times New Roman"/>
          <w:color w:val="011A3C"/>
          <w:lang w:val="en" w:eastAsia="en-AU"/>
        </w:rPr>
        <w:t>sm</w:t>
      </w:r>
      <w:proofErr w:type="spellEnd"/>
      <w:r w:rsidRPr="004D307F">
        <w:rPr>
          <w:rFonts w:ascii="VIC-Regular" w:eastAsia="Times New Roman" w:hAnsi="VIC-Regular" w:cs="Times New Roman"/>
          <w:color w:val="011A3C"/>
          <w:lang w:val="en" w:eastAsia="en-AU"/>
        </w:rPr>
        <w:t xml:space="preserve"> Schools</w:t>
      </w:r>
    </w:p>
    <w:bookmarkEnd w:id="36"/>
    <w:p w14:paraId="65E7D0EE" w14:textId="77777777" w:rsidR="00820471" w:rsidRPr="004D307F" w:rsidRDefault="00820471" w:rsidP="00820471">
      <w:pPr>
        <w:spacing w:before="100" w:beforeAutospacing="1" w:after="100" w:afterAutospacing="1" w:line="288" w:lineRule="atLeast"/>
        <w:outlineLvl w:val="2"/>
        <w:rPr>
          <w:rFonts w:ascii="VIC-Bold" w:eastAsia="Times New Roman" w:hAnsi="VIC-Bold" w:cs="Times New Roman"/>
          <w:color w:val="011A3C"/>
          <w:sz w:val="27"/>
          <w:szCs w:val="27"/>
          <w:lang w:val="en" w:eastAsia="en-AU"/>
        </w:rPr>
      </w:pPr>
      <w:r w:rsidRPr="004D307F">
        <w:rPr>
          <w:rFonts w:ascii="VIC-Regular" w:eastAsia="Times New Roman" w:hAnsi="VIC-Regular" w:cs="Times New Roman"/>
          <w:color w:val="011A3C"/>
          <w:sz w:val="24"/>
          <w:szCs w:val="24"/>
          <w:lang w:val="en" w:eastAsia="en-AU"/>
        </w:rPr>
        <w:t xml:space="preserve">Funding is calculated for each of the four school terms, funding is allocated through cash funding. </w:t>
      </w:r>
    </w:p>
    <w:p w14:paraId="09473319" w14:textId="77777777" w:rsidR="00820471" w:rsidRPr="004D307F" w:rsidRDefault="00820471" w:rsidP="00C116FE">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Calculation</w:t>
      </w:r>
    </w:p>
    <w:p w14:paraId="0B800A7F" w14:textId="77777777" w:rsidR="00820471" w:rsidRPr="004D307F" w:rsidRDefault="00820471" w:rsidP="0082047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based on enrolment ranges provided in the rates section below.</w:t>
      </w:r>
    </w:p>
    <w:p w14:paraId="302B32A5" w14:textId="6FEB98FF" w:rsidR="00820471" w:rsidRPr="004D307F" w:rsidRDefault="00820471" w:rsidP="000D106B">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 a school with 27 enrolments would fall into the 26-50 enrolment range.</w:t>
      </w:r>
    </w:p>
    <w:p w14:paraId="5C8BD0C1" w14:textId="71AFD4C7" w:rsidR="00AD16F0" w:rsidRPr="004D307F" w:rsidRDefault="00AD16F0" w:rsidP="00AD16F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Rates </w:t>
      </w:r>
      <w:r w:rsidRPr="004D307F">
        <w:rPr>
          <w:rFonts w:ascii="VIC-Bold" w:eastAsia="Times New Roman" w:hAnsi="VIC-Bold" w:cs="Times New Roman" w:hint="eastAsia"/>
          <w:b/>
          <w:bCs/>
          <w:color w:val="011A3C"/>
          <w:sz w:val="27"/>
          <w:szCs w:val="27"/>
          <w:lang w:val="en" w:eastAsia="en-AU"/>
        </w:rPr>
        <w:t>—</w:t>
      </w:r>
      <w:r w:rsidRPr="004D307F">
        <w:rPr>
          <w:rFonts w:ascii="VIC-Bold" w:eastAsia="Times New Roman" w:hAnsi="VIC-Bold" w:cs="Times New Roman"/>
          <w:b/>
          <w:bCs/>
          <w:color w:val="011A3C"/>
          <w:sz w:val="27"/>
          <w:szCs w:val="27"/>
          <w:lang w:val="en" w:eastAsia="en-AU"/>
        </w:rPr>
        <w:t xml:space="preserve"> 202</w:t>
      </w:r>
      <w:r w:rsidR="001112BF" w:rsidRPr="004D307F">
        <w:rPr>
          <w:rFonts w:ascii="VIC-Bold" w:eastAsia="Times New Roman" w:hAnsi="VIC-Bold" w:cs="Times New Roman"/>
          <w:b/>
          <w:bCs/>
          <w:color w:val="011A3C"/>
          <w:sz w:val="27"/>
          <w:szCs w:val="27"/>
          <w:lang w:val="en" w:eastAsia="en-AU"/>
        </w:rPr>
        <w:t>2</w:t>
      </w:r>
    </w:p>
    <w:p w14:paraId="7AD46B14" w14:textId="7E25344E" w:rsidR="00AD16F0" w:rsidRPr="004D307F" w:rsidRDefault="00AD16F0" w:rsidP="00ED0863">
      <w:pPr>
        <w:numPr>
          <w:ilvl w:val="0"/>
          <w:numId w:val="16"/>
        </w:numPr>
        <w:spacing w:before="100" w:beforeAutospacing="1" w:after="100" w:afterAutospacing="1" w:line="360" w:lineRule="atLeast"/>
        <w:rPr>
          <w:rFonts w:ascii="VIC-Regular" w:eastAsia="Times New Roman" w:hAnsi="VIC-Regular" w:cs="Times New Roman"/>
          <w:color w:val="323E4F" w:themeColor="text2" w:themeShade="BF"/>
          <w:sz w:val="24"/>
          <w:szCs w:val="24"/>
          <w:lang w:val="en" w:eastAsia="en-AU"/>
        </w:rPr>
      </w:pPr>
      <w:r w:rsidRPr="004D307F">
        <w:rPr>
          <w:rFonts w:ascii="VIC-Regular" w:eastAsia="Times New Roman" w:hAnsi="VIC-Regular" w:cs="Times New Roman"/>
          <w:color w:val="323E4F" w:themeColor="text2" w:themeShade="BF"/>
          <w:sz w:val="24"/>
          <w:szCs w:val="24"/>
          <w:lang w:val="en" w:eastAsia="en-AU"/>
        </w:rPr>
        <w:t xml:space="preserve">Enrolment range 0 to 24: </w:t>
      </w:r>
      <w:r w:rsidR="0005396A" w:rsidRPr="004D307F">
        <w:rPr>
          <w:rFonts w:ascii="VIC-Regular" w:eastAsia="Times New Roman" w:hAnsi="VIC-Regular" w:cs="Times New Roman"/>
          <w:color w:val="323E4F" w:themeColor="text2" w:themeShade="BF"/>
          <w:sz w:val="24"/>
          <w:szCs w:val="24"/>
          <w:lang w:val="en" w:eastAsia="en-AU"/>
        </w:rPr>
        <w:t>$</w:t>
      </w:r>
      <w:r w:rsidR="0061578B" w:rsidRPr="004D307F">
        <w:rPr>
          <w:rFonts w:ascii="VIC-Regular" w:eastAsia="Times New Roman" w:hAnsi="VIC-Regular" w:cs="Times New Roman"/>
          <w:color w:val="323E4F" w:themeColor="text2" w:themeShade="BF"/>
          <w:sz w:val="24"/>
          <w:szCs w:val="24"/>
          <w:lang w:val="en" w:eastAsia="en-AU"/>
        </w:rPr>
        <w:t>2,6</w:t>
      </w:r>
      <w:r w:rsidR="00423EBD" w:rsidRPr="004D307F">
        <w:rPr>
          <w:rFonts w:ascii="VIC-Regular" w:eastAsia="Times New Roman" w:hAnsi="VIC-Regular" w:cs="Times New Roman"/>
          <w:color w:val="323E4F" w:themeColor="text2" w:themeShade="BF"/>
          <w:sz w:val="24"/>
          <w:szCs w:val="24"/>
          <w:lang w:val="en" w:eastAsia="en-AU"/>
        </w:rPr>
        <w:t>78</w:t>
      </w:r>
    </w:p>
    <w:p w14:paraId="15C7DF7C" w14:textId="1757C3FE" w:rsidR="00423EBD" w:rsidRPr="004D307F" w:rsidRDefault="00AD16F0" w:rsidP="00ED0863">
      <w:pPr>
        <w:numPr>
          <w:ilvl w:val="0"/>
          <w:numId w:val="16"/>
        </w:numPr>
        <w:spacing w:before="100" w:beforeAutospacing="1" w:after="100" w:afterAutospacing="1" w:line="360" w:lineRule="atLeast"/>
        <w:rPr>
          <w:color w:val="323E4F" w:themeColor="text2" w:themeShade="BF"/>
        </w:rPr>
      </w:pPr>
      <w:r w:rsidRPr="004D307F">
        <w:rPr>
          <w:rFonts w:ascii="VIC-Regular" w:eastAsia="Times New Roman" w:hAnsi="VIC-Regular" w:cs="Times New Roman"/>
          <w:color w:val="323E4F" w:themeColor="text2" w:themeShade="BF"/>
          <w:sz w:val="24"/>
          <w:szCs w:val="24"/>
          <w:lang w:val="en" w:eastAsia="en-AU"/>
        </w:rPr>
        <w:t xml:space="preserve">Enrolment range 26 to 50: </w:t>
      </w:r>
      <w:r w:rsidR="0005396A" w:rsidRPr="004D307F">
        <w:rPr>
          <w:rFonts w:ascii="VIC-Regular" w:eastAsia="Times New Roman" w:hAnsi="VIC-Regular" w:cs="Times New Roman"/>
          <w:color w:val="323E4F" w:themeColor="text2" w:themeShade="BF"/>
          <w:sz w:val="24"/>
          <w:szCs w:val="24"/>
          <w:lang w:val="en" w:eastAsia="en-AU"/>
        </w:rPr>
        <w:t>$</w:t>
      </w:r>
      <w:r w:rsidR="0061578B" w:rsidRPr="004D307F">
        <w:rPr>
          <w:rFonts w:ascii="VIC-Regular" w:eastAsia="Times New Roman" w:hAnsi="VIC-Regular" w:cs="Times New Roman"/>
          <w:color w:val="323E4F" w:themeColor="text2" w:themeShade="BF"/>
          <w:sz w:val="24"/>
          <w:szCs w:val="24"/>
          <w:lang w:val="en" w:eastAsia="en-AU"/>
        </w:rPr>
        <w:t>3,3</w:t>
      </w:r>
      <w:r w:rsidR="00423EBD" w:rsidRPr="004D307F">
        <w:rPr>
          <w:rFonts w:ascii="VIC-Regular" w:eastAsia="Times New Roman" w:hAnsi="VIC-Regular" w:cs="Times New Roman"/>
          <w:color w:val="323E4F" w:themeColor="text2" w:themeShade="BF"/>
          <w:sz w:val="24"/>
          <w:szCs w:val="24"/>
          <w:lang w:val="en" w:eastAsia="en-AU"/>
        </w:rPr>
        <w:t>50</w:t>
      </w:r>
    </w:p>
    <w:p w14:paraId="7A487A96" w14:textId="5626584C" w:rsidR="00423EBD" w:rsidRPr="004D307F" w:rsidRDefault="00AD16F0" w:rsidP="00ED0863">
      <w:pPr>
        <w:pStyle w:val="ListParagraph"/>
        <w:numPr>
          <w:ilvl w:val="0"/>
          <w:numId w:val="16"/>
        </w:numPr>
        <w:spacing w:before="100" w:beforeAutospacing="1" w:after="100" w:afterAutospacing="1" w:line="360" w:lineRule="atLeast"/>
        <w:rPr>
          <w:rFonts w:ascii="VIC-Regular" w:eastAsia="Times New Roman" w:hAnsi="VIC-Regular" w:cs="Times New Roman"/>
          <w:color w:val="323E4F" w:themeColor="text2" w:themeShade="BF"/>
          <w:sz w:val="24"/>
          <w:szCs w:val="24"/>
          <w:lang w:val="en" w:eastAsia="en-AU"/>
        </w:rPr>
      </w:pPr>
      <w:r w:rsidRPr="004D307F">
        <w:rPr>
          <w:rFonts w:ascii="VIC-Regular" w:eastAsia="Times New Roman" w:hAnsi="VIC-Regular" w:cs="Times New Roman"/>
          <w:color w:val="323E4F" w:themeColor="text2" w:themeShade="BF"/>
          <w:sz w:val="24"/>
          <w:szCs w:val="24"/>
          <w:lang w:val="en" w:eastAsia="en-AU"/>
        </w:rPr>
        <w:t xml:space="preserve">Enrolment range 51+: </w:t>
      </w:r>
      <w:r w:rsidR="0005396A" w:rsidRPr="004D307F">
        <w:rPr>
          <w:rFonts w:ascii="VIC-Regular" w:eastAsia="Times New Roman" w:hAnsi="VIC-Regular" w:cs="Times New Roman"/>
          <w:color w:val="323E4F" w:themeColor="text2" w:themeShade="BF"/>
          <w:sz w:val="24"/>
          <w:szCs w:val="24"/>
          <w:lang w:val="en" w:eastAsia="en-AU"/>
        </w:rPr>
        <w:t>$</w:t>
      </w:r>
      <w:r w:rsidR="00423EBD" w:rsidRPr="004D307F">
        <w:rPr>
          <w:rFonts w:ascii="VIC-Regular" w:eastAsia="Times New Roman" w:hAnsi="VIC-Regular" w:cs="Times New Roman"/>
          <w:color w:val="323E4F" w:themeColor="text2" w:themeShade="BF"/>
          <w:sz w:val="24"/>
          <w:szCs w:val="24"/>
          <w:lang w:val="en" w:eastAsia="en-AU"/>
        </w:rPr>
        <w:t xml:space="preserve">4,021 </w:t>
      </w:r>
    </w:p>
    <w:p w14:paraId="3B5C8D91" w14:textId="574C6A81" w:rsidR="006D204B" w:rsidRPr="004D307F" w:rsidRDefault="006D204B" w:rsidP="004D307F">
      <w:pPr>
        <w:rPr>
          <w:rFonts w:ascii="VIC-Regular" w:eastAsia="Times New Roman" w:hAnsi="VIC-Regular" w:cs="Times New Roman"/>
          <w:color w:val="011A3C"/>
          <w:sz w:val="20"/>
          <w:szCs w:val="20"/>
          <w:lang w:val="en" w:eastAsia="en-AU"/>
        </w:rPr>
      </w:pPr>
      <w:r w:rsidRPr="004D307F">
        <w:rPr>
          <w:rFonts w:ascii="VIC-Regular" w:eastAsia="Times New Roman" w:hAnsi="VIC-Regular" w:cs="Times New Roman"/>
          <w:color w:val="011A3C"/>
          <w:sz w:val="20"/>
          <w:szCs w:val="20"/>
          <w:lang w:val="en" w:eastAsia="en-AU"/>
        </w:rPr>
        <w:t xml:space="preserve">*Including primary, </w:t>
      </w:r>
      <w:proofErr w:type="gramStart"/>
      <w:r w:rsidRPr="004D307F">
        <w:rPr>
          <w:rFonts w:ascii="VIC-Regular" w:eastAsia="Times New Roman" w:hAnsi="VIC-Regular" w:cs="Times New Roman"/>
          <w:color w:val="011A3C"/>
          <w:sz w:val="20"/>
          <w:szCs w:val="20"/>
          <w:lang w:val="en" w:eastAsia="en-AU"/>
        </w:rPr>
        <w:t>secondary</w:t>
      </w:r>
      <w:proofErr w:type="gramEnd"/>
      <w:r w:rsidRPr="004D307F">
        <w:rPr>
          <w:rFonts w:ascii="VIC-Regular" w:eastAsia="Times New Roman" w:hAnsi="VIC-Regular" w:cs="Times New Roman"/>
          <w:color w:val="011A3C"/>
          <w:sz w:val="20"/>
          <w:szCs w:val="20"/>
          <w:lang w:val="en" w:eastAsia="en-AU"/>
        </w:rPr>
        <w:t xml:space="preserve"> and primary/secondary combined schools with a defined special school campus.</w:t>
      </w:r>
    </w:p>
    <w:p w14:paraId="365CDE6D" w14:textId="33EDF651" w:rsidR="00AD16F0" w:rsidRPr="004D307F" w:rsidRDefault="00AD16F0" w:rsidP="00B566E7">
      <w:pPr>
        <w:pStyle w:val="Heading2"/>
      </w:pPr>
      <w:r w:rsidRPr="004D307F">
        <w:br w:type="page"/>
      </w:r>
      <w:bookmarkStart w:id="37" w:name="_Toc99882742"/>
      <w:bookmarkStart w:id="38" w:name="_Hlk98251232"/>
      <w:r w:rsidRPr="004D307F">
        <w:lastRenderedPageBreak/>
        <w:t>EAL Program Funding (Reference 26)</w:t>
      </w:r>
      <w:bookmarkEnd w:id="37"/>
    </w:p>
    <w:p w14:paraId="136F4A41" w14:textId="299EBCC4" w:rsidR="005D5E2A" w:rsidRPr="004D307F" w:rsidRDefault="005D5E2A"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EAL program funding for primary and secondary schools in the </w:t>
      </w:r>
      <w:r w:rsidR="001B66F8" w:rsidRPr="004D307F">
        <w:rPr>
          <w:rFonts w:ascii="VIC-Regular" w:eastAsia="Times New Roman" w:hAnsi="VIC-Regular" w:cs="Times New Roman"/>
          <w:color w:val="011A3C"/>
          <w:sz w:val="24"/>
          <w:szCs w:val="24"/>
          <w:lang w:val="en" w:eastAsia="en-AU"/>
        </w:rPr>
        <w:t>Student Resource Package (</w:t>
      </w:r>
      <w:r w:rsidRPr="004D307F">
        <w:rPr>
          <w:rFonts w:ascii="VIC-Regular" w:eastAsia="Times New Roman" w:hAnsi="VIC-Regular" w:cs="Times New Roman"/>
          <w:color w:val="011A3C"/>
          <w:sz w:val="24"/>
          <w:szCs w:val="24"/>
          <w:lang w:val="en" w:eastAsia="en-AU"/>
        </w:rPr>
        <w:t>SRP</w:t>
      </w:r>
      <w:r w:rsidR="001B66F8"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consists primarily of EAL Index funding (Levels 1 – 5) and is provided to schools that meet a pre-determined threshold. Schools that experience an increase to their EAL student profile during the school year which takes them beyond that threshold are also eligible for EAL contingency funding. Refer to </w:t>
      </w:r>
      <w:hyperlink r:id="rId64" w:history="1">
        <w:r w:rsidRPr="004D307F">
          <w:rPr>
            <w:rFonts w:ascii="VIC-Regular" w:eastAsia="Times New Roman" w:hAnsi="VIC-Regular" w:cs="Times New Roman"/>
            <w:color w:val="011A3C"/>
            <w:sz w:val="24"/>
            <w:szCs w:val="24"/>
            <w:lang w:val="en" w:eastAsia="en-AU"/>
          </w:rPr>
          <w:t>EAL Contingency</w:t>
        </w:r>
      </w:hyperlink>
      <w:r w:rsidRPr="004D307F">
        <w:rPr>
          <w:rFonts w:ascii="VIC-Regular" w:eastAsia="Times New Roman" w:hAnsi="VIC-Regular" w:cs="Times New Roman"/>
          <w:color w:val="011A3C"/>
          <w:sz w:val="24"/>
          <w:szCs w:val="24"/>
          <w:lang w:val="en" w:eastAsia="en-AU"/>
        </w:rPr>
        <w:t xml:space="preserve"> (</w:t>
      </w:r>
      <w:r w:rsidR="009212A4" w:rsidRPr="004D307F">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eference 27).</w:t>
      </w:r>
    </w:p>
    <w:p w14:paraId="2F805A49" w14:textId="77777777" w:rsidR="005D5E2A" w:rsidRPr="004D307F" w:rsidRDefault="005D5E2A"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EAL program funding for English language schools and </w:t>
      </w:r>
      <w:proofErr w:type="spellStart"/>
      <w:r w:rsidRPr="004D307F">
        <w:rPr>
          <w:rFonts w:ascii="VIC-Regular" w:eastAsia="Times New Roman" w:hAnsi="VIC-Regular" w:cs="Times New Roman"/>
          <w:color w:val="011A3C"/>
          <w:sz w:val="24"/>
          <w:szCs w:val="24"/>
          <w:lang w:val="en" w:eastAsia="en-AU"/>
        </w:rPr>
        <w:t>centres</w:t>
      </w:r>
      <w:proofErr w:type="spellEnd"/>
      <w:r w:rsidRPr="004D307F">
        <w:rPr>
          <w:rFonts w:ascii="VIC-Regular" w:eastAsia="Times New Roman" w:hAnsi="VIC-Regular" w:cs="Times New Roman"/>
          <w:color w:val="011A3C"/>
          <w:sz w:val="24"/>
          <w:szCs w:val="24"/>
          <w:lang w:val="en" w:eastAsia="en-AU"/>
        </w:rPr>
        <w:t xml:space="preserve"> in the SRP consists of funding to support a target number of students and provide services to newly arrived students who are not currently enrolled in a full-time new arrivals program. English language schools and </w:t>
      </w:r>
      <w:proofErr w:type="spellStart"/>
      <w:r w:rsidRPr="004D307F">
        <w:rPr>
          <w:rFonts w:ascii="VIC-Regular" w:eastAsia="Times New Roman" w:hAnsi="VIC-Regular" w:cs="Times New Roman"/>
          <w:color w:val="011A3C"/>
          <w:sz w:val="24"/>
          <w:szCs w:val="24"/>
          <w:lang w:val="en" w:eastAsia="en-AU"/>
        </w:rPr>
        <w:t>centres</w:t>
      </w:r>
      <w:proofErr w:type="spellEnd"/>
      <w:r w:rsidRPr="004D307F">
        <w:rPr>
          <w:rFonts w:ascii="VIC-Regular" w:eastAsia="Times New Roman" w:hAnsi="VIC-Regular" w:cs="Times New Roman"/>
          <w:color w:val="011A3C"/>
          <w:sz w:val="24"/>
          <w:szCs w:val="24"/>
          <w:lang w:val="en" w:eastAsia="en-AU"/>
        </w:rPr>
        <w:t xml:space="preserve"> that experience a significant increase to their enrolments during the school year may also be eligible for EAL contingency funding. Refer to </w:t>
      </w:r>
      <w:hyperlink r:id="rId65" w:history="1">
        <w:r w:rsidRPr="004D307F">
          <w:rPr>
            <w:rFonts w:ascii="VIC-Regular" w:eastAsia="Times New Roman" w:hAnsi="VIC-Regular" w:cs="Times New Roman"/>
            <w:color w:val="011A3C"/>
            <w:sz w:val="24"/>
            <w:szCs w:val="24"/>
            <w:lang w:val="en" w:eastAsia="en-AU"/>
          </w:rPr>
          <w:t>EAL Contingency</w:t>
        </w:r>
      </w:hyperlink>
      <w:r w:rsidRPr="004D307F">
        <w:rPr>
          <w:rFonts w:ascii="VIC-Regular" w:eastAsia="Times New Roman" w:hAnsi="VIC-Regular" w:cs="Times New Roman"/>
          <w:color w:val="011A3C"/>
          <w:sz w:val="24"/>
          <w:szCs w:val="24"/>
          <w:lang w:val="en" w:eastAsia="en-AU"/>
        </w:rPr>
        <w:t xml:space="preserve"> (Reference 27).</w:t>
      </w:r>
    </w:p>
    <w:p w14:paraId="6A145E9C" w14:textId="77777777" w:rsidR="005D5E2A" w:rsidRPr="004D307F" w:rsidRDefault="005D5E2A"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EAL Index funding (Levels 1 </w:t>
      </w:r>
      <w:r w:rsidRPr="004D307F">
        <w:rPr>
          <w:rFonts w:ascii="VIC-Bold" w:eastAsia="Times New Roman" w:hAnsi="VIC-Bold" w:cs="Times New Roman" w:hint="eastAsia"/>
          <w:b/>
          <w:bCs/>
          <w:color w:val="011A3C"/>
          <w:sz w:val="27"/>
          <w:szCs w:val="27"/>
          <w:lang w:val="en" w:eastAsia="en-AU"/>
        </w:rPr>
        <w:t>–</w:t>
      </w:r>
      <w:r w:rsidRPr="004D307F">
        <w:rPr>
          <w:rFonts w:ascii="VIC-Bold" w:eastAsia="Times New Roman" w:hAnsi="VIC-Bold" w:cs="Times New Roman"/>
          <w:b/>
          <w:bCs/>
          <w:color w:val="011A3C"/>
          <w:sz w:val="27"/>
          <w:szCs w:val="27"/>
          <w:lang w:val="en" w:eastAsia="en-AU"/>
        </w:rPr>
        <w:t xml:space="preserve"> 5)</w:t>
      </w:r>
    </w:p>
    <w:p w14:paraId="2A7E7A70"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Index funding is made available to schools to staff EAL programs with appropriately qualified EAL teachers and Multicultural Education Aides (MEAs).</w:t>
      </w:r>
    </w:p>
    <w:p w14:paraId="512BE684"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Index funding is based on data collected from schools in the preceding August School Census. New schools that did not participate in the preceding August census can apply for contingency funding if their EAL student profile meets the EAL Index funding threshold.</w:t>
      </w:r>
    </w:p>
    <w:p w14:paraId="1C3728E7" w14:textId="77777777" w:rsidR="005D5E2A" w:rsidRPr="004D307F" w:rsidRDefault="005D5E2A"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0B28DC52" w14:textId="77777777" w:rsidR="005D5E2A" w:rsidRPr="004D307F" w:rsidRDefault="005D5E2A" w:rsidP="00ED0863">
      <w:pPr>
        <w:numPr>
          <w:ilvl w:val="0"/>
          <w:numId w:val="2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w:t>
      </w:r>
    </w:p>
    <w:p w14:paraId="3998E452" w14:textId="77777777" w:rsidR="005D5E2A" w:rsidRPr="004D307F" w:rsidRDefault="005D5E2A" w:rsidP="00ED0863">
      <w:pPr>
        <w:numPr>
          <w:ilvl w:val="0"/>
          <w:numId w:val="2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Secondary</w:t>
      </w:r>
    </w:p>
    <w:p w14:paraId="397BEFE9" w14:textId="77777777" w:rsidR="005D5E2A" w:rsidRPr="004D307F" w:rsidRDefault="005D5E2A" w:rsidP="00ED0863">
      <w:pPr>
        <w:numPr>
          <w:ilvl w:val="0"/>
          <w:numId w:val="28"/>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Primary/Secondary Combined</w:t>
      </w:r>
    </w:p>
    <w:p w14:paraId="62AF9A7B" w14:textId="77777777"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Allocation of EAL Index funding</w:t>
      </w:r>
    </w:p>
    <w:p w14:paraId="05C63C8D"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Index funding is allocated to schools at campus level to provide EAL programs for students based on the number of students who:</w:t>
      </w:r>
    </w:p>
    <w:p w14:paraId="210D94DD" w14:textId="77777777" w:rsidR="005D5E2A" w:rsidRPr="004D307F" w:rsidRDefault="005D5E2A" w:rsidP="00ED0863">
      <w:pPr>
        <w:numPr>
          <w:ilvl w:val="0"/>
          <w:numId w:val="2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come from a language background other than English</w:t>
      </w:r>
    </w:p>
    <w:p w14:paraId="21149923" w14:textId="77777777" w:rsidR="005D5E2A" w:rsidRPr="004D307F" w:rsidRDefault="005D5E2A" w:rsidP="00ED0863">
      <w:pPr>
        <w:numPr>
          <w:ilvl w:val="0"/>
          <w:numId w:val="2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speak a language other than English at home as their main language</w:t>
      </w:r>
    </w:p>
    <w:p w14:paraId="2E4385B2" w14:textId="77777777" w:rsidR="005D5E2A" w:rsidRPr="004D307F" w:rsidRDefault="005D5E2A" w:rsidP="00ED0863">
      <w:pPr>
        <w:numPr>
          <w:ilvl w:val="0"/>
          <w:numId w:val="2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have been enrolled in an Australian school for less than five years</w:t>
      </w:r>
    </w:p>
    <w:p w14:paraId="6F6CB70E" w14:textId="73077EB3" w:rsidR="005D5E2A" w:rsidRPr="004D307F" w:rsidRDefault="005D5E2A" w:rsidP="00ED0863">
      <w:pPr>
        <w:numPr>
          <w:ilvl w:val="0"/>
          <w:numId w:val="29"/>
        </w:num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attract SRP funding.</w:t>
      </w:r>
    </w:p>
    <w:p w14:paraId="7689E393" w14:textId="47ADBFC3" w:rsidR="005D5E2A" w:rsidRPr="004D307F" w:rsidRDefault="005D5E2A" w:rsidP="00C116FE">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should plan programs that are sufficiently flexible to accommodate the changes that occur to their EAL populations during the school year. This can be due to new enrolments or students transferring or leaving.</w:t>
      </w:r>
    </w:p>
    <w:p w14:paraId="22EC7132" w14:textId="77777777"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Calculation</w:t>
      </w:r>
    </w:p>
    <w:p w14:paraId="63BF4921"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EAL funding is based on an integrated weighted index for primary and secondary students.</w:t>
      </w:r>
    </w:p>
    <w:p w14:paraId="3C655925" w14:textId="6FA2700F"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is applied to the number of students identified in the August School census as meeting the EAL Index funding criteria.</w:t>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color w:val="011A3C"/>
          <w:sz w:val="24"/>
          <w:szCs w:val="24"/>
          <w:lang w:val="en" w:eastAsia="en-AU"/>
        </w:rPr>
        <w:br/>
        <w:t>A school’s EAL allocation includes a weighting based on the school’s densities of Student Family Occupations (SFO Weighting).</w:t>
      </w:r>
      <w:r w:rsidR="00F01784" w:rsidRPr="004D307F">
        <w:rPr>
          <w:rFonts w:ascii="VIC-Regular" w:eastAsia="Times New Roman" w:hAnsi="VIC-Regular" w:cs="Times New Roman"/>
          <w:color w:val="011A3C"/>
          <w:sz w:val="24"/>
          <w:szCs w:val="24"/>
          <w:lang w:val="en" w:eastAsia="en-AU"/>
        </w:rPr>
        <w:t xml:space="preserve"> Refer </w:t>
      </w:r>
      <w:r w:rsidR="009212A4" w:rsidRPr="004D307F">
        <w:rPr>
          <w:rFonts w:ascii="VIC-Regular" w:eastAsia="Times New Roman" w:hAnsi="VIC-Regular" w:cs="Times New Roman"/>
          <w:color w:val="011A3C"/>
          <w:sz w:val="24"/>
          <w:szCs w:val="24"/>
          <w:lang w:val="en" w:eastAsia="en-AU"/>
        </w:rPr>
        <w:t>R</w:t>
      </w:r>
      <w:r w:rsidR="00F01784" w:rsidRPr="004D307F">
        <w:rPr>
          <w:rFonts w:ascii="VIC-Regular" w:eastAsia="Times New Roman" w:hAnsi="VIC-Regular" w:cs="Times New Roman"/>
          <w:color w:val="011A3C"/>
          <w:sz w:val="24"/>
          <w:szCs w:val="24"/>
          <w:lang w:val="en" w:eastAsia="en-AU"/>
        </w:rPr>
        <w:t xml:space="preserve">eference </w:t>
      </w:r>
      <w:r w:rsidR="000D3CC4" w:rsidRPr="004D307F">
        <w:rPr>
          <w:rFonts w:ascii="VIC-Regular" w:eastAsia="Times New Roman" w:hAnsi="VIC-Regular" w:cs="Times New Roman"/>
          <w:color w:val="011A3C"/>
          <w:sz w:val="24"/>
          <w:szCs w:val="24"/>
          <w:lang w:val="en" w:eastAsia="en-AU"/>
        </w:rPr>
        <w:t>11 for the calculation of SFO.</w:t>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color w:val="011A3C"/>
          <w:sz w:val="24"/>
          <w:szCs w:val="24"/>
          <w:lang w:val="en" w:eastAsia="en-AU"/>
        </w:rPr>
        <w:br/>
        <w:t>The SFO Weighting reflects the high correlation between student outcomes and family occupation to target funding to schools with EAL learners with greatest need.</w:t>
      </w:r>
      <w:r w:rsidRPr="004D307F">
        <w:rPr>
          <w:rFonts w:ascii="VIC-Regular" w:eastAsia="Times New Roman" w:hAnsi="VIC-Regular" w:cs="Times New Roman"/>
          <w:color w:val="011A3C"/>
          <w:sz w:val="24"/>
          <w:szCs w:val="24"/>
          <w:lang w:val="en" w:eastAsia="en-AU"/>
        </w:rPr>
        <w:br/>
      </w:r>
      <w:r w:rsidRPr="004D307F">
        <w:rPr>
          <w:rFonts w:ascii="VIC-Regular" w:eastAsia="Times New Roman" w:hAnsi="VIC-Regular" w:cs="Times New Roman"/>
          <w:color w:val="011A3C"/>
          <w:sz w:val="24"/>
          <w:szCs w:val="24"/>
          <w:lang w:val="en" w:eastAsia="en-AU"/>
        </w:rPr>
        <w:br/>
        <w:t xml:space="preserve">A campus is required to reach a threshold before funding will apply. Thresholds are applied separately to primary and secondary students for </w:t>
      </w:r>
      <w:proofErr w:type="spellStart"/>
      <w:r w:rsidRPr="004D307F">
        <w:rPr>
          <w:rFonts w:ascii="VIC-Regular" w:eastAsia="Times New Roman" w:hAnsi="VIC-Regular" w:cs="Times New Roman"/>
          <w:color w:val="011A3C"/>
          <w:sz w:val="24"/>
          <w:szCs w:val="24"/>
          <w:lang w:val="en" w:eastAsia="en-AU"/>
        </w:rPr>
        <w:t>Pri</w:t>
      </w:r>
      <w:proofErr w:type="spellEnd"/>
      <w:r w:rsidRPr="004D307F">
        <w:rPr>
          <w:rFonts w:ascii="VIC-Regular" w:eastAsia="Times New Roman" w:hAnsi="VIC-Regular" w:cs="Times New Roman"/>
          <w:color w:val="011A3C"/>
          <w:sz w:val="24"/>
          <w:szCs w:val="24"/>
          <w:lang w:val="en" w:eastAsia="en-AU"/>
        </w:rPr>
        <w:t>/Sec</w:t>
      </w:r>
      <w:r w:rsidR="00F01784" w:rsidRPr="004D307F">
        <w:rPr>
          <w:rFonts w:ascii="VIC-Regular" w:eastAsia="Times New Roman" w:hAnsi="VIC-Regular" w:cs="Times New Roman"/>
          <w:color w:val="011A3C"/>
          <w:sz w:val="24"/>
          <w:szCs w:val="24"/>
          <w:lang w:val="en" w:eastAsia="en-AU"/>
        </w:rPr>
        <w:t>ondary combined</w:t>
      </w:r>
      <w:r w:rsidRPr="004D307F">
        <w:rPr>
          <w:rFonts w:ascii="VIC-Regular" w:eastAsia="Times New Roman" w:hAnsi="VIC-Regular" w:cs="Times New Roman"/>
          <w:color w:val="011A3C"/>
          <w:sz w:val="24"/>
          <w:szCs w:val="24"/>
          <w:lang w:val="en" w:eastAsia="en-AU"/>
        </w:rPr>
        <w:t xml:space="preserve"> campuses. </w:t>
      </w:r>
    </w:p>
    <w:p w14:paraId="1719B856" w14:textId="77777777" w:rsidR="005D5E2A" w:rsidRPr="004D307F" w:rsidRDefault="005D5E2A" w:rsidP="000A6EFD">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39" w:name="_Hlk48394809"/>
      <w:r w:rsidRPr="004D307F">
        <w:rPr>
          <w:rFonts w:ascii="VIC-Regular" w:eastAsia="Times New Roman" w:hAnsi="VIC-Regular" w:cs="Times New Roman"/>
          <w:color w:val="011A3C"/>
          <w:sz w:val="24"/>
          <w:szCs w:val="24"/>
          <w:lang w:val="en" w:eastAsia="en-AU"/>
        </w:rPr>
        <w:t xml:space="preserve">Thresholds are determined by </w:t>
      </w:r>
    </w:p>
    <w:p w14:paraId="50C17131" w14:textId="45B1CF95"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Rates </w:t>
      </w:r>
      <w:r w:rsidRPr="004D307F">
        <w:rPr>
          <w:rFonts w:ascii="VIC" w:eastAsia="Times New Roman" w:hAnsi="VIC" w:cs="Times New Roman"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202</w:t>
      </w:r>
      <w:r w:rsidR="009212A4" w:rsidRPr="004D307F">
        <w:rPr>
          <w:rFonts w:ascii="VIC" w:eastAsia="Times New Roman" w:hAnsi="VIC" w:cs="Times New Roman"/>
          <w:b/>
          <w:bCs/>
          <w:color w:val="011A3C"/>
          <w:sz w:val="24"/>
          <w:szCs w:val="24"/>
          <w:lang w:val="en" w:eastAsia="en-AU"/>
        </w:rPr>
        <w:t>2</w:t>
      </w:r>
    </w:p>
    <w:p w14:paraId="28203640" w14:textId="77777777"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1: EAL Index funding thresholds</w:t>
      </w:r>
    </w:p>
    <w:p w14:paraId="76CDF9BB" w14:textId="517562C4" w:rsidR="005D5E2A" w:rsidRPr="004D307F" w:rsidRDefault="000A6EFD"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w:t>
      </w:r>
      <w:r w:rsidR="00221E62" w:rsidRPr="004D307F">
        <w:rPr>
          <w:rFonts w:ascii="VIC" w:eastAsia="Times New Roman" w:hAnsi="VIC" w:cs="Times New Roman"/>
          <w:color w:val="011A3C"/>
          <w:sz w:val="24"/>
          <w:szCs w:val="24"/>
          <w:lang w:val="en" w:eastAsia="en-AU"/>
        </w:rPr>
        <w:t xml:space="preserve"> </w:t>
      </w:r>
      <w:r w:rsidR="005D5E2A"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25,6</w:t>
      </w:r>
      <w:r w:rsidR="00132503" w:rsidRPr="004D307F">
        <w:rPr>
          <w:rFonts w:ascii="VIC" w:eastAsia="Times New Roman" w:hAnsi="VIC" w:cs="Times New Roman"/>
          <w:color w:val="011A3C"/>
          <w:sz w:val="24"/>
          <w:szCs w:val="24"/>
          <w:lang w:val="en" w:eastAsia="en-AU"/>
        </w:rPr>
        <w:t>34.61</w:t>
      </w:r>
    </w:p>
    <w:p w14:paraId="56F27BE2" w14:textId="1F5AD8AA" w:rsidR="005D5E2A" w:rsidRPr="004D307F" w:rsidRDefault="000A6EFD" w:rsidP="00ED0863">
      <w:pPr>
        <w:numPr>
          <w:ilvl w:val="0"/>
          <w:numId w:val="3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r w:rsidR="00132503" w:rsidRPr="004D307F">
        <w:rPr>
          <w:rFonts w:ascii="VIC" w:eastAsia="Times New Roman" w:hAnsi="VIC" w:cs="Times New Roman"/>
          <w:color w:val="011A3C"/>
          <w:sz w:val="24"/>
          <w:szCs w:val="24"/>
          <w:lang w:val="en" w:eastAsia="en-AU"/>
        </w:rPr>
        <w:t xml:space="preserve"> </w:t>
      </w:r>
      <w:r w:rsidR="005D5E2A"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48,8</w:t>
      </w:r>
      <w:r w:rsidR="00132503" w:rsidRPr="004D307F">
        <w:rPr>
          <w:rFonts w:ascii="VIC" w:eastAsia="Times New Roman" w:hAnsi="VIC" w:cs="Times New Roman"/>
          <w:color w:val="011A3C"/>
          <w:sz w:val="24"/>
          <w:szCs w:val="24"/>
          <w:lang w:val="en" w:eastAsia="en-AU"/>
        </w:rPr>
        <w:t>91.69</w:t>
      </w:r>
    </w:p>
    <w:bookmarkEnd w:id="39"/>
    <w:p w14:paraId="2F877E2B" w14:textId="77777777" w:rsidR="005D5E2A" w:rsidRPr="004D307F" w:rsidRDefault="005D5E2A" w:rsidP="00000933">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2: Index levels and level descriptions</w:t>
      </w:r>
    </w:p>
    <w:p w14:paraId="7C001521" w14:textId="3B7DE541"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1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Foundation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1.00</w:t>
      </w:r>
      <w:r w:rsidR="00F01784" w:rsidRPr="004D307F">
        <w:rPr>
          <w:rFonts w:ascii="VIC" w:eastAsia="Times New Roman" w:hAnsi="VIC" w:cs="Times New Roman"/>
          <w:color w:val="011A3C"/>
          <w:sz w:val="24"/>
          <w:szCs w:val="24"/>
          <w:lang w:val="en" w:eastAsia="en-AU"/>
        </w:rPr>
        <w:t xml:space="preserve"> applied</w:t>
      </w:r>
    </w:p>
    <w:p w14:paraId="2A378734" w14:textId="22BB6CF9"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2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2-5 years in Australian school Years 1-6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2.00</w:t>
      </w:r>
      <w:r w:rsidR="00F01784" w:rsidRPr="004D307F">
        <w:rPr>
          <w:rFonts w:ascii="VIC" w:eastAsia="Times New Roman" w:hAnsi="VIC" w:cs="Times New Roman"/>
          <w:color w:val="011A3C"/>
          <w:sz w:val="24"/>
          <w:szCs w:val="24"/>
          <w:lang w:val="en" w:eastAsia="en-AU"/>
        </w:rPr>
        <w:t xml:space="preserve"> applied</w:t>
      </w:r>
    </w:p>
    <w:p w14:paraId="2F4AA53E" w14:textId="156D4BCB"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Level 3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&lt;2 years in Australian school Years 1-6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4.00</w:t>
      </w:r>
      <w:r w:rsidR="00F01784" w:rsidRPr="004D307F">
        <w:rPr>
          <w:rFonts w:ascii="VIC" w:eastAsia="Times New Roman" w:hAnsi="VIC" w:cs="Times New Roman"/>
          <w:color w:val="011A3C"/>
          <w:sz w:val="24"/>
          <w:szCs w:val="24"/>
          <w:lang w:val="en" w:eastAsia="en-AU"/>
        </w:rPr>
        <w:t xml:space="preserve"> applied</w:t>
      </w:r>
    </w:p>
    <w:p w14:paraId="5DB1FCB6" w14:textId="791E18ED"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4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2-5 years in Australian school Years 7-12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5.09</w:t>
      </w:r>
      <w:r w:rsidR="00F01784" w:rsidRPr="004D307F">
        <w:rPr>
          <w:rFonts w:ascii="VIC" w:eastAsia="Times New Roman" w:hAnsi="VIC" w:cs="Times New Roman"/>
          <w:color w:val="011A3C"/>
          <w:sz w:val="24"/>
          <w:szCs w:val="24"/>
          <w:lang w:val="en" w:eastAsia="en-AU"/>
        </w:rPr>
        <w:t xml:space="preserve"> applied</w:t>
      </w:r>
    </w:p>
    <w:p w14:paraId="1038AD02" w14:textId="6F9AFDF4"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5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&lt;2 years in Australian school Years 7-12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weighting of 7.64</w:t>
      </w:r>
      <w:r w:rsidR="00F01784" w:rsidRPr="004D307F">
        <w:rPr>
          <w:rFonts w:ascii="VIC" w:eastAsia="Times New Roman" w:hAnsi="VIC" w:cs="Times New Roman"/>
          <w:color w:val="011A3C"/>
          <w:sz w:val="24"/>
          <w:szCs w:val="24"/>
          <w:lang w:val="en" w:eastAsia="en-AU"/>
        </w:rPr>
        <w:t xml:space="preserve"> applied</w:t>
      </w:r>
    </w:p>
    <w:p w14:paraId="6951E5DD" w14:textId="49213F5F" w:rsidR="005D5E2A" w:rsidRPr="004D307F" w:rsidRDefault="005D5E2A" w:rsidP="0061578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3:</w:t>
      </w:r>
      <w:r w:rsidRPr="004D307F">
        <w:rPr>
          <w:rFonts w:ascii="Calibri" w:eastAsia="Times New Roman" w:hAnsi="Calibri" w:cs="Calibri" w:hint="eastAsia"/>
          <w:b/>
          <w:bCs/>
          <w:color w:val="011A3C"/>
          <w:sz w:val="24"/>
          <w:szCs w:val="24"/>
          <w:lang w:val="en" w:eastAsia="en-AU"/>
        </w:rPr>
        <w:t> </w:t>
      </w:r>
      <w:r w:rsidR="000D3CC4" w:rsidRPr="004D307F">
        <w:rPr>
          <w:rFonts w:ascii="VIC" w:eastAsia="Times New Roman" w:hAnsi="VIC" w:cs="Times New Roman"/>
          <w:b/>
          <w:bCs/>
          <w:color w:val="011A3C"/>
          <w:sz w:val="24"/>
          <w:szCs w:val="24"/>
          <w:lang w:val="en" w:eastAsia="en-AU"/>
        </w:rPr>
        <w:t>Further w</w:t>
      </w:r>
      <w:r w:rsidRPr="004D307F">
        <w:rPr>
          <w:rFonts w:ascii="VIC" w:eastAsia="Times New Roman" w:hAnsi="VIC" w:cs="Times New Roman"/>
          <w:b/>
          <w:bCs/>
          <w:color w:val="011A3C"/>
          <w:sz w:val="24"/>
          <w:szCs w:val="24"/>
          <w:lang w:val="en" w:eastAsia="en-AU"/>
        </w:rPr>
        <w:t xml:space="preserve">eightings </w:t>
      </w:r>
      <w:r w:rsidR="000D3CC4" w:rsidRPr="004D307F">
        <w:rPr>
          <w:rFonts w:ascii="VIC" w:eastAsia="Times New Roman" w:hAnsi="VIC" w:cs="Times New Roman"/>
          <w:b/>
          <w:bCs/>
          <w:color w:val="011A3C"/>
          <w:sz w:val="24"/>
          <w:szCs w:val="24"/>
          <w:lang w:val="en" w:eastAsia="en-AU"/>
        </w:rPr>
        <w:t xml:space="preserve">are </w:t>
      </w:r>
      <w:r w:rsidRPr="004D307F">
        <w:rPr>
          <w:rFonts w:ascii="VIC" w:eastAsia="Times New Roman" w:hAnsi="VIC" w:cs="Times New Roman"/>
          <w:b/>
          <w:bCs/>
          <w:color w:val="011A3C"/>
          <w:sz w:val="24"/>
          <w:szCs w:val="24"/>
          <w:lang w:val="en" w:eastAsia="en-AU"/>
        </w:rPr>
        <w:t xml:space="preserve">applied to campuses </w:t>
      </w:r>
      <w:r w:rsidR="000D3CC4" w:rsidRPr="004D307F">
        <w:rPr>
          <w:rFonts w:ascii="VIC" w:eastAsia="Times New Roman" w:hAnsi="VIC" w:cs="Times New Roman"/>
          <w:b/>
          <w:bCs/>
          <w:color w:val="011A3C"/>
          <w:sz w:val="24"/>
          <w:szCs w:val="24"/>
          <w:lang w:val="en" w:eastAsia="en-AU"/>
        </w:rPr>
        <w:t xml:space="preserve">based on the campus </w:t>
      </w:r>
      <w:r w:rsidRPr="004D307F">
        <w:rPr>
          <w:rFonts w:ascii="VIC" w:eastAsia="Times New Roman" w:hAnsi="VIC" w:cs="Times New Roman"/>
          <w:b/>
          <w:bCs/>
          <w:color w:val="011A3C"/>
          <w:sz w:val="24"/>
          <w:szCs w:val="24"/>
          <w:lang w:val="en" w:eastAsia="en-AU"/>
        </w:rPr>
        <w:t>densities of Student Family Occupations (SFO)</w:t>
      </w:r>
    </w:p>
    <w:p w14:paraId="05EC3BB6" w14:textId="73481943"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1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000D3CC4" w:rsidRPr="004D307F">
        <w:rPr>
          <w:rFonts w:ascii="VIC" w:eastAsia="Times New Roman" w:hAnsi="VIC" w:cs="Times New Roman"/>
          <w:color w:val="011A3C"/>
          <w:sz w:val="24"/>
          <w:szCs w:val="24"/>
          <w:lang w:val="en" w:eastAsia="en-AU"/>
        </w:rPr>
        <w:t xml:space="preserve">Where a </w:t>
      </w:r>
      <w:r w:rsidRPr="004D307F">
        <w:rPr>
          <w:rFonts w:ascii="VIC" w:eastAsia="Times New Roman" w:hAnsi="VIC" w:cs="Times New Roman"/>
          <w:color w:val="011A3C"/>
          <w:sz w:val="24"/>
          <w:szCs w:val="24"/>
          <w:lang w:val="en" w:eastAsia="en-AU"/>
        </w:rPr>
        <w:t xml:space="preserve">SFO density </w:t>
      </w:r>
      <w:r w:rsidR="000D3CC4" w:rsidRPr="004D307F">
        <w:rPr>
          <w:rFonts w:ascii="VIC" w:eastAsia="Times New Roman" w:hAnsi="VIC" w:cs="Times New Roman"/>
          <w:color w:val="011A3C"/>
          <w:sz w:val="24"/>
          <w:szCs w:val="24"/>
          <w:lang w:val="en" w:eastAsia="en-AU"/>
        </w:rPr>
        <w:t xml:space="preserve">is </w:t>
      </w:r>
      <w:r w:rsidRPr="004D307F">
        <w:rPr>
          <w:rFonts w:ascii="VIC" w:eastAsia="Times New Roman" w:hAnsi="VIC" w:cs="Times New Roman"/>
          <w:color w:val="011A3C"/>
          <w:sz w:val="24"/>
          <w:szCs w:val="24"/>
          <w:lang w:val="en" w:eastAsia="en-AU"/>
        </w:rPr>
        <w:t>less than or equal to 52.73%</w:t>
      </w:r>
      <w:r w:rsidR="000D3CC4" w:rsidRPr="004D307F">
        <w:rPr>
          <w:rFonts w:ascii="VIC" w:eastAsia="Times New Roman" w:hAnsi="VIC" w:cs="Times New Roman"/>
          <w:color w:val="011A3C"/>
          <w:sz w:val="24"/>
          <w:szCs w:val="24"/>
          <w:lang w:val="en" w:eastAsia="en-AU"/>
        </w:rPr>
        <w:t xml:space="preserve"> (0.5273)</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0D3CC4" w:rsidRPr="004D307F">
        <w:rPr>
          <w:rFonts w:ascii="VIC" w:eastAsia="Times New Roman" w:hAnsi="VIC" w:cs="Times New Roman"/>
          <w:color w:val="011A3C"/>
          <w:sz w:val="24"/>
          <w:szCs w:val="24"/>
          <w:lang w:val="en" w:eastAsia="en-AU"/>
        </w:rPr>
        <w:t xml:space="preserve">a 0.6 </w:t>
      </w:r>
      <w:r w:rsidR="00337C31" w:rsidRPr="004D307F">
        <w:rPr>
          <w:rFonts w:ascii="VIC" w:eastAsia="Times New Roman" w:hAnsi="VIC" w:cs="Times New Roman"/>
          <w:color w:val="011A3C"/>
          <w:sz w:val="24"/>
          <w:szCs w:val="24"/>
          <w:lang w:val="en" w:eastAsia="en-AU"/>
        </w:rPr>
        <w:t>weight is</w:t>
      </w:r>
      <w:r w:rsidR="000D3CC4" w:rsidRPr="004D307F">
        <w:rPr>
          <w:rFonts w:ascii="VIC" w:eastAsia="Times New Roman" w:hAnsi="VIC" w:cs="Times New Roman"/>
          <w:color w:val="011A3C"/>
          <w:sz w:val="24"/>
          <w:szCs w:val="24"/>
          <w:lang w:val="en" w:eastAsia="en-AU"/>
        </w:rPr>
        <w:t xml:space="preserve"> applied</w:t>
      </w:r>
    </w:p>
    <w:p w14:paraId="52BB6239" w14:textId="421B741B"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2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000D3CC4" w:rsidRPr="004D307F">
        <w:rPr>
          <w:rFonts w:ascii="VIC" w:eastAsia="Times New Roman" w:hAnsi="VIC" w:cs="Times New Roman"/>
          <w:color w:val="011A3C"/>
          <w:sz w:val="24"/>
          <w:szCs w:val="24"/>
          <w:lang w:val="en" w:eastAsia="en-AU"/>
        </w:rPr>
        <w:t xml:space="preserve">Where a </w:t>
      </w:r>
      <w:r w:rsidRPr="004D307F">
        <w:rPr>
          <w:rFonts w:ascii="VIC" w:eastAsia="Times New Roman" w:hAnsi="VIC" w:cs="Times New Roman"/>
          <w:color w:val="011A3C"/>
          <w:sz w:val="24"/>
          <w:szCs w:val="24"/>
          <w:lang w:val="en" w:eastAsia="en-AU"/>
        </w:rPr>
        <w:t>SFO density greater than 52.74%</w:t>
      </w:r>
      <w:r w:rsidR="000D3CC4" w:rsidRPr="004D307F">
        <w:rPr>
          <w:rFonts w:ascii="VIC" w:eastAsia="Times New Roman" w:hAnsi="VIC" w:cs="Times New Roman"/>
          <w:color w:val="011A3C"/>
          <w:sz w:val="24"/>
          <w:szCs w:val="24"/>
          <w:lang w:val="en" w:eastAsia="en-AU"/>
        </w:rPr>
        <w:t xml:space="preserve"> (0.5274)</w:t>
      </w:r>
      <w:r w:rsidRPr="004D307F">
        <w:rPr>
          <w:rFonts w:ascii="VIC" w:eastAsia="Times New Roman" w:hAnsi="VIC" w:cs="Times New Roman"/>
          <w:color w:val="011A3C"/>
          <w:sz w:val="24"/>
          <w:szCs w:val="24"/>
          <w:lang w:val="en" w:eastAsia="en-AU"/>
        </w:rPr>
        <w:t xml:space="preserve"> but less than or equal to 54.69% </w:t>
      </w:r>
      <w:r w:rsidR="000D3CC4" w:rsidRPr="004D307F">
        <w:rPr>
          <w:rFonts w:ascii="VIC" w:eastAsia="Times New Roman" w:hAnsi="VIC" w:cs="Times New Roman"/>
          <w:color w:val="011A3C"/>
          <w:sz w:val="24"/>
          <w:szCs w:val="24"/>
          <w:lang w:val="en" w:eastAsia="en-AU"/>
        </w:rPr>
        <w:t>(0.5469)</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0D3CC4" w:rsidRPr="004D307F">
        <w:rPr>
          <w:rFonts w:ascii="VIC" w:eastAsia="Times New Roman" w:hAnsi="VIC" w:cs="Times New Roman"/>
          <w:color w:val="011A3C"/>
          <w:sz w:val="24"/>
          <w:szCs w:val="24"/>
          <w:lang w:val="en" w:eastAsia="en-AU"/>
        </w:rPr>
        <w:t xml:space="preserve">0 1.00 </w:t>
      </w:r>
      <w:r w:rsidR="00337C31" w:rsidRPr="004D307F">
        <w:rPr>
          <w:rFonts w:ascii="VIC" w:eastAsia="Times New Roman" w:hAnsi="VIC" w:cs="Times New Roman"/>
          <w:color w:val="011A3C"/>
          <w:sz w:val="24"/>
          <w:szCs w:val="24"/>
          <w:lang w:val="en" w:eastAsia="en-AU"/>
        </w:rPr>
        <w:t>weight is</w:t>
      </w:r>
      <w:r w:rsidR="000D3CC4" w:rsidRPr="004D307F">
        <w:rPr>
          <w:rFonts w:ascii="VIC" w:eastAsia="Times New Roman" w:hAnsi="VIC" w:cs="Times New Roman"/>
          <w:color w:val="011A3C"/>
          <w:sz w:val="24"/>
          <w:szCs w:val="24"/>
          <w:lang w:val="en" w:eastAsia="en-AU"/>
        </w:rPr>
        <w:t xml:space="preserve"> applied</w:t>
      </w:r>
    </w:p>
    <w:p w14:paraId="79B40BE1" w14:textId="2B958A2D"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Level 3 </w:t>
      </w:r>
      <w:r w:rsidRPr="004D307F">
        <w:rPr>
          <w:rFonts w:ascii="VIC" w:eastAsia="Times New Roman" w:hAnsi="VIC" w:cs="Times New Roman"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000D3CC4" w:rsidRPr="004D307F">
        <w:rPr>
          <w:rFonts w:ascii="VIC" w:eastAsia="Times New Roman" w:hAnsi="VIC" w:cs="Times New Roman"/>
          <w:color w:val="011A3C"/>
          <w:sz w:val="24"/>
          <w:szCs w:val="24"/>
          <w:lang w:val="en" w:eastAsia="en-AU"/>
        </w:rPr>
        <w:t xml:space="preserve">Where a </w:t>
      </w:r>
      <w:r w:rsidRPr="004D307F">
        <w:rPr>
          <w:rFonts w:ascii="VIC" w:eastAsia="Times New Roman" w:hAnsi="VIC" w:cs="Times New Roman"/>
          <w:color w:val="011A3C"/>
          <w:sz w:val="24"/>
          <w:szCs w:val="24"/>
          <w:lang w:val="en" w:eastAsia="en-AU"/>
        </w:rPr>
        <w:t xml:space="preserve">SFO density </w:t>
      </w:r>
      <w:r w:rsidR="000D3CC4" w:rsidRPr="004D307F">
        <w:rPr>
          <w:rFonts w:ascii="VIC" w:eastAsia="Times New Roman" w:hAnsi="VIC" w:cs="Times New Roman"/>
          <w:color w:val="011A3C"/>
          <w:sz w:val="24"/>
          <w:szCs w:val="24"/>
          <w:lang w:val="en" w:eastAsia="en-AU"/>
        </w:rPr>
        <w:t xml:space="preserve">is </w:t>
      </w:r>
      <w:r w:rsidRPr="004D307F">
        <w:rPr>
          <w:rFonts w:ascii="VIC" w:eastAsia="Times New Roman" w:hAnsi="VIC" w:cs="Times New Roman"/>
          <w:color w:val="011A3C"/>
          <w:sz w:val="24"/>
          <w:szCs w:val="24"/>
          <w:lang w:val="en" w:eastAsia="en-AU"/>
        </w:rPr>
        <w:t>greater</w:t>
      </w:r>
      <w:r w:rsidR="000D3CC4" w:rsidRPr="004D307F">
        <w:rPr>
          <w:rFonts w:ascii="VIC" w:eastAsia="Times New Roman" w:hAnsi="VIC" w:cs="Times New Roman"/>
          <w:color w:val="011A3C"/>
          <w:sz w:val="24"/>
          <w:szCs w:val="24"/>
          <w:lang w:val="en" w:eastAsia="en-AU"/>
        </w:rPr>
        <w:t xml:space="preserve"> or equal to</w:t>
      </w:r>
      <w:r w:rsidRPr="004D307F">
        <w:rPr>
          <w:rFonts w:ascii="VIC" w:eastAsia="Times New Roman" w:hAnsi="VIC" w:cs="Times New Roman"/>
          <w:color w:val="011A3C"/>
          <w:sz w:val="24"/>
          <w:szCs w:val="24"/>
          <w:lang w:val="en" w:eastAsia="en-AU"/>
        </w:rPr>
        <w:t xml:space="preserve"> 54.70% </w:t>
      </w:r>
      <w:r w:rsidR="000D3CC4" w:rsidRPr="004D307F">
        <w:rPr>
          <w:rFonts w:ascii="VIC" w:eastAsia="Times New Roman" w:hAnsi="VIC" w:cs="Times New Roman"/>
          <w:color w:val="011A3C"/>
          <w:sz w:val="24"/>
          <w:szCs w:val="24"/>
          <w:lang w:val="en" w:eastAsia="en-AU"/>
        </w:rPr>
        <w:t>(0.5470)</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0D3CC4" w:rsidRPr="004D307F">
        <w:rPr>
          <w:rFonts w:ascii="VIC" w:eastAsia="Times New Roman" w:hAnsi="VIC" w:cs="Times New Roman"/>
          <w:color w:val="011A3C"/>
          <w:sz w:val="24"/>
          <w:szCs w:val="24"/>
          <w:lang w:val="en" w:eastAsia="en-AU"/>
        </w:rPr>
        <w:t xml:space="preserve">a 1.40 </w:t>
      </w:r>
      <w:r w:rsidR="00337C31" w:rsidRPr="004D307F">
        <w:rPr>
          <w:rFonts w:ascii="VIC" w:eastAsia="Times New Roman" w:hAnsi="VIC" w:cs="Times New Roman"/>
          <w:color w:val="011A3C"/>
          <w:sz w:val="24"/>
          <w:szCs w:val="24"/>
          <w:lang w:val="en" w:eastAsia="en-AU"/>
        </w:rPr>
        <w:t>weight is</w:t>
      </w:r>
      <w:r w:rsidR="000D3CC4" w:rsidRPr="004D307F">
        <w:rPr>
          <w:rFonts w:ascii="VIC" w:eastAsia="Times New Roman" w:hAnsi="VIC" w:cs="Times New Roman"/>
          <w:color w:val="011A3C"/>
          <w:sz w:val="24"/>
          <w:szCs w:val="24"/>
          <w:lang w:val="en" w:eastAsia="en-AU"/>
        </w:rPr>
        <w:t xml:space="preserve"> applied</w:t>
      </w:r>
    </w:p>
    <w:p w14:paraId="63C01417" w14:textId="77777777" w:rsidR="00F85311" w:rsidRPr="004D307F" w:rsidRDefault="005D5E2A" w:rsidP="00F85311">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combined effect of Lists 1, 2 and 3</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results in the following matrix: </w:t>
      </w:r>
    </w:p>
    <w:p w14:paraId="1A7E6556" w14:textId="1B88A21E" w:rsidR="005D5E2A" w:rsidRPr="004D307F" w:rsidRDefault="005D5E2A" w:rsidP="00F85311">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List 4: Allocation matrix for total EAL Index funding</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5"/>
        <w:gridCol w:w="3267"/>
        <w:gridCol w:w="1226"/>
        <w:gridCol w:w="1524"/>
        <w:gridCol w:w="1540"/>
        <w:gridCol w:w="1548"/>
      </w:tblGrid>
      <w:tr w:rsidR="005D5E2A" w:rsidRPr="004D307F" w14:paraId="749DC306" w14:textId="77777777" w:rsidTr="004D307F">
        <w:trPr>
          <w:tblHeader/>
        </w:trPr>
        <w:tc>
          <w:tcPr>
            <w:tcW w:w="0" w:type="auto"/>
            <w:shd w:val="clear" w:color="auto" w:fill="auto"/>
            <w:hideMark/>
          </w:tcPr>
          <w:p w14:paraId="7E02586C" w14:textId="77777777" w:rsidR="005D5E2A" w:rsidRPr="004D307F" w:rsidRDefault="005D5E2A" w:rsidP="007F1D90">
            <w:pPr>
              <w:spacing w:after="0" w:line="24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Level</w:t>
            </w:r>
          </w:p>
        </w:tc>
        <w:tc>
          <w:tcPr>
            <w:tcW w:w="3267" w:type="dxa"/>
            <w:shd w:val="clear" w:color="auto" w:fill="auto"/>
            <w:hideMark/>
          </w:tcPr>
          <w:p w14:paraId="3B0732AD" w14:textId="77777777" w:rsidR="005D5E2A" w:rsidRPr="004D307F" w:rsidRDefault="005D5E2A" w:rsidP="007F1D90">
            <w:pPr>
              <w:spacing w:after="0" w:line="24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Description</w:t>
            </w:r>
          </w:p>
        </w:tc>
        <w:tc>
          <w:tcPr>
            <w:tcW w:w="1055" w:type="dxa"/>
            <w:shd w:val="clear" w:color="auto" w:fill="auto"/>
            <w:hideMark/>
          </w:tcPr>
          <w:p w14:paraId="1E2FF20A" w14:textId="77777777" w:rsidR="005D5E2A" w:rsidRPr="004D307F" w:rsidRDefault="005D5E2A" w:rsidP="007F1D90">
            <w:pPr>
              <w:spacing w:after="0" w:line="24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Weighting</w:t>
            </w:r>
          </w:p>
        </w:tc>
        <w:tc>
          <w:tcPr>
            <w:tcW w:w="0" w:type="auto"/>
            <w:shd w:val="clear" w:color="auto" w:fill="auto"/>
            <w:hideMark/>
          </w:tcPr>
          <w:p w14:paraId="30651F48" w14:textId="1B9B3297" w:rsidR="005D5E2A" w:rsidRPr="004D307F" w:rsidRDefault="005D5E2A" w:rsidP="0061578B">
            <w:pPr>
              <w:spacing w:after="0" w:line="240" w:lineRule="atLeast"/>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SFO Weighting</w:t>
            </w:r>
            <w:r w:rsidR="000D3CC4" w:rsidRPr="004D307F">
              <w:rPr>
                <w:rFonts w:ascii="VIC" w:eastAsia="Times New Roman" w:hAnsi="VIC" w:cs="Times New Roman"/>
                <w:color w:val="011A3C"/>
                <w:sz w:val="24"/>
                <w:szCs w:val="24"/>
                <w:lang w:val="en" w:eastAsia="en-AU"/>
              </w:rPr>
              <w:t xml:space="preserve"> 1</w:t>
            </w:r>
          </w:p>
        </w:tc>
        <w:tc>
          <w:tcPr>
            <w:tcW w:w="0" w:type="auto"/>
            <w:shd w:val="clear" w:color="auto" w:fill="auto"/>
            <w:hideMark/>
          </w:tcPr>
          <w:p w14:paraId="326DE918" w14:textId="48EE1DB7" w:rsidR="005D5E2A" w:rsidRPr="004D307F" w:rsidRDefault="005D5E2A" w:rsidP="0061578B">
            <w:pPr>
              <w:spacing w:after="0" w:line="240" w:lineRule="atLeast"/>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SFO Weighting</w:t>
            </w:r>
            <w:r w:rsidR="000D3CC4" w:rsidRPr="004D307F">
              <w:rPr>
                <w:rFonts w:ascii="VIC" w:eastAsia="Times New Roman" w:hAnsi="VIC" w:cs="Times New Roman"/>
                <w:color w:val="011A3C"/>
                <w:sz w:val="24"/>
                <w:szCs w:val="24"/>
                <w:lang w:val="en" w:eastAsia="en-AU"/>
              </w:rPr>
              <w:t xml:space="preserve"> 2</w:t>
            </w:r>
          </w:p>
        </w:tc>
        <w:tc>
          <w:tcPr>
            <w:tcW w:w="0" w:type="auto"/>
            <w:shd w:val="clear" w:color="auto" w:fill="auto"/>
            <w:hideMark/>
          </w:tcPr>
          <w:p w14:paraId="3D9412B0" w14:textId="2705F13C" w:rsidR="005D5E2A" w:rsidRPr="004D307F" w:rsidRDefault="005D5E2A" w:rsidP="0061578B">
            <w:pPr>
              <w:spacing w:after="0" w:line="240" w:lineRule="atLeast"/>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SFO Weighting</w:t>
            </w:r>
            <w:r w:rsidR="000D3CC4" w:rsidRPr="004D307F">
              <w:rPr>
                <w:rFonts w:ascii="VIC" w:eastAsia="Times New Roman" w:hAnsi="VIC" w:cs="Times New Roman"/>
                <w:color w:val="011A3C"/>
                <w:sz w:val="24"/>
                <w:szCs w:val="24"/>
                <w:lang w:val="en" w:eastAsia="en-AU"/>
              </w:rPr>
              <w:t xml:space="preserve"> 3</w:t>
            </w:r>
          </w:p>
        </w:tc>
      </w:tr>
      <w:tr w:rsidR="005D5E2A" w:rsidRPr="004D307F" w14:paraId="5C754E63" w14:textId="77777777" w:rsidTr="004D307F">
        <w:tc>
          <w:tcPr>
            <w:tcW w:w="0" w:type="auto"/>
            <w:shd w:val="clear" w:color="auto" w:fill="auto"/>
            <w:hideMark/>
          </w:tcPr>
          <w:p w14:paraId="634FBC42" w14:textId="77777777" w:rsidR="005D5E2A" w:rsidRPr="004D307F" w:rsidRDefault="005D5E2A" w:rsidP="007F1D90">
            <w:pPr>
              <w:spacing w:after="0" w:line="240" w:lineRule="atLeast"/>
              <w:rPr>
                <w:rFonts w:ascii="VIC" w:eastAsia="Times New Roman" w:hAnsi="VIC" w:cs="Times New Roman"/>
                <w:color w:val="011A3C"/>
                <w:sz w:val="24"/>
                <w:szCs w:val="24"/>
                <w:lang w:val="en" w:eastAsia="en-AU"/>
              </w:rPr>
            </w:pPr>
          </w:p>
        </w:tc>
        <w:tc>
          <w:tcPr>
            <w:tcW w:w="3267" w:type="dxa"/>
            <w:shd w:val="clear" w:color="auto" w:fill="auto"/>
            <w:hideMark/>
          </w:tcPr>
          <w:p w14:paraId="04F60C38"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p>
        </w:tc>
        <w:tc>
          <w:tcPr>
            <w:tcW w:w="1055" w:type="dxa"/>
            <w:shd w:val="clear" w:color="auto" w:fill="auto"/>
            <w:hideMark/>
          </w:tcPr>
          <w:p w14:paraId="6E3F6475"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p>
        </w:tc>
        <w:tc>
          <w:tcPr>
            <w:tcW w:w="0" w:type="auto"/>
            <w:shd w:val="clear" w:color="auto" w:fill="auto"/>
            <w:hideMark/>
          </w:tcPr>
          <w:p w14:paraId="10FDCB7A" w14:textId="77777777"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0.6</w:t>
            </w:r>
            <w:r w:rsidRPr="004D307F">
              <w:rPr>
                <w:rFonts w:ascii="VIC" w:eastAsia="Times New Roman" w:hAnsi="VIC" w:cs="Times New Roman"/>
                <w:color w:val="011A3C"/>
                <w:sz w:val="24"/>
                <w:szCs w:val="24"/>
                <w:lang w:val="en" w:eastAsia="en-AU"/>
              </w:rPr>
              <w:br/>
              <w:t>$</w:t>
            </w:r>
          </w:p>
        </w:tc>
        <w:tc>
          <w:tcPr>
            <w:tcW w:w="0" w:type="auto"/>
            <w:shd w:val="clear" w:color="auto" w:fill="auto"/>
            <w:hideMark/>
          </w:tcPr>
          <w:p w14:paraId="7373BB3E" w14:textId="77777777"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1.0</w:t>
            </w:r>
            <w:r w:rsidRPr="004D307F">
              <w:rPr>
                <w:rFonts w:ascii="VIC" w:eastAsia="Times New Roman" w:hAnsi="VIC" w:cs="Times New Roman"/>
                <w:color w:val="011A3C"/>
                <w:sz w:val="24"/>
                <w:szCs w:val="24"/>
                <w:lang w:val="en" w:eastAsia="en-AU"/>
              </w:rPr>
              <w:br/>
              <w:t>$</w:t>
            </w:r>
          </w:p>
        </w:tc>
        <w:tc>
          <w:tcPr>
            <w:tcW w:w="0" w:type="auto"/>
            <w:shd w:val="clear" w:color="auto" w:fill="auto"/>
            <w:hideMark/>
          </w:tcPr>
          <w:p w14:paraId="39E33502" w14:textId="77777777"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1.4</w:t>
            </w:r>
            <w:r w:rsidRPr="004D307F">
              <w:rPr>
                <w:rFonts w:ascii="VIC" w:eastAsia="Times New Roman" w:hAnsi="VIC" w:cs="Times New Roman"/>
                <w:color w:val="011A3C"/>
                <w:sz w:val="24"/>
                <w:szCs w:val="24"/>
                <w:lang w:val="en" w:eastAsia="en-AU"/>
              </w:rPr>
              <w:br/>
              <w:t>$</w:t>
            </w:r>
          </w:p>
        </w:tc>
      </w:tr>
      <w:tr w:rsidR="005D5E2A" w:rsidRPr="004D307F" w14:paraId="277A34E1" w14:textId="77777777" w:rsidTr="004D307F">
        <w:tc>
          <w:tcPr>
            <w:tcW w:w="0" w:type="auto"/>
            <w:shd w:val="clear" w:color="auto" w:fill="auto"/>
            <w:hideMark/>
          </w:tcPr>
          <w:p w14:paraId="1B4D22CE"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w:t>
            </w:r>
          </w:p>
        </w:tc>
        <w:tc>
          <w:tcPr>
            <w:tcW w:w="3267" w:type="dxa"/>
            <w:shd w:val="clear" w:color="auto" w:fill="auto"/>
            <w:hideMark/>
          </w:tcPr>
          <w:p w14:paraId="793CEF75"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year Foundation</w:t>
            </w:r>
          </w:p>
        </w:tc>
        <w:tc>
          <w:tcPr>
            <w:tcW w:w="1055" w:type="dxa"/>
            <w:shd w:val="clear" w:color="auto" w:fill="auto"/>
            <w:hideMark/>
          </w:tcPr>
          <w:p w14:paraId="31BB454E"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1.00</w:t>
            </w:r>
          </w:p>
        </w:tc>
        <w:tc>
          <w:tcPr>
            <w:tcW w:w="0" w:type="auto"/>
            <w:shd w:val="clear" w:color="auto" w:fill="auto"/>
            <w:hideMark/>
          </w:tcPr>
          <w:p w14:paraId="785E8717" w14:textId="6D3C49CB"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346.</w:t>
            </w:r>
            <w:r w:rsidR="00132503" w:rsidRPr="004D307F">
              <w:rPr>
                <w:rFonts w:ascii="VIC" w:eastAsia="Times New Roman" w:hAnsi="VIC" w:cs="Times New Roman"/>
                <w:color w:val="011A3C"/>
                <w:sz w:val="24"/>
                <w:szCs w:val="24"/>
                <w:lang w:val="en" w:eastAsia="en-AU"/>
              </w:rPr>
              <w:t>26</w:t>
            </w:r>
          </w:p>
        </w:tc>
        <w:tc>
          <w:tcPr>
            <w:tcW w:w="0" w:type="auto"/>
            <w:shd w:val="clear" w:color="auto" w:fill="auto"/>
            <w:hideMark/>
          </w:tcPr>
          <w:p w14:paraId="5D7181AD" w14:textId="3CE7DBBF"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$57</w:t>
            </w:r>
            <w:r w:rsidR="00132503" w:rsidRPr="004D307F">
              <w:rPr>
                <w:rFonts w:ascii="VIC" w:eastAsia="Times New Roman" w:hAnsi="VIC" w:cs="Times New Roman"/>
                <w:color w:val="011A3C"/>
                <w:sz w:val="24"/>
                <w:szCs w:val="24"/>
                <w:lang w:val="en" w:eastAsia="en-AU"/>
              </w:rPr>
              <w:t>7.10</w:t>
            </w:r>
          </w:p>
        </w:tc>
        <w:tc>
          <w:tcPr>
            <w:tcW w:w="0" w:type="auto"/>
            <w:shd w:val="clear" w:color="auto" w:fill="auto"/>
            <w:hideMark/>
          </w:tcPr>
          <w:p w14:paraId="6688C1A8" w14:textId="25E5F08D"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$807.</w:t>
            </w:r>
            <w:r w:rsidR="00132503" w:rsidRPr="004D307F">
              <w:rPr>
                <w:rFonts w:ascii="VIC" w:eastAsia="Times New Roman" w:hAnsi="VIC" w:cs="Times New Roman"/>
                <w:color w:val="011A3C"/>
                <w:sz w:val="24"/>
                <w:szCs w:val="24"/>
                <w:lang w:val="en" w:eastAsia="en-AU"/>
              </w:rPr>
              <w:t>93</w:t>
            </w:r>
          </w:p>
        </w:tc>
      </w:tr>
      <w:tr w:rsidR="005D5E2A" w:rsidRPr="004D307F" w14:paraId="59FA1906" w14:textId="77777777" w:rsidTr="004D307F">
        <w:tc>
          <w:tcPr>
            <w:tcW w:w="0" w:type="auto"/>
            <w:shd w:val="clear" w:color="auto" w:fill="auto"/>
            <w:hideMark/>
          </w:tcPr>
          <w:p w14:paraId="164B7654"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w:t>
            </w:r>
          </w:p>
        </w:tc>
        <w:tc>
          <w:tcPr>
            <w:tcW w:w="3267" w:type="dxa"/>
            <w:shd w:val="clear" w:color="auto" w:fill="auto"/>
            <w:hideMark/>
          </w:tcPr>
          <w:p w14:paraId="68073F24"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2-5 years in Australian school Years 1-6</w:t>
            </w:r>
          </w:p>
        </w:tc>
        <w:tc>
          <w:tcPr>
            <w:tcW w:w="1055" w:type="dxa"/>
            <w:shd w:val="clear" w:color="auto" w:fill="auto"/>
            <w:hideMark/>
          </w:tcPr>
          <w:p w14:paraId="790E44FB"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2.00</w:t>
            </w:r>
          </w:p>
        </w:tc>
        <w:tc>
          <w:tcPr>
            <w:tcW w:w="0" w:type="auto"/>
            <w:shd w:val="clear" w:color="auto" w:fill="auto"/>
            <w:hideMark/>
          </w:tcPr>
          <w:p w14:paraId="33794985" w14:textId="014A139D"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692.</w:t>
            </w:r>
            <w:r w:rsidR="00132503" w:rsidRPr="004D307F">
              <w:rPr>
                <w:rFonts w:ascii="VIC" w:eastAsia="Times New Roman" w:hAnsi="VIC" w:cs="Times New Roman"/>
                <w:color w:val="011A3C"/>
                <w:sz w:val="24"/>
                <w:szCs w:val="24"/>
                <w:lang w:val="en" w:eastAsia="en-AU"/>
              </w:rPr>
              <w:t>51</w:t>
            </w:r>
          </w:p>
        </w:tc>
        <w:tc>
          <w:tcPr>
            <w:tcW w:w="0" w:type="auto"/>
            <w:shd w:val="clear" w:color="auto" w:fill="auto"/>
            <w:hideMark/>
          </w:tcPr>
          <w:p w14:paraId="4F06425D" w14:textId="11DF1EF7"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$1,15</w:t>
            </w:r>
            <w:r w:rsidR="00132503" w:rsidRPr="004D307F">
              <w:rPr>
                <w:rFonts w:ascii="VIC" w:eastAsia="Times New Roman" w:hAnsi="VIC" w:cs="Times New Roman"/>
                <w:color w:val="011A3C"/>
                <w:sz w:val="24"/>
                <w:szCs w:val="24"/>
                <w:lang w:val="en" w:eastAsia="en-AU"/>
              </w:rPr>
              <w:t>4.19</w:t>
            </w:r>
          </w:p>
        </w:tc>
        <w:tc>
          <w:tcPr>
            <w:tcW w:w="0" w:type="auto"/>
            <w:shd w:val="clear" w:color="auto" w:fill="auto"/>
            <w:hideMark/>
          </w:tcPr>
          <w:p w14:paraId="3E2CDBD4" w14:textId="37B3B4A9"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$1,615.</w:t>
            </w:r>
            <w:r w:rsidR="00132503" w:rsidRPr="004D307F">
              <w:rPr>
                <w:rFonts w:ascii="VIC" w:eastAsia="Times New Roman" w:hAnsi="VIC" w:cs="Times New Roman"/>
                <w:color w:val="011A3C"/>
                <w:sz w:val="24"/>
                <w:szCs w:val="24"/>
                <w:lang w:val="en" w:eastAsia="en-AU"/>
              </w:rPr>
              <w:t>87</w:t>
            </w:r>
          </w:p>
        </w:tc>
      </w:tr>
      <w:tr w:rsidR="00F42171" w:rsidRPr="004D307F" w14:paraId="73AF5D27" w14:textId="77777777" w:rsidTr="004D307F">
        <w:tc>
          <w:tcPr>
            <w:tcW w:w="0" w:type="auto"/>
            <w:shd w:val="clear" w:color="auto" w:fill="auto"/>
            <w:hideMark/>
          </w:tcPr>
          <w:p w14:paraId="6A9EE02E"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3</w:t>
            </w:r>
          </w:p>
        </w:tc>
        <w:tc>
          <w:tcPr>
            <w:tcW w:w="3267" w:type="dxa"/>
            <w:shd w:val="clear" w:color="auto" w:fill="auto"/>
            <w:hideMark/>
          </w:tcPr>
          <w:p w14:paraId="6C0B3F37"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&lt;2 years in Australian school Years 1-6</w:t>
            </w:r>
          </w:p>
        </w:tc>
        <w:tc>
          <w:tcPr>
            <w:tcW w:w="1055" w:type="dxa"/>
            <w:shd w:val="clear" w:color="auto" w:fill="auto"/>
            <w:hideMark/>
          </w:tcPr>
          <w:p w14:paraId="06852083"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4.00</w:t>
            </w:r>
          </w:p>
        </w:tc>
        <w:tc>
          <w:tcPr>
            <w:tcW w:w="0" w:type="auto"/>
            <w:shd w:val="clear" w:color="auto" w:fill="auto"/>
            <w:hideMark/>
          </w:tcPr>
          <w:p w14:paraId="3C3CFB0F" w14:textId="04268EF4"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$138</w:t>
            </w:r>
            <w:r w:rsidR="00132503" w:rsidRPr="004D307F">
              <w:rPr>
                <w:rFonts w:ascii="VIC" w:eastAsia="Times New Roman" w:hAnsi="VIC" w:cs="Times New Roman"/>
                <w:color w:val="011A3C"/>
                <w:sz w:val="24"/>
                <w:szCs w:val="24"/>
                <w:lang w:val="en" w:eastAsia="en-AU"/>
              </w:rPr>
              <w:t>5.03</w:t>
            </w:r>
          </w:p>
        </w:tc>
        <w:tc>
          <w:tcPr>
            <w:tcW w:w="0" w:type="auto"/>
            <w:shd w:val="clear" w:color="auto" w:fill="auto"/>
            <w:hideMark/>
          </w:tcPr>
          <w:p w14:paraId="0A785481" w14:textId="5646D073" w:rsidR="00F42171" w:rsidRPr="004D307F" w:rsidRDefault="00DB47A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$2,30</w:t>
            </w:r>
            <w:r w:rsidR="00132503" w:rsidRPr="004D307F">
              <w:rPr>
                <w:rFonts w:ascii="VIC" w:eastAsia="Times New Roman" w:hAnsi="VIC" w:cs="Times New Roman"/>
                <w:color w:val="011A3C"/>
                <w:sz w:val="24"/>
                <w:szCs w:val="24"/>
                <w:lang w:val="en" w:eastAsia="en-AU"/>
              </w:rPr>
              <w:t>8.38</w:t>
            </w:r>
          </w:p>
        </w:tc>
        <w:tc>
          <w:tcPr>
            <w:tcW w:w="0" w:type="auto"/>
            <w:shd w:val="clear" w:color="auto" w:fill="auto"/>
            <w:hideMark/>
          </w:tcPr>
          <w:p w14:paraId="454E9B79" w14:textId="75B7B340"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$3,23</w:t>
            </w:r>
            <w:r w:rsidR="00132503" w:rsidRPr="004D307F">
              <w:rPr>
                <w:rFonts w:ascii="VIC" w:eastAsia="Times New Roman" w:hAnsi="VIC" w:cs="Times New Roman"/>
                <w:color w:val="011A3C"/>
                <w:sz w:val="24"/>
                <w:szCs w:val="24"/>
                <w:lang w:val="en" w:eastAsia="en-AU"/>
              </w:rPr>
              <w:t>1.74</w:t>
            </w:r>
          </w:p>
        </w:tc>
      </w:tr>
      <w:tr w:rsidR="00F42171" w:rsidRPr="004D307F" w14:paraId="1FCD0536" w14:textId="77777777" w:rsidTr="004D307F">
        <w:tc>
          <w:tcPr>
            <w:tcW w:w="0" w:type="auto"/>
            <w:shd w:val="clear" w:color="auto" w:fill="auto"/>
            <w:hideMark/>
          </w:tcPr>
          <w:p w14:paraId="29958619"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4</w:t>
            </w:r>
          </w:p>
        </w:tc>
        <w:tc>
          <w:tcPr>
            <w:tcW w:w="3267" w:type="dxa"/>
            <w:shd w:val="clear" w:color="auto" w:fill="auto"/>
            <w:hideMark/>
          </w:tcPr>
          <w:p w14:paraId="68463A55" w14:textId="77777777" w:rsidR="00F42171" w:rsidRPr="004D307F" w:rsidRDefault="00F42171" w:rsidP="00F42171">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2-5 years in Australian school Years 7-12</w:t>
            </w:r>
          </w:p>
        </w:tc>
        <w:tc>
          <w:tcPr>
            <w:tcW w:w="1055" w:type="dxa"/>
            <w:shd w:val="clear" w:color="auto" w:fill="auto"/>
            <w:hideMark/>
          </w:tcPr>
          <w:p w14:paraId="6938B321" w14:textId="77777777" w:rsidR="00F42171" w:rsidRPr="004D307F" w:rsidRDefault="00F42171" w:rsidP="00F42171">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5.09</w:t>
            </w:r>
          </w:p>
        </w:tc>
        <w:tc>
          <w:tcPr>
            <w:tcW w:w="0" w:type="auto"/>
            <w:shd w:val="clear" w:color="auto" w:fill="auto"/>
            <w:hideMark/>
          </w:tcPr>
          <w:p w14:paraId="3F3CFA8A" w14:textId="23649889"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$1,76</w:t>
            </w:r>
            <w:r w:rsidR="00132503" w:rsidRPr="004D307F">
              <w:rPr>
                <w:rFonts w:ascii="VIC" w:eastAsia="Times New Roman" w:hAnsi="VIC" w:cs="Times New Roman"/>
                <w:color w:val="011A3C"/>
                <w:sz w:val="24"/>
                <w:szCs w:val="24"/>
                <w:lang w:val="en" w:eastAsia="en-AU"/>
              </w:rPr>
              <w:t>2.45</w:t>
            </w:r>
          </w:p>
        </w:tc>
        <w:tc>
          <w:tcPr>
            <w:tcW w:w="0" w:type="auto"/>
            <w:shd w:val="clear" w:color="auto" w:fill="auto"/>
            <w:hideMark/>
          </w:tcPr>
          <w:p w14:paraId="21645C26" w14:textId="653C8407"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hAnsi="VIC"/>
              </w:rPr>
              <w:t>$2,93</w:t>
            </w:r>
            <w:r w:rsidR="00132503" w:rsidRPr="004D307F">
              <w:rPr>
                <w:rFonts w:ascii="VIC" w:hAnsi="VIC"/>
              </w:rPr>
              <w:t>7.42</w:t>
            </w:r>
          </w:p>
        </w:tc>
        <w:tc>
          <w:tcPr>
            <w:tcW w:w="0" w:type="auto"/>
            <w:shd w:val="clear" w:color="auto" w:fill="auto"/>
            <w:hideMark/>
          </w:tcPr>
          <w:p w14:paraId="222FD361" w14:textId="5DA1EC97" w:rsidR="00F42171" w:rsidRPr="004D307F" w:rsidRDefault="00F42171" w:rsidP="00F42171">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$4,11</w:t>
            </w:r>
            <w:r w:rsidR="00132503" w:rsidRPr="004D307F">
              <w:rPr>
                <w:rFonts w:ascii="VIC" w:eastAsia="Times New Roman" w:hAnsi="VIC" w:cs="Times New Roman"/>
                <w:color w:val="011A3C"/>
                <w:sz w:val="24"/>
                <w:szCs w:val="24"/>
                <w:lang w:val="en" w:eastAsia="en-AU"/>
              </w:rPr>
              <w:t>2.39</w:t>
            </w:r>
          </w:p>
        </w:tc>
      </w:tr>
      <w:tr w:rsidR="005D5E2A" w:rsidRPr="004D307F" w14:paraId="6AE3450B" w14:textId="77777777" w:rsidTr="004D307F">
        <w:tc>
          <w:tcPr>
            <w:tcW w:w="0" w:type="auto"/>
            <w:shd w:val="clear" w:color="auto" w:fill="auto"/>
            <w:hideMark/>
          </w:tcPr>
          <w:p w14:paraId="174D9B59"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5</w:t>
            </w:r>
          </w:p>
        </w:tc>
        <w:tc>
          <w:tcPr>
            <w:tcW w:w="3267" w:type="dxa"/>
            <w:shd w:val="clear" w:color="auto" w:fill="auto"/>
            <w:hideMark/>
          </w:tcPr>
          <w:p w14:paraId="174D57B0"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&lt;2 years in Australian school Years 7-12</w:t>
            </w:r>
          </w:p>
        </w:tc>
        <w:tc>
          <w:tcPr>
            <w:tcW w:w="1055" w:type="dxa"/>
            <w:shd w:val="clear" w:color="auto" w:fill="auto"/>
            <w:hideMark/>
          </w:tcPr>
          <w:p w14:paraId="0D29B0D0" w14:textId="77777777" w:rsidR="005D5E2A" w:rsidRPr="004D307F" w:rsidRDefault="005D5E2A" w:rsidP="007F1D90">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7.64</w:t>
            </w:r>
          </w:p>
        </w:tc>
        <w:tc>
          <w:tcPr>
            <w:tcW w:w="0" w:type="auto"/>
            <w:shd w:val="clear" w:color="auto" w:fill="auto"/>
            <w:hideMark/>
          </w:tcPr>
          <w:p w14:paraId="1370E60B" w14:textId="27FE33D9" w:rsidR="005D5E2A" w:rsidRPr="004D307F" w:rsidRDefault="005D5E2A"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t>
            </w:r>
            <w:r w:rsidR="00F42171" w:rsidRPr="004D307F">
              <w:rPr>
                <w:rFonts w:ascii="VIC" w:eastAsia="Times New Roman" w:hAnsi="VIC" w:cs="Times New Roman"/>
                <w:color w:val="011A3C"/>
                <w:sz w:val="24"/>
                <w:szCs w:val="24"/>
                <w:lang w:val="en" w:eastAsia="en-AU"/>
              </w:rPr>
              <w:t>2,64</w:t>
            </w:r>
            <w:r w:rsidR="00132503" w:rsidRPr="004D307F">
              <w:rPr>
                <w:rFonts w:ascii="VIC" w:eastAsia="Times New Roman" w:hAnsi="VIC" w:cs="Times New Roman"/>
                <w:color w:val="011A3C"/>
                <w:sz w:val="24"/>
                <w:szCs w:val="24"/>
                <w:lang w:val="en" w:eastAsia="en-AU"/>
              </w:rPr>
              <w:t>5.40</w:t>
            </w:r>
          </w:p>
        </w:tc>
        <w:tc>
          <w:tcPr>
            <w:tcW w:w="0" w:type="auto"/>
            <w:shd w:val="clear" w:color="auto" w:fill="auto"/>
            <w:hideMark/>
          </w:tcPr>
          <w:p w14:paraId="6D35FC99" w14:textId="5E17E140"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$4,40</w:t>
            </w:r>
            <w:r w:rsidR="00132503" w:rsidRPr="004D307F">
              <w:rPr>
                <w:rFonts w:ascii="VIC" w:eastAsia="Times New Roman" w:hAnsi="VIC" w:cs="Times New Roman"/>
                <w:color w:val="011A3C"/>
                <w:sz w:val="24"/>
                <w:szCs w:val="24"/>
                <w:lang w:val="en" w:eastAsia="en-AU"/>
              </w:rPr>
              <w:t>9.00</w:t>
            </w:r>
          </w:p>
        </w:tc>
        <w:tc>
          <w:tcPr>
            <w:tcW w:w="0" w:type="auto"/>
            <w:shd w:val="clear" w:color="auto" w:fill="auto"/>
            <w:hideMark/>
          </w:tcPr>
          <w:p w14:paraId="4B287A29" w14:textId="552930C9" w:rsidR="005D5E2A" w:rsidRPr="004D307F" w:rsidRDefault="00F42171" w:rsidP="0061578B">
            <w:pPr>
              <w:spacing w:after="0" w:line="240" w:lineRule="auto"/>
              <w:jc w:val="cente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$6,17</w:t>
            </w:r>
            <w:r w:rsidR="00132503" w:rsidRPr="004D307F">
              <w:rPr>
                <w:rFonts w:ascii="VIC" w:eastAsia="Times New Roman" w:hAnsi="VIC" w:cs="Times New Roman"/>
                <w:color w:val="011A3C"/>
                <w:sz w:val="24"/>
                <w:szCs w:val="24"/>
                <w:lang w:val="en" w:eastAsia="en-AU"/>
              </w:rPr>
              <w:t>2.61</w:t>
            </w:r>
          </w:p>
        </w:tc>
      </w:tr>
    </w:tbl>
    <w:p w14:paraId="3F6A4A7F" w14:textId="76E29826" w:rsidR="00DB47A1" w:rsidRPr="004D307F" w:rsidRDefault="00DB47A1" w:rsidP="00DB47A1">
      <w:pPr>
        <w:spacing w:after="100" w:afterAutospacing="1" w:line="240" w:lineRule="auto"/>
        <w:rPr>
          <w:rFonts w:ascii="VIC" w:eastAsia="Times New Roman" w:hAnsi="VIC" w:cs="Times New Roman"/>
          <w:color w:val="011A3C"/>
          <w:sz w:val="18"/>
          <w:szCs w:val="18"/>
          <w:lang w:val="en" w:eastAsia="en-AU"/>
        </w:rPr>
      </w:pPr>
      <w:r w:rsidRPr="004D307F">
        <w:rPr>
          <w:rFonts w:ascii="VIC" w:eastAsia="Times New Roman" w:hAnsi="VIC" w:cs="Times New Roman"/>
          <w:color w:val="011A3C"/>
          <w:sz w:val="18"/>
          <w:szCs w:val="18"/>
          <w:lang w:val="en" w:eastAsia="en-AU"/>
        </w:rPr>
        <w:t xml:space="preserve">*Due to rounding </w:t>
      </w:r>
      <w:r w:rsidR="005B5651" w:rsidRPr="004D307F">
        <w:rPr>
          <w:rFonts w:ascii="VIC" w:eastAsia="Times New Roman" w:hAnsi="VIC" w:cs="Times New Roman"/>
          <w:color w:val="011A3C"/>
          <w:sz w:val="18"/>
          <w:szCs w:val="18"/>
          <w:lang w:val="en" w:eastAsia="en-AU"/>
        </w:rPr>
        <w:t>some</w:t>
      </w:r>
      <w:r w:rsidRPr="004D307F">
        <w:rPr>
          <w:rFonts w:ascii="VIC" w:eastAsia="Times New Roman" w:hAnsi="VIC" w:cs="Times New Roman"/>
          <w:color w:val="011A3C"/>
          <w:sz w:val="18"/>
          <w:szCs w:val="18"/>
          <w:lang w:val="en" w:eastAsia="en-AU"/>
        </w:rPr>
        <w:t xml:space="preserve"> rates do not multiply exactly by the weightings</w:t>
      </w:r>
      <w:r w:rsidR="005B5651" w:rsidRPr="004D307F">
        <w:rPr>
          <w:rFonts w:ascii="VIC" w:eastAsia="Times New Roman" w:hAnsi="VIC" w:cs="Times New Roman"/>
          <w:color w:val="011A3C"/>
          <w:sz w:val="18"/>
          <w:szCs w:val="18"/>
          <w:lang w:val="en" w:eastAsia="en-AU"/>
        </w:rPr>
        <w:t xml:space="preserve"> above</w:t>
      </w:r>
      <w:r w:rsidRPr="004D307F">
        <w:rPr>
          <w:rFonts w:ascii="VIC" w:eastAsia="Times New Roman" w:hAnsi="VIC" w:cs="Times New Roman"/>
          <w:color w:val="011A3C"/>
          <w:sz w:val="18"/>
          <w:szCs w:val="18"/>
          <w:lang w:val="en" w:eastAsia="en-AU"/>
        </w:rPr>
        <w:t>.</w:t>
      </w:r>
    </w:p>
    <w:p w14:paraId="2BDCA225" w14:textId="28417560"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Teacher salary charges to schools in 202</w:t>
      </w:r>
      <w:r w:rsidR="009212A4"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will continue to be based on actual payroll debits for individual staff as reflected on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This includes the actual cost of annual leave loading and all allowances, such as higher duties and special payments. Also included are non-cash benefits for teachers.</w:t>
      </w:r>
    </w:p>
    <w:p w14:paraId="4A4535B0" w14:textId="77777777" w:rsidR="005D5E2A" w:rsidRPr="004D307F" w:rsidRDefault="005D5E2A" w:rsidP="000D106B">
      <w:pPr>
        <w:keepNext/>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List 5: Salary rates</w:t>
      </w:r>
    </w:p>
    <w:p w14:paraId="5C298F61" w14:textId="75BBD932"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schools receive a total of </w:t>
      </w:r>
      <w:r w:rsidR="0005396A" w:rsidRPr="004D307F">
        <w:rPr>
          <w:rFonts w:ascii="VIC" w:eastAsia="Times New Roman" w:hAnsi="VIC" w:cs="Times New Roman"/>
          <w:color w:val="011A3C"/>
          <w:sz w:val="24"/>
          <w:szCs w:val="24"/>
          <w:lang w:val="en" w:eastAsia="en-AU"/>
        </w:rPr>
        <w:t>$</w:t>
      </w:r>
      <w:r w:rsidR="000D3CC4" w:rsidRPr="004D307F">
        <w:rPr>
          <w:rFonts w:ascii="VIC" w:eastAsia="Times New Roman" w:hAnsi="VIC" w:cs="Times New Roman"/>
          <w:color w:val="011A3C"/>
          <w:sz w:val="24"/>
          <w:szCs w:val="24"/>
          <w:lang w:val="en" w:eastAsia="en-AU"/>
        </w:rPr>
        <w:t>121,5</w:t>
      </w:r>
      <w:r w:rsidR="00132503" w:rsidRPr="004D307F">
        <w:rPr>
          <w:rFonts w:ascii="VIC" w:eastAsia="Times New Roman" w:hAnsi="VIC" w:cs="Times New Roman"/>
          <w:color w:val="011A3C"/>
          <w:sz w:val="24"/>
          <w:szCs w:val="24"/>
          <w:lang w:val="en" w:eastAsia="en-AU"/>
        </w:rPr>
        <w:t>81</w:t>
      </w:r>
      <w:r w:rsidRPr="004D307F">
        <w:rPr>
          <w:rFonts w:ascii="VIC" w:eastAsia="Times New Roman" w:hAnsi="VIC" w:cs="Times New Roman"/>
          <w:color w:val="011A3C"/>
          <w:sz w:val="24"/>
          <w:szCs w:val="24"/>
          <w:lang w:val="en" w:eastAsia="en-AU"/>
        </w:rPr>
        <w:t xml:space="preserve"> made up of:</w:t>
      </w:r>
    </w:p>
    <w:p w14:paraId="416E7267" w14:textId="7B2B0144" w:rsidR="005D5E2A" w:rsidRPr="004D307F" w:rsidRDefault="005D5E2A" w:rsidP="00ED0863">
      <w:pPr>
        <w:numPr>
          <w:ilvl w:val="0"/>
          <w:numId w:val="31"/>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0D3CC4" w:rsidRPr="004D307F">
        <w:rPr>
          <w:rFonts w:ascii="VIC" w:eastAsia="Times New Roman" w:hAnsi="VIC" w:cs="Times New Roman"/>
          <w:color w:val="011A3C"/>
          <w:sz w:val="24"/>
          <w:szCs w:val="24"/>
          <w:lang w:val="en" w:eastAsia="en-AU"/>
        </w:rPr>
        <w:t>118,496</w:t>
      </w:r>
    </w:p>
    <w:p w14:paraId="45279E0D" w14:textId="33AD615A" w:rsidR="005D5E2A" w:rsidRPr="004D307F" w:rsidRDefault="005D5E2A" w:rsidP="00ED0863">
      <w:pPr>
        <w:numPr>
          <w:ilvl w:val="0"/>
          <w:numId w:val="31"/>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0D3CC4" w:rsidRPr="004D307F">
        <w:rPr>
          <w:rFonts w:ascii="VIC" w:eastAsia="Times New Roman" w:hAnsi="VIC" w:cs="Times New Roman"/>
          <w:color w:val="011A3C"/>
          <w:sz w:val="24"/>
          <w:szCs w:val="24"/>
          <w:lang w:val="en" w:eastAsia="en-AU"/>
        </w:rPr>
        <w:t>3,0</w:t>
      </w:r>
      <w:r w:rsidR="00132503" w:rsidRPr="004D307F">
        <w:rPr>
          <w:rFonts w:ascii="VIC" w:eastAsia="Times New Roman" w:hAnsi="VIC" w:cs="Times New Roman"/>
          <w:color w:val="011A3C"/>
          <w:sz w:val="24"/>
          <w:szCs w:val="24"/>
          <w:lang w:val="en" w:eastAsia="en-AU"/>
        </w:rPr>
        <w:t>85</w:t>
      </w:r>
    </w:p>
    <w:p w14:paraId="1BE74140" w14:textId="58D148AB"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Secondary schools receive a total of </w:t>
      </w:r>
      <w:r w:rsidR="0005396A" w:rsidRPr="004D307F">
        <w:rPr>
          <w:rFonts w:ascii="VIC" w:eastAsia="Times New Roman" w:hAnsi="VIC" w:cs="Times New Roman"/>
          <w:color w:val="011A3C"/>
          <w:sz w:val="24"/>
          <w:szCs w:val="24"/>
          <w:lang w:val="en" w:eastAsia="en-AU"/>
        </w:rPr>
        <w:t>$</w:t>
      </w:r>
      <w:r w:rsidR="000D3CC4" w:rsidRPr="004D307F">
        <w:rPr>
          <w:rFonts w:ascii="VIC" w:eastAsia="Times New Roman" w:hAnsi="VIC" w:cs="Times New Roman"/>
          <w:color w:val="011A3C"/>
          <w:sz w:val="24"/>
          <w:szCs w:val="24"/>
          <w:lang w:val="en" w:eastAsia="en-AU"/>
        </w:rPr>
        <w:t>121,1</w:t>
      </w:r>
      <w:r w:rsidR="00132503" w:rsidRPr="004D307F">
        <w:rPr>
          <w:rFonts w:ascii="VIC" w:eastAsia="Times New Roman" w:hAnsi="VIC" w:cs="Times New Roman"/>
          <w:color w:val="011A3C"/>
          <w:sz w:val="24"/>
          <w:szCs w:val="24"/>
          <w:lang w:val="en" w:eastAsia="en-AU"/>
        </w:rPr>
        <w:t xml:space="preserve">49 </w:t>
      </w:r>
      <w:r w:rsidRPr="004D307F">
        <w:rPr>
          <w:rFonts w:ascii="VIC" w:eastAsia="Times New Roman" w:hAnsi="VIC" w:cs="Times New Roman"/>
          <w:color w:val="011A3C"/>
          <w:sz w:val="24"/>
          <w:szCs w:val="24"/>
          <w:lang w:val="en" w:eastAsia="en-AU"/>
        </w:rPr>
        <w:t>made up of:</w:t>
      </w:r>
    </w:p>
    <w:p w14:paraId="11BEF6A4" w14:textId="342D2DD8" w:rsidR="005D5E2A" w:rsidRPr="004D307F" w:rsidRDefault="005D5E2A" w:rsidP="00ED0863">
      <w:pPr>
        <w:numPr>
          <w:ilvl w:val="0"/>
          <w:numId w:val="32"/>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0D3CC4" w:rsidRPr="004D307F">
        <w:rPr>
          <w:rFonts w:ascii="VIC" w:eastAsia="Times New Roman" w:hAnsi="VIC" w:cs="Times New Roman"/>
          <w:color w:val="011A3C"/>
          <w:sz w:val="24"/>
          <w:szCs w:val="24"/>
          <w:lang w:val="en" w:eastAsia="en-AU"/>
        </w:rPr>
        <w:t>119,535</w:t>
      </w:r>
    </w:p>
    <w:p w14:paraId="6608A281" w14:textId="4B57ECEE" w:rsidR="005D5E2A" w:rsidRPr="004D307F" w:rsidRDefault="005D5E2A" w:rsidP="00ED0863">
      <w:pPr>
        <w:numPr>
          <w:ilvl w:val="0"/>
          <w:numId w:val="32"/>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0D3CC4" w:rsidRPr="004D307F">
        <w:rPr>
          <w:rFonts w:ascii="VIC" w:eastAsia="Times New Roman" w:hAnsi="VIC" w:cs="Times New Roman"/>
          <w:color w:val="011A3C"/>
          <w:sz w:val="24"/>
          <w:szCs w:val="24"/>
          <w:lang w:val="en" w:eastAsia="en-AU"/>
        </w:rPr>
        <w:t>1,</w:t>
      </w:r>
      <w:r w:rsidR="008C20E6" w:rsidRPr="004D307F">
        <w:rPr>
          <w:rFonts w:ascii="VIC" w:eastAsia="Times New Roman" w:hAnsi="VIC" w:cs="Times New Roman"/>
          <w:color w:val="011A3C"/>
          <w:sz w:val="24"/>
          <w:szCs w:val="24"/>
          <w:lang w:val="en" w:eastAsia="en-AU"/>
        </w:rPr>
        <w:t>614</w:t>
      </w:r>
    </w:p>
    <w:p w14:paraId="744F2027" w14:textId="77777777" w:rsidR="005D5E2A" w:rsidRPr="004D307F" w:rsidRDefault="005D5E2A" w:rsidP="000D3CC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Other funding for EAL programs</w:t>
      </w:r>
    </w:p>
    <w:p w14:paraId="1A916A96" w14:textId="789770AB"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If applicable, the following lines will also appear in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 budget details.</w:t>
      </w:r>
    </w:p>
    <w:p w14:paraId="57B2BE0E" w14:textId="12963742" w:rsidR="005D5E2A" w:rsidRPr="004D307F" w:rsidRDefault="005D5E2A" w:rsidP="000D3CC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EAL for Refugees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Primary</w:t>
      </w:r>
      <w:r w:rsidR="007E6349" w:rsidRPr="004D307F">
        <w:rPr>
          <w:rFonts w:ascii="VIC" w:eastAsia="Times New Roman" w:hAnsi="VIC" w:cs="Times New Roman"/>
          <w:b/>
          <w:bCs/>
          <w:color w:val="011A3C"/>
          <w:sz w:val="24"/>
          <w:szCs w:val="24"/>
          <w:lang w:val="en" w:eastAsia="en-AU"/>
        </w:rPr>
        <w:t xml:space="preserve"> and </w:t>
      </w:r>
      <w:r w:rsidRPr="004D307F">
        <w:rPr>
          <w:rFonts w:ascii="VIC" w:eastAsia="Times New Roman" w:hAnsi="VIC" w:cs="Times New Roman"/>
          <w:b/>
          <w:bCs/>
          <w:color w:val="011A3C"/>
          <w:sz w:val="24"/>
          <w:szCs w:val="24"/>
          <w:lang w:val="en" w:eastAsia="en-AU"/>
        </w:rPr>
        <w:t xml:space="preserve">EAL for Refugees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Secondary</w:t>
      </w:r>
      <w:r w:rsidR="007E6349" w:rsidRPr="004D307F">
        <w:rPr>
          <w:rFonts w:ascii="VIC" w:eastAsia="Times New Roman" w:hAnsi="VIC" w:cs="Times New Roman"/>
          <w:b/>
          <w:bCs/>
          <w:color w:val="011A3C"/>
          <w:sz w:val="24"/>
          <w:szCs w:val="24"/>
          <w:lang w:val="en" w:eastAsia="en-AU"/>
        </w:rPr>
        <w:t xml:space="preserve"> Students</w:t>
      </w:r>
    </w:p>
    <w:p w14:paraId="7F31F673"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An additional loading is provided to campuses:</w:t>
      </w:r>
    </w:p>
    <w:p w14:paraId="3AC8920A" w14:textId="77777777" w:rsidR="005D5E2A" w:rsidRPr="004D307F" w:rsidRDefault="005D5E2A" w:rsidP="00ED0863">
      <w:pPr>
        <w:numPr>
          <w:ilvl w:val="0"/>
          <w:numId w:val="33"/>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that receive EAL Index funding and</w:t>
      </w:r>
    </w:p>
    <w:p w14:paraId="3B9751A4" w14:textId="77777777" w:rsidR="005D5E2A" w:rsidRPr="004D307F" w:rsidRDefault="005D5E2A" w:rsidP="00ED0863">
      <w:pPr>
        <w:numPr>
          <w:ilvl w:val="0"/>
          <w:numId w:val="33"/>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have an SFO weighting below 1.4 (this equates to an SFO density greater than 0.547) and</w:t>
      </w:r>
    </w:p>
    <w:p w14:paraId="3723C969" w14:textId="77777777" w:rsidR="005D5E2A" w:rsidRPr="004D307F" w:rsidRDefault="005D5E2A" w:rsidP="00ED0863">
      <w:pPr>
        <w:numPr>
          <w:ilvl w:val="0"/>
          <w:numId w:val="33"/>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have 10 or more refugee students enrolled.</w:t>
      </w:r>
    </w:p>
    <w:p w14:paraId="72F289E6"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these cases, the school is provided with funding for the refugee students at an SFO weighting of 1.4.</w:t>
      </w:r>
    </w:p>
    <w:p w14:paraId="3BC17408" w14:textId="77777777" w:rsidR="005D5E2A" w:rsidRPr="004D307F" w:rsidRDefault="005D5E2A" w:rsidP="005D5E2A">
      <w:pPr>
        <w:spacing w:before="100" w:beforeAutospacing="1" w:after="100" w:afterAutospacing="1" w:line="288"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Funding for English language schools and </w:t>
      </w:r>
      <w:proofErr w:type="spellStart"/>
      <w:r w:rsidRPr="004D307F">
        <w:rPr>
          <w:rFonts w:ascii="VIC" w:eastAsia="Times New Roman" w:hAnsi="VIC" w:cs="Times New Roman"/>
          <w:b/>
          <w:bCs/>
          <w:color w:val="011A3C"/>
          <w:sz w:val="24"/>
          <w:szCs w:val="24"/>
          <w:lang w:val="en" w:eastAsia="en-AU"/>
        </w:rPr>
        <w:t>centres</w:t>
      </w:r>
      <w:proofErr w:type="spellEnd"/>
    </w:p>
    <w:p w14:paraId="078D3E16" w14:textId="77E3799C"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for English language schools and </w:t>
      </w:r>
      <w:proofErr w:type="spellStart"/>
      <w:r w:rsidRPr="004D307F">
        <w:rPr>
          <w:rFonts w:ascii="VIC" w:eastAsia="Times New Roman" w:hAnsi="VIC" w:cs="Times New Roman"/>
          <w:color w:val="011A3C"/>
          <w:sz w:val="24"/>
          <w:szCs w:val="24"/>
          <w:lang w:val="en" w:eastAsia="en-AU"/>
        </w:rPr>
        <w:t>centres</w:t>
      </w:r>
      <w:proofErr w:type="spellEnd"/>
      <w:r w:rsidRPr="004D307F">
        <w:rPr>
          <w:rFonts w:ascii="VIC" w:eastAsia="Times New Roman" w:hAnsi="VIC" w:cs="Times New Roman"/>
          <w:color w:val="011A3C"/>
          <w:sz w:val="24"/>
          <w:szCs w:val="24"/>
          <w:lang w:val="en" w:eastAsia="en-AU"/>
        </w:rPr>
        <w:t xml:space="preserve"> is based on target enrolments established by the Learning</w:t>
      </w:r>
      <w:r w:rsidR="009212A4" w:rsidRPr="004D307F">
        <w:rPr>
          <w:rFonts w:ascii="VIC" w:eastAsia="Times New Roman" w:hAnsi="VIC" w:cs="Times New Roman"/>
          <w:color w:val="011A3C"/>
          <w:sz w:val="24"/>
          <w:szCs w:val="24"/>
          <w:lang w:val="en" w:eastAsia="en-AU"/>
        </w:rPr>
        <w:t xml:space="preserve"> and</w:t>
      </w:r>
      <w:r w:rsidRPr="004D307F">
        <w:rPr>
          <w:rFonts w:ascii="VIC" w:eastAsia="Times New Roman" w:hAnsi="VIC" w:cs="Times New Roman"/>
          <w:color w:val="011A3C"/>
          <w:sz w:val="24"/>
          <w:szCs w:val="24"/>
          <w:lang w:val="en" w:eastAsia="en-AU"/>
        </w:rPr>
        <w:t xml:space="preserve"> Teaching Division in consultation with regions</w:t>
      </w:r>
      <w:r w:rsidR="00B241D3"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proofErr w:type="gramStart"/>
      <w:r w:rsidRPr="004D307F">
        <w:rPr>
          <w:rFonts w:ascii="VIC" w:eastAsia="Times New Roman" w:hAnsi="VIC" w:cs="Times New Roman"/>
          <w:color w:val="011A3C"/>
          <w:sz w:val="24"/>
          <w:szCs w:val="24"/>
          <w:lang w:val="en" w:eastAsia="en-AU"/>
        </w:rPr>
        <w:t>schools</w:t>
      </w:r>
      <w:proofErr w:type="gramEnd"/>
      <w:r w:rsidRPr="004D307F">
        <w:rPr>
          <w:rFonts w:ascii="VIC" w:eastAsia="Times New Roman" w:hAnsi="VIC" w:cs="Times New Roman"/>
          <w:color w:val="011A3C"/>
          <w:sz w:val="24"/>
          <w:szCs w:val="24"/>
          <w:lang w:val="en" w:eastAsia="en-AU"/>
        </w:rPr>
        <w:t xml:space="preserve"> and </w:t>
      </w:r>
      <w:proofErr w:type="spellStart"/>
      <w:r w:rsidRPr="004D307F">
        <w:rPr>
          <w:rFonts w:ascii="VIC" w:eastAsia="Times New Roman" w:hAnsi="VIC" w:cs="Times New Roman"/>
          <w:color w:val="011A3C"/>
          <w:sz w:val="24"/>
          <w:szCs w:val="24"/>
          <w:lang w:val="en" w:eastAsia="en-AU"/>
        </w:rPr>
        <w:t>centres</w:t>
      </w:r>
      <w:proofErr w:type="spellEnd"/>
      <w:r w:rsidRPr="004D307F">
        <w:rPr>
          <w:rFonts w:ascii="VIC" w:eastAsia="Times New Roman" w:hAnsi="VIC" w:cs="Times New Roman"/>
          <w:color w:val="011A3C"/>
          <w:sz w:val="24"/>
          <w:szCs w:val="24"/>
          <w:lang w:val="en" w:eastAsia="en-AU"/>
        </w:rPr>
        <w:t>. Classes are funded at a student to teacher ratio of 13:1.</w:t>
      </w:r>
    </w:p>
    <w:p w14:paraId="50938A0A"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schools receive a per target enrolment rate and a base to provide both safety net and support. Both allocations are multiples of the rates that apply in standard settings.</w:t>
      </w:r>
    </w:p>
    <w:p w14:paraId="47237660" w14:textId="6CBD3F05"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English language </w:t>
      </w:r>
      <w:proofErr w:type="spellStart"/>
      <w:r w:rsidRPr="004D307F">
        <w:rPr>
          <w:rFonts w:ascii="VIC" w:eastAsia="Times New Roman" w:hAnsi="VIC" w:cs="Times New Roman"/>
          <w:color w:val="011A3C"/>
          <w:sz w:val="24"/>
          <w:szCs w:val="24"/>
          <w:lang w:val="en" w:eastAsia="en-AU"/>
        </w:rPr>
        <w:t>centres</w:t>
      </w:r>
      <w:proofErr w:type="spellEnd"/>
      <w:r w:rsidRPr="004D307F">
        <w:rPr>
          <w:rFonts w:ascii="VIC" w:eastAsia="Times New Roman" w:hAnsi="VIC" w:cs="Times New Roman"/>
          <w:color w:val="011A3C"/>
          <w:sz w:val="24"/>
          <w:szCs w:val="24"/>
          <w:lang w:val="en" w:eastAsia="en-AU"/>
        </w:rPr>
        <w:t xml:space="preserve"> are campuses of a primary or secondary school</w:t>
      </w:r>
      <w:r w:rsidR="00B241D3" w:rsidRPr="004D307F">
        <w:rPr>
          <w:rFonts w:ascii="VIC" w:eastAsia="Times New Roman" w:hAnsi="VIC" w:cs="Times New Roman"/>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Base support is provided by the primary or secondary school and the </w:t>
      </w:r>
      <w:proofErr w:type="spellStart"/>
      <w:r w:rsidRPr="004D307F">
        <w:rPr>
          <w:rFonts w:ascii="VIC" w:eastAsia="Times New Roman" w:hAnsi="VIC" w:cs="Times New Roman"/>
          <w:color w:val="011A3C"/>
          <w:sz w:val="24"/>
          <w:szCs w:val="24"/>
          <w:lang w:val="en" w:eastAsia="en-AU"/>
        </w:rPr>
        <w:t>centre</w:t>
      </w:r>
      <w:proofErr w:type="spellEnd"/>
      <w:r w:rsidRPr="004D307F">
        <w:rPr>
          <w:rFonts w:ascii="VIC" w:eastAsia="Times New Roman" w:hAnsi="VIC" w:cs="Times New Roman"/>
          <w:color w:val="011A3C"/>
          <w:sz w:val="24"/>
          <w:szCs w:val="24"/>
          <w:lang w:val="en" w:eastAsia="en-AU"/>
        </w:rPr>
        <w:t xml:space="preserve"> receives a per target enrolment rate.</w:t>
      </w:r>
      <w:r w:rsidR="009212A4" w:rsidRPr="004D307F">
        <w:rPr>
          <w:rFonts w:ascii="VIC" w:eastAsia="Times New Roman" w:hAnsi="VIC" w:cs="Times New Roman"/>
          <w:color w:val="011A3C"/>
          <w:sz w:val="24"/>
          <w:szCs w:val="24"/>
          <w:lang w:val="en" w:eastAsia="en-AU"/>
        </w:rPr>
        <w:t xml:space="preserve"> The Virtual EAL New Arrivals Program receives a per target enrolment rate.</w:t>
      </w:r>
    </w:p>
    <w:p w14:paraId="36812B6D" w14:textId="77777777" w:rsidR="005D5E2A" w:rsidRPr="004D307F" w:rsidRDefault="005D5E2A" w:rsidP="00C370BC">
      <w:pPr>
        <w:spacing w:before="100" w:beforeAutospacing="1" w:after="100" w:afterAutospacing="1" w:line="288"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Eligibility</w:t>
      </w:r>
    </w:p>
    <w:p w14:paraId="146BB351" w14:textId="77777777"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schools</w:t>
      </w:r>
    </w:p>
    <w:p w14:paraId="02CADF2E" w14:textId="77777777"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English language </w:t>
      </w:r>
      <w:proofErr w:type="spellStart"/>
      <w:r w:rsidRPr="004D307F">
        <w:rPr>
          <w:rFonts w:ascii="VIC" w:eastAsia="Times New Roman" w:hAnsi="VIC" w:cs="Times New Roman"/>
          <w:color w:val="011A3C"/>
          <w:sz w:val="24"/>
          <w:szCs w:val="24"/>
          <w:lang w:val="en" w:eastAsia="en-AU"/>
        </w:rPr>
        <w:t>centres</w:t>
      </w:r>
      <w:proofErr w:type="spellEnd"/>
    </w:p>
    <w:p w14:paraId="3BE09664" w14:textId="77777777"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Virtual EAL New Arrivals Program</w:t>
      </w:r>
    </w:p>
    <w:p w14:paraId="31F65A64" w14:textId="33278BA4" w:rsidR="005D5E2A" w:rsidRPr="004D307F" w:rsidRDefault="005D5E2A" w:rsidP="00C370BC">
      <w:pPr>
        <w:spacing w:before="100" w:beforeAutospacing="1" w:after="100" w:afterAutospacing="1" w:line="288"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202</w:t>
      </w:r>
      <w:r w:rsidR="009212A4" w:rsidRPr="004D307F">
        <w:rPr>
          <w:rFonts w:ascii="VIC" w:eastAsia="Times New Roman" w:hAnsi="VIC" w:cs="Times New Roman"/>
          <w:b/>
          <w:bCs/>
          <w:color w:val="011A3C"/>
          <w:sz w:val="24"/>
          <w:szCs w:val="24"/>
          <w:lang w:val="en" w:eastAsia="en-AU"/>
        </w:rPr>
        <w:t>2</w:t>
      </w:r>
      <w:r w:rsidRPr="004D307F">
        <w:rPr>
          <w:rFonts w:ascii="VIC" w:eastAsia="Times New Roman" w:hAnsi="VIC" w:cs="Times New Roman"/>
          <w:b/>
          <w:bCs/>
          <w:color w:val="011A3C"/>
          <w:sz w:val="24"/>
          <w:szCs w:val="24"/>
          <w:lang w:val="en" w:eastAsia="en-AU"/>
        </w:rPr>
        <w:t xml:space="preserve"> English language school and </w:t>
      </w:r>
      <w:proofErr w:type="spellStart"/>
      <w:r w:rsidRPr="004D307F">
        <w:rPr>
          <w:rFonts w:ascii="VIC" w:eastAsia="Times New Roman" w:hAnsi="VIC" w:cs="Times New Roman"/>
          <w:b/>
          <w:bCs/>
          <w:color w:val="011A3C"/>
          <w:sz w:val="24"/>
          <w:szCs w:val="24"/>
          <w:lang w:val="en" w:eastAsia="en-AU"/>
        </w:rPr>
        <w:t>centre</w:t>
      </w:r>
      <w:proofErr w:type="spellEnd"/>
      <w:r w:rsidRPr="004D307F">
        <w:rPr>
          <w:rFonts w:ascii="VIC" w:eastAsia="Times New Roman" w:hAnsi="VIC" w:cs="Times New Roman"/>
          <w:b/>
          <w:bCs/>
          <w:color w:val="011A3C"/>
          <w:sz w:val="24"/>
          <w:szCs w:val="24"/>
          <w:lang w:val="en" w:eastAsia="en-AU"/>
        </w:rPr>
        <w:t xml:space="preserve"> target enrolment rates</w:t>
      </w:r>
    </w:p>
    <w:p w14:paraId="52F67390" w14:textId="535AC200"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an English language school, primary target enrolments receive a total of </w:t>
      </w:r>
      <w:r w:rsidR="007C6B18">
        <w:rPr>
          <w:rFonts w:ascii="VIC" w:eastAsia="Times New Roman" w:hAnsi="VIC" w:cs="Times New Roman"/>
          <w:color w:val="011A3C"/>
          <w:sz w:val="24"/>
          <w:szCs w:val="24"/>
          <w:lang w:val="en" w:eastAsia="en-AU"/>
        </w:rPr>
        <w:t>$</w:t>
      </w:r>
      <w:r w:rsidR="00C370BC" w:rsidRPr="004D307F">
        <w:rPr>
          <w:rFonts w:ascii="VIC" w:eastAsia="Times New Roman" w:hAnsi="VIC" w:cs="Times New Roman"/>
          <w:color w:val="011A3C"/>
          <w:sz w:val="24"/>
          <w:szCs w:val="24"/>
          <w:lang w:val="en" w:eastAsia="en-AU"/>
        </w:rPr>
        <w:t>12,</w:t>
      </w:r>
      <w:r w:rsidR="008C20E6" w:rsidRPr="004D307F">
        <w:rPr>
          <w:rFonts w:ascii="VIC" w:eastAsia="Times New Roman" w:hAnsi="VIC" w:cs="Times New Roman"/>
          <w:color w:val="011A3C"/>
          <w:sz w:val="24"/>
          <w:szCs w:val="24"/>
          <w:lang w:val="en" w:eastAsia="en-AU"/>
        </w:rPr>
        <w:t xml:space="preserve">655 </w:t>
      </w:r>
      <w:r w:rsidRPr="004D307F">
        <w:rPr>
          <w:rFonts w:ascii="VIC" w:eastAsia="Times New Roman" w:hAnsi="VIC" w:cs="Times New Roman"/>
          <w:color w:val="011A3C"/>
          <w:sz w:val="24"/>
          <w:szCs w:val="24"/>
          <w:lang w:val="en" w:eastAsia="en-AU"/>
        </w:rPr>
        <w:t>made up of:</w:t>
      </w:r>
    </w:p>
    <w:p w14:paraId="53BC2EDB" w14:textId="63894E84"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C370BC" w:rsidRPr="004D307F">
        <w:rPr>
          <w:rFonts w:ascii="VIC" w:eastAsia="Times New Roman" w:hAnsi="VIC" w:cs="Times New Roman"/>
          <w:color w:val="011A3C"/>
          <w:sz w:val="24"/>
          <w:szCs w:val="24"/>
          <w:lang w:val="en" w:eastAsia="en-AU"/>
        </w:rPr>
        <w:t>11,901</w:t>
      </w:r>
    </w:p>
    <w:p w14:paraId="755E75B3" w14:textId="173B0EC9"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8C20E6" w:rsidRPr="004D307F">
        <w:rPr>
          <w:rFonts w:ascii="VIC" w:eastAsia="Times New Roman" w:hAnsi="VIC" w:cs="Times New Roman"/>
          <w:color w:val="011A3C"/>
          <w:sz w:val="24"/>
          <w:szCs w:val="24"/>
          <w:lang w:val="en" w:eastAsia="en-AU"/>
        </w:rPr>
        <w:t>754</w:t>
      </w:r>
    </w:p>
    <w:p w14:paraId="43D654AE" w14:textId="5BD16CB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an English language school, secondary target enrolments receive a total of </w:t>
      </w:r>
      <w:r w:rsidR="007C6B18">
        <w:rPr>
          <w:rFonts w:ascii="VIC" w:eastAsia="Times New Roman" w:hAnsi="VIC" w:cs="Times New Roman"/>
          <w:color w:val="011A3C"/>
          <w:sz w:val="24"/>
          <w:szCs w:val="24"/>
          <w:lang w:val="en" w:eastAsia="en-AU"/>
        </w:rPr>
        <w:t>$</w:t>
      </w:r>
      <w:r w:rsidR="00C370BC" w:rsidRPr="004D307F">
        <w:rPr>
          <w:rFonts w:ascii="VIC" w:eastAsia="Times New Roman" w:hAnsi="VIC" w:cs="Times New Roman"/>
          <w:color w:val="011A3C"/>
          <w:sz w:val="24"/>
          <w:szCs w:val="24"/>
          <w:lang w:val="en" w:eastAsia="en-AU"/>
        </w:rPr>
        <w:t>15,4</w:t>
      </w:r>
      <w:r w:rsidR="008C20E6" w:rsidRPr="004D307F">
        <w:rPr>
          <w:rFonts w:ascii="VIC" w:eastAsia="Times New Roman" w:hAnsi="VIC" w:cs="Times New Roman"/>
          <w:color w:val="011A3C"/>
          <w:sz w:val="24"/>
          <w:szCs w:val="24"/>
          <w:lang w:val="en" w:eastAsia="en-AU"/>
        </w:rPr>
        <w:t xml:space="preserve">01 </w:t>
      </w:r>
      <w:r w:rsidRPr="004D307F">
        <w:rPr>
          <w:rFonts w:ascii="VIC" w:eastAsia="Times New Roman" w:hAnsi="VIC" w:cs="Times New Roman"/>
          <w:color w:val="011A3C"/>
          <w:sz w:val="24"/>
          <w:szCs w:val="24"/>
          <w:lang w:val="en" w:eastAsia="en-AU"/>
        </w:rPr>
        <w:t>made up of:</w:t>
      </w:r>
    </w:p>
    <w:p w14:paraId="107B6C68" w14:textId="18DC8009" w:rsidR="005D5E2A"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C370BC" w:rsidRPr="004D307F">
        <w:rPr>
          <w:rFonts w:ascii="VIC" w:eastAsia="Times New Roman" w:hAnsi="VIC" w:cs="Times New Roman"/>
          <w:color w:val="011A3C"/>
          <w:sz w:val="24"/>
          <w:szCs w:val="24"/>
          <w:lang w:val="en" w:eastAsia="en-AU"/>
        </w:rPr>
        <w:t>14,615</w:t>
      </w:r>
    </w:p>
    <w:p w14:paraId="3C471AF4" w14:textId="52BFFBAB" w:rsidR="000A6EFD" w:rsidRPr="004D307F" w:rsidRDefault="005D5E2A" w:rsidP="00ED0863">
      <w:pPr>
        <w:numPr>
          <w:ilvl w:val="0"/>
          <w:numId w:val="28"/>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8C20E6" w:rsidRPr="004D307F">
        <w:rPr>
          <w:rFonts w:ascii="VIC" w:eastAsia="Times New Roman" w:hAnsi="VIC" w:cs="Times New Roman"/>
          <w:color w:val="011A3C"/>
          <w:sz w:val="24"/>
          <w:szCs w:val="24"/>
          <w:lang w:val="en" w:eastAsia="en-AU"/>
        </w:rPr>
        <w:t>786</w:t>
      </w:r>
    </w:p>
    <w:p w14:paraId="4DDC43DC" w14:textId="0C4485D8"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an English language </w:t>
      </w:r>
      <w:proofErr w:type="spellStart"/>
      <w:r w:rsidRPr="004D307F">
        <w:rPr>
          <w:rFonts w:ascii="VIC" w:eastAsia="Times New Roman" w:hAnsi="VIC" w:cs="Times New Roman"/>
          <w:color w:val="011A3C"/>
          <w:sz w:val="24"/>
          <w:szCs w:val="24"/>
          <w:lang w:val="en" w:eastAsia="en-AU"/>
        </w:rPr>
        <w:t>centre</w:t>
      </w:r>
      <w:proofErr w:type="spellEnd"/>
      <w:r w:rsidRPr="004D307F">
        <w:rPr>
          <w:rFonts w:ascii="VIC" w:eastAsia="Times New Roman" w:hAnsi="VIC" w:cs="Times New Roman"/>
          <w:color w:val="011A3C"/>
          <w:sz w:val="24"/>
          <w:szCs w:val="24"/>
          <w:lang w:val="en" w:eastAsia="en-AU"/>
        </w:rPr>
        <w:t xml:space="preserve">, primary target enrolments receive a total of </w:t>
      </w:r>
      <w:r w:rsidR="007C6B18">
        <w:rPr>
          <w:rFonts w:ascii="VIC" w:eastAsia="Times New Roman" w:hAnsi="VIC" w:cs="Times New Roman"/>
          <w:color w:val="011A3C"/>
          <w:sz w:val="24"/>
          <w:szCs w:val="24"/>
          <w:lang w:val="en" w:eastAsia="en-AU"/>
        </w:rPr>
        <w:t>$</w:t>
      </w:r>
      <w:r w:rsidR="00C370BC" w:rsidRPr="004D307F">
        <w:rPr>
          <w:rFonts w:ascii="VIC" w:eastAsia="Times New Roman" w:hAnsi="VIC" w:cs="Times New Roman"/>
          <w:color w:val="011A3C"/>
          <w:sz w:val="24"/>
          <w:szCs w:val="24"/>
          <w:lang w:val="en" w:eastAsia="en-AU"/>
        </w:rPr>
        <w:t>13,</w:t>
      </w:r>
      <w:r w:rsidR="008C20E6" w:rsidRPr="004D307F">
        <w:rPr>
          <w:rFonts w:ascii="VIC" w:eastAsia="Times New Roman" w:hAnsi="VIC" w:cs="Times New Roman"/>
          <w:color w:val="011A3C"/>
          <w:sz w:val="24"/>
          <w:szCs w:val="24"/>
          <w:lang w:val="en" w:eastAsia="en-AU"/>
        </w:rPr>
        <w:t xml:space="preserve">387 </w:t>
      </w:r>
      <w:r w:rsidRPr="004D307F">
        <w:rPr>
          <w:rFonts w:ascii="VIC" w:eastAsia="Times New Roman" w:hAnsi="VIC" w:cs="Times New Roman"/>
          <w:color w:val="011A3C"/>
          <w:sz w:val="24"/>
          <w:szCs w:val="24"/>
          <w:lang w:val="en" w:eastAsia="en-AU"/>
        </w:rPr>
        <w:t>made up of:</w:t>
      </w:r>
    </w:p>
    <w:p w14:paraId="16242C49" w14:textId="140BC9A2" w:rsidR="005D5E2A" w:rsidRPr="004D307F" w:rsidRDefault="005D5E2A" w:rsidP="00ED0863">
      <w:pPr>
        <w:numPr>
          <w:ilvl w:val="0"/>
          <w:numId w:val="34"/>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C370BC" w:rsidRPr="004D307F">
        <w:rPr>
          <w:rFonts w:ascii="VIC" w:eastAsia="Times New Roman" w:hAnsi="VIC" w:cs="Times New Roman"/>
          <w:color w:val="011A3C"/>
          <w:sz w:val="24"/>
          <w:szCs w:val="24"/>
          <w:lang w:val="en" w:eastAsia="en-AU"/>
        </w:rPr>
        <w:t>12,747</w:t>
      </w:r>
    </w:p>
    <w:p w14:paraId="04C3AC70" w14:textId="53DB1673" w:rsidR="005D5E2A" w:rsidRPr="004D307F" w:rsidRDefault="005D5E2A" w:rsidP="00ED0863">
      <w:pPr>
        <w:numPr>
          <w:ilvl w:val="0"/>
          <w:numId w:val="34"/>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8C20E6" w:rsidRPr="004D307F">
        <w:rPr>
          <w:rFonts w:ascii="VIC" w:eastAsia="Times New Roman" w:hAnsi="VIC" w:cs="Times New Roman"/>
          <w:color w:val="011A3C"/>
          <w:sz w:val="24"/>
          <w:szCs w:val="24"/>
          <w:lang w:val="en" w:eastAsia="en-AU"/>
        </w:rPr>
        <w:t>640</w:t>
      </w:r>
    </w:p>
    <w:p w14:paraId="61BAF5D7" w14:textId="3B85D889"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an English language </w:t>
      </w:r>
      <w:proofErr w:type="spellStart"/>
      <w:r w:rsidRPr="004D307F">
        <w:rPr>
          <w:rFonts w:ascii="VIC" w:eastAsia="Times New Roman" w:hAnsi="VIC" w:cs="Times New Roman"/>
          <w:color w:val="011A3C"/>
          <w:sz w:val="24"/>
          <w:szCs w:val="24"/>
          <w:lang w:val="en" w:eastAsia="en-AU"/>
        </w:rPr>
        <w:t>centre</w:t>
      </w:r>
      <w:proofErr w:type="spellEnd"/>
      <w:r w:rsidRPr="004D307F">
        <w:rPr>
          <w:rFonts w:ascii="VIC" w:eastAsia="Times New Roman" w:hAnsi="VIC" w:cs="Times New Roman"/>
          <w:color w:val="011A3C"/>
          <w:sz w:val="24"/>
          <w:szCs w:val="24"/>
          <w:lang w:val="en" w:eastAsia="en-AU"/>
        </w:rPr>
        <w:t xml:space="preserve">, secondary target enrolments receive a total of </w:t>
      </w:r>
      <w:r w:rsidR="0005396A" w:rsidRPr="004D307F">
        <w:rPr>
          <w:rFonts w:ascii="VIC" w:eastAsia="Times New Roman" w:hAnsi="VIC" w:cs="Times New Roman"/>
          <w:color w:val="011A3C"/>
          <w:sz w:val="24"/>
          <w:szCs w:val="24"/>
          <w:lang w:val="en" w:eastAsia="en-AU"/>
        </w:rPr>
        <w:t>$</w:t>
      </w:r>
      <w:r w:rsidR="00C370BC" w:rsidRPr="004D307F">
        <w:rPr>
          <w:rFonts w:ascii="VIC" w:eastAsia="Times New Roman" w:hAnsi="VIC" w:cs="Times New Roman"/>
          <w:color w:val="011A3C"/>
          <w:sz w:val="24"/>
          <w:szCs w:val="24"/>
          <w:lang w:val="en" w:eastAsia="en-AU"/>
        </w:rPr>
        <w:t>16,</w:t>
      </w:r>
      <w:r w:rsidR="008C20E6" w:rsidRPr="004D307F">
        <w:rPr>
          <w:rFonts w:ascii="VIC" w:eastAsia="Times New Roman" w:hAnsi="VIC" w:cs="Times New Roman"/>
          <w:color w:val="011A3C"/>
          <w:sz w:val="24"/>
          <w:szCs w:val="24"/>
          <w:lang w:val="en" w:eastAsia="en-AU"/>
        </w:rPr>
        <w:t xml:space="preserve">329 </w:t>
      </w:r>
      <w:r w:rsidRPr="004D307F">
        <w:rPr>
          <w:rFonts w:ascii="VIC" w:eastAsia="Times New Roman" w:hAnsi="VIC" w:cs="Times New Roman"/>
          <w:color w:val="011A3C"/>
          <w:sz w:val="24"/>
          <w:szCs w:val="24"/>
          <w:lang w:val="en" w:eastAsia="en-AU"/>
        </w:rPr>
        <w:t>made up of:</w:t>
      </w:r>
    </w:p>
    <w:p w14:paraId="5C7618F0" w14:textId="7023F3B0" w:rsidR="005D5E2A" w:rsidRPr="004D307F" w:rsidRDefault="005D5E2A" w:rsidP="00ED0863">
      <w:pPr>
        <w:numPr>
          <w:ilvl w:val="0"/>
          <w:numId w:val="34"/>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C370BC" w:rsidRPr="004D307F">
        <w:rPr>
          <w:rFonts w:ascii="VIC" w:eastAsia="Times New Roman" w:hAnsi="VIC" w:cs="Times New Roman"/>
          <w:color w:val="011A3C"/>
          <w:sz w:val="24"/>
          <w:szCs w:val="24"/>
          <w:lang w:val="en" w:eastAsia="en-AU"/>
        </w:rPr>
        <w:t>15,587</w:t>
      </w:r>
    </w:p>
    <w:p w14:paraId="39A7953E" w14:textId="6D191E91" w:rsidR="005D5E2A" w:rsidRPr="004D307F" w:rsidRDefault="005D5E2A" w:rsidP="00ED0863">
      <w:pPr>
        <w:numPr>
          <w:ilvl w:val="0"/>
          <w:numId w:val="34"/>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8C20E6" w:rsidRPr="004D307F">
        <w:rPr>
          <w:rFonts w:ascii="VIC" w:eastAsia="Times New Roman" w:hAnsi="VIC" w:cs="Times New Roman"/>
          <w:color w:val="011A3C"/>
          <w:sz w:val="24"/>
          <w:szCs w:val="24"/>
          <w:lang w:val="en" w:eastAsia="en-AU"/>
        </w:rPr>
        <w:t>742</w:t>
      </w:r>
    </w:p>
    <w:p w14:paraId="6D152E22" w14:textId="77777777" w:rsidR="005D5E2A" w:rsidRPr="004D307F" w:rsidRDefault="005D5E2A" w:rsidP="000D106B">
      <w:pPr>
        <w:keepNext/>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Multicultural Education Aides (MEAs)</w:t>
      </w:r>
    </w:p>
    <w:p w14:paraId="6097BA8C"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An allocation for the employment of Multicultural Education Aides (MEAs) is made to English language schools and </w:t>
      </w:r>
      <w:proofErr w:type="spellStart"/>
      <w:r w:rsidRPr="004D307F">
        <w:rPr>
          <w:rFonts w:ascii="VIC" w:eastAsia="Times New Roman" w:hAnsi="VIC" w:cs="Times New Roman"/>
          <w:color w:val="011A3C"/>
          <w:sz w:val="24"/>
          <w:szCs w:val="24"/>
          <w:lang w:val="en" w:eastAsia="en-AU"/>
        </w:rPr>
        <w:t>centres</w:t>
      </w:r>
      <w:proofErr w:type="spellEnd"/>
      <w:r w:rsidRPr="004D307F">
        <w:rPr>
          <w:rFonts w:ascii="VIC" w:eastAsia="Times New Roman" w:hAnsi="VIC" w:cs="Times New Roman"/>
          <w:color w:val="011A3C"/>
          <w:sz w:val="24"/>
          <w:szCs w:val="24"/>
          <w:lang w:val="en" w:eastAsia="en-AU"/>
        </w:rPr>
        <w:t xml:space="preserve"> based on target enrolments. The current student to MEA ratio is 65:1. Campuses with target enrolments below 65 are entitled to a 1.0 FTE MEA and for campuses above 65 the 65:1 ratio applies.</w:t>
      </w:r>
    </w:p>
    <w:p w14:paraId="107658C2" w14:textId="77B69795" w:rsidR="00CB1045" w:rsidRPr="004D307F" w:rsidRDefault="005D5E2A" w:rsidP="00C370BC">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r w:rsidR="00F303E2" w:rsidRPr="004D307F">
        <w:rPr>
          <w:rFonts w:ascii="VIC" w:eastAsia="Times New Roman" w:hAnsi="VIC" w:cs="Times New Roman"/>
          <w:color w:val="011A3C"/>
          <w:sz w:val="24"/>
          <w:szCs w:val="24"/>
          <w:lang w:val="en" w:eastAsia="en-AU"/>
        </w:rPr>
        <w:t>202</w:t>
      </w:r>
      <w:r w:rsidR="009212A4" w:rsidRPr="004D307F">
        <w:rPr>
          <w:rFonts w:ascii="VIC" w:eastAsia="Times New Roman" w:hAnsi="VIC" w:cs="Times New Roman"/>
          <w:color w:val="011A3C"/>
          <w:sz w:val="24"/>
          <w:szCs w:val="24"/>
          <w:lang w:val="en" w:eastAsia="en-AU"/>
        </w:rPr>
        <w:t>2</w:t>
      </w:r>
      <w:r w:rsidR="00F303E2"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MEA rate is </w:t>
      </w:r>
      <w:r w:rsidR="007E6349" w:rsidRPr="004D307F">
        <w:rPr>
          <w:rFonts w:ascii="VIC" w:eastAsia="Times New Roman" w:hAnsi="VIC" w:cs="Times New Roman"/>
          <w:color w:val="011A3C"/>
          <w:sz w:val="24"/>
          <w:szCs w:val="24"/>
          <w:lang w:val="en" w:eastAsia="en-AU"/>
        </w:rPr>
        <w:t>$61,177.00</w:t>
      </w:r>
    </w:p>
    <w:p w14:paraId="47FB2A0F" w14:textId="77777777" w:rsidR="00000933" w:rsidRDefault="00000933">
      <w:pPr>
        <w:rPr>
          <w:rFonts w:ascii="VIC" w:eastAsia="Times New Roman" w:hAnsi="VIC" w:cs="Times New Roman"/>
          <w:b/>
          <w:bCs/>
          <w:color w:val="011A3C"/>
          <w:sz w:val="24"/>
          <w:szCs w:val="24"/>
          <w:lang w:val="en" w:eastAsia="en-AU"/>
        </w:rPr>
      </w:pPr>
      <w:r>
        <w:rPr>
          <w:rFonts w:ascii="VIC" w:eastAsia="Times New Roman" w:hAnsi="VIC" w:cs="Times New Roman"/>
          <w:b/>
          <w:bCs/>
          <w:color w:val="011A3C"/>
          <w:sz w:val="24"/>
          <w:szCs w:val="24"/>
          <w:lang w:val="en" w:eastAsia="en-AU"/>
        </w:rPr>
        <w:br w:type="page"/>
      </w:r>
    </w:p>
    <w:p w14:paraId="1F061F90" w14:textId="24FE39C6"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EAL student services</w:t>
      </w:r>
    </w:p>
    <w:p w14:paraId="3572AE72" w14:textId="08DAC061" w:rsidR="005D5E2A" w:rsidRPr="004D307F" w:rsidRDefault="005D5E2A" w:rsidP="000D106B">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addition, English language schools and </w:t>
      </w:r>
      <w:proofErr w:type="spellStart"/>
      <w:r w:rsidRPr="004D307F">
        <w:rPr>
          <w:rFonts w:ascii="VIC" w:eastAsia="Times New Roman" w:hAnsi="VIC" w:cs="Times New Roman"/>
          <w:color w:val="011A3C"/>
          <w:sz w:val="24"/>
          <w:szCs w:val="24"/>
          <w:lang w:val="en" w:eastAsia="en-AU"/>
        </w:rPr>
        <w:t>centres</w:t>
      </w:r>
      <w:proofErr w:type="spellEnd"/>
      <w:r w:rsidRPr="004D307F">
        <w:rPr>
          <w:rFonts w:ascii="VIC" w:eastAsia="Times New Roman" w:hAnsi="VIC" w:cs="Times New Roman"/>
          <w:color w:val="011A3C"/>
          <w:sz w:val="24"/>
          <w:szCs w:val="24"/>
          <w:lang w:val="en" w:eastAsia="en-AU"/>
        </w:rPr>
        <w:t xml:space="preserve"> receive funding to provide services to EAL students who are not yet or no longer enrolled in a full-time intensive program.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These services include outreach services</w:t>
      </w:r>
      <w:r w:rsidR="009212A4" w:rsidRPr="004D307F">
        <w:rPr>
          <w:rFonts w:ascii="VIC" w:eastAsia="Times New Roman" w:hAnsi="VIC" w:cs="Times New Roman"/>
          <w:color w:val="011A3C"/>
          <w:sz w:val="24"/>
          <w:szCs w:val="24"/>
          <w:lang w:val="en" w:eastAsia="en-AU"/>
        </w:rPr>
        <w:t xml:space="preserve"> and</w:t>
      </w:r>
      <w:r w:rsidRPr="004D307F">
        <w:rPr>
          <w:rFonts w:ascii="VIC" w:eastAsia="Times New Roman" w:hAnsi="VIC" w:cs="Times New Roman"/>
          <w:color w:val="011A3C"/>
          <w:sz w:val="24"/>
          <w:szCs w:val="24"/>
          <w:lang w:val="en" w:eastAsia="en-AU"/>
        </w:rPr>
        <w:t xml:space="preserve"> transition support for high needs refugee students</w:t>
      </w:r>
      <w:r w:rsidR="009212A4" w:rsidRPr="004D307F">
        <w:rPr>
          <w:rFonts w:ascii="VIC" w:eastAsia="Times New Roman" w:hAnsi="VIC" w:cs="Times New Roman"/>
          <w:color w:val="011A3C"/>
          <w:sz w:val="24"/>
          <w:szCs w:val="24"/>
          <w:lang w:val="en" w:eastAsia="en-AU"/>
        </w:rPr>
        <w:t>.</w:t>
      </w:r>
    </w:p>
    <w:p w14:paraId="727991D5" w14:textId="77777777" w:rsidR="00966C65" w:rsidRPr="004D307F" w:rsidRDefault="00966C65" w:rsidP="00966C65">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EAL student services (Cluster funding)</w:t>
      </w:r>
    </w:p>
    <w:p w14:paraId="3CDC85B3" w14:textId="77777777" w:rsidR="00966C65" w:rsidRPr="004D307F" w:rsidRDefault="00966C65" w:rsidP="00966C65">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and secondary schools that coordinate EAL cluster programs are provided with funding to employ EAL specialists to provide advice and guidance to teachers in cluster schools to build their understanding, </w:t>
      </w:r>
      <w:proofErr w:type="gramStart"/>
      <w:r w:rsidRPr="004D307F">
        <w:rPr>
          <w:rFonts w:ascii="VIC" w:eastAsia="Times New Roman" w:hAnsi="VIC" w:cs="Times New Roman"/>
          <w:color w:val="011A3C"/>
          <w:sz w:val="24"/>
          <w:szCs w:val="24"/>
          <w:lang w:val="en" w:eastAsia="en-AU"/>
        </w:rPr>
        <w:t>knowledge</w:t>
      </w:r>
      <w:proofErr w:type="gramEnd"/>
      <w:r w:rsidRPr="004D307F">
        <w:rPr>
          <w:rFonts w:ascii="VIC" w:eastAsia="Times New Roman" w:hAnsi="VIC" w:cs="Times New Roman"/>
          <w:color w:val="011A3C"/>
          <w:sz w:val="24"/>
          <w:szCs w:val="24"/>
          <w:lang w:val="en" w:eastAsia="en-AU"/>
        </w:rPr>
        <w:t xml:space="preserve"> and capacity to meet EAL student learning needs.</w:t>
      </w:r>
    </w:p>
    <w:p w14:paraId="4B13100C" w14:textId="77777777" w:rsidR="00966C65" w:rsidRPr="004D307F" w:rsidRDefault="00966C65" w:rsidP="000D106B">
      <w:pPr>
        <w:spacing w:before="100" w:beforeAutospacing="1" w:after="100" w:afterAutospacing="1" w:line="240" w:lineRule="auto"/>
        <w:rPr>
          <w:rFonts w:ascii="VIC" w:eastAsia="Times New Roman" w:hAnsi="VIC" w:cs="Times New Roman"/>
          <w:color w:val="011A3C"/>
          <w:sz w:val="24"/>
          <w:szCs w:val="24"/>
          <w:lang w:val="en" w:eastAsia="en-AU"/>
        </w:rPr>
      </w:pPr>
    </w:p>
    <w:p w14:paraId="2E8C1682" w14:textId="66D715EF" w:rsidR="00AD16F0" w:rsidRPr="004D307F" w:rsidRDefault="005D5E2A" w:rsidP="00B566E7">
      <w:pPr>
        <w:pStyle w:val="Heading2"/>
      </w:pPr>
      <w:r w:rsidRPr="004D307F">
        <w:rPr>
          <w:rFonts w:ascii="VIC" w:hAnsi="VIC"/>
        </w:rPr>
        <w:br w:type="page"/>
      </w:r>
      <w:bookmarkStart w:id="40" w:name="_Toc99882743"/>
      <w:r w:rsidR="00AD16F0" w:rsidRPr="004D307F">
        <w:lastRenderedPageBreak/>
        <w:t>EAL Contingency (Reference 27)</w:t>
      </w:r>
      <w:bookmarkEnd w:id="40"/>
    </w:p>
    <w:p w14:paraId="4BD87BD2" w14:textId="22260F88" w:rsidR="005D5E2A" w:rsidRPr="004D307F" w:rsidRDefault="005D5E2A" w:rsidP="005D5E2A">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EAL Contingency funding is provided, budget allowing, to enable the employment of additional EAL teachers and Multicultural Education Aides where schools experience a significant increase to their EAL student profile after their EAL funding has been established for the year.</w:t>
      </w:r>
    </w:p>
    <w:p w14:paraId="4B12F524"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significant increase</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for a primary, </w:t>
      </w:r>
      <w:proofErr w:type="gramStart"/>
      <w:r w:rsidRPr="004D307F">
        <w:rPr>
          <w:rFonts w:ascii="VIC" w:eastAsia="Times New Roman" w:hAnsi="VIC" w:cs="Times New Roman"/>
          <w:color w:val="011A3C"/>
          <w:sz w:val="24"/>
          <w:szCs w:val="24"/>
          <w:lang w:val="en" w:eastAsia="en-AU"/>
        </w:rPr>
        <w:t>secondary</w:t>
      </w:r>
      <w:proofErr w:type="gramEnd"/>
      <w:r w:rsidRPr="004D307F">
        <w:rPr>
          <w:rFonts w:ascii="VIC" w:eastAsia="Times New Roman" w:hAnsi="VIC" w:cs="Times New Roman"/>
          <w:color w:val="011A3C"/>
          <w:sz w:val="24"/>
          <w:szCs w:val="24"/>
          <w:lang w:val="en" w:eastAsia="en-AU"/>
        </w:rPr>
        <w:t xml:space="preserve"> or combined primary/secondary school means that the cohort of additional students, based on the rates and weightings outlined in Reference 26, attract funding above the relevant EAL Index funding threshold (primary or secondary). This means there is no set number of students a school must </w:t>
      </w:r>
      <w:proofErr w:type="spellStart"/>
      <w:r w:rsidRPr="004D307F">
        <w:rPr>
          <w:rFonts w:ascii="VIC" w:eastAsia="Times New Roman" w:hAnsi="VIC" w:cs="Times New Roman"/>
          <w:color w:val="011A3C"/>
          <w:sz w:val="24"/>
          <w:szCs w:val="24"/>
          <w:lang w:val="en" w:eastAsia="en-AU"/>
        </w:rPr>
        <w:t>enrol</w:t>
      </w:r>
      <w:proofErr w:type="spellEnd"/>
      <w:r w:rsidRPr="004D307F">
        <w:rPr>
          <w:rFonts w:ascii="VIC" w:eastAsia="Times New Roman" w:hAnsi="VIC" w:cs="Times New Roman"/>
          <w:color w:val="011A3C"/>
          <w:sz w:val="24"/>
          <w:szCs w:val="24"/>
          <w:lang w:val="en" w:eastAsia="en-AU"/>
        </w:rPr>
        <w:t xml:space="preserve"> to be eligible for EAL Contingency. Each student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year level and length of time in Australia determines the level of funding he or she attracts.</w:t>
      </w:r>
    </w:p>
    <w:p w14:paraId="3153355A"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significant increase</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for an English language school or </w:t>
      </w:r>
      <w:proofErr w:type="spellStart"/>
      <w:r w:rsidRPr="004D307F">
        <w:rPr>
          <w:rFonts w:ascii="VIC" w:eastAsia="Times New Roman" w:hAnsi="VIC" w:cs="Times New Roman"/>
          <w:color w:val="011A3C"/>
          <w:sz w:val="24"/>
          <w:szCs w:val="24"/>
          <w:lang w:val="en" w:eastAsia="en-AU"/>
        </w:rPr>
        <w:t>centre</w:t>
      </w:r>
      <w:proofErr w:type="spellEnd"/>
      <w:r w:rsidRPr="004D307F">
        <w:rPr>
          <w:rFonts w:ascii="VIC" w:eastAsia="Times New Roman" w:hAnsi="VIC" w:cs="Times New Roman"/>
          <w:color w:val="011A3C"/>
          <w:sz w:val="24"/>
          <w:szCs w:val="24"/>
          <w:lang w:val="en" w:eastAsia="en-AU"/>
        </w:rPr>
        <w:t xml:space="preserve"> or the Virtual EAL New Arrivals Program is one which requires provision of an additional class.</w:t>
      </w:r>
    </w:p>
    <w:p w14:paraId="60329E47" w14:textId="77777777" w:rsidR="005D5E2A" w:rsidRPr="004D307F" w:rsidRDefault="005D5E2A" w:rsidP="005D5E2A">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Applications for contingency funding can be submitted at any time of the school year. </w:t>
      </w:r>
    </w:p>
    <w:p w14:paraId="10EEE8CE" w14:textId="77777777"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3865E69A"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w:t>
      </w:r>
    </w:p>
    <w:p w14:paraId="384C6B87"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66C5DBC1"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4F8C606A"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English language schools</w:t>
      </w:r>
    </w:p>
    <w:p w14:paraId="575BB286"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English language </w:t>
      </w:r>
      <w:proofErr w:type="spellStart"/>
      <w:r w:rsidRPr="004D307F">
        <w:rPr>
          <w:rFonts w:ascii="VIC" w:eastAsia="Times New Roman" w:hAnsi="VIC" w:cs="Times New Roman"/>
          <w:color w:val="011A3C"/>
          <w:sz w:val="24"/>
          <w:szCs w:val="24"/>
          <w:lang w:val="en" w:eastAsia="en-AU"/>
        </w:rPr>
        <w:t>centres</w:t>
      </w:r>
      <w:proofErr w:type="spellEnd"/>
    </w:p>
    <w:p w14:paraId="73DCADB8" w14:textId="77777777" w:rsidR="005D5E2A" w:rsidRPr="004D307F" w:rsidRDefault="005D5E2A" w:rsidP="00ED0863">
      <w:pPr>
        <w:numPr>
          <w:ilvl w:val="0"/>
          <w:numId w:val="35"/>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Virtual EAL New Arrivals Program</w:t>
      </w:r>
    </w:p>
    <w:p w14:paraId="74017363" w14:textId="77777777"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Applications</w:t>
      </w:r>
    </w:p>
    <w:p w14:paraId="76B48D6E"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 and secondary schools that have enrolled an increased number of students since their EAL Index funding was established by the preceding year</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August census may apply for EAL contingency funding. Each application is assessed based on the additional students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eligibility for EAL Index level funding and the rates and weightings outlined in Reference 26.</w:t>
      </w:r>
    </w:p>
    <w:p w14:paraId="07A2A788"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New primary and secondary schools will not have participated in the preceding August census. They can apply for EAL contingency funding to establish their EAL program following the February school census.</w:t>
      </w:r>
    </w:p>
    <w:p w14:paraId="0601B58C" w14:textId="6BE83CDF"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To apply, primary and secondary schools should run a Contingency Report ST21038 from CASES21 and email this with a request to be considered for EAL contingency funding to the EAL Unit at</w:t>
      </w:r>
      <w:r w:rsidRPr="004D307F">
        <w:rPr>
          <w:rFonts w:ascii="Calibri" w:eastAsia="Times New Roman" w:hAnsi="Calibri" w:cs="Calibri" w:hint="eastAsia"/>
          <w:color w:val="011A3C"/>
          <w:sz w:val="24"/>
          <w:szCs w:val="24"/>
          <w:lang w:val="en" w:eastAsia="en-AU"/>
        </w:rPr>
        <w:t> </w:t>
      </w:r>
      <w:hyperlink r:id="rId66" w:history="1">
        <w:r w:rsidRPr="004D307F">
          <w:rPr>
            <w:rFonts w:ascii="VIC" w:eastAsia="Times New Roman" w:hAnsi="VIC" w:cs="Times New Roman"/>
            <w:color w:val="011A3C"/>
            <w:sz w:val="24"/>
            <w:szCs w:val="24"/>
            <w:lang w:val="en" w:eastAsia="en-AU"/>
          </w:rPr>
          <w:t>eal@education.vic.gov.au</w:t>
        </w:r>
      </w:hyperlink>
      <w:r w:rsidRPr="004D307F">
        <w:rPr>
          <w:rFonts w:ascii="VIC" w:eastAsia="Times New Roman" w:hAnsi="VIC" w:cs="Times New Roman"/>
          <w:color w:val="011A3C"/>
          <w:sz w:val="24"/>
          <w:szCs w:val="24"/>
          <w:lang w:val="en" w:eastAsia="en-AU"/>
        </w:rPr>
        <w:t>. The ST21038 report is used to compare current enrolments with enrolments from the preceding August census to determine if an increase beyond the relevant threshold has been reached. Applications from new schools are assessed based on the student numbers in the ST21038 report.</w:t>
      </w:r>
    </w:p>
    <w:p w14:paraId="0A9E64A0"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English language schools and </w:t>
      </w:r>
      <w:proofErr w:type="spellStart"/>
      <w:r w:rsidRPr="004D307F">
        <w:rPr>
          <w:rFonts w:ascii="VIC" w:eastAsia="Times New Roman" w:hAnsi="VIC" w:cs="Times New Roman"/>
          <w:color w:val="011A3C"/>
          <w:sz w:val="24"/>
          <w:szCs w:val="24"/>
          <w:lang w:val="en" w:eastAsia="en-AU"/>
        </w:rPr>
        <w:t>centres</w:t>
      </w:r>
      <w:proofErr w:type="spellEnd"/>
      <w:r w:rsidRPr="004D307F">
        <w:rPr>
          <w:rFonts w:ascii="VIC" w:eastAsia="Times New Roman" w:hAnsi="VIC" w:cs="Times New Roman"/>
          <w:color w:val="011A3C"/>
          <w:sz w:val="24"/>
          <w:szCs w:val="24"/>
          <w:lang w:val="en" w:eastAsia="en-AU"/>
        </w:rPr>
        <w:t xml:space="preserve"> should use the Request for EAL Contingency Funding for New Arrivals Provision form to discuss changed provision needs with their Regional Service Support Branch Manager, then email the form to:  </w:t>
      </w:r>
      <w:hyperlink r:id="rId67" w:history="1">
        <w:r w:rsidRPr="004D307F">
          <w:rPr>
            <w:rFonts w:ascii="VIC" w:eastAsia="Times New Roman" w:hAnsi="VIC" w:cs="Times New Roman"/>
            <w:color w:val="011A3C"/>
            <w:sz w:val="24"/>
            <w:szCs w:val="24"/>
            <w:lang w:val="en" w:eastAsia="en-AU"/>
          </w:rPr>
          <w:t>eal@education.vic.gov.au</w:t>
        </w:r>
      </w:hyperlink>
    </w:p>
    <w:p w14:paraId="7986FA68"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that apply within the first five weeks of term and meet eligibility requirements are funded for that term and any other remaining terms in the school year.</w:t>
      </w:r>
    </w:p>
    <w:p w14:paraId="4A414F08"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that apply in week 6 or beyond and meet eligibility requirements are funded for the following and any remaining terms of the school year.</w:t>
      </w:r>
    </w:p>
    <w:p w14:paraId="4681CB6F" w14:textId="7B4904FB"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All schools are notified when their request has been assessed, with further notification of their total funding after it has been approved. Payment is made through the </w:t>
      </w:r>
      <w:r w:rsidR="001B66F8" w:rsidRPr="004D307F">
        <w:rPr>
          <w:rFonts w:ascii="VIC" w:eastAsia="Times New Roman" w:hAnsi="VIC" w:cs="Times New Roman"/>
          <w:color w:val="011A3C"/>
          <w:sz w:val="24"/>
          <w:szCs w:val="24"/>
          <w:lang w:val="en" w:eastAsia="en-AU"/>
        </w:rPr>
        <w:t>Student Resource Package (</w:t>
      </w:r>
      <w:r w:rsidRPr="004D307F">
        <w:rPr>
          <w:rFonts w:ascii="VIC" w:eastAsia="Times New Roman" w:hAnsi="VIC" w:cs="Times New Roman"/>
          <w:color w:val="011A3C"/>
          <w:sz w:val="24"/>
          <w:szCs w:val="24"/>
          <w:lang w:val="en" w:eastAsia="en-AU"/>
        </w:rPr>
        <w:t>SRP</w:t>
      </w:r>
      <w:r w:rsidR="001B66F8"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at the end of each applicable term.</w:t>
      </w:r>
    </w:p>
    <w:p w14:paraId="7C663FE1" w14:textId="77777777" w:rsidR="005D5E2A" w:rsidRPr="004D307F" w:rsidRDefault="005D5E2A" w:rsidP="005A7E0A">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Calculation</w:t>
      </w:r>
    </w:p>
    <w:p w14:paraId="79ADA3C7" w14:textId="77777777" w:rsidR="005D5E2A" w:rsidRPr="004D307F" w:rsidRDefault="005D5E2A" w:rsidP="00C370BC">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EAL Contingency = FTE allocation * Average teacher rate</w:t>
      </w:r>
    </w:p>
    <w:p w14:paraId="1571120A" w14:textId="77777777" w:rsidR="005D5E2A" w:rsidRPr="004D307F" w:rsidRDefault="005D5E2A" w:rsidP="00C370BC">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primary and secondary schools, EAL contingency is calculated based on the change in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EAL student profile between the previous August census and the date of application, as outlined above.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Any additional entitlement to EAL Index funding using the levels and weightings outlined in Reference 26, is converted to </w:t>
      </w:r>
      <w:proofErr w:type="gramStart"/>
      <w:r w:rsidRPr="004D307F">
        <w:rPr>
          <w:rFonts w:ascii="VIC" w:eastAsia="Times New Roman" w:hAnsi="VIC" w:cs="Times New Roman"/>
          <w:color w:val="011A3C"/>
          <w:sz w:val="24"/>
          <w:szCs w:val="24"/>
          <w:lang w:val="en" w:eastAsia="en-AU"/>
        </w:rPr>
        <w:t>FTE</w:t>
      </w:r>
      <w:proofErr w:type="gramEnd"/>
      <w:r w:rsidRPr="004D307F">
        <w:rPr>
          <w:rFonts w:ascii="VIC" w:eastAsia="Times New Roman" w:hAnsi="VIC" w:cs="Times New Roman"/>
          <w:color w:val="011A3C"/>
          <w:sz w:val="24"/>
          <w:szCs w:val="24"/>
          <w:lang w:val="en" w:eastAsia="en-AU"/>
        </w:rPr>
        <w:t xml:space="preserve"> and paid pro-rata for the remainder of the school year. </w:t>
      </w:r>
    </w:p>
    <w:p w14:paraId="2DCDD024" w14:textId="7777777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 and secondary FTE allocations are calculated separately.</w:t>
      </w:r>
    </w:p>
    <w:p w14:paraId="4BB6CBFF" w14:textId="77777777" w:rsidR="005D5E2A" w:rsidRPr="004D307F" w:rsidRDefault="005D5E2A" w:rsidP="00C370BC">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For English language schools and </w:t>
      </w:r>
      <w:proofErr w:type="spellStart"/>
      <w:r w:rsidRPr="004D307F">
        <w:rPr>
          <w:rFonts w:ascii="VIC" w:eastAsia="Times New Roman" w:hAnsi="VIC" w:cs="Times New Roman"/>
          <w:color w:val="011A3C"/>
          <w:sz w:val="24"/>
          <w:szCs w:val="24"/>
          <w:lang w:val="en" w:eastAsia="en-AU"/>
        </w:rPr>
        <w:t>centres</w:t>
      </w:r>
      <w:proofErr w:type="spellEnd"/>
      <w:r w:rsidRPr="004D307F">
        <w:rPr>
          <w:rFonts w:ascii="VIC" w:eastAsia="Times New Roman" w:hAnsi="VIC" w:cs="Times New Roman"/>
          <w:color w:val="011A3C"/>
          <w:sz w:val="24"/>
          <w:szCs w:val="24"/>
          <w:lang w:val="en" w:eastAsia="en-AU"/>
        </w:rPr>
        <w:t xml:space="preserve"> and the Virtual EAL New Arrivals Program, each additional class to be provided attracts 1.0 FTE at the average teacher rate, paid pro-rata for the period for which the class will be required.</w:t>
      </w:r>
    </w:p>
    <w:p w14:paraId="771DE4EE" w14:textId="77777777" w:rsidR="00000933" w:rsidRDefault="00000933">
      <w:pPr>
        <w:rPr>
          <w:rFonts w:ascii="VIC" w:eastAsia="Times New Roman" w:hAnsi="VIC" w:cs="Times New Roman"/>
          <w:b/>
          <w:bCs/>
          <w:color w:val="011A3C"/>
          <w:sz w:val="27"/>
          <w:szCs w:val="27"/>
          <w:lang w:val="en" w:eastAsia="en-AU"/>
        </w:rPr>
      </w:pPr>
      <w:r>
        <w:rPr>
          <w:rFonts w:ascii="VIC" w:eastAsia="Times New Roman" w:hAnsi="VIC" w:cs="Times New Roman"/>
          <w:b/>
          <w:bCs/>
          <w:color w:val="011A3C"/>
          <w:sz w:val="27"/>
          <w:szCs w:val="27"/>
          <w:lang w:val="en" w:eastAsia="en-AU"/>
        </w:rPr>
        <w:br w:type="page"/>
      </w:r>
    </w:p>
    <w:p w14:paraId="3EBCC416" w14:textId="09896615"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Rates</w:t>
      </w:r>
      <w:r w:rsidRPr="004D307F">
        <w:rPr>
          <w:rFonts w:ascii="Calibri" w:eastAsia="Times New Roman" w:hAnsi="Calibri" w:cs="Calibri" w:hint="eastAsia"/>
          <w:b/>
          <w:bCs/>
          <w:color w:val="011A3C"/>
          <w:sz w:val="27"/>
          <w:szCs w:val="27"/>
          <w:lang w:val="en" w:eastAsia="en-AU"/>
        </w:rPr>
        <w:t> </w:t>
      </w:r>
      <w:r w:rsidRPr="004D307F">
        <w:rPr>
          <w:rFonts w:ascii="VIC" w:eastAsia="Times New Roman" w:hAnsi="VIC" w:cs="Times New Roman" w:hint="eastAsia"/>
          <w:b/>
          <w:bCs/>
          <w:color w:val="011A3C"/>
          <w:sz w:val="27"/>
          <w:szCs w:val="27"/>
          <w:lang w:val="en" w:eastAsia="en-AU"/>
        </w:rPr>
        <w:t>—</w:t>
      </w:r>
      <w:r w:rsidRPr="004D307F">
        <w:rPr>
          <w:rFonts w:ascii="Calibri" w:eastAsia="Times New Roman" w:hAnsi="Calibri" w:cs="Calibri" w:hint="eastAsia"/>
          <w:b/>
          <w:bCs/>
          <w:color w:val="011A3C"/>
          <w:sz w:val="27"/>
          <w:szCs w:val="27"/>
          <w:lang w:val="en" w:eastAsia="en-AU"/>
        </w:rPr>
        <w:t> </w:t>
      </w:r>
      <w:r w:rsidRPr="004D307F">
        <w:rPr>
          <w:rFonts w:ascii="VIC" w:eastAsia="Times New Roman" w:hAnsi="VIC" w:cs="Times New Roman"/>
          <w:b/>
          <w:bCs/>
          <w:color w:val="011A3C"/>
          <w:sz w:val="27"/>
          <w:szCs w:val="27"/>
          <w:lang w:val="en" w:eastAsia="en-AU"/>
        </w:rPr>
        <w:t>202</w:t>
      </w:r>
      <w:r w:rsidR="008A501C" w:rsidRPr="004D307F">
        <w:rPr>
          <w:rFonts w:ascii="VIC" w:eastAsia="Times New Roman" w:hAnsi="VIC" w:cs="Times New Roman"/>
          <w:b/>
          <w:bCs/>
          <w:color w:val="011A3C"/>
          <w:sz w:val="27"/>
          <w:szCs w:val="27"/>
          <w:lang w:val="en" w:eastAsia="en-AU"/>
        </w:rPr>
        <w:t>2</w:t>
      </w:r>
    </w:p>
    <w:p w14:paraId="6ABB60A6" w14:textId="77777777" w:rsidR="005D5E2A" w:rsidRPr="004D307F" w:rsidRDefault="005D5E2A" w:rsidP="005D5E2A">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List 1: </w:t>
      </w:r>
      <w:bookmarkStart w:id="41" w:name="_Hlk81828572"/>
      <w:r w:rsidRPr="004D307F">
        <w:rPr>
          <w:rFonts w:ascii="VIC" w:eastAsia="Times New Roman" w:hAnsi="VIC" w:cs="Times New Roman"/>
          <w:b/>
          <w:bCs/>
          <w:color w:val="011A3C"/>
          <w:sz w:val="24"/>
          <w:szCs w:val="24"/>
          <w:lang w:val="en" w:eastAsia="en-AU"/>
        </w:rPr>
        <w:t>EAL Index funding thresholds</w:t>
      </w:r>
      <w:bookmarkEnd w:id="41"/>
    </w:p>
    <w:p w14:paraId="3177A649" w14:textId="377295BA"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w:t>
      </w:r>
      <w:r w:rsidRPr="004D307F">
        <w:rPr>
          <w:rFonts w:ascii="VIC" w:eastAsia="Times New Roman" w:hAnsi="VIC" w:cs="Times New Roman" w:hint="eastAsia"/>
          <w:color w:val="011A3C"/>
          <w:sz w:val="24"/>
          <w:szCs w:val="24"/>
          <w:lang w:val="en" w:eastAsia="en-AU"/>
        </w:rPr>
        <w:t>—</w:t>
      </w:r>
      <w:r w:rsidR="008552BC" w:rsidRPr="004D307F">
        <w:rPr>
          <w:rFonts w:ascii="VIC" w:eastAsia="Times New Roman" w:hAnsi="VIC" w:cs="Times New Roman"/>
          <w:color w:val="011A3C"/>
          <w:sz w:val="24"/>
          <w:szCs w:val="24"/>
          <w:lang w:val="en" w:eastAsia="en-AU"/>
        </w:rPr>
        <w:t xml:space="preserve"> </w:t>
      </w:r>
      <w:r w:rsidR="008E4E70" w:rsidRPr="004D307F">
        <w:rPr>
          <w:rFonts w:ascii="VIC" w:eastAsia="Times New Roman" w:hAnsi="VIC" w:cs="Times New Roman"/>
          <w:color w:val="011A3C"/>
          <w:sz w:val="24"/>
          <w:szCs w:val="24"/>
          <w:lang w:val="en" w:eastAsia="en-AU"/>
        </w:rPr>
        <w:t>$</w:t>
      </w:r>
      <w:r w:rsidR="005965D3" w:rsidRPr="004D307F">
        <w:rPr>
          <w:rFonts w:ascii="VIC" w:eastAsia="Times New Roman" w:hAnsi="VIC" w:cs="Times New Roman"/>
          <w:color w:val="011A3C"/>
          <w:sz w:val="24"/>
          <w:szCs w:val="24"/>
          <w:lang w:val="en" w:eastAsia="en-AU"/>
        </w:rPr>
        <w:t>25,634.61</w:t>
      </w:r>
    </w:p>
    <w:p w14:paraId="5632FA29" w14:textId="41E6E07B" w:rsidR="005D5E2A" w:rsidRPr="004D307F" w:rsidRDefault="005D5E2A" w:rsidP="00ED0863">
      <w:pPr>
        <w:numPr>
          <w:ilvl w:val="0"/>
          <w:numId w:val="30"/>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Secondary </w:t>
      </w:r>
      <w:r w:rsidRPr="004D307F">
        <w:rPr>
          <w:rFonts w:ascii="VIC" w:eastAsia="Times New Roman" w:hAnsi="VIC" w:cs="Times New Roman" w:hint="eastAsia"/>
          <w:color w:val="011A3C"/>
          <w:sz w:val="24"/>
          <w:szCs w:val="24"/>
          <w:lang w:val="en" w:eastAsia="en-AU"/>
        </w:rPr>
        <w:t>—</w:t>
      </w:r>
      <w:r w:rsidR="008552BC" w:rsidRPr="004D307F">
        <w:rPr>
          <w:rFonts w:ascii="VIC" w:eastAsia="Times New Roman" w:hAnsi="VIC" w:cs="Times New Roman"/>
          <w:color w:val="011A3C"/>
          <w:sz w:val="24"/>
          <w:szCs w:val="24"/>
          <w:lang w:val="en" w:eastAsia="en-AU"/>
        </w:rPr>
        <w:t xml:space="preserve"> </w:t>
      </w:r>
      <w:r w:rsidR="008E4E70" w:rsidRPr="004D307F">
        <w:rPr>
          <w:rFonts w:ascii="VIC" w:eastAsia="Times New Roman" w:hAnsi="VIC" w:cs="Times New Roman"/>
          <w:color w:val="011A3C"/>
          <w:sz w:val="24"/>
          <w:szCs w:val="24"/>
          <w:lang w:val="en" w:eastAsia="en-AU"/>
        </w:rPr>
        <w:t>$</w:t>
      </w:r>
      <w:r w:rsidR="005965D3" w:rsidRPr="004D307F">
        <w:rPr>
          <w:rFonts w:ascii="VIC" w:eastAsia="Times New Roman" w:hAnsi="VIC" w:cs="Times New Roman"/>
          <w:color w:val="011A3C"/>
          <w:sz w:val="24"/>
          <w:szCs w:val="24"/>
          <w:lang w:val="en" w:eastAsia="en-AU"/>
        </w:rPr>
        <w:t>48,891.69</w:t>
      </w:r>
    </w:p>
    <w:p w14:paraId="1CB9E72C" w14:textId="77777777" w:rsidR="005D5E2A" w:rsidRPr="004D307F" w:rsidRDefault="005D5E2A" w:rsidP="00C370BC">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List 2: Average Teacher Rates</w:t>
      </w:r>
    </w:p>
    <w:p w14:paraId="22E653D6" w14:textId="513E9557"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Primary schools receive a total of </w:t>
      </w:r>
      <w:r w:rsidR="008552BC" w:rsidRPr="004D307F">
        <w:rPr>
          <w:rFonts w:ascii="VIC" w:eastAsia="Times New Roman" w:hAnsi="VIC" w:cs="Times New Roman"/>
          <w:color w:val="011A3C"/>
          <w:sz w:val="24"/>
          <w:szCs w:val="24"/>
          <w:lang w:val="en" w:eastAsia="en-AU"/>
        </w:rPr>
        <w:t>$</w:t>
      </w:r>
      <w:r w:rsidR="00DB7539" w:rsidRPr="004D307F">
        <w:rPr>
          <w:rFonts w:ascii="VIC" w:eastAsia="Times New Roman" w:hAnsi="VIC" w:cs="Times New Roman"/>
          <w:color w:val="011A3C"/>
          <w:sz w:val="24"/>
          <w:szCs w:val="24"/>
          <w:lang w:val="en" w:eastAsia="en-AU"/>
        </w:rPr>
        <w:t>121,5</w:t>
      </w:r>
      <w:r w:rsidR="00BA44E5" w:rsidRPr="004D307F">
        <w:rPr>
          <w:rFonts w:ascii="VIC" w:eastAsia="Times New Roman" w:hAnsi="VIC" w:cs="Times New Roman"/>
          <w:color w:val="011A3C"/>
          <w:sz w:val="24"/>
          <w:szCs w:val="24"/>
          <w:lang w:val="en" w:eastAsia="en-AU"/>
        </w:rPr>
        <w:t>81</w:t>
      </w:r>
      <w:r w:rsidR="008552BC"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made up of:</w:t>
      </w:r>
    </w:p>
    <w:p w14:paraId="792AEBD7" w14:textId="2F9BDC3B" w:rsidR="005D5E2A" w:rsidRPr="004D307F" w:rsidRDefault="005D5E2A" w:rsidP="00ED0863">
      <w:pPr>
        <w:numPr>
          <w:ilvl w:val="0"/>
          <w:numId w:val="36"/>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DB7539" w:rsidRPr="004D307F">
        <w:rPr>
          <w:rFonts w:ascii="VIC" w:eastAsia="Times New Roman" w:hAnsi="VIC" w:cs="Times New Roman"/>
          <w:color w:val="011A3C"/>
          <w:sz w:val="24"/>
          <w:szCs w:val="24"/>
          <w:lang w:val="en" w:eastAsia="en-AU"/>
        </w:rPr>
        <w:t>118,496</w:t>
      </w:r>
    </w:p>
    <w:p w14:paraId="7EA692A9" w14:textId="68F40F75" w:rsidR="005D5E2A" w:rsidRPr="004D307F" w:rsidRDefault="005D5E2A" w:rsidP="00ED0863">
      <w:pPr>
        <w:numPr>
          <w:ilvl w:val="0"/>
          <w:numId w:val="36"/>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DB7539" w:rsidRPr="004D307F">
        <w:rPr>
          <w:rFonts w:ascii="VIC" w:eastAsia="Times New Roman" w:hAnsi="VIC" w:cs="Times New Roman"/>
          <w:color w:val="011A3C"/>
          <w:sz w:val="24"/>
          <w:szCs w:val="24"/>
          <w:lang w:val="en" w:eastAsia="en-AU"/>
        </w:rPr>
        <w:t>3,0</w:t>
      </w:r>
      <w:r w:rsidR="00BA44E5" w:rsidRPr="004D307F">
        <w:rPr>
          <w:rFonts w:ascii="VIC" w:eastAsia="Times New Roman" w:hAnsi="VIC" w:cs="Times New Roman"/>
          <w:color w:val="011A3C"/>
          <w:sz w:val="24"/>
          <w:szCs w:val="24"/>
          <w:lang w:val="en" w:eastAsia="en-AU"/>
        </w:rPr>
        <w:t>85</w:t>
      </w:r>
    </w:p>
    <w:p w14:paraId="57554B77" w14:textId="7601E812" w:rsidR="005D5E2A" w:rsidRPr="004D307F" w:rsidRDefault="005D5E2A" w:rsidP="005D5E2A">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Secondary schools receive a total of </w:t>
      </w:r>
      <w:r w:rsidR="008552BC" w:rsidRPr="004D307F">
        <w:rPr>
          <w:rFonts w:ascii="VIC" w:eastAsia="Times New Roman" w:hAnsi="VIC" w:cs="Times New Roman"/>
          <w:color w:val="011A3C"/>
          <w:sz w:val="24"/>
          <w:szCs w:val="24"/>
          <w:lang w:val="en" w:eastAsia="en-AU"/>
        </w:rPr>
        <w:t>$</w:t>
      </w:r>
      <w:r w:rsidR="00DB7539" w:rsidRPr="004D307F">
        <w:rPr>
          <w:rFonts w:ascii="VIC" w:eastAsia="Times New Roman" w:hAnsi="VIC" w:cs="Times New Roman"/>
          <w:color w:val="011A3C"/>
          <w:sz w:val="24"/>
          <w:szCs w:val="24"/>
          <w:lang w:val="en" w:eastAsia="en-AU"/>
        </w:rPr>
        <w:t>121,1</w:t>
      </w:r>
      <w:r w:rsidR="00BA44E5" w:rsidRPr="004D307F">
        <w:rPr>
          <w:rFonts w:ascii="VIC" w:eastAsia="Times New Roman" w:hAnsi="VIC" w:cs="Times New Roman"/>
          <w:color w:val="011A3C"/>
          <w:sz w:val="24"/>
          <w:szCs w:val="24"/>
          <w:lang w:val="en" w:eastAsia="en-AU"/>
        </w:rPr>
        <w:t>49</w:t>
      </w:r>
      <w:r w:rsidR="008552BC"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made up of:</w:t>
      </w:r>
    </w:p>
    <w:p w14:paraId="7D6419C1" w14:textId="77777777" w:rsidR="008552BC" w:rsidRPr="004D307F" w:rsidRDefault="005D5E2A" w:rsidP="00ED0863">
      <w:pPr>
        <w:numPr>
          <w:ilvl w:val="0"/>
          <w:numId w:val="36"/>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 </w:t>
      </w:r>
      <w:r w:rsidR="00DB7539" w:rsidRPr="004D307F">
        <w:rPr>
          <w:rFonts w:ascii="VIC" w:eastAsia="Times New Roman" w:hAnsi="VIC" w:cs="Times New Roman"/>
          <w:color w:val="011A3C"/>
          <w:sz w:val="24"/>
          <w:szCs w:val="24"/>
          <w:lang w:val="en" w:eastAsia="en-AU"/>
        </w:rPr>
        <w:t>119,535</w:t>
      </w:r>
    </w:p>
    <w:p w14:paraId="269EC976" w14:textId="6D326FA2" w:rsidR="008552BC" w:rsidRPr="004D307F" w:rsidRDefault="005D5E2A" w:rsidP="00ED0863">
      <w:pPr>
        <w:numPr>
          <w:ilvl w:val="0"/>
          <w:numId w:val="36"/>
        </w:num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 </w:t>
      </w:r>
      <w:r w:rsidR="00DB7539" w:rsidRPr="004D307F">
        <w:rPr>
          <w:rFonts w:ascii="VIC" w:eastAsia="Times New Roman" w:hAnsi="VIC" w:cs="Times New Roman"/>
          <w:color w:val="011A3C"/>
          <w:sz w:val="24"/>
          <w:szCs w:val="24"/>
          <w:lang w:val="en" w:eastAsia="en-AU"/>
        </w:rPr>
        <w:t>1,</w:t>
      </w:r>
      <w:r w:rsidR="00BA44E5" w:rsidRPr="004D307F">
        <w:rPr>
          <w:rFonts w:ascii="VIC" w:eastAsia="Times New Roman" w:hAnsi="VIC" w:cs="Times New Roman"/>
          <w:color w:val="011A3C"/>
          <w:sz w:val="24"/>
          <w:szCs w:val="24"/>
          <w:lang w:val="en" w:eastAsia="en-AU"/>
        </w:rPr>
        <w:t>614</w:t>
      </w:r>
    </w:p>
    <w:p w14:paraId="2D95572A" w14:textId="692AB641" w:rsidR="0076693A" w:rsidRPr="004D307F" w:rsidRDefault="005D5E2A" w:rsidP="003F76E5">
      <w:pPr>
        <w:spacing w:before="100" w:beforeAutospacing="1" w:after="100" w:afterAutospacing="1"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Teacher</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salary charges to schools will continue to be based on actual payroll debits for individual staff as reflected on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This includes the actual cost of annual leave loading and all allowances, such as higher duties and special payments. Also included are non-cash benefits for teachers.</w:t>
      </w:r>
    </w:p>
    <w:bookmarkEnd w:id="38"/>
    <w:p w14:paraId="64278694" w14:textId="77777777" w:rsidR="009E615E" w:rsidRPr="004D307F" w:rsidRDefault="009E615E" w:rsidP="003F76E5">
      <w:pPr>
        <w:spacing w:before="100" w:beforeAutospacing="1" w:after="100" w:afterAutospacing="1" w:line="240" w:lineRule="auto"/>
        <w:rPr>
          <w:rFonts w:ascii="VIC" w:eastAsia="Times New Roman" w:hAnsi="VIC" w:cs="Times New Roman"/>
          <w:color w:val="011A3C"/>
          <w:sz w:val="24"/>
          <w:szCs w:val="24"/>
          <w:lang w:val="en" w:eastAsia="en-AU"/>
        </w:rPr>
      </w:pPr>
    </w:p>
    <w:p w14:paraId="437DFFEA" w14:textId="77777777" w:rsidR="005D5E2A" w:rsidRPr="004D307F" w:rsidRDefault="005D5E2A">
      <w:pPr>
        <w:rPr>
          <w:rFonts w:asciiTheme="majorHAnsi" w:eastAsia="Times New Roman" w:hAnsiTheme="majorHAnsi" w:cs="Times New Roman"/>
          <w:b/>
          <w:bCs/>
          <w:kern w:val="36"/>
          <w:sz w:val="48"/>
          <w:szCs w:val="48"/>
          <w:lang w:eastAsia="en-AU"/>
        </w:rPr>
      </w:pPr>
      <w:r w:rsidRPr="004D307F">
        <w:br w:type="page"/>
      </w:r>
    </w:p>
    <w:p w14:paraId="3DD39C0E" w14:textId="75AE814B" w:rsidR="000E377B" w:rsidRPr="004D307F" w:rsidRDefault="000E377B" w:rsidP="00B566E7">
      <w:pPr>
        <w:pStyle w:val="Heading2"/>
      </w:pPr>
      <w:bookmarkStart w:id="42" w:name="_Hlk76723291"/>
      <w:bookmarkStart w:id="43" w:name="_Toc99882744"/>
      <w:r w:rsidRPr="004D307F">
        <w:lastRenderedPageBreak/>
        <w:t xml:space="preserve">Disability Inclusion Tier 2 School Level Funding </w:t>
      </w:r>
      <w:bookmarkEnd w:id="42"/>
      <w:r w:rsidRPr="004D307F">
        <w:t>(Reference 137)</w:t>
      </w:r>
      <w:bookmarkEnd w:id="43"/>
    </w:p>
    <w:p w14:paraId="61BAA8B7" w14:textId="77777777" w:rsidR="00AF025A" w:rsidRPr="004D307F" w:rsidRDefault="00AF025A" w:rsidP="00AF025A">
      <w:pPr>
        <w:rPr>
          <w:lang w:val="en" w:eastAsia="en-AU"/>
        </w:rPr>
      </w:pPr>
    </w:p>
    <w:p w14:paraId="7A16A2AB" w14:textId="5BC7D986" w:rsidR="000E377B" w:rsidRPr="004D307F" w:rsidRDefault="000E377B" w:rsidP="004D307F">
      <w:pPr>
        <w:spacing w:before="120" w:after="120" w:line="360" w:lineRule="atLeast"/>
        <w:rPr>
          <w:rFonts w:ascii="VIC" w:eastAsia="Arial" w:hAnsi="VIC" w:cs="Times New Roman"/>
          <w:color w:val="9454C3"/>
          <w:sz w:val="24"/>
          <w:szCs w:val="24"/>
          <w:u w:val="single"/>
          <w:lang w:val="en-GB"/>
        </w:rPr>
      </w:pPr>
      <w:r w:rsidRPr="004D307F">
        <w:rPr>
          <w:rFonts w:ascii="VIC" w:eastAsia="Arial" w:hAnsi="VIC" w:cs="Times New Roman"/>
          <w:color w:val="011A3C"/>
          <w:sz w:val="24"/>
          <w:szCs w:val="24"/>
          <w:lang w:val="en-GB"/>
        </w:rPr>
        <w:t>The Disability Inclusion reform package will introduce a new funding and support model for students with disability over a staged rollout between 2021 to 2025. Refer to:</w:t>
      </w:r>
      <w:r w:rsidRPr="004D307F">
        <w:rPr>
          <w:rFonts w:ascii="VIC" w:eastAsia="Arial" w:hAnsi="VIC" w:cs="Times New Roman"/>
          <w:color w:val="011A3C"/>
          <w:szCs w:val="24"/>
          <w:lang w:val="en-GB"/>
        </w:rPr>
        <w:t xml:space="preserve"> </w:t>
      </w:r>
      <w:r w:rsidRPr="004D307F">
        <w:rPr>
          <w:rFonts w:ascii="VIC" w:eastAsia="Arial" w:hAnsi="VIC" w:cs="Times New Roman"/>
          <w:sz w:val="24"/>
          <w:szCs w:val="24"/>
          <w:lang w:val="en-GB"/>
        </w:rPr>
        <w:fldChar w:fldCharType="begin"/>
      </w:r>
      <w:r w:rsidRPr="004D307F">
        <w:rPr>
          <w:rFonts w:ascii="VIC" w:eastAsia="Arial" w:hAnsi="VIC" w:cs="Times New Roman"/>
          <w:sz w:val="24"/>
          <w:szCs w:val="24"/>
          <w:lang w:val="en-GB"/>
        </w:rPr>
        <w:instrText xml:space="preserve"> HYPERLINK "https://www2.education.vic.gov.au/pal/disability-inclusion-funding-support/policy" </w:instrText>
      </w:r>
      <w:r w:rsidRPr="004D307F">
        <w:rPr>
          <w:rFonts w:ascii="VIC" w:eastAsia="Arial" w:hAnsi="VIC" w:cs="Times New Roman"/>
          <w:sz w:val="24"/>
          <w:szCs w:val="24"/>
          <w:lang w:val="en-GB"/>
        </w:rPr>
        <w:fldChar w:fldCharType="separate"/>
      </w:r>
      <w:r w:rsidRPr="004318A7">
        <w:rPr>
          <w:rStyle w:val="Hyperlink"/>
          <w:rFonts w:ascii="VIC" w:hAnsi="VIC"/>
          <w:sz w:val="24"/>
          <w:szCs w:val="24"/>
        </w:rPr>
        <w:t>Disability Inclusion Funding and Support</w:t>
      </w:r>
      <w:r w:rsidR="004318A7">
        <w:rPr>
          <w:rStyle w:val="Hyperlink"/>
          <w:rFonts w:ascii="VIC" w:hAnsi="VIC"/>
          <w:sz w:val="24"/>
          <w:szCs w:val="24"/>
        </w:rPr>
        <w:t>.</w:t>
      </w:r>
    </w:p>
    <w:p w14:paraId="516B754D"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sz w:val="24"/>
          <w:szCs w:val="24"/>
          <w:lang w:val="en-GB"/>
        </w:rPr>
        <w:fldChar w:fldCharType="end"/>
      </w:r>
      <w:r w:rsidRPr="004D307F">
        <w:rPr>
          <w:rFonts w:ascii="VIC" w:eastAsia="Arial" w:hAnsi="VIC" w:cs="Times New Roman"/>
          <w:color w:val="011A3C"/>
          <w:sz w:val="24"/>
          <w:szCs w:val="24"/>
          <w:lang w:val="en-GB"/>
        </w:rPr>
        <w:t xml:space="preserve">Tier 2 school-level funding builds on the </w:t>
      </w:r>
      <w:hyperlink r:id="rId68" w:history="1">
        <w:r w:rsidRPr="004D307F">
          <w:rPr>
            <w:rStyle w:val="Hyperlink"/>
            <w:rFonts w:ascii="VIC" w:eastAsia="Arial" w:hAnsi="VIC" w:cs="Times New Roman"/>
            <w:sz w:val="24"/>
            <w:szCs w:val="24"/>
            <w:lang w:val="en-GB"/>
          </w:rPr>
          <w:t>Core student learning allocation</w:t>
        </w:r>
      </w:hyperlink>
      <w:r w:rsidRPr="004D307F">
        <w:rPr>
          <w:rFonts w:ascii="VIC" w:eastAsia="Arial" w:hAnsi="VIC" w:cs="Times New Roman"/>
          <w:color w:val="011A3C"/>
          <w:sz w:val="24"/>
          <w:szCs w:val="24"/>
          <w:lang w:val="en-GB"/>
        </w:rPr>
        <w:t xml:space="preserve"> funding by recognising that additional funding will further strengthen school capacity (staff time and resources) and capability (staff skills and knowledge) to better meet the needs of students with disability. This also recognises that to meet the diverse needs of students with disability, increasing frequency and intensity of support can be required.</w:t>
      </w:r>
    </w:p>
    <w:p w14:paraId="227FFC7E"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It is important to note that Tier 2 school level funding builds on the quality teaching and differentiated practice for all students, including students with disability delivered through Core student learning allocation funding.</w:t>
      </w:r>
    </w:p>
    <w:p w14:paraId="2306285F"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Schools will use Tier 2 funding to develop more inclusive education environments, with flexibility to tailor support to their local context and needs of their student cohort. </w:t>
      </w:r>
      <w:r w:rsidRPr="004D307F">
        <w:rPr>
          <w:rFonts w:ascii="VIC" w:eastAsia="Times New Roman" w:hAnsi="VIC" w:cs="Times New Roman"/>
          <w:color w:val="011A3C"/>
          <w:sz w:val="24"/>
          <w:szCs w:val="24"/>
          <w:lang w:eastAsia="en-AU"/>
        </w:rPr>
        <w:t>Refer to the</w:t>
      </w:r>
      <w:r w:rsidRPr="004D307F">
        <w:rPr>
          <w:rFonts w:ascii="Calibri" w:eastAsia="Times New Roman" w:hAnsi="Calibri" w:cs="Calibri" w:hint="eastAsia"/>
          <w:color w:val="011A3C"/>
          <w:sz w:val="24"/>
          <w:szCs w:val="24"/>
          <w:lang w:eastAsia="en-AU"/>
        </w:rPr>
        <w:t> </w:t>
      </w:r>
      <w:hyperlink r:id="rId69" w:history="1">
        <w:r w:rsidRPr="004318A7">
          <w:rPr>
            <w:rStyle w:val="Hyperlink"/>
            <w:rFonts w:ascii="VIC" w:hAnsi="VIC"/>
            <w:sz w:val="24"/>
            <w:szCs w:val="24"/>
          </w:rPr>
          <w:t>Disability Inclusion Funding and Support Guidance tab</w:t>
        </w:r>
      </w:hyperlink>
      <w:r w:rsidRPr="004D307F">
        <w:rPr>
          <w:rFonts w:ascii="VIC" w:eastAsia="Times New Roman" w:hAnsi="VIC" w:cs="Times New Roman"/>
          <w:color w:val="011A3C"/>
          <w:sz w:val="24"/>
          <w:szCs w:val="24"/>
          <w:lang w:eastAsia="en-AU"/>
        </w:rPr>
        <w:t xml:space="preserve"> for Tier 2 funding and support implementation.</w:t>
      </w:r>
    </w:p>
    <w:p w14:paraId="3E4779A3"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Schools must make reasonable adjustments to ensure that students with disability can access and participate in education on the same basis as students without disability, regardless of the availability of additional funding. Refer to: </w:t>
      </w:r>
      <w:hyperlink r:id="rId70" w:history="1">
        <w:r w:rsidRPr="004318A7">
          <w:rPr>
            <w:rStyle w:val="Hyperlink"/>
            <w:rFonts w:ascii="VIC" w:hAnsi="VIC"/>
            <w:sz w:val="24"/>
            <w:szCs w:val="24"/>
          </w:rPr>
          <w:t>Students with Disability</w:t>
        </w:r>
      </w:hyperlink>
      <w:r w:rsidRPr="004D307F">
        <w:rPr>
          <w:rFonts w:ascii="VIC" w:eastAsia="Arial" w:hAnsi="VIC" w:cs="Times New Roman"/>
          <w:color w:val="011A3C"/>
          <w:sz w:val="24"/>
          <w:szCs w:val="24"/>
          <w:lang w:val="en-GB"/>
        </w:rPr>
        <w:t>.</w:t>
      </w:r>
    </w:p>
    <w:p w14:paraId="7057A51C" w14:textId="77777777" w:rsidR="000E377B" w:rsidRPr="004D307F" w:rsidRDefault="000E377B"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6D662000"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The following school types are eligible for Tier 2 school-level funding:</w:t>
      </w:r>
    </w:p>
    <w:p w14:paraId="01E69185" w14:textId="77777777" w:rsidR="000E377B" w:rsidRPr="004D307F" w:rsidRDefault="000E377B" w:rsidP="00ED0863">
      <w:pPr>
        <w:numPr>
          <w:ilvl w:val="0"/>
          <w:numId w:val="157"/>
        </w:numPr>
        <w:spacing w:before="120" w:after="120" w:line="360" w:lineRule="atLeast"/>
        <w:ind w:left="714" w:hanging="357"/>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Primary</w:t>
      </w:r>
    </w:p>
    <w:p w14:paraId="056955FD" w14:textId="77777777" w:rsidR="000E377B" w:rsidRPr="004D307F" w:rsidRDefault="000E377B" w:rsidP="00ED0863">
      <w:pPr>
        <w:numPr>
          <w:ilvl w:val="0"/>
          <w:numId w:val="157"/>
        </w:numPr>
        <w:spacing w:before="120" w:after="120" w:line="360" w:lineRule="atLeast"/>
        <w:ind w:left="714" w:hanging="357"/>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Secondary</w:t>
      </w:r>
    </w:p>
    <w:p w14:paraId="35148702" w14:textId="77777777" w:rsidR="000E377B" w:rsidRPr="004D307F" w:rsidRDefault="000E377B" w:rsidP="00ED0863">
      <w:pPr>
        <w:numPr>
          <w:ilvl w:val="0"/>
          <w:numId w:val="157"/>
        </w:numPr>
        <w:spacing w:before="120" w:after="120" w:line="360" w:lineRule="atLeast"/>
        <w:ind w:left="714" w:hanging="357"/>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Primary/Secondary Combined </w:t>
      </w:r>
    </w:p>
    <w:p w14:paraId="6F8C15C1" w14:textId="77777777" w:rsidR="000E377B" w:rsidRPr="004D307F" w:rsidRDefault="000E377B" w:rsidP="00ED0863">
      <w:pPr>
        <w:numPr>
          <w:ilvl w:val="0"/>
          <w:numId w:val="157"/>
        </w:numPr>
        <w:spacing w:before="120" w:after="120" w:line="360" w:lineRule="atLeast"/>
        <w:ind w:left="714" w:hanging="357"/>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Specialist </w:t>
      </w:r>
    </w:p>
    <w:p w14:paraId="6C2B8D5A"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Funding is allocated as a credit and cash allocation.</w:t>
      </w:r>
    </w:p>
    <w:p w14:paraId="26EEF36E" w14:textId="77777777" w:rsidR="000E377B" w:rsidRPr="004D307F" w:rsidRDefault="000E377B"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Tier 2 school-level formula</w:t>
      </w:r>
    </w:p>
    <w:p w14:paraId="37FD831A"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Tier 2 funding is calculated using a formula, which is comprised of two parts:</w:t>
      </w:r>
    </w:p>
    <w:p w14:paraId="139B4282" w14:textId="77777777" w:rsidR="000E377B" w:rsidRPr="004D307F" w:rsidRDefault="000E377B" w:rsidP="00ED0863">
      <w:pPr>
        <w:numPr>
          <w:ilvl w:val="0"/>
          <w:numId w:val="153"/>
        </w:numPr>
        <w:spacing w:before="120" w:after="120" w:line="360" w:lineRule="atLeast"/>
        <w:ind w:left="714" w:hanging="357"/>
        <w:contextualSpacing/>
        <w:jc w:val="both"/>
        <w:rPr>
          <w:rFonts w:ascii="VIC" w:eastAsia="Arial" w:hAnsi="VIC" w:cs="Times New Roman"/>
          <w:color w:val="011A3C"/>
          <w:sz w:val="24"/>
        </w:rPr>
      </w:pPr>
      <w:r w:rsidRPr="004D307F">
        <w:rPr>
          <w:rFonts w:ascii="VIC" w:eastAsia="Arial" w:hAnsi="VIC" w:cs="Times New Roman"/>
          <w:color w:val="011A3C"/>
          <w:sz w:val="24"/>
        </w:rPr>
        <w:lastRenderedPageBreak/>
        <w:t xml:space="preserve">Part 1: a </w:t>
      </w:r>
      <w:r w:rsidRPr="004D307F">
        <w:rPr>
          <w:rFonts w:ascii="VIC" w:eastAsia="Arial" w:hAnsi="VIC" w:cs="Times New Roman"/>
          <w:b/>
          <w:bCs/>
          <w:color w:val="011A3C"/>
          <w:sz w:val="24"/>
        </w:rPr>
        <w:t>base</w:t>
      </w:r>
      <w:r w:rsidRPr="004D307F">
        <w:rPr>
          <w:rFonts w:ascii="VIC" w:eastAsia="Arial" w:hAnsi="VIC" w:cs="Times New Roman"/>
          <w:color w:val="011A3C"/>
          <w:sz w:val="24"/>
        </w:rPr>
        <w:t xml:space="preserve"> funding component, which ensures all schools have a basic level of resources required to enhance overall school-level capacity to provide inclusive education and engage in new Disability Inclusion processes.</w:t>
      </w:r>
    </w:p>
    <w:p w14:paraId="46532255" w14:textId="77777777" w:rsidR="000E377B" w:rsidRPr="004D307F" w:rsidRDefault="000E377B" w:rsidP="00ED0863">
      <w:pPr>
        <w:numPr>
          <w:ilvl w:val="0"/>
          <w:numId w:val="153"/>
        </w:numPr>
        <w:spacing w:before="120" w:after="120" w:line="360" w:lineRule="atLeast"/>
        <w:ind w:left="714" w:hanging="357"/>
        <w:jc w:val="both"/>
        <w:rPr>
          <w:rFonts w:ascii="VIC" w:eastAsia="Arial" w:hAnsi="VIC" w:cs="Times New Roman"/>
          <w:color w:val="011A3C"/>
          <w:sz w:val="24"/>
        </w:rPr>
      </w:pPr>
      <w:r w:rsidRPr="004D307F">
        <w:rPr>
          <w:rFonts w:ascii="VIC" w:eastAsia="Arial" w:hAnsi="VIC" w:cs="Times New Roman"/>
          <w:color w:val="011A3C"/>
          <w:sz w:val="24"/>
        </w:rPr>
        <w:t xml:space="preserve">Part 2: a </w:t>
      </w:r>
      <w:r w:rsidRPr="004D307F">
        <w:rPr>
          <w:rFonts w:ascii="VIC" w:eastAsia="Arial" w:hAnsi="VIC" w:cs="Times New Roman"/>
          <w:b/>
          <w:bCs/>
          <w:color w:val="011A3C"/>
          <w:sz w:val="24"/>
        </w:rPr>
        <w:t>variable</w:t>
      </w:r>
      <w:r w:rsidRPr="004D307F">
        <w:rPr>
          <w:rFonts w:ascii="VIC" w:eastAsia="Arial" w:hAnsi="VIC" w:cs="Times New Roman"/>
          <w:color w:val="011A3C"/>
          <w:sz w:val="24"/>
        </w:rPr>
        <w:t xml:space="preserve"> funding component, which builds on the base component to provide additional resources calculated based on the school</w:t>
      </w:r>
      <w:r w:rsidRPr="004D307F">
        <w:rPr>
          <w:rFonts w:ascii="VIC" w:eastAsia="Arial" w:hAnsi="VIC" w:cs="Times New Roman" w:hint="eastAsia"/>
          <w:color w:val="011A3C"/>
          <w:sz w:val="24"/>
        </w:rPr>
        <w:t>’</w:t>
      </w:r>
      <w:r w:rsidRPr="004D307F">
        <w:rPr>
          <w:rFonts w:ascii="VIC" w:eastAsia="Arial" w:hAnsi="VIC" w:cs="Times New Roman"/>
          <w:color w:val="011A3C"/>
          <w:sz w:val="24"/>
        </w:rPr>
        <w:t>s characteristics, to support schools to further enhance capacity and strengthen adjustments for students with disability. This means schools will have resources to continue to build school capacity in line with their unique school attributes. Funding in this component varies across schools based on the estimated prevalence of need for adjustment at a school level.</w:t>
      </w:r>
    </w:p>
    <w:p w14:paraId="7E58FE0D" w14:textId="77777777" w:rsidR="000E377B" w:rsidRPr="004D307F" w:rsidRDefault="000E377B" w:rsidP="004D307F">
      <w:pPr>
        <w:spacing w:before="120" w:after="120" w:line="360"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Part 1: Base funding component</w:t>
      </w:r>
    </w:p>
    <w:p w14:paraId="369F2D54" w14:textId="77777777" w:rsidR="00400982" w:rsidRPr="004D307F" w:rsidRDefault="00400982" w:rsidP="004D307F">
      <w:p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 xml:space="preserve">This component allocates each school a </w:t>
      </w:r>
      <w:r w:rsidRPr="004D307F">
        <w:rPr>
          <w:rFonts w:ascii="VIC" w:eastAsia="Arial" w:hAnsi="VIC" w:cs="Times New Roman" w:hint="eastAsia"/>
          <w:color w:val="011A3C"/>
          <w:sz w:val="24"/>
          <w:szCs w:val="24"/>
          <w:lang w:val="en-GB" w:eastAsia="en-AU"/>
        </w:rPr>
        <w:t>‘</w:t>
      </w:r>
      <w:r w:rsidRPr="004D307F">
        <w:rPr>
          <w:rFonts w:ascii="VIC" w:eastAsia="Arial" w:hAnsi="VIC" w:cs="Times New Roman"/>
          <w:color w:val="011A3C"/>
          <w:sz w:val="24"/>
          <w:szCs w:val="24"/>
          <w:lang w:val="en-GB" w:eastAsia="en-AU"/>
        </w:rPr>
        <w:t>base amount</w:t>
      </w:r>
      <w:r w:rsidRPr="004D307F">
        <w:rPr>
          <w:rFonts w:ascii="VIC" w:eastAsia="Arial" w:hAnsi="VIC" w:cs="Times New Roman" w:hint="eastAsia"/>
          <w:color w:val="011A3C"/>
          <w:sz w:val="24"/>
          <w:szCs w:val="24"/>
          <w:lang w:val="en-GB" w:eastAsia="en-AU"/>
        </w:rPr>
        <w:t>’</w:t>
      </w:r>
      <w:r w:rsidRPr="004D307F">
        <w:rPr>
          <w:rFonts w:ascii="VIC" w:eastAsia="Arial" w:hAnsi="VIC" w:cs="Times New Roman"/>
          <w:color w:val="011A3C"/>
          <w:sz w:val="24"/>
          <w:szCs w:val="24"/>
          <w:lang w:val="en-GB" w:eastAsia="en-AU"/>
        </w:rPr>
        <w:t xml:space="preserve"> based on enrolments that increases linearly up to 100 enrolments, as outlined below:</w:t>
      </w:r>
    </w:p>
    <w:p w14:paraId="139AC9A8" w14:textId="77777777" w:rsidR="00400982" w:rsidRPr="004D307F" w:rsidRDefault="00400982" w:rsidP="00ED0863">
      <w:pPr>
        <w:pStyle w:val="ListParagraph"/>
        <w:numPr>
          <w:ilvl w:val="0"/>
          <w:numId w:val="165"/>
        </w:num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schools with 5 students or less, the base amount is $5,202</w:t>
      </w:r>
    </w:p>
    <w:p w14:paraId="3436F937" w14:textId="77777777" w:rsidR="00400982" w:rsidRPr="004D307F" w:rsidRDefault="00400982" w:rsidP="00ED0863">
      <w:pPr>
        <w:pStyle w:val="ListParagraph"/>
        <w:numPr>
          <w:ilvl w:val="0"/>
          <w:numId w:val="165"/>
        </w:num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 xml:space="preserve">schools with between 6 and 99 enrolments, the base amount is $5,202 + (number enrolments − 5) </w:t>
      </w:r>
      <w:r w:rsidRPr="004D307F">
        <w:rPr>
          <w:rFonts w:ascii="VIC" w:eastAsia="Arial" w:hAnsi="VIC" w:cs="Times New Roman" w:hint="eastAsia"/>
          <w:color w:val="011A3C"/>
          <w:sz w:val="24"/>
          <w:szCs w:val="24"/>
          <w:lang w:val="en-GB" w:eastAsia="en-AU"/>
        </w:rPr>
        <w:t>×</w:t>
      </w:r>
      <w:r w:rsidRPr="004D307F">
        <w:rPr>
          <w:rFonts w:ascii="VIC" w:eastAsia="Arial" w:hAnsi="VIC" w:cs="Times New Roman"/>
          <w:color w:val="011A3C"/>
          <w:sz w:val="24"/>
          <w:szCs w:val="24"/>
          <w:lang w:val="en-GB" w:eastAsia="en-AU"/>
        </w:rPr>
        <w:t xml:space="preserve"> $273.79</w:t>
      </w:r>
    </w:p>
    <w:p w14:paraId="3C037BE3" w14:textId="77777777" w:rsidR="00400982" w:rsidRPr="004D307F" w:rsidRDefault="00400982" w:rsidP="00ED0863">
      <w:pPr>
        <w:pStyle w:val="ListParagraph"/>
        <w:numPr>
          <w:ilvl w:val="0"/>
          <w:numId w:val="165"/>
        </w:num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schools with 100 students or more, the base amount is capped at a maximum of $31,212*.</w:t>
      </w:r>
    </w:p>
    <w:p w14:paraId="6CB48330" w14:textId="77777777" w:rsidR="00400982" w:rsidRPr="004D307F" w:rsidRDefault="00400982" w:rsidP="004D307F">
      <w:p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*Due to their special circumstances, the capping of $31,212 will not apply to the total base allocation of a mainstream school which also has a special development campus. The base allocation will be calculated separately for enrolments of special development campuses of mainstream schools.</w:t>
      </w:r>
    </w:p>
    <w:p w14:paraId="0A1DA5B6" w14:textId="77777777" w:rsidR="000E377B" w:rsidRPr="004D307F" w:rsidRDefault="000E377B" w:rsidP="004D307F">
      <w:pPr>
        <w:spacing w:before="120" w:after="120" w:line="360"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Part 2: Variable funding component</w:t>
      </w:r>
    </w:p>
    <w:p w14:paraId="2E6AF0D0" w14:textId="77777777" w:rsidR="000E377B" w:rsidRPr="004D307F" w:rsidRDefault="000E377B" w:rsidP="004D307F">
      <w:pPr>
        <w:spacing w:before="120" w:after="120" w:line="360" w:lineRule="atLeast"/>
        <w:rPr>
          <w:rFonts w:ascii="VIC" w:eastAsia="Arial" w:hAnsi="VIC" w:cs="Times New Roman"/>
          <w:color w:val="011A3C"/>
          <w:sz w:val="24"/>
          <w:szCs w:val="24"/>
          <w:lang w:val="en-GB" w:eastAsia="en-AU"/>
        </w:rPr>
      </w:pPr>
      <w:r w:rsidRPr="004D307F">
        <w:rPr>
          <w:rFonts w:ascii="VIC" w:eastAsia="Arial" w:hAnsi="VIC" w:cs="Times New Roman"/>
          <w:color w:val="011A3C"/>
          <w:sz w:val="24"/>
          <w:szCs w:val="24"/>
          <w:lang w:val="en-GB" w:eastAsia="en-AU"/>
        </w:rPr>
        <w:t>The variable funding component takes the characteristics of students in a school and uses these measures to calculate an allocation of funding. This component is calculated based on:</w:t>
      </w:r>
    </w:p>
    <w:p w14:paraId="57A53028" w14:textId="77777777" w:rsidR="000E377B" w:rsidRPr="004D307F" w:rsidRDefault="000E377B" w:rsidP="00ED0863">
      <w:pPr>
        <w:numPr>
          <w:ilvl w:val="0"/>
          <w:numId w:val="154"/>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An index, calculated using statistical weights based on:</w:t>
      </w:r>
    </w:p>
    <w:p w14:paraId="77354B24" w14:textId="77777777" w:rsidR="000E377B" w:rsidRPr="004D307F" w:rsidRDefault="000E377B" w:rsidP="00ED0863">
      <w:pPr>
        <w:numPr>
          <w:ilvl w:val="0"/>
          <w:numId w:val="155"/>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 xml:space="preserve">Student Family Education (SFE) </w:t>
      </w:r>
      <w:r w:rsidRPr="004D307F">
        <w:rPr>
          <w:rFonts w:ascii="VIC" w:eastAsia="Arial" w:hAnsi="VIC" w:cs="Times New Roman" w:hint="eastAsia"/>
          <w:color w:val="011A3C"/>
          <w:sz w:val="24"/>
          <w:lang w:eastAsia="en-AU"/>
        </w:rPr>
        <w:t>–</w:t>
      </w:r>
      <w:r w:rsidRPr="004D307F">
        <w:rPr>
          <w:rFonts w:ascii="VIC" w:eastAsia="Arial" w:hAnsi="VIC" w:cs="Times New Roman"/>
          <w:color w:val="011A3C"/>
          <w:sz w:val="24"/>
          <w:lang w:eastAsia="en-AU"/>
        </w:rPr>
        <w:t xml:space="preserve"> which is an indicator of socio-educational disadvantage</w:t>
      </w:r>
    </w:p>
    <w:p w14:paraId="52909166" w14:textId="77777777" w:rsidR="000E377B" w:rsidRPr="004D307F" w:rsidRDefault="000E377B" w:rsidP="00ED0863">
      <w:pPr>
        <w:numPr>
          <w:ilvl w:val="0"/>
          <w:numId w:val="155"/>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School type (primary)</w:t>
      </w:r>
    </w:p>
    <w:p w14:paraId="0F26D07F" w14:textId="77777777" w:rsidR="000E377B" w:rsidRPr="004D307F" w:rsidRDefault="000E377B" w:rsidP="00ED0863">
      <w:pPr>
        <w:numPr>
          <w:ilvl w:val="0"/>
          <w:numId w:val="155"/>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School size (small school with less than 100 enrolments)</w:t>
      </w:r>
    </w:p>
    <w:p w14:paraId="5F1954D4" w14:textId="77777777" w:rsidR="000E377B" w:rsidRPr="004D307F" w:rsidRDefault="000E377B" w:rsidP="00ED0863">
      <w:pPr>
        <w:numPr>
          <w:ilvl w:val="0"/>
          <w:numId w:val="154"/>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number of enrolled students</w:t>
      </w:r>
    </w:p>
    <w:p w14:paraId="69D827CC" w14:textId="77777777" w:rsidR="000E377B" w:rsidRPr="004D307F" w:rsidRDefault="000E377B" w:rsidP="00ED0863">
      <w:pPr>
        <w:numPr>
          <w:ilvl w:val="0"/>
          <w:numId w:val="154"/>
        </w:numPr>
        <w:spacing w:before="120" w:after="120" w:line="360" w:lineRule="atLeast"/>
        <w:contextualSpacing/>
        <w:rPr>
          <w:rFonts w:ascii="VIC" w:eastAsia="Arial" w:hAnsi="VIC" w:cs="Times New Roman"/>
          <w:color w:val="011A3C"/>
          <w:sz w:val="24"/>
          <w:lang w:eastAsia="en-AU"/>
        </w:rPr>
      </w:pPr>
      <w:r w:rsidRPr="004D307F">
        <w:rPr>
          <w:rFonts w:ascii="VIC" w:eastAsia="Arial" w:hAnsi="VIC" w:cs="Times New Roman"/>
          <w:color w:val="011A3C"/>
          <w:sz w:val="24"/>
          <w:lang w:eastAsia="en-AU"/>
        </w:rPr>
        <w:t xml:space="preserve">a variable funding </w:t>
      </w:r>
      <w:proofErr w:type="gramStart"/>
      <w:r w:rsidRPr="004D307F">
        <w:rPr>
          <w:rFonts w:ascii="VIC" w:eastAsia="Arial" w:hAnsi="VIC" w:cs="Times New Roman"/>
          <w:color w:val="011A3C"/>
          <w:sz w:val="24"/>
          <w:lang w:eastAsia="en-AU"/>
        </w:rPr>
        <w:t>rate</w:t>
      </w:r>
      <w:proofErr w:type="gramEnd"/>
    </w:p>
    <w:p w14:paraId="247BB4B2"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lastRenderedPageBreak/>
        <w:t>The index value is multiplied by the number of enrolments in the school and the variable funding rate to calculate the school-level funding amount.</w:t>
      </w:r>
    </w:p>
    <w:p w14:paraId="38CFE69C" w14:textId="77777777" w:rsidR="000E377B" w:rsidRPr="004D307F" w:rsidRDefault="000E377B" w:rsidP="004D307F">
      <w:pPr>
        <w:spacing w:before="100" w:beforeAutospacing="1" w:after="100" w:afterAutospacing="1" w:line="360"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Index Calculation</w:t>
      </w:r>
    </w:p>
    <w:p w14:paraId="1ACEAF43"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The index is calculated using the weights for the index categories outlined in Table 1 below. The weights are used directly within the funding formula.</w:t>
      </w:r>
    </w:p>
    <w:p w14:paraId="062666D9"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For SFE, the weight is multiplied by the share of students in each SFE category (SFE 1 </w:t>
      </w:r>
      <w:r w:rsidRPr="004D307F">
        <w:rPr>
          <w:rFonts w:ascii="VIC" w:eastAsia="Arial" w:hAnsi="VIC" w:cs="Times New Roman" w:hint="eastAsia"/>
          <w:color w:val="011A3C"/>
          <w:sz w:val="24"/>
          <w:szCs w:val="24"/>
          <w:lang w:val="en-GB"/>
        </w:rPr>
        <w:t>–</w:t>
      </w:r>
      <w:r w:rsidRPr="004D307F">
        <w:rPr>
          <w:rFonts w:ascii="VIC" w:eastAsia="Arial" w:hAnsi="VIC" w:cs="Times New Roman"/>
          <w:color w:val="011A3C"/>
          <w:sz w:val="24"/>
          <w:szCs w:val="24"/>
          <w:lang w:val="en-GB"/>
        </w:rPr>
        <w:t xml:space="preserve"> SFE 7). </w:t>
      </w:r>
    </w:p>
    <w:p w14:paraId="0A444D94"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Weights result in the allocation of relatively more funding to schools with those attributes.</w:t>
      </w:r>
    </w:p>
    <w:p w14:paraId="5A150C88" w14:textId="2E814788" w:rsidR="00AF025A"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Each school</w:t>
      </w:r>
      <w:r w:rsidRPr="004D307F">
        <w:rPr>
          <w:rFonts w:ascii="VIC" w:eastAsia="Arial" w:hAnsi="VIC" w:cs="Times New Roman" w:hint="eastAsia"/>
          <w:color w:val="011A3C"/>
          <w:sz w:val="24"/>
          <w:szCs w:val="24"/>
          <w:lang w:val="en-GB"/>
        </w:rPr>
        <w:t>’</w:t>
      </w:r>
      <w:r w:rsidRPr="004D307F">
        <w:rPr>
          <w:rFonts w:ascii="VIC" w:eastAsia="Arial" w:hAnsi="VIC" w:cs="Times New Roman"/>
          <w:color w:val="011A3C"/>
          <w:sz w:val="24"/>
          <w:szCs w:val="24"/>
          <w:lang w:val="en-GB"/>
        </w:rPr>
        <w:t>s index value is updated each year based on the latest available data.</w:t>
      </w:r>
    </w:p>
    <w:p w14:paraId="15F7334C" w14:textId="078385C6" w:rsidR="000E377B" w:rsidRPr="004D307F" w:rsidRDefault="000E377B" w:rsidP="004D307F">
      <w:pPr>
        <w:spacing w:before="120" w:after="200" w:line="360" w:lineRule="atLeast"/>
        <w:rPr>
          <w:rFonts w:ascii="VIC" w:eastAsia="Arial" w:hAnsi="VIC" w:cs="Times New Roman"/>
          <w:i/>
          <w:iCs/>
          <w:color w:val="011A3C"/>
          <w:sz w:val="24"/>
          <w:szCs w:val="24"/>
        </w:rPr>
      </w:pPr>
      <w:r w:rsidRPr="004D307F">
        <w:rPr>
          <w:rFonts w:ascii="VIC" w:eastAsia="Arial" w:hAnsi="VIC" w:cs="Times New Roman"/>
          <w:i/>
          <w:iCs/>
          <w:color w:val="011A3C"/>
          <w:sz w:val="24"/>
          <w:szCs w:val="24"/>
          <w:lang w:val="en-GB"/>
        </w:rPr>
        <w:t xml:space="preserve">Table </w:t>
      </w:r>
      <w:r w:rsidRPr="004D307F">
        <w:rPr>
          <w:rFonts w:ascii="VIC" w:eastAsia="Arial" w:hAnsi="VIC" w:cs="Times New Roman"/>
          <w:i/>
          <w:iCs/>
          <w:color w:val="011A3C"/>
          <w:sz w:val="24"/>
          <w:szCs w:val="24"/>
          <w:lang w:val="en-GB"/>
        </w:rPr>
        <w:fldChar w:fldCharType="begin"/>
      </w:r>
      <w:r w:rsidRPr="004D307F">
        <w:rPr>
          <w:rFonts w:ascii="VIC" w:eastAsia="Arial" w:hAnsi="VIC" w:cs="Times New Roman"/>
          <w:i/>
          <w:iCs/>
          <w:color w:val="011A3C"/>
          <w:sz w:val="24"/>
          <w:szCs w:val="24"/>
          <w:lang w:val="en-GB"/>
        </w:rPr>
        <w:instrText xml:space="preserve"> SEQ Table \* ARABIC </w:instrText>
      </w:r>
      <w:r w:rsidRPr="004D307F">
        <w:rPr>
          <w:rFonts w:ascii="VIC" w:eastAsia="Arial" w:hAnsi="VIC" w:cs="Times New Roman"/>
          <w:i/>
          <w:iCs/>
          <w:color w:val="011A3C"/>
          <w:sz w:val="24"/>
          <w:szCs w:val="24"/>
          <w:lang w:val="en-GB"/>
        </w:rPr>
        <w:fldChar w:fldCharType="separate"/>
      </w:r>
      <w:r w:rsidR="00237A8F">
        <w:rPr>
          <w:rFonts w:ascii="VIC" w:eastAsia="Arial" w:hAnsi="VIC" w:cs="Times New Roman"/>
          <w:i/>
          <w:iCs/>
          <w:noProof/>
          <w:color w:val="011A3C"/>
          <w:sz w:val="24"/>
          <w:szCs w:val="24"/>
          <w:lang w:val="en-GB"/>
        </w:rPr>
        <w:t>1</w:t>
      </w:r>
      <w:r w:rsidRPr="004D307F">
        <w:rPr>
          <w:rFonts w:ascii="VIC" w:eastAsia="Arial" w:hAnsi="VIC" w:cs="Times New Roman"/>
          <w:i/>
          <w:iCs/>
          <w:color w:val="011A3C"/>
          <w:sz w:val="24"/>
          <w:szCs w:val="24"/>
          <w:lang w:val="en-GB"/>
        </w:rPr>
        <w:fldChar w:fldCharType="end"/>
      </w:r>
      <w:r w:rsidRPr="004D307F">
        <w:rPr>
          <w:rFonts w:ascii="VIC" w:eastAsia="Arial" w:hAnsi="VIC" w:cs="Times New Roman"/>
          <w:i/>
          <w:iCs/>
          <w:color w:val="011A3C"/>
          <w:sz w:val="24"/>
          <w:szCs w:val="24"/>
        </w:rPr>
        <w:t>: Index categories and weightings</w:t>
      </w:r>
    </w:p>
    <w:tbl>
      <w:tblPr>
        <w:tblW w:w="9275" w:type="dxa"/>
        <w:tblCellMar>
          <w:left w:w="0" w:type="dxa"/>
          <w:right w:w="0" w:type="dxa"/>
        </w:tblCellMar>
        <w:tblLook w:val="0600" w:firstRow="0" w:lastRow="0" w:firstColumn="0" w:lastColumn="0" w:noHBand="1" w:noVBand="1"/>
      </w:tblPr>
      <w:tblGrid>
        <w:gridCol w:w="6792"/>
        <w:gridCol w:w="2483"/>
      </w:tblGrid>
      <w:tr w:rsidR="000E377B" w:rsidRPr="004D307F" w14:paraId="26313DD9"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777B6F6"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b/>
                <w:bCs/>
                <w:color w:val="011A3C"/>
                <w:sz w:val="24"/>
                <w:szCs w:val="24"/>
                <w:lang w:val="en-GB"/>
              </w:rPr>
              <w:t>Index categories</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6B2D8BA"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b/>
                <w:bCs/>
                <w:color w:val="011A3C"/>
                <w:sz w:val="24"/>
                <w:szCs w:val="24"/>
                <w:lang w:val="en-GB"/>
              </w:rPr>
              <w:t>Weighting</w:t>
            </w:r>
            <w:r w:rsidRPr="004D307F">
              <w:rPr>
                <w:rFonts w:ascii="Calibri" w:eastAsia="Arial" w:hAnsi="Calibri" w:cs="Calibri" w:hint="eastAsia"/>
                <w:b/>
                <w:bCs/>
                <w:color w:val="011A3C"/>
                <w:sz w:val="24"/>
                <w:szCs w:val="24"/>
                <w:lang w:val="en-GB"/>
              </w:rPr>
              <w:t> </w:t>
            </w:r>
          </w:p>
        </w:tc>
      </w:tr>
      <w:tr w:rsidR="000E377B" w:rsidRPr="004D307F" w14:paraId="4CC43C4F" w14:textId="77777777" w:rsidTr="00C55926">
        <w:trPr>
          <w:trHeight w:val="19"/>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A1E8559"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SFE 1,2 (Year 9 or below or Year 10 or equivalent)</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FEE872B"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0.1800</w:t>
            </w:r>
          </w:p>
        </w:tc>
      </w:tr>
      <w:tr w:rsidR="000E377B" w:rsidRPr="004D307F" w14:paraId="05C7C525"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1F4A8BAD"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SFE 3,4 (Year 11 or equivalent or Year 12 or equivalent)</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9DD31AF"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0.1158</w:t>
            </w:r>
          </w:p>
        </w:tc>
      </w:tr>
      <w:tr w:rsidR="000E377B" w:rsidRPr="004D307F" w14:paraId="594363DD"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BE2C341"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SFE 5 (Certificate I to IV)</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256971E7"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0.1127</w:t>
            </w:r>
          </w:p>
        </w:tc>
      </w:tr>
      <w:tr w:rsidR="000E377B" w:rsidRPr="004D307F" w14:paraId="303EDA60"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95AF0ED"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SFE 6,7</w:t>
            </w:r>
            <w:r w:rsidRPr="004D307F">
              <w:rPr>
                <w:rFonts w:ascii="VIC" w:eastAsia="Arial" w:hAnsi="VIC" w:cs="Times New Roman"/>
                <w:b/>
                <w:bCs/>
                <w:color w:val="011A3C"/>
                <w:sz w:val="24"/>
                <w:szCs w:val="24"/>
                <w:lang w:val="en-GB"/>
              </w:rPr>
              <w:t xml:space="preserve"> </w:t>
            </w:r>
            <w:r w:rsidRPr="004D307F">
              <w:rPr>
                <w:rFonts w:ascii="VIC" w:eastAsia="Arial" w:hAnsi="VIC" w:cs="Times New Roman"/>
                <w:color w:val="011A3C"/>
                <w:sz w:val="24"/>
                <w:szCs w:val="24"/>
                <w:lang w:val="en-GB"/>
              </w:rPr>
              <w:t>(Diploma or above)</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00D96D32"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0.0117</w:t>
            </w:r>
          </w:p>
        </w:tc>
      </w:tr>
      <w:tr w:rsidR="000E377B" w:rsidRPr="004D307F" w14:paraId="413657A5"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764C6C17"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School enrolments (&lt;100 enrolments)</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6CDBA42E"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0.0202</w:t>
            </w:r>
          </w:p>
        </w:tc>
      </w:tr>
      <w:tr w:rsidR="000E377B" w:rsidRPr="004D307F" w14:paraId="017DB809" w14:textId="77777777" w:rsidTr="00C55926">
        <w:trPr>
          <w:trHeight w:val="305"/>
        </w:trPr>
        <w:tc>
          <w:tcPr>
            <w:tcW w:w="6792"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5CCD342D"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Primary school</w:t>
            </w:r>
          </w:p>
        </w:tc>
        <w:tc>
          <w:tcPr>
            <w:tcW w:w="2483" w:type="dxa"/>
            <w:tcBorders>
              <w:top w:val="single" w:sz="6" w:space="0" w:color="7F7F7F"/>
              <w:left w:val="nil"/>
              <w:bottom w:val="single" w:sz="6" w:space="0" w:color="7F7F7F"/>
              <w:right w:val="nil"/>
            </w:tcBorders>
            <w:shd w:val="clear" w:color="auto" w:fill="auto"/>
            <w:tcMar>
              <w:top w:w="72" w:type="dxa"/>
              <w:left w:w="144" w:type="dxa"/>
              <w:bottom w:w="72" w:type="dxa"/>
              <w:right w:w="144" w:type="dxa"/>
            </w:tcMar>
            <w:hideMark/>
          </w:tcPr>
          <w:p w14:paraId="47577704" w14:textId="77777777" w:rsidR="000E377B" w:rsidRPr="004D307F" w:rsidRDefault="000E377B" w:rsidP="004D307F">
            <w:pPr>
              <w:spacing w:before="120" w:after="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0.0348</w:t>
            </w:r>
          </w:p>
        </w:tc>
      </w:tr>
    </w:tbl>
    <w:p w14:paraId="4BE68A8C" w14:textId="77777777" w:rsidR="000E377B" w:rsidRPr="004D307F" w:rsidRDefault="000E377B"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Tier 2 school-level funding calculation</w:t>
      </w:r>
    </w:p>
    <w:p w14:paraId="665E00E3"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Total Tier 2 school-level funding is calculated as: </w:t>
      </w:r>
    </w:p>
    <w:p w14:paraId="3F54F11C" w14:textId="77777777" w:rsidR="000E377B" w:rsidRPr="004D307F" w:rsidRDefault="000E377B" w:rsidP="00ED0863">
      <w:pPr>
        <w:numPr>
          <w:ilvl w:val="0"/>
          <w:numId w:val="156"/>
        </w:numPr>
        <w:spacing w:before="120" w:after="120" w:line="360" w:lineRule="atLeast"/>
        <w:contextualSpacing/>
        <w:rPr>
          <w:rFonts w:ascii="VIC" w:eastAsia="Arial" w:hAnsi="VIC" w:cs="Times New Roman"/>
          <w:color w:val="011A3C"/>
          <w:sz w:val="24"/>
        </w:rPr>
      </w:pPr>
      <w:r w:rsidRPr="004D307F">
        <w:rPr>
          <w:rFonts w:ascii="VIC" w:eastAsia="Arial" w:hAnsi="VIC" w:cs="Times New Roman"/>
          <w:color w:val="011A3C"/>
          <w:sz w:val="24"/>
        </w:rPr>
        <w:t xml:space="preserve">Base funding component + (Index x Enrolments x Variable Funding Rate). </w:t>
      </w:r>
    </w:p>
    <w:p w14:paraId="253C855D" w14:textId="0F578137" w:rsidR="003E37AA" w:rsidRPr="004D307F" w:rsidRDefault="000E377B" w:rsidP="00ED0863">
      <w:pPr>
        <w:numPr>
          <w:ilvl w:val="0"/>
          <w:numId w:val="156"/>
        </w:numPr>
        <w:spacing w:before="120" w:after="240" w:line="360" w:lineRule="atLeast"/>
        <w:ind w:left="714" w:hanging="357"/>
        <w:rPr>
          <w:rFonts w:ascii="VIC" w:eastAsia="Times New Roman" w:hAnsi="VIC" w:cs="Times New Roman"/>
          <w:b/>
          <w:bCs/>
          <w:color w:val="011A3C"/>
          <w:sz w:val="24"/>
          <w:szCs w:val="24"/>
          <w:lang w:val="en" w:eastAsia="en-AU"/>
        </w:rPr>
      </w:pPr>
      <w:r w:rsidRPr="004D307F">
        <w:rPr>
          <w:rFonts w:ascii="VIC" w:eastAsia="Arial" w:hAnsi="VIC" w:cs="Times New Roman"/>
          <w:color w:val="011A3C"/>
          <w:sz w:val="24"/>
        </w:rPr>
        <w:t>Where: the variable funding rate for 202</w:t>
      </w:r>
      <w:r w:rsidR="001112BF" w:rsidRPr="004D307F">
        <w:rPr>
          <w:rFonts w:ascii="VIC" w:eastAsia="Arial" w:hAnsi="VIC" w:cs="Times New Roman"/>
          <w:color w:val="011A3C"/>
          <w:sz w:val="24"/>
        </w:rPr>
        <w:t>2</w:t>
      </w:r>
      <w:r w:rsidRPr="004D307F">
        <w:rPr>
          <w:rFonts w:ascii="VIC" w:eastAsia="Arial" w:hAnsi="VIC" w:cs="Times New Roman"/>
          <w:color w:val="011A3C"/>
          <w:sz w:val="24"/>
        </w:rPr>
        <w:t xml:space="preserve"> is $</w:t>
      </w:r>
      <w:r w:rsidR="00400982" w:rsidRPr="004D307F">
        <w:rPr>
          <w:rFonts w:ascii="VIC" w:eastAsia="Arial" w:hAnsi="VIC" w:cs="Times New Roman"/>
          <w:color w:val="011A3C"/>
          <w:sz w:val="24"/>
        </w:rPr>
        <w:t>4</w:t>
      </w:r>
      <w:r w:rsidRPr="004D307F">
        <w:rPr>
          <w:rFonts w:ascii="VIC" w:eastAsia="Arial" w:hAnsi="VIC" w:cs="Times New Roman"/>
          <w:color w:val="011A3C"/>
          <w:sz w:val="24"/>
        </w:rPr>
        <w:t>,</w:t>
      </w:r>
      <w:r w:rsidR="00400982" w:rsidRPr="004D307F">
        <w:rPr>
          <w:rFonts w:ascii="VIC" w:eastAsia="Arial" w:hAnsi="VIC" w:cs="Times New Roman"/>
          <w:color w:val="011A3C"/>
          <w:sz w:val="24"/>
        </w:rPr>
        <w:t>60</w:t>
      </w:r>
      <w:r w:rsidRPr="004D307F">
        <w:rPr>
          <w:rFonts w:ascii="VIC" w:eastAsia="Arial" w:hAnsi="VIC" w:cs="Times New Roman"/>
          <w:color w:val="011A3C"/>
          <w:sz w:val="24"/>
        </w:rPr>
        <w:t xml:space="preserve">0. </w:t>
      </w:r>
    </w:p>
    <w:p w14:paraId="3576A4E2" w14:textId="498F9B10" w:rsidR="000E377B" w:rsidRPr="004D307F" w:rsidRDefault="000E377B" w:rsidP="004D307F">
      <w:pPr>
        <w:spacing w:before="120" w:after="0" w:line="360" w:lineRule="atLeast"/>
        <w:outlineLvl w:val="2"/>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Example of Tier 2 school-level funding calculation for a school</w:t>
      </w:r>
    </w:p>
    <w:p w14:paraId="23A04460"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Consider a </w:t>
      </w:r>
      <w:r w:rsidRPr="004D307F">
        <w:rPr>
          <w:rFonts w:ascii="VIC" w:eastAsia="Arial" w:hAnsi="VIC" w:cs="Times New Roman"/>
          <w:color w:val="011A3C"/>
          <w:sz w:val="24"/>
          <w:szCs w:val="24"/>
          <w:u w:val="single"/>
          <w:lang w:val="en-GB"/>
        </w:rPr>
        <w:t>primary</w:t>
      </w:r>
      <w:r w:rsidRPr="004D307F">
        <w:rPr>
          <w:rFonts w:ascii="VIC" w:eastAsia="Arial" w:hAnsi="VIC" w:cs="Times New Roman"/>
          <w:color w:val="011A3C"/>
          <w:sz w:val="24"/>
          <w:szCs w:val="24"/>
          <w:lang w:val="en-GB"/>
        </w:rPr>
        <w:t xml:space="preserve"> school with </w:t>
      </w:r>
      <w:r w:rsidRPr="004D307F">
        <w:rPr>
          <w:rFonts w:ascii="VIC" w:eastAsia="Arial" w:hAnsi="VIC" w:cs="Times New Roman"/>
          <w:color w:val="011A3C"/>
          <w:sz w:val="24"/>
          <w:szCs w:val="24"/>
          <w:u w:val="single"/>
          <w:lang w:val="en-GB"/>
        </w:rPr>
        <w:t>90 enrolments</w:t>
      </w:r>
      <w:r w:rsidRPr="004D307F">
        <w:rPr>
          <w:rFonts w:ascii="VIC" w:eastAsia="Arial" w:hAnsi="VIC" w:cs="Times New Roman"/>
          <w:color w:val="011A3C"/>
          <w:sz w:val="24"/>
          <w:szCs w:val="24"/>
          <w:lang w:val="en-GB"/>
        </w:rPr>
        <w:t xml:space="preserve"> and the following </w:t>
      </w:r>
      <w:r w:rsidRPr="004D307F">
        <w:rPr>
          <w:rFonts w:ascii="VIC" w:eastAsia="Arial" w:hAnsi="VIC" w:cs="Times New Roman"/>
          <w:color w:val="011A3C"/>
          <w:sz w:val="24"/>
          <w:szCs w:val="24"/>
          <w:u w:val="single"/>
          <w:lang w:val="en-GB"/>
        </w:rPr>
        <w:t>SFE</w:t>
      </w:r>
      <w:r w:rsidRPr="004D307F">
        <w:rPr>
          <w:rFonts w:ascii="VIC" w:eastAsia="Arial" w:hAnsi="VIC" w:cs="Times New Roman"/>
          <w:color w:val="011A3C"/>
          <w:sz w:val="24"/>
          <w:szCs w:val="24"/>
          <w:lang w:val="en-GB"/>
        </w:rPr>
        <w:t xml:space="preserve"> distribution: 15% of enrolments are in SFE 1 and SFE 2 category; 15% of </w:t>
      </w:r>
      <w:r w:rsidRPr="004D307F">
        <w:rPr>
          <w:rFonts w:ascii="VIC" w:eastAsia="Arial" w:hAnsi="VIC" w:cs="Times New Roman"/>
          <w:color w:val="011A3C"/>
          <w:sz w:val="24"/>
          <w:szCs w:val="24"/>
          <w:lang w:val="en-GB"/>
        </w:rPr>
        <w:lastRenderedPageBreak/>
        <w:t xml:space="preserve">enrolments are in SFE 3 and SFE 4 category; 25% of enrolments are in SFE 5 category; 45% of enrolments are in SFE 6 and SFE 7 category. </w:t>
      </w:r>
    </w:p>
    <w:p w14:paraId="02C85325" w14:textId="77777777" w:rsidR="000E377B" w:rsidRPr="004D307F" w:rsidRDefault="000E377B"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Base calculation</w:t>
      </w:r>
    </w:p>
    <w:p w14:paraId="5A2A5AD4"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The base would be calculated as:</w:t>
      </w:r>
    </w:p>
    <w:p w14:paraId="3E56AEC5" w14:textId="77777777" w:rsidR="00ED2F0A" w:rsidRPr="004D307F" w:rsidRDefault="00ED2F0A" w:rsidP="004D307F">
      <w:pPr>
        <w:pStyle w:val="NormalWeb"/>
        <w:spacing w:before="120" w:beforeAutospacing="0" w:line="360" w:lineRule="atLeast"/>
        <w:rPr>
          <w:rFonts w:ascii="VIC" w:hAnsi="VIC"/>
          <w:color w:val="011A3C"/>
        </w:rPr>
      </w:pPr>
      <w:r w:rsidRPr="004D307F">
        <w:rPr>
          <w:rFonts w:ascii="VIC" w:hAnsi="VIC"/>
          <w:color w:val="011A3C"/>
        </w:rPr>
        <w:t xml:space="preserve">$5,202 + (90 − 5 enrolments = 85 enrolments) </w:t>
      </w:r>
      <w:r w:rsidRPr="004D307F">
        <w:rPr>
          <w:rFonts w:ascii="VIC" w:hAnsi="VIC" w:hint="eastAsia"/>
          <w:color w:val="011A3C"/>
        </w:rPr>
        <w:t>×</w:t>
      </w:r>
      <w:r w:rsidRPr="004D307F">
        <w:rPr>
          <w:rFonts w:ascii="VIC" w:hAnsi="VIC"/>
          <w:color w:val="011A3C"/>
        </w:rPr>
        <w:t xml:space="preserve"> $273.79 = $28,474.15</w:t>
      </w:r>
    </w:p>
    <w:p w14:paraId="58A5EB7A" w14:textId="77777777" w:rsidR="000E377B" w:rsidRPr="004D307F" w:rsidRDefault="000E377B"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Index calculation</w:t>
      </w:r>
    </w:p>
    <w:p w14:paraId="70478A5F"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The index would be calculated as: </w:t>
      </w:r>
    </w:p>
    <w:p w14:paraId="21692E3A" w14:textId="12A12CEF" w:rsidR="00AF025A" w:rsidRPr="004D307F" w:rsidRDefault="000E377B"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color w:val="011A3C"/>
          <w:sz w:val="24"/>
          <w:szCs w:val="24"/>
          <w:lang w:val="en-GB"/>
        </w:rPr>
        <w:t xml:space="preserve">(15% x 0.1800) + (15% x 0.1158) + (25% x 0.1127) + (45% x 0.0117) + (1 x 0.0202) + (1 x 0.0348) = </w:t>
      </w:r>
      <w:r w:rsidRPr="004D307F">
        <w:rPr>
          <w:rFonts w:ascii="VIC" w:eastAsia="Arial" w:hAnsi="VIC" w:cs="Times New Roman"/>
          <w:b/>
          <w:bCs/>
          <w:color w:val="011A3C"/>
          <w:sz w:val="24"/>
          <w:szCs w:val="24"/>
          <w:lang w:val="en-GB"/>
        </w:rPr>
        <w:t>0.1328</w:t>
      </w:r>
    </w:p>
    <w:p w14:paraId="6EC01BB0" w14:textId="77777777" w:rsidR="000E377B" w:rsidRPr="004D307F" w:rsidRDefault="000E377B"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Total annual school allocation</w:t>
      </w:r>
    </w:p>
    <w:p w14:paraId="5AF33236" w14:textId="77777777" w:rsidR="000E377B" w:rsidRPr="004D307F" w:rsidRDefault="000E377B" w:rsidP="004D307F">
      <w:pPr>
        <w:spacing w:before="120" w:after="120" w:line="360" w:lineRule="atLeast"/>
        <w:rPr>
          <w:rFonts w:ascii="VIC" w:eastAsia="Arial" w:hAnsi="VIC" w:cs="Times New Roman"/>
          <w:color w:val="011A3C"/>
          <w:sz w:val="24"/>
          <w:szCs w:val="24"/>
          <w:lang w:val="en-GB"/>
        </w:rPr>
      </w:pPr>
      <w:r w:rsidRPr="004D307F">
        <w:rPr>
          <w:rFonts w:ascii="VIC" w:eastAsia="Arial" w:hAnsi="VIC" w:cs="Times New Roman"/>
          <w:color w:val="011A3C"/>
          <w:sz w:val="24"/>
          <w:szCs w:val="24"/>
          <w:lang w:val="en-GB"/>
        </w:rPr>
        <w:t xml:space="preserve">Total Tier 2 funding for the example school would be: </w:t>
      </w:r>
    </w:p>
    <w:p w14:paraId="3C664A64" w14:textId="53EE611E" w:rsidR="001112BF" w:rsidRPr="004D307F" w:rsidRDefault="00ED2F0A" w:rsidP="004D307F">
      <w:pPr>
        <w:pStyle w:val="NormalWeb"/>
        <w:spacing w:before="120" w:beforeAutospacing="0" w:line="360" w:lineRule="atLeast"/>
        <w:rPr>
          <w:rFonts w:eastAsia="Arial"/>
        </w:rPr>
      </w:pPr>
      <w:r w:rsidRPr="004D307F">
        <w:rPr>
          <w:rFonts w:ascii="VIC" w:hAnsi="VIC"/>
          <w:color w:val="011A3C"/>
        </w:rPr>
        <w:t xml:space="preserve">$28,474.15 + (0.1328 </w:t>
      </w:r>
      <w:r w:rsidRPr="004D307F">
        <w:rPr>
          <w:rFonts w:ascii="VIC" w:hAnsi="VIC" w:hint="eastAsia"/>
          <w:color w:val="011A3C"/>
        </w:rPr>
        <w:t>×</w:t>
      </w:r>
      <w:r w:rsidRPr="004D307F">
        <w:rPr>
          <w:rFonts w:ascii="VIC" w:hAnsi="VIC"/>
          <w:color w:val="011A3C"/>
        </w:rPr>
        <w:t xml:space="preserve"> 90 </w:t>
      </w:r>
      <w:r w:rsidRPr="004D307F">
        <w:rPr>
          <w:rFonts w:ascii="VIC" w:hAnsi="VIC" w:hint="eastAsia"/>
          <w:color w:val="011A3C"/>
        </w:rPr>
        <w:t>×</w:t>
      </w:r>
      <w:r w:rsidRPr="004D307F">
        <w:rPr>
          <w:rFonts w:ascii="VIC" w:hAnsi="VIC"/>
          <w:color w:val="011A3C"/>
        </w:rPr>
        <w:t xml:space="preserve"> $4,600) = $83,453.35*</w:t>
      </w:r>
    </w:p>
    <w:p w14:paraId="51B519A8" w14:textId="223A1FDA" w:rsidR="00E072B7" w:rsidRPr="004D307F" w:rsidRDefault="000E377B" w:rsidP="004D307F">
      <w:pPr>
        <w:spacing w:line="360" w:lineRule="atLeast"/>
        <w:rPr>
          <w:rFonts w:ascii="VIC-Regular" w:eastAsia="Times New Roman" w:hAnsi="VIC-Regular" w:cs="Times New Roman"/>
          <w:color w:val="011A3C"/>
          <w:sz w:val="20"/>
          <w:szCs w:val="20"/>
          <w:lang w:val="en" w:eastAsia="en-AU"/>
        </w:rPr>
      </w:pPr>
      <w:r w:rsidRPr="004D307F">
        <w:rPr>
          <w:rFonts w:ascii="VIC-Regular" w:eastAsia="Times New Roman" w:hAnsi="VIC-Regular" w:cs="Times New Roman"/>
          <w:color w:val="011A3C"/>
          <w:sz w:val="20"/>
          <w:szCs w:val="20"/>
          <w:lang w:val="en" w:eastAsia="en-AU"/>
        </w:rPr>
        <w:t>*Note this value includes salary on-costs. The central oncosts are not reflected in school budgets.</w:t>
      </w:r>
    </w:p>
    <w:p w14:paraId="2583175C" w14:textId="77777777" w:rsidR="00987916" w:rsidRPr="004D307F" w:rsidRDefault="00987916" w:rsidP="00B566E7">
      <w:pPr>
        <w:pStyle w:val="Heading2"/>
      </w:pPr>
      <w:r w:rsidRPr="004D307F">
        <w:br w:type="page"/>
      </w:r>
    </w:p>
    <w:p w14:paraId="3BB9A787" w14:textId="6A99B35E" w:rsidR="00AD6B17" w:rsidRPr="004D307F" w:rsidRDefault="00AD6B17" w:rsidP="004D307F">
      <w:pPr>
        <w:pStyle w:val="Heading2"/>
      </w:pPr>
      <w:bookmarkStart w:id="44" w:name="_Toc99882745"/>
      <w:r w:rsidRPr="004D307F">
        <w:lastRenderedPageBreak/>
        <w:t xml:space="preserve">Disability Inclusion Tier 3 student-level funding (Reference </w:t>
      </w:r>
      <w:r w:rsidR="00DF6FB6" w:rsidRPr="004D307F">
        <w:t>138</w:t>
      </w:r>
      <w:r w:rsidRPr="004D307F">
        <w:t>)</w:t>
      </w:r>
      <w:bookmarkEnd w:id="44"/>
      <w:r w:rsidRPr="004D307F">
        <w:t> </w:t>
      </w:r>
    </w:p>
    <w:p w14:paraId="5C5CC700"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Disability Inclusion reform package introduces a new funding and support model for students with disability over a staged rollout between 2021 to 2025. Refer to:</w:t>
      </w:r>
      <w:r w:rsidRPr="004D307F">
        <w:rPr>
          <w:rFonts w:ascii="Calibri" w:eastAsia="Times New Roman" w:hAnsi="Calibri" w:cs="Calibri"/>
          <w:color w:val="011A3C"/>
          <w:sz w:val="24"/>
          <w:szCs w:val="24"/>
          <w:lang w:eastAsia="en-AU"/>
        </w:rPr>
        <w:t> </w:t>
      </w:r>
      <w:hyperlink r:id="rId71" w:history="1">
        <w:r w:rsidRPr="004D307F">
          <w:rPr>
            <w:rStyle w:val="Hyperlink"/>
            <w:rFonts w:ascii="VIC" w:hAnsi="VIC" w:cs="Arial"/>
            <w:color w:val="1855BF"/>
            <w:sz w:val="24"/>
            <w:szCs w:val="24"/>
          </w:rPr>
          <w:t>Disability Inclusion Funding and Support</w:t>
        </w:r>
      </w:hyperlink>
      <w:r w:rsidRPr="004D307F">
        <w:rPr>
          <w:rFonts w:ascii="VIC" w:eastAsia="Times New Roman" w:hAnsi="VIC" w:cs="Arial"/>
          <w:color w:val="011A3C"/>
          <w:sz w:val="24"/>
          <w:szCs w:val="24"/>
          <w:lang w:eastAsia="en-AU"/>
        </w:rPr>
        <w:t>.</w:t>
      </w:r>
    </w:p>
    <w:p w14:paraId="6E4B267C"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Tier 3 individual-level funding builds on the </w:t>
      </w:r>
      <w:hyperlink r:id="rId72" w:history="1">
        <w:r w:rsidRPr="004D307F">
          <w:rPr>
            <w:rStyle w:val="Hyperlink"/>
            <w:rFonts w:ascii="VIC" w:hAnsi="VIC" w:cs="Arial"/>
            <w:color w:val="1855BF"/>
            <w:sz w:val="24"/>
            <w:szCs w:val="24"/>
          </w:rPr>
          <w:t>core student learning allocation</w:t>
        </w:r>
      </w:hyperlink>
      <w:r w:rsidRPr="004D307F">
        <w:rPr>
          <w:rFonts w:ascii="Calibri" w:eastAsia="Times New Roman" w:hAnsi="Calibri" w:cs="Calibri"/>
          <w:color w:val="011A3C"/>
          <w:sz w:val="24"/>
          <w:szCs w:val="24"/>
          <w:lang w:eastAsia="en-AU"/>
        </w:rPr>
        <w:t> </w:t>
      </w:r>
      <w:r w:rsidRPr="004D307F">
        <w:rPr>
          <w:rFonts w:ascii="VIC" w:eastAsia="Times New Roman" w:hAnsi="VIC" w:cs="Arial"/>
          <w:color w:val="011A3C"/>
          <w:sz w:val="24"/>
          <w:szCs w:val="24"/>
          <w:lang w:eastAsia="en-AU"/>
        </w:rPr>
        <w:t xml:space="preserve">and </w:t>
      </w:r>
      <w:hyperlink r:id="rId73" w:history="1">
        <w:r w:rsidRPr="004D307F">
          <w:rPr>
            <w:rStyle w:val="Hyperlink"/>
            <w:rFonts w:ascii="VIC" w:hAnsi="VIC" w:cs="Arial"/>
            <w:sz w:val="24"/>
            <w:szCs w:val="24"/>
          </w:rPr>
          <w:t>Tier 2</w:t>
        </w:r>
      </w:hyperlink>
      <w:r w:rsidRPr="004D307F">
        <w:rPr>
          <w:rFonts w:ascii="VIC" w:eastAsia="Times New Roman" w:hAnsi="VIC" w:cs="Arial"/>
          <w:color w:val="011A3C"/>
          <w:sz w:val="24"/>
          <w:szCs w:val="24"/>
          <w:lang w:eastAsia="en-AU"/>
        </w:rPr>
        <w:t xml:space="preserve"> funding, providing individualised funding to support students with high and complex needs relating to their disability. Through the Disability Inclusion reform rollout period, the Tier 3 student-level funding will gradually replace the existing individualised disability funding provided through the </w:t>
      </w:r>
      <w:hyperlink r:id="rId74" w:history="1">
        <w:r w:rsidRPr="004D307F">
          <w:rPr>
            <w:rStyle w:val="Hyperlink"/>
            <w:rFonts w:ascii="VIC" w:hAnsi="VIC" w:cs="Arial"/>
            <w:sz w:val="24"/>
            <w:szCs w:val="24"/>
          </w:rPr>
          <w:t>Program for Students with Disabilities</w:t>
        </w:r>
      </w:hyperlink>
      <w:r w:rsidRPr="004D307F">
        <w:rPr>
          <w:rFonts w:ascii="VIC" w:eastAsia="Times New Roman" w:hAnsi="VIC" w:cs="Arial"/>
          <w:color w:val="011A3C"/>
          <w:sz w:val="24"/>
          <w:szCs w:val="24"/>
          <w:lang w:eastAsia="en-AU"/>
        </w:rPr>
        <w:t>.</w:t>
      </w:r>
    </w:p>
    <w:p w14:paraId="54105AEE" w14:textId="0AB2B3FE"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Tier 3 allocations are based on</w:t>
      </w:r>
      <w:r w:rsidRPr="004D307F">
        <w:rPr>
          <w:rFonts w:ascii="VIC" w:hAnsi="VIC"/>
        </w:rPr>
        <w:t xml:space="preserve"> </w:t>
      </w:r>
      <w:r w:rsidRPr="004D307F">
        <w:rPr>
          <w:rFonts w:ascii="VIC" w:eastAsia="Times New Roman" w:hAnsi="VIC" w:cs="Arial"/>
          <w:color w:val="011A3C"/>
          <w:sz w:val="24"/>
          <w:szCs w:val="24"/>
          <w:lang w:eastAsia="en-AU"/>
        </w:rPr>
        <w:t xml:space="preserve">the strengths and needs of students with disabilities and the associated levels of adjustment captured in the </w:t>
      </w:r>
      <w:r w:rsidRPr="000F2A00">
        <w:rPr>
          <w:rFonts w:ascii="VIC" w:hAnsi="VIC" w:cs="Arial"/>
          <w:sz w:val="24"/>
          <w:szCs w:val="24"/>
        </w:rPr>
        <w:t>Disability Inclusion Profile</w:t>
      </w:r>
      <w:r w:rsidRPr="004D307F">
        <w:rPr>
          <w:rFonts w:ascii="VIC" w:eastAsia="Times New Roman" w:hAnsi="VIC" w:cs="Arial"/>
          <w:color w:val="011A3C"/>
          <w:sz w:val="24"/>
          <w:szCs w:val="24"/>
          <w:lang w:eastAsia="en-AU"/>
        </w:rPr>
        <w:t xml:space="preserve"> (the Profile). The Profile record levels of adjustment against 31 educational activities, across 6 domains. Refer to: </w:t>
      </w:r>
      <w:hyperlink r:id="rId75" w:history="1">
        <w:r w:rsidRPr="004D307F">
          <w:rPr>
            <w:rStyle w:val="Hyperlink"/>
            <w:rFonts w:ascii="VIC" w:hAnsi="VIC" w:cs="Arial"/>
            <w:sz w:val="24"/>
            <w:szCs w:val="24"/>
          </w:rPr>
          <w:t>Disability Inclusion Profile</w:t>
        </w:r>
      </w:hyperlink>
      <w:r w:rsidRPr="004D307F">
        <w:rPr>
          <w:rFonts w:ascii="VIC" w:eastAsia="Times New Roman" w:hAnsi="VIC" w:cs="Arial"/>
          <w:color w:val="011A3C"/>
          <w:sz w:val="24"/>
          <w:szCs w:val="24"/>
          <w:lang w:eastAsia="en-AU"/>
        </w:rPr>
        <w:t xml:space="preserve">. </w:t>
      </w:r>
    </w:p>
    <w:p w14:paraId="127D4E48" w14:textId="77777777" w:rsidR="00AD6B17" w:rsidRPr="004D307F" w:rsidRDefault="00AD6B17"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6C30D042"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following school types are eligible for Tier 3 funding:</w:t>
      </w:r>
    </w:p>
    <w:p w14:paraId="27B26558" w14:textId="5D29DE16" w:rsidR="00AD6B17" w:rsidRPr="004D307F" w:rsidRDefault="00AD6B17" w:rsidP="00ED0863">
      <w:pPr>
        <w:numPr>
          <w:ilvl w:val="0"/>
          <w:numId w:val="168"/>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Primary (excluding </w:t>
      </w:r>
      <w:r w:rsidR="00AC2E56">
        <w:rPr>
          <w:rFonts w:ascii="VIC" w:eastAsia="Times New Roman" w:hAnsi="VIC" w:cs="Arial"/>
          <w:color w:val="011A3C"/>
          <w:sz w:val="24"/>
          <w:szCs w:val="24"/>
          <w:lang w:eastAsia="en-AU"/>
        </w:rPr>
        <w:t>d</w:t>
      </w:r>
      <w:r w:rsidRPr="004D307F">
        <w:rPr>
          <w:rFonts w:ascii="VIC" w:eastAsia="Times New Roman" w:hAnsi="VIC" w:cs="Arial"/>
          <w:color w:val="011A3C"/>
          <w:sz w:val="24"/>
          <w:szCs w:val="24"/>
          <w:lang w:eastAsia="en-AU"/>
        </w:rPr>
        <w:t>eaf facilities)</w:t>
      </w:r>
    </w:p>
    <w:p w14:paraId="01E6B411" w14:textId="77777777" w:rsidR="00AD6B17" w:rsidRPr="004D307F" w:rsidRDefault="00AD6B17" w:rsidP="00ED0863">
      <w:pPr>
        <w:numPr>
          <w:ilvl w:val="0"/>
          <w:numId w:val="168"/>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Secondary</w:t>
      </w:r>
    </w:p>
    <w:p w14:paraId="0A96B484" w14:textId="77777777" w:rsidR="00AD6B17" w:rsidRPr="004D307F" w:rsidRDefault="00AD6B17" w:rsidP="00ED0863">
      <w:pPr>
        <w:numPr>
          <w:ilvl w:val="0"/>
          <w:numId w:val="168"/>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Primary/Secondary Combined</w:t>
      </w:r>
    </w:p>
    <w:p w14:paraId="5297D23E" w14:textId="77777777" w:rsidR="00AD6B17" w:rsidRPr="004D307F" w:rsidRDefault="00AD6B17" w:rsidP="00ED0863">
      <w:pPr>
        <w:numPr>
          <w:ilvl w:val="0"/>
          <w:numId w:val="168"/>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Specialist</w:t>
      </w:r>
    </w:p>
    <w:p w14:paraId="25697E64"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 student is considered eligible for Tier 3 dependent meeting two criteria summarised as follows:</w:t>
      </w:r>
    </w:p>
    <w:p w14:paraId="5B227FC5" w14:textId="77777777" w:rsidR="00AD6B17" w:rsidRPr="004D307F" w:rsidRDefault="00AD6B17" w:rsidP="00ED0863">
      <w:pPr>
        <w:pStyle w:val="ListParagraph"/>
        <w:numPr>
          <w:ilvl w:val="0"/>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Evidence of disability or functional need as determined by (at least one of):</w:t>
      </w:r>
    </w:p>
    <w:p w14:paraId="558C804E" w14:textId="77777777" w:rsidR="00AD6B17" w:rsidRPr="004D307F" w:rsidRDefault="00AD6B1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measured functional capacity limit (Vineland Composite score of 70 or below)</w:t>
      </w:r>
    </w:p>
    <w:p w14:paraId="0A232514" w14:textId="77777777" w:rsidR="00AD6B17" w:rsidRPr="004D307F" w:rsidRDefault="00AD6B1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evidence of a diagnosed condition </w:t>
      </w:r>
    </w:p>
    <w:p w14:paraId="01522398" w14:textId="77777777" w:rsidR="00AD6B17" w:rsidRPr="004D307F" w:rsidRDefault="00AD6B1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enhanced moderation pathway</w:t>
      </w:r>
    </w:p>
    <w:p w14:paraId="472C41F4" w14:textId="77777777" w:rsidR="00AD6B17" w:rsidRPr="004D307F" w:rsidRDefault="00AD6B17" w:rsidP="00ED0863">
      <w:pPr>
        <w:pStyle w:val="ListParagraph"/>
        <w:numPr>
          <w:ilvl w:val="0"/>
          <w:numId w:val="169"/>
        </w:num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Profile-related (at least one of):</w:t>
      </w:r>
    </w:p>
    <w:p w14:paraId="07EB0F47" w14:textId="59ADDA40" w:rsidR="00AD6B17" w:rsidRPr="004D307F" w:rsidRDefault="000C1ED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0C1ED7">
        <w:rPr>
          <w:rFonts w:ascii="VIC" w:eastAsia="Times New Roman" w:hAnsi="VIC" w:cs="Arial"/>
          <w:color w:val="011A3C"/>
          <w:sz w:val="24"/>
          <w:szCs w:val="24"/>
          <w:lang w:eastAsia="en-AU"/>
        </w:rPr>
        <w:lastRenderedPageBreak/>
        <w:t>greater than or equal to</w:t>
      </w:r>
      <w:r w:rsidR="00AD6B17" w:rsidRPr="004D307F">
        <w:rPr>
          <w:rFonts w:ascii="VIC" w:eastAsia="Times New Roman" w:hAnsi="VIC" w:cs="Arial"/>
          <w:color w:val="011A3C"/>
          <w:sz w:val="24"/>
          <w:szCs w:val="24"/>
          <w:lang w:eastAsia="en-AU"/>
        </w:rPr>
        <w:t xml:space="preserve"> 8 educational activities requiring Substantial or higher adjustment </w:t>
      </w:r>
    </w:p>
    <w:p w14:paraId="5FB5C95E" w14:textId="46007686" w:rsidR="00AD6B17" w:rsidRPr="004D307F" w:rsidRDefault="000C1ED7" w:rsidP="00ED0863">
      <w:pPr>
        <w:pStyle w:val="ListParagraph"/>
        <w:numPr>
          <w:ilvl w:val="1"/>
          <w:numId w:val="169"/>
        </w:numPr>
        <w:spacing w:before="100" w:beforeAutospacing="1" w:after="100" w:afterAutospacing="1" w:line="360" w:lineRule="atLeast"/>
        <w:rPr>
          <w:rFonts w:ascii="VIC" w:eastAsia="Times New Roman" w:hAnsi="VIC" w:cs="Arial"/>
          <w:color w:val="011A3C"/>
          <w:sz w:val="24"/>
          <w:szCs w:val="24"/>
          <w:lang w:eastAsia="en-AU"/>
        </w:rPr>
      </w:pPr>
      <w:r w:rsidRPr="000C1ED7">
        <w:rPr>
          <w:rFonts w:ascii="VIC" w:eastAsia="Times New Roman" w:hAnsi="VIC" w:cs="Arial"/>
          <w:color w:val="011A3C"/>
          <w:sz w:val="24"/>
          <w:szCs w:val="24"/>
          <w:lang w:eastAsia="en-AU"/>
        </w:rPr>
        <w:t>greater than or equal to</w:t>
      </w:r>
      <w:r w:rsidR="00AD6B17" w:rsidRPr="004D307F">
        <w:rPr>
          <w:rFonts w:ascii="VIC" w:eastAsia="Times New Roman" w:hAnsi="VIC" w:cs="Arial"/>
          <w:color w:val="011A3C"/>
          <w:sz w:val="24"/>
          <w:szCs w:val="24"/>
          <w:lang w:eastAsia="en-AU"/>
        </w:rPr>
        <w:t xml:space="preserve"> 3 educational activities requiring Extensive adjustment</w:t>
      </w:r>
    </w:p>
    <w:p w14:paraId="4913575D" w14:textId="53F5B79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For more information on Tier 3 eligibility refer to: </w:t>
      </w:r>
      <w:hyperlink r:id="rId76" w:history="1">
        <w:r w:rsidRPr="004D307F">
          <w:rPr>
            <w:rStyle w:val="Hyperlink"/>
            <w:rFonts w:ascii="VIC" w:hAnsi="VIC" w:cs="Arial"/>
            <w:sz w:val="24"/>
            <w:szCs w:val="24"/>
          </w:rPr>
          <w:t>Disability Inclusion Funding and Support</w:t>
        </w:r>
      </w:hyperlink>
      <w:r w:rsidRPr="004D307F">
        <w:rPr>
          <w:rFonts w:ascii="VIC" w:eastAsia="Times New Roman" w:hAnsi="VIC" w:cs="Arial"/>
          <w:color w:val="011A3C"/>
          <w:sz w:val="24"/>
          <w:szCs w:val="24"/>
          <w:lang w:eastAsia="en-AU"/>
        </w:rPr>
        <w:t>.</w:t>
      </w:r>
    </w:p>
    <w:p w14:paraId="060B5485" w14:textId="77777777" w:rsidR="00AD6B17" w:rsidRPr="004D307F" w:rsidRDefault="00AD6B17"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Tier 3 calculation</w:t>
      </w:r>
    </w:p>
    <w:p w14:paraId="7BB61B99"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Tier 3 funding is calculated using the following formula:</w:t>
      </w:r>
    </w:p>
    <w:p w14:paraId="144DC002" w14:textId="0E295FB6"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Tier 3 funding </w:t>
      </w:r>
      <w:r w:rsidRPr="004D307F">
        <w:rPr>
          <w:rFonts w:ascii="VIC" w:eastAsia="Times New Roman" w:hAnsi="VIC" w:cs="Arial"/>
          <w:color w:val="011A3C"/>
          <w:sz w:val="24"/>
          <w:szCs w:val="24"/>
          <w:lang w:eastAsia="en-AU"/>
        </w:rPr>
        <w:tab/>
        <w:t xml:space="preserve">= weighted score </w:t>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 xml:space="preserve"> funding rate </w:t>
      </w:r>
    </w:p>
    <w:p w14:paraId="05CBD749"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Weighted score</w:t>
      </w:r>
    </w:p>
    <w:p w14:paraId="780EB4BA"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The weighted score is calculated using a student’s Profile. The Profile records levels of adjustment against 31 educational activities, across 6 domains. The levels of adjustment are given a numerical score ranging from 0 (Present Environment of Supports) to 4 (Extensive Adjustments). </w:t>
      </w:r>
    </w:p>
    <w:p w14:paraId="67384006"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These unweighted scores are then weighted according to their domain and standardised. Weightings balance funding requirements across domains. For example, activities in the Self-care Domain will be weighted differently compared to those in the Learning and Applying Knowledge Domain. </w:t>
      </w:r>
    </w:p>
    <w:p w14:paraId="73FD1B24"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Funding rate</w:t>
      </w:r>
    </w:p>
    <w:p w14:paraId="500722AC"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 flat rate of $630 applies in 2022.</w:t>
      </w:r>
    </w:p>
    <w:p w14:paraId="3CC9FE38"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Annual allocation</w:t>
      </w:r>
    </w:p>
    <w:p w14:paraId="7773E15A" w14:textId="7AC751A4"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Annual allocation</w:t>
      </w:r>
      <w:r w:rsidRPr="004D307F">
        <w:rPr>
          <w:rFonts w:ascii="VIC" w:eastAsia="Times New Roman" w:hAnsi="VIC" w:cs="Arial"/>
          <w:color w:val="011A3C"/>
          <w:sz w:val="24"/>
          <w:szCs w:val="24"/>
          <w:lang w:eastAsia="en-AU"/>
        </w:rPr>
        <w:tab/>
        <w:t>= Tier 3 funding * enrolment time fraction * portion of the year funding is active</w:t>
      </w:r>
    </w:p>
    <w:p w14:paraId="339941C4"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annual allocation factors in the student’s enrolment time fraction at the school and the portion of the year for which the Profile is active. For example, a Profile with an associated Tier 3 funding start date of Term 2 would be active for 3 terms (0.75) of the year, then typically active for the whole year (4 terms = 1) in the following years.</w:t>
      </w:r>
    </w:p>
    <w:p w14:paraId="197CD0A6"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p>
    <w:p w14:paraId="645D3EFA" w14:textId="77777777" w:rsidR="00AD6B17" w:rsidRPr="004D307F" w:rsidRDefault="00AD6B17"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Example of Tier 3 student-level funding calculation</w:t>
      </w:r>
    </w:p>
    <w:p w14:paraId="6845F261"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 student with disability undertakes a Profile process. The Profile record levels of adjustment against 31 educational activities, across 6 domains. The student’s Profile shows the student receives an ‘extensive’ level of adjustment against educational activities in the Communication and Self-care domains.</w:t>
      </w:r>
    </w:p>
    <w:p w14:paraId="5E707337"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There is evidence of the student having a functional need as indicated by the Vineland and the Profile contains 5 Extensive and 7 Substantial levels of adjustment, meaning the student meets the Tier 3 student-level funding eligibility criteria. The Profile is finalised with a Tier 3 funding start date of Term 2</w:t>
      </w:r>
    </w:p>
    <w:p w14:paraId="1B00E81D"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Weighted score calculation</w:t>
      </w:r>
    </w:p>
    <w:p w14:paraId="0CD55FEE" w14:textId="49EDBEA9" w:rsidR="00AD6B17" w:rsidRPr="004D307F" w:rsidRDefault="00AD6B17" w:rsidP="004D307F">
      <w:pPr>
        <w:spacing w:before="100" w:beforeAutospacing="1" w:after="100" w:afterAutospacing="1" w:line="360" w:lineRule="atLeast"/>
        <w:outlineLvl w:val="3"/>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student’s levels of adjustment across the 31 educational activities transformed into scores between 0</w:t>
      </w:r>
      <w:r w:rsidR="003457D4">
        <w:rPr>
          <w:rFonts w:ascii="VIC" w:eastAsia="Times New Roman" w:hAnsi="VIC" w:cs="Arial"/>
          <w:color w:val="011A3C"/>
          <w:sz w:val="24"/>
          <w:szCs w:val="24"/>
          <w:lang w:eastAsia="en-AU"/>
        </w:rPr>
        <w:t xml:space="preserve"> to </w:t>
      </w:r>
      <w:r w:rsidRPr="004D307F">
        <w:rPr>
          <w:rFonts w:ascii="VIC" w:eastAsia="Times New Roman" w:hAnsi="VIC" w:cs="Arial"/>
          <w:color w:val="011A3C"/>
          <w:sz w:val="24"/>
          <w:szCs w:val="24"/>
          <w:lang w:eastAsia="en-AU"/>
        </w:rPr>
        <w:t>4 and are weighted based on their domain and standardised to produce a total weighted score of 47.25.</w:t>
      </w:r>
    </w:p>
    <w:p w14:paraId="70CDD432" w14:textId="77777777" w:rsidR="00AD6B17" w:rsidRPr="004D307F" w:rsidRDefault="00AD6B17" w:rsidP="004D307F">
      <w:pPr>
        <w:spacing w:before="120" w:after="120" w:line="360" w:lineRule="atLeast"/>
        <w:rPr>
          <w:rFonts w:ascii="VIC" w:eastAsia="Arial" w:hAnsi="VIC" w:cs="Times New Roman"/>
          <w:b/>
          <w:bCs/>
          <w:color w:val="011A3C"/>
          <w:sz w:val="24"/>
          <w:szCs w:val="24"/>
          <w:lang w:val="en-GB"/>
        </w:rPr>
      </w:pPr>
      <w:r w:rsidRPr="004D307F">
        <w:rPr>
          <w:rFonts w:ascii="VIC" w:eastAsia="Arial" w:hAnsi="VIC" w:cs="Times New Roman"/>
          <w:b/>
          <w:bCs/>
          <w:color w:val="011A3C"/>
          <w:sz w:val="24"/>
          <w:szCs w:val="24"/>
          <w:lang w:val="en-GB"/>
        </w:rPr>
        <w:t>Allocation calculation</w:t>
      </w:r>
    </w:p>
    <w:p w14:paraId="23527ED9"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allocation would be calculated as:</w:t>
      </w:r>
    </w:p>
    <w:p w14:paraId="2ED907E6" w14:textId="2555E506"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Tier 3 funding</w:t>
      </w:r>
      <w:r w:rsidRPr="004D307F">
        <w:rPr>
          <w:rFonts w:ascii="VIC" w:eastAsia="Times New Roman" w:hAnsi="VIC" w:cs="Arial"/>
          <w:color w:val="011A3C"/>
          <w:sz w:val="24"/>
          <w:szCs w:val="24"/>
          <w:lang w:eastAsia="en-AU"/>
        </w:rPr>
        <w:tab/>
        <w:t>= weighted score</w:t>
      </w:r>
      <w:r w:rsidRPr="004D307F">
        <w:rPr>
          <w:rFonts w:ascii="VIC" w:eastAsia="Times New Roman" w:hAnsi="VIC" w:cs="Arial"/>
          <w:color w:val="011A3C"/>
          <w:sz w:val="24"/>
          <w:szCs w:val="24"/>
          <w:lang w:eastAsia="en-AU"/>
        </w:rPr>
        <w:tab/>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ab/>
        <w:t>funding rate</w:t>
      </w:r>
    </w:p>
    <w:p w14:paraId="5710DDD1" w14:textId="132195B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47.25</w:t>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ab/>
        <w:t>$630</w:t>
      </w:r>
    </w:p>
    <w:p w14:paraId="3D1A7DE8"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$29,767.50</w:t>
      </w:r>
    </w:p>
    <w:p w14:paraId="3C5D0519"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allocation that the student attracts for the year is determined as follows:</w:t>
      </w:r>
    </w:p>
    <w:p w14:paraId="5799656D" w14:textId="3A63BA0B"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Annual allocation</w:t>
      </w:r>
      <w:r w:rsidRPr="004D307F">
        <w:rPr>
          <w:rFonts w:ascii="VIC" w:eastAsia="Times New Roman" w:hAnsi="VIC" w:cs="Arial"/>
          <w:color w:val="011A3C"/>
          <w:sz w:val="24"/>
          <w:szCs w:val="24"/>
          <w:lang w:eastAsia="en-AU"/>
        </w:rPr>
        <w:tab/>
        <w:t xml:space="preserve">= annual rate </w:t>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 xml:space="preserve"> enrolment time fraction </w:t>
      </w:r>
      <w:r w:rsidR="003457D4" w:rsidRPr="003457D4">
        <w:rPr>
          <w:rFonts w:ascii="VIC" w:eastAsia="Times New Roman" w:hAnsi="VIC" w:cs="Arial"/>
          <w:color w:val="011A3C"/>
          <w:sz w:val="24"/>
          <w:szCs w:val="24"/>
          <w:lang w:eastAsia="en-AU"/>
        </w:rPr>
        <w:t>×</w:t>
      </w:r>
    </w:p>
    <w:p w14:paraId="32D4DC2B"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xml:space="preserve">  portion of the year funding is active</w:t>
      </w:r>
    </w:p>
    <w:p w14:paraId="2B0F21BC" w14:textId="3AC377CF"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xml:space="preserve">= $29,767.50 </w:t>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 xml:space="preserve"> 1 </w:t>
      </w:r>
      <w:r w:rsidR="003457D4" w:rsidRPr="003457D4">
        <w:rPr>
          <w:rFonts w:ascii="VIC" w:eastAsia="Times New Roman" w:hAnsi="VIC" w:cs="Arial"/>
          <w:color w:val="011A3C"/>
          <w:sz w:val="24"/>
          <w:szCs w:val="24"/>
          <w:lang w:eastAsia="en-AU"/>
        </w:rPr>
        <w:t>×</w:t>
      </w:r>
      <w:r w:rsidRPr="004D307F">
        <w:rPr>
          <w:rFonts w:ascii="VIC" w:eastAsia="Times New Roman" w:hAnsi="VIC" w:cs="Arial"/>
          <w:color w:val="011A3C"/>
          <w:sz w:val="24"/>
          <w:szCs w:val="24"/>
          <w:lang w:eastAsia="en-AU"/>
        </w:rPr>
        <w:t xml:space="preserve"> 0.75</w:t>
      </w:r>
    </w:p>
    <w:p w14:paraId="7E8DE10A"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r>
      <w:r w:rsidRPr="004D307F">
        <w:rPr>
          <w:rFonts w:ascii="VIC" w:eastAsia="Times New Roman" w:hAnsi="VIC" w:cs="Arial"/>
          <w:color w:val="011A3C"/>
          <w:sz w:val="24"/>
          <w:szCs w:val="24"/>
          <w:lang w:eastAsia="en-AU"/>
        </w:rPr>
        <w:tab/>
        <w:t>= $22,325.63</w:t>
      </w:r>
    </w:p>
    <w:p w14:paraId="129CA62E" w14:textId="02B3864C"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The Student Support Group (SSG) is notified by the school contact of the Tier 3 funding via the School Resource Notification, which provides an indication </w:t>
      </w:r>
      <w:r w:rsidRPr="004D307F">
        <w:rPr>
          <w:rFonts w:ascii="VIC" w:eastAsia="Times New Roman" w:hAnsi="VIC" w:cs="Arial"/>
          <w:color w:val="011A3C"/>
          <w:sz w:val="24"/>
          <w:szCs w:val="24"/>
          <w:lang w:eastAsia="en-AU"/>
        </w:rPr>
        <w:lastRenderedPageBreak/>
        <w:t>of the annual rate. The allocation is then typically reflected in the school’s budget at the end of the term.</w:t>
      </w:r>
    </w:p>
    <w:p w14:paraId="1E9FF6E6" w14:textId="77777777" w:rsidR="00AD6B17" w:rsidRPr="004D307F" w:rsidRDefault="00AD6B17" w:rsidP="004D307F">
      <w:pPr>
        <w:spacing w:before="100" w:beforeAutospacing="1" w:after="100" w:afterAutospacing="1" w:line="288" w:lineRule="atLeast"/>
        <w:outlineLvl w:val="3"/>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 xml:space="preserve">Enrolment, </w:t>
      </w:r>
      <w:proofErr w:type="gramStart"/>
      <w:r w:rsidRPr="004D307F">
        <w:rPr>
          <w:rFonts w:ascii="VIC" w:eastAsia="Times New Roman" w:hAnsi="VIC" w:cs="Times New Roman"/>
          <w:b/>
          <w:bCs/>
          <w:color w:val="011A3C"/>
          <w:sz w:val="27"/>
          <w:szCs w:val="27"/>
          <w:lang w:val="en" w:eastAsia="en-AU"/>
        </w:rPr>
        <w:t>budget</w:t>
      </w:r>
      <w:proofErr w:type="gramEnd"/>
      <w:r w:rsidRPr="004D307F">
        <w:rPr>
          <w:rFonts w:ascii="VIC" w:eastAsia="Times New Roman" w:hAnsi="VIC" w:cs="Times New Roman"/>
          <w:b/>
          <w:bCs/>
          <w:color w:val="011A3C"/>
          <w:sz w:val="27"/>
          <w:szCs w:val="27"/>
          <w:lang w:val="en" w:eastAsia="en-AU"/>
        </w:rPr>
        <w:t xml:space="preserve"> and reporting information</w:t>
      </w:r>
    </w:p>
    <w:p w14:paraId="79CF9444"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Tier 3 funding allocations are made according to Profiles completed prior to budget-critical dates early in each term.</w:t>
      </w:r>
    </w:p>
    <w:p w14:paraId="2B77F62E"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The Indicative Student Resource Package (SRP) is based on Profile and enrolment information as at Term 3 the year prior. Allocations are updated in the Confirmed SRP, capturing enrolment and application changes that occur between Term 3 and Term 1.</w:t>
      </w:r>
    </w:p>
    <w:p w14:paraId="342C17C1"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Where enrolment details are not correct in CASES21 prior to budget critical dates each term, Tier 3 student-level funding cannot be guaranteed. Enrolment details for new or current students must be promptly uploaded from CASES21. </w:t>
      </w:r>
    </w:p>
    <w:p w14:paraId="1A98272D"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Where a student transfers during the school year, resources remaining for the year will be adjusted and made available to the new school from the commencement of the next school term. The SRP is revised at the end of each term to capture these changes.</w:t>
      </w:r>
    </w:p>
    <w:p w14:paraId="5A239794"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Schools should make local arrangements to transfer resources for enrolment changes occurring during term.</w:t>
      </w:r>
    </w:p>
    <w:p w14:paraId="227AE561"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Where agreement has been reached that a student is enrolled and attends two schools, the allocation will be provided on a pro-rata basis consistent with the enrolment details contained in CASES21.</w:t>
      </w:r>
    </w:p>
    <w:p w14:paraId="5FBE8132" w14:textId="77777777" w:rsidR="00AD6B17" w:rsidRPr="004D307F" w:rsidRDefault="00AD6B17" w:rsidP="004D307F">
      <w:pPr>
        <w:spacing w:before="100" w:beforeAutospacing="1" w:after="100" w:afterAutospacing="1" w:line="360" w:lineRule="atLeast"/>
        <w:rPr>
          <w:rFonts w:ascii="VIC" w:eastAsia="Times New Roman" w:hAnsi="VIC" w:cs="Arial"/>
          <w:color w:val="011A3C"/>
          <w:sz w:val="24"/>
          <w:szCs w:val="24"/>
          <w:lang w:eastAsia="en-AU"/>
        </w:rPr>
      </w:pPr>
      <w:r w:rsidRPr="004D307F">
        <w:rPr>
          <w:rFonts w:ascii="VIC" w:eastAsia="Times New Roman" w:hAnsi="VIC" w:cs="Arial"/>
          <w:color w:val="011A3C"/>
          <w:sz w:val="24"/>
          <w:szCs w:val="24"/>
          <w:lang w:eastAsia="en-AU"/>
        </w:rPr>
        <w:t xml:space="preserve">Schools are provided with School Resource Notifications providing an indication of a student’s annual rate at finalisation of their Disability Inclusion Profile. Accurate allocation information is provided to schools through termly Tier 3 student-level funding allocation reports. Allocation detail in these reports should be reviewed against School Resource Notifications and students’ CASES enrolment information, and any queries raised through an email to the </w:t>
      </w:r>
      <w:hyperlink r:id="rId77" w:history="1">
        <w:r w:rsidRPr="004D307F">
          <w:rPr>
            <w:rStyle w:val="Hyperlink"/>
            <w:rFonts w:ascii="VIC" w:hAnsi="VIC" w:cs="Arial"/>
            <w:sz w:val="24"/>
            <w:szCs w:val="24"/>
          </w:rPr>
          <w:t>Disability Inclusion Outcomes mailbox</w:t>
        </w:r>
      </w:hyperlink>
      <w:r w:rsidRPr="004D307F">
        <w:rPr>
          <w:rFonts w:ascii="VIC" w:eastAsia="Times New Roman" w:hAnsi="VIC" w:cs="Arial"/>
          <w:color w:val="011A3C"/>
          <w:sz w:val="24"/>
          <w:szCs w:val="24"/>
          <w:lang w:eastAsia="en-AU"/>
        </w:rPr>
        <w:t>. Reconciliation requests can be logged via the DET Service Gateway and will only be considered on a one-term basis. Requests for budget adjustments cannot be considered beyond the previous term.</w:t>
      </w:r>
    </w:p>
    <w:p w14:paraId="0CE05002" w14:textId="146A105B" w:rsidR="005965D3" w:rsidRPr="004D307F" w:rsidRDefault="005965D3" w:rsidP="004D307F">
      <w:pPr>
        <w:pStyle w:val="NormalWeb"/>
        <w:spacing w:line="360" w:lineRule="atLeast"/>
        <w:rPr>
          <w:rFonts w:ascii="VIC-Regular" w:hAnsi="VIC-Regular"/>
          <w:color w:val="011A3C"/>
        </w:rPr>
      </w:pPr>
    </w:p>
    <w:p w14:paraId="44022C4E" w14:textId="77777777" w:rsidR="005965D3" w:rsidRPr="004D307F" w:rsidRDefault="005965D3" w:rsidP="00F66851">
      <w:pPr>
        <w:pStyle w:val="NormalWeb"/>
        <w:rPr>
          <w:rFonts w:ascii="VIC-Regular" w:hAnsi="VIC-Regular"/>
          <w:color w:val="011A3C"/>
        </w:rPr>
      </w:pPr>
    </w:p>
    <w:p w14:paraId="724D256D" w14:textId="77777777" w:rsidR="007B0EF6" w:rsidRPr="004D307F" w:rsidRDefault="007B0EF6">
      <w:pPr>
        <w:rPr>
          <w:rFonts w:asciiTheme="majorHAnsi" w:eastAsia="Times New Roman" w:hAnsiTheme="majorHAnsi" w:cs="Times New Roman"/>
          <w:b/>
          <w:bCs/>
          <w:color w:val="323E4F" w:themeColor="text2" w:themeShade="BF"/>
          <w:kern w:val="36"/>
          <w:sz w:val="48"/>
          <w:szCs w:val="48"/>
          <w:lang w:eastAsia="en-AU"/>
        </w:rPr>
      </w:pPr>
      <w:r w:rsidRPr="004D307F">
        <w:br w:type="page"/>
      </w:r>
    </w:p>
    <w:p w14:paraId="71655CB5" w14:textId="77F0D10D" w:rsidR="00ED4312" w:rsidRPr="004D307F" w:rsidRDefault="00ED4312" w:rsidP="000F3581">
      <w:pPr>
        <w:pStyle w:val="Heading1"/>
      </w:pPr>
      <w:bookmarkStart w:id="45" w:name="_Toc99882746"/>
      <w:r w:rsidRPr="004D307F">
        <w:lastRenderedPageBreak/>
        <w:t>School Infrastructure</w:t>
      </w:r>
      <w:bookmarkEnd w:id="45"/>
      <w:r w:rsidRPr="004D307F">
        <w:t xml:space="preserve"> </w:t>
      </w:r>
    </w:p>
    <w:p w14:paraId="19C0FD4F" w14:textId="77777777" w:rsidR="00ED4312" w:rsidRPr="004D307F" w:rsidRDefault="00ED4312" w:rsidP="004D307F">
      <w:pPr>
        <w:spacing w:before="100" w:beforeAutospacing="1" w:after="100" w:afterAutospacing="1" w:line="312" w:lineRule="atLeast"/>
        <w:outlineLvl w:val="1"/>
        <w:rPr>
          <w:rFonts w:ascii="VIC" w:eastAsia="Times New Roman" w:hAnsi="VIC" w:cs="Times New Roman"/>
          <w:b/>
          <w:bCs/>
          <w:sz w:val="36"/>
          <w:szCs w:val="36"/>
          <w:lang w:val="en"/>
        </w:rPr>
      </w:pPr>
      <w:r w:rsidRPr="004D307F">
        <w:rPr>
          <w:rFonts w:ascii="VIC" w:eastAsia="Times New Roman" w:hAnsi="VIC" w:cs="Times New Roman"/>
          <w:sz w:val="36"/>
          <w:szCs w:val="36"/>
          <w:lang w:val="en" w:eastAsia="en-AU"/>
        </w:rPr>
        <w:t>Policy</w:t>
      </w:r>
    </w:p>
    <w:p w14:paraId="1BC26F35" w14:textId="77777777" w:rsidR="00ED4312" w:rsidRPr="004D307F" w:rsidRDefault="00ED4312" w:rsidP="00ED4312">
      <w:pPr>
        <w:pStyle w:val="NormalWeb"/>
        <w:spacing w:line="360" w:lineRule="atLeast"/>
        <w:rPr>
          <w:rFonts w:ascii="VIC-Regular" w:hAnsi="VIC-Regular"/>
          <w:color w:val="011A3C"/>
          <w:lang w:val="en"/>
        </w:rPr>
      </w:pPr>
      <w:r w:rsidRPr="004D307F">
        <w:rPr>
          <w:rFonts w:ascii="VIC-Regular" w:hAnsi="VIC-Regular"/>
          <w:color w:val="011A3C"/>
          <w:lang w:val="en"/>
        </w:rPr>
        <w:t>This policy provides information about how funding is allocated to schools through the Student Resource Package for school infrastructure.</w:t>
      </w:r>
    </w:p>
    <w:p w14:paraId="0D30FDE1" w14:textId="77777777" w:rsidR="00ED4312" w:rsidRPr="004D307F" w:rsidRDefault="00ED4312" w:rsidP="004D307F">
      <w:pPr>
        <w:spacing w:before="100" w:beforeAutospacing="1" w:after="100" w:afterAutospacing="1" w:line="312" w:lineRule="atLeast"/>
        <w:outlineLvl w:val="1"/>
        <w:rPr>
          <w:rFonts w:ascii="VIC" w:eastAsia="Times New Roman" w:hAnsi="VIC" w:cs="Times New Roman"/>
          <w:sz w:val="36"/>
          <w:szCs w:val="36"/>
          <w:lang w:val="en"/>
        </w:rPr>
      </w:pPr>
      <w:r w:rsidRPr="004D307F">
        <w:rPr>
          <w:rFonts w:ascii="VIC" w:eastAsia="Times New Roman" w:hAnsi="VIC" w:cs="Times New Roman"/>
          <w:sz w:val="36"/>
          <w:szCs w:val="36"/>
          <w:lang w:val="en" w:eastAsia="en-AU"/>
        </w:rPr>
        <w:t>Details</w:t>
      </w:r>
    </w:p>
    <w:p w14:paraId="2B884801" w14:textId="2FB78CEE" w:rsidR="00ED4312" w:rsidRPr="004D307F" w:rsidRDefault="00ED4312" w:rsidP="00ED4312">
      <w:pPr>
        <w:pStyle w:val="NormalWeb"/>
        <w:spacing w:line="360" w:lineRule="atLeast"/>
        <w:rPr>
          <w:rFonts w:ascii="VIC-Regular" w:hAnsi="VIC-Regular"/>
          <w:color w:val="011A3C"/>
          <w:lang w:val="en"/>
        </w:rPr>
      </w:pPr>
      <w:r w:rsidRPr="004D307F">
        <w:rPr>
          <w:rFonts w:ascii="VIC-Regular" w:hAnsi="VIC-Regular"/>
          <w:color w:val="011A3C"/>
          <w:lang w:val="en"/>
        </w:rPr>
        <w:t xml:space="preserve">‘School based funding’ is one of three categories of funding provided for by the Student Resource Package (SRP). Funding for ‘school infrastructure’ is one type of school-based funding provided to schools. The other type of </w:t>
      </w:r>
      <w:r w:rsidR="00AF025A" w:rsidRPr="004D307F">
        <w:rPr>
          <w:rFonts w:ascii="VIC-Regular" w:hAnsi="VIC-Regular"/>
          <w:color w:val="011A3C"/>
          <w:lang w:val="en"/>
        </w:rPr>
        <w:t>school-based</w:t>
      </w:r>
      <w:r w:rsidRPr="004D307F">
        <w:rPr>
          <w:rFonts w:ascii="VIC-Regular" w:hAnsi="VIC-Regular"/>
          <w:color w:val="011A3C"/>
          <w:lang w:val="en"/>
        </w:rPr>
        <w:t xml:space="preserve"> funding is funding for School Specific Programs.</w:t>
      </w:r>
    </w:p>
    <w:p w14:paraId="263F08BC" w14:textId="1087F21C" w:rsidR="00ED4312" w:rsidRPr="004D307F" w:rsidRDefault="00ED4312" w:rsidP="00ED4312">
      <w:pPr>
        <w:pStyle w:val="NormalWeb"/>
        <w:spacing w:line="360" w:lineRule="atLeast"/>
        <w:rPr>
          <w:rFonts w:ascii="VIC-Regular" w:hAnsi="VIC-Regular"/>
          <w:color w:val="011A3C"/>
          <w:lang w:val="en"/>
        </w:rPr>
      </w:pPr>
      <w:r w:rsidRPr="004D307F">
        <w:rPr>
          <w:rFonts w:ascii="VIC-Regular" w:hAnsi="VIC-Regular"/>
          <w:color w:val="011A3C"/>
          <w:lang w:val="en"/>
        </w:rPr>
        <w:t xml:space="preserve">The school infrastructure component provides funding for school facilities and programs specific to individual schools. The </w:t>
      </w:r>
      <w:r w:rsidR="009C379F" w:rsidRPr="004D307F">
        <w:rPr>
          <w:rFonts w:ascii="VIC-Regular" w:hAnsi="VIC-Regular"/>
          <w:color w:val="011A3C"/>
          <w:lang w:val="en"/>
        </w:rPr>
        <w:t xml:space="preserve">infrastructure </w:t>
      </w:r>
      <w:r w:rsidR="00D97AC3" w:rsidRPr="004D307F">
        <w:rPr>
          <w:rFonts w:ascii="VIC-Regular" w:hAnsi="VIC-Regular"/>
          <w:color w:val="011A3C"/>
          <w:lang w:val="en"/>
        </w:rPr>
        <w:t>section provides</w:t>
      </w:r>
      <w:r w:rsidRPr="004D307F">
        <w:rPr>
          <w:rFonts w:ascii="VIC-Regular" w:hAnsi="VIC-Regular"/>
          <w:color w:val="011A3C"/>
          <w:lang w:val="en"/>
        </w:rPr>
        <w:t xml:space="preserve"> information about the following specific types of infrastructure funding:</w:t>
      </w:r>
    </w:p>
    <w:p w14:paraId="5B3EDAE1"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Contract cleaning</w:t>
      </w:r>
    </w:p>
    <w:p w14:paraId="155FC7A0"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Cross infection prevention allowance</w:t>
      </w:r>
    </w:p>
    <w:p w14:paraId="167A0F75"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Cleaning minimum allowance</w:t>
      </w:r>
    </w:p>
    <w:p w14:paraId="63AFB62C"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Grounds allowance</w:t>
      </w:r>
    </w:p>
    <w:p w14:paraId="66EC9870"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Building area allowance</w:t>
      </w:r>
    </w:p>
    <w:p w14:paraId="1DA0F474"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proofErr w:type="gramStart"/>
      <w:r w:rsidRPr="004D307F">
        <w:rPr>
          <w:rFonts w:ascii="VIC-Regular" w:hAnsi="VIC-Regular"/>
          <w:color w:val="011A3C"/>
          <w:lang w:val="en"/>
        </w:rPr>
        <w:t>Split-site</w:t>
      </w:r>
      <w:proofErr w:type="gramEnd"/>
      <w:r w:rsidRPr="004D307F">
        <w:rPr>
          <w:rFonts w:ascii="VIC-Regular" w:hAnsi="VIC-Regular"/>
          <w:color w:val="011A3C"/>
          <w:lang w:val="en"/>
        </w:rPr>
        <w:t>/Multi-site allowance</w:t>
      </w:r>
    </w:p>
    <w:p w14:paraId="42CED1F8"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Utilities</w:t>
      </w:r>
    </w:p>
    <w:p w14:paraId="1359EA0B"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Maintenance</w:t>
      </w:r>
    </w:p>
    <w:p w14:paraId="7B745E64" w14:textId="4A5FDA23"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 xml:space="preserve">Annual contracts and </w:t>
      </w:r>
      <w:r w:rsidR="009C379F" w:rsidRPr="004D307F">
        <w:rPr>
          <w:rFonts w:ascii="VIC-Regular" w:hAnsi="VIC-Regular"/>
          <w:color w:val="011A3C"/>
          <w:lang w:val="en"/>
        </w:rPr>
        <w:t>Essential Safety Measures (ESM)</w:t>
      </w:r>
    </w:p>
    <w:p w14:paraId="3A561D96" w14:textId="77777777" w:rsidR="00ED4312" w:rsidRPr="004D307F" w:rsidRDefault="00ED4312" w:rsidP="00ED0863">
      <w:pPr>
        <w:numPr>
          <w:ilvl w:val="0"/>
          <w:numId w:val="123"/>
        </w:numPr>
        <w:spacing w:before="100" w:beforeAutospacing="1" w:after="100" w:afterAutospacing="1" w:line="360" w:lineRule="atLeast"/>
        <w:rPr>
          <w:rFonts w:ascii="VIC-Regular" w:hAnsi="VIC-Regular"/>
          <w:color w:val="011A3C"/>
          <w:lang w:val="en"/>
        </w:rPr>
      </w:pPr>
      <w:r w:rsidRPr="004D307F">
        <w:rPr>
          <w:rFonts w:ascii="VIC-Regular" w:hAnsi="VIC-Regular"/>
          <w:color w:val="011A3C"/>
          <w:lang w:val="en"/>
        </w:rPr>
        <w:t>Workers’ compensation</w:t>
      </w:r>
    </w:p>
    <w:p w14:paraId="4564E8F4" w14:textId="12F818A6" w:rsidR="00D97AC3" w:rsidRPr="004D307F" w:rsidRDefault="00ED4312" w:rsidP="000D106B">
      <w:pPr>
        <w:pStyle w:val="NormalWeb"/>
        <w:spacing w:line="360" w:lineRule="atLeast"/>
        <w:rPr>
          <w:rFonts w:ascii="VIC-Regular" w:hAnsi="VIC-Regular"/>
          <w:color w:val="011A3C"/>
          <w:lang w:val="en"/>
        </w:rPr>
      </w:pPr>
      <w:r w:rsidRPr="004D307F">
        <w:rPr>
          <w:rFonts w:ascii="VIC-Regular" w:hAnsi="VIC-Regular"/>
          <w:color w:val="011A3C"/>
          <w:lang w:val="en"/>
        </w:rPr>
        <w:t>Schools are expected to use SRP funds for the purpose for which it was allocated.</w:t>
      </w:r>
    </w:p>
    <w:p w14:paraId="67A6CF74" w14:textId="77777777" w:rsidR="00D97AC3" w:rsidRPr="004D307F" w:rsidRDefault="00D97AC3">
      <w:pPr>
        <w:rPr>
          <w:rFonts w:asciiTheme="majorHAnsi" w:eastAsia="Times New Roman" w:hAnsiTheme="majorHAnsi" w:cstheme="majorBidi"/>
          <w:b/>
          <w:color w:val="2F5496" w:themeColor="accent1" w:themeShade="BF"/>
          <w:sz w:val="36"/>
          <w:szCs w:val="26"/>
          <w:lang w:val="en" w:eastAsia="en-AU"/>
        </w:rPr>
      </w:pPr>
      <w:r w:rsidRPr="004D307F">
        <w:br w:type="page"/>
      </w:r>
    </w:p>
    <w:p w14:paraId="04BC7847" w14:textId="77777777" w:rsidR="00F01BB5" w:rsidRPr="004D307F" w:rsidRDefault="00F01BB5" w:rsidP="00F01BB5">
      <w:pPr>
        <w:keepNext/>
        <w:keepLines/>
        <w:spacing w:before="40" w:after="0"/>
        <w:outlineLvl w:val="1"/>
        <w:rPr>
          <w:rFonts w:asciiTheme="majorHAnsi" w:eastAsia="Times New Roman" w:hAnsiTheme="majorHAnsi" w:cstheme="majorBidi"/>
          <w:b/>
          <w:color w:val="2F5496" w:themeColor="accent1" w:themeShade="BF"/>
          <w:sz w:val="36"/>
          <w:szCs w:val="26"/>
          <w:lang w:val="en" w:eastAsia="en-AU"/>
        </w:rPr>
      </w:pPr>
      <w:bookmarkStart w:id="46" w:name="_Hlk83632973"/>
      <w:r w:rsidRPr="004D307F">
        <w:rPr>
          <w:rFonts w:asciiTheme="majorHAnsi" w:eastAsia="Times New Roman" w:hAnsiTheme="majorHAnsi" w:cstheme="majorBidi"/>
          <w:b/>
          <w:color w:val="2F5496" w:themeColor="accent1" w:themeShade="BF"/>
          <w:sz w:val="36"/>
          <w:szCs w:val="26"/>
          <w:lang w:val="en" w:eastAsia="en-AU"/>
        </w:rPr>
        <w:lastRenderedPageBreak/>
        <w:t>Contract cleaning (Reference 28)</w:t>
      </w:r>
    </w:p>
    <w:p w14:paraId="4D5EE9B9" w14:textId="77777777" w:rsidR="00F01BB5" w:rsidRPr="004D307F" w:rsidRDefault="00F01BB5" w:rsidP="004D307F">
      <w:pPr>
        <w:spacing w:before="100" w:beforeAutospacing="1" w:after="100" w:afterAutospacing="1" w:line="360" w:lineRule="atLeast"/>
        <w:outlineLvl w:val="2"/>
        <w:rPr>
          <w:rFonts w:ascii="VIC-Bold" w:eastAsia="Times New Roman" w:hAnsi="VIC-Bold" w:cs="Times New Roman"/>
          <w:b/>
          <w:bCs/>
          <w:color w:val="011A3C"/>
          <w:sz w:val="27"/>
          <w:szCs w:val="27"/>
          <w:lang w:val="en" w:eastAsia="en-AU"/>
        </w:rPr>
      </w:pPr>
      <w:bookmarkStart w:id="47" w:name="_Hlk97902551"/>
      <w:r w:rsidRPr="004D307F">
        <w:rPr>
          <w:rFonts w:ascii="VIC-Bold" w:eastAsia="Times New Roman" w:hAnsi="VIC-Bold" w:cs="Times New Roman"/>
          <w:b/>
          <w:bCs/>
          <w:color w:val="011A3C"/>
          <w:sz w:val="27"/>
          <w:szCs w:val="27"/>
          <w:lang w:val="en" w:eastAsia="en-AU"/>
        </w:rPr>
        <w:t>Funding for contract cleaning</w:t>
      </w:r>
    </w:p>
    <w:p w14:paraId="4D39454F" w14:textId="77777777" w:rsidR="00F01BB5" w:rsidRPr="004D307F" w:rsidRDefault="00F01BB5"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 funding for contract cleaning is included in the SRP based on normal and low-use areas as determined by cleanable spaces identified in the </w:t>
      </w:r>
      <w:hyperlink r:id="rId78" w:history="1">
        <w:r w:rsidRPr="004D307F">
          <w:rPr>
            <w:rFonts w:ascii="VIC-Regular" w:eastAsia="Times New Roman" w:hAnsi="VIC-Regular" w:cs="Times New Roman"/>
            <w:color w:val="011A3C"/>
            <w:sz w:val="24"/>
            <w:szCs w:val="24"/>
            <w:lang w:val="en" w:eastAsia="en-AU"/>
          </w:rPr>
          <w:t>school's facilities schedule</w:t>
        </w:r>
      </w:hyperlink>
      <w:r w:rsidRPr="004D307F">
        <w:rPr>
          <w:rFonts w:ascii="VIC-Regular" w:eastAsia="Times New Roman" w:hAnsi="VIC-Regular" w:cs="Times New Roman"/>
          <w:color w:val="011A3C"/>
          <w:sz w:val="24"/>
          <w:szCs w:val="24"/>
          <w:lang w:val="en" w:eastAsia="en-AU"/>
        </w:rPr>
        <w:t>.</w:t>
      </w:r>
    </w:p>
    <w:p w14:paraId="2924BF24"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cleaning allocation </w:t>
      </w:r>
      <w:r w:rsidRPr="004D307F">
        <w:rPr>
          <w:rFonts w:ascii="VIC-Regular" w:eastAsia="Times New Roman" w:hAnsi="VIC-Regular" w:cs="Times New Roman"/>
          <w:color w:val="011A3C"/>
          <w:sz w:val="24"/>
          <w:szCs w:val="24"/>
          <w:u w:val="single"/>
          <w:lang w:val="en" w:eastAsia="en-AU"/>
        </w:rPr>
        <w:t>does not</w:t>
      </w:r>
      <w:r w:rsidRPr="004D307F">
        <w:rPr>
          <w:rFonts w:ascii="VIC-Regular" w:eastAsia="Times New Roman" w:hAnsi="VIC-Regular" w:cs="Times New Roman"/>
          <w:color w:val="011A3C"/>
          <w:sz w:val="24"/>
          <w:szCs w:val="24"/>
          <w:lang w:val="en" w:eastAsia="en-AU"/>
        </w:rPr>
        <w:t xml:space="preserve"> include provision for the cost of school consumables such as toilet paper, paper towels, soap, disinfectant blocks, hand </w:t>
      </w:r>
      <w:proofErr w:type="spellStart"/>
      <w:r w:rsidRPr="004D307F">
        <w:rPr>
          <w:rFonts w:ascii="VIC-Regular" w:eastAsia="Times New Roman" w:hAnsi="VIC-Regular" w:cs="Times New Roman"/>
          <w:color w:val="011A3C"/>
          <w:sz w:val="24"/>
          <w:szCs w:val="24"/>
          <w:lang w:val="en" w:eastAsia="en-AU"/>
        </w:rPr>
        <w:t>sanitiser</w:t>
      </w:r>
      <w:proofErr w:type="spellEnd"/>
      <w:r w:rsidRPr="004D307F">
        <w:rPr>
          <w:rFonts w:ascii="VIC-Regular" w:eastAsia="Times New Roman" w:hAnsi="VIC-Regular" w:cs="Times New Roman"/>
          <w:color w:val="011A3C"/>
          <w:sz w:val="24"/>
          <w:szCs w:val="24"/>
          <w:lang w:val="en" w:eastAsia="en-AU"/>
        </w:rPr>
        <w:t>, or bin liners. Funding for these items is in the cash component of the Student Resource Package.</w:t>
      </w:r>
    </w:p>
    <w:p w14:paraId="01C5A0F2"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48" w:name="_Hlk97901985"/>
      <w:r w:rsidRPr="004D307F">
        <w:rPr>
          <w:rFonts w:ascii="VIC-Regular" w:eastAsia="Times New Roman" w:hAnsi="VIC-Regular" w:cs="Times New Roman"/>
          <w:color w:val="011A3C"/>
          <w:sz w:val="24"/>
          <w:szCs w:val="24"/>
          <w:lang w:val="en" w:eastAsia="en-AU"/>
        </w:rPr>
        <w:t>The Cleaning Model excludes the provision of cleaning services for school owned assets and the use of school facilities that are outside the normal school (such as external hirer, fetes, sports events, and out of hours use).</w:t>
      </w:r>
    </w:p>
    <w:bookmarkEnd w:id="48"/>
    <w:p w14:paraId="15BC27BA"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Confirmed SRP is based on the February Census. As with other elements of the SRP, the contract cleaning allocation is subject to change based on confirmed enrolments as per the February census.</w:t>
      </w:r>
    </w:p>
    <w:p w14:paraId="6E4CCCCF"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Contract cleaning allocations are adjusted for any building configuration changes that occur. Where the cleanable area is reduced, the area change is applied from the following term onwards. Where the cleanable area is increased, the cleaning area change is applied from the beginning of the term in which the change was made.</w:t>
      </w:r>
    </w:p>
    <w:p w14:paraId="135A018F"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49" w:name="_Hlk97902021"/>
      <w:r w:rsidRPr="004D307F">
        <w:rPr>
          <w:rFonts w:ascii="VIC-Regular" w:eastAsia="Times New Roman" w:hAnsi="VIC-Regular" w:cs="Times New Roman"/>
          <w:color w:val="011A3C"/>
          <w:sz w:val="24"/>
          <w:szCs w:val="24"/>
          <w:lang w:val="en" w:eastAsia="en-AU"/>
        </w:rPr>
        <w:t xml:space="preserve">With the introduction of the Victorian Government school cleaning reform, metropolitan schools are advised of the equivalent SRP funding. However, funding for cleaning is no longer provided directly to metropolitan schools as part of their student resource packages (SRP) but is held centrally, so the Department can pay the metropolitan school cleaning companies directly.   </w:t>
      </w:r>
    </w:p>
    <w:bookmarkEnd w:id="49"/>
    <w:p w14:paraId="7EFA9533" w14:textId="77777777" w:rsidR="00F01BB5" w:rsidRPr="004D307F" w:rsidRDefault="00F01BB5" w:rsidP="004D307F">
      <w:pPr>
        <w:spacing w:before="100" w:beforeAutospacing="1" w:after="100" w:afterAutospacing="1"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information for this program</w:t>
      </w:r>
    </w:p>
    <w:p w14:paraId="6E3AC5F4" w14:textId="77777777" w:rsidR="00F01BB5" w:rsidRPr="004D307F" w:rsidRDefault="00F01BB5" w:rsidP="004D307F">
      <w:pPr>
        <w:spacing w:before="100" w:beforeAutospacing="1" w:after="100" w:afterAutospacing="1" w:line="360"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Total cleaning area</w:t>
      </w:r>
    </w:p>
    <w:p w14:paraId="5FC9085E" w14:textId="77777777" w:rsidR="00F01BB5" w:rsidRPr="004D307F" w:rsidRDefault="00F01BB5"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is the total of the cleanable areas of the school as per the School Cleanable Area Report (CAR). The Total Cleaning Area used to calculate your budget which is contained in your Student Resource Package Budget advice notice and in the Quarterly Cash Grant advice. Any subsequent changes will </w:t>
      </w:r>
      <w:r w:rsidRPr="004D307F">
        <w:rPr>
          <w:rFonts w:ascii="VIC-Regular" w:eastAsia="Times New Roman" w:hAnsi="VIC-Regular" w:cs="Times New Roman"/>
          <w:color w:val="011A3C"/>
          <w:sz w:val="24"/>
          <w:szCs w:val="24"/>
          <w:lang w:val="en" w:eastAsia="en-AU"/>
        </w:rPr>
        <w:lastRenderedPageBreak/>
        <w:t xml:space="preserve">be reflected in your School Cleanable Area Report (CAR).  The CAR lists all rooms at a school and their cleanable eligibility, to provide a total cleanable area for the school. It is provided to schools by the VSBA each month through the School Facility Profile website.  </w:t>
      </w:r>
    </w:p>
    <w:p w14:paraId="3E52D930" w14:textId="77777777" w:rsidR="00F01BB5" w:rsidRPr="004D307F" w:rsidRDefault="00F01BB5" w:rsidP="004D307F">
      <w:pPr>
        <w:spacing w:before="100" w:beforeAutospacing="1" w:after="100" w:afterAutospacing="1" w:line="360"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Cleaning area entitlement</w:t>
      </w:r>
    </w:p>
    <w:p w14:paraId="0B62D484" w14:textId="77777777" w:rsidR="00F01BB5" w:rsidRPr="004D307F" w:rsidRDefault="00F01BB5"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cleaning area entitlement (normal use) for both secondary and primary schools is allocated in square </w:t>
      </w:r>
      <w:proofErr w:type="spellStart"/>
      <w:r w:rsidRPr="004D307F">
        <w:rPr>
          <w:rFonts w:ascii="VIC-Regular" w:eastAsia="Times New Roman" w:hAnsi="VIC-Regular" w:cs="Times New Roman"/>
          <w:color w:val="011A3C"/>
          <w:sz w:val="24"/>
          <w:szCs w:val="24"/>
          <w:lang w:val="en" w:eastAsia="en-AU"/>
        </w:rPr>
        <w:t>metres</w:t>
      </w:r>
      <w:proofErr w:type="spellEnd"/>
      <w:r w:rsidRPr="004D307F">
        <w:rPr>
          <w:rFonts w:ascii="VIC-Regular" w:eastAsia="Times New Roman" w:hAnsi="VIC-Regular" w:cs="Times New Roman"/>
          <w:color w:val="011A3C"/>
          <w:sz w:val="24"/>
          <w:szCs w:val="24"/>
          <w:lang w:val="en" w:eastAsia="en-AU"/>
        </w:rPr>
        <w:t xml:space="preserve"> according to enrolment bands of 25 students.</w:t>
      </w:r>
    </w:p>
    <w:p w14:paraId="697F89C4"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cleanable area </w:t>
      </w:r>
      <w:proofErr w:type="gramStart"/>
      <w:r w:rsidRPr="004D307F">
        <w:rPr>
          <w:rFonts w:ascii="VIC-Regular" w:eastAsia="Times New Roman" w:hAnsi="VIC-Regular" w:cs="Times New Roman"/>
          <w:color w:val="011A3C"/>
          <w:sz w:val="24"/>
          <w:szCs w:val="24"/>
          <w:lang w:val="en" w:eastAsia="en-AU"/>
        </w:rPr>
        <w:t>in excess of</w:t>
      </w:r>
      <w:proofErr w:type="gramEnd"/>
      <w:r w:rsidRPr="004D307F">
        <w:rPr>
          <w:rFonts w:ascii="VIC-Regular" w:eastAsia="Times New Roman" w:hAnsi="VIC-Regular" w:cs="Times New Roman"/>
          <w:color w:val="011A3C"/>
          <w:sz w:val="24"/>
          <w:szCs w:val="24"/>
          <w:lang w:val="en" w:eastAsia="en-AU"/>
        </w:rPr>
        <w:t xml:space="preserve"> entitlement is deemed as low use area.</w:t>
      </w:r>
    </w:p>
    <w:p w14:paraId="5CD51EC9"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enrolment or area entitlements, see: </w:t>
      </w:r>
      <w:hyperlink r:id="rId79" w:history="1">
        <w:r w:rsidRPr="004D307F">
          <w:rPr>
            <w:rFonts w:ascii="VIC-Regular" w:eastAsia="Times New Roman" w:hAnsi="VIC-Regular" w:cs="Times New Roman"/>
            <w:color w:val="011A3C"/>
            <w:sz w:val="24"/>
            <w:szCs w:val="24"/>
            <w:lang w:val="en" w:eastAsia="en-AU"/>
          </w:rPr>
          <w:t>Contract Cleaning Schedule spreadsheet</w:t>
        </w:r>
      </w:hyperlink>
    </w:p>
    <w:p w14:paraId="770AE526"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a small number of primary schools disadvantaged by the 1:25 Schedule introduced in 2001 additional m2 area is added to the school’s entitlement on AIMS to restore the school to the better of the former entitlement schedules. The adjustment is removed when the school moves into line with the 1:25 Schedule due to enrolment changes or if the school undergoes a facilities provision or upgrade program.</w:t>
      </w:r>
    </w:p>
    <w:p w14:paraId="7805E4BA" w14:textId="77777777" w:rsidR="00F01BB5" w:rsidRPr="004D307F" w:rsidRDefault="00F01BB5" w:rsidP="004D307F">
      <w:pPr>
        <w:spacing w:before="100" w:beforeAutospacing="1" w:after="100" w:afterAutospacing="1" w:line="360"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Building area changes</w:t>
      </w:r>
    </w:p>
    <w:p w14:paraId="1524B294" w14:textId="77777777" w:rsidR="00F01BB5" w:rsidRPr="004D307F" w:rsidRDefault="00F01BB5"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budget impact of area changes notified depends on whether the areas are part of the school’s area entitlement and whether they involve designated cleanable areas. Where areas change, schools should refer to the School Cleanable Area Report (CAR). </w:t>
      </w:r>
    </w:p>
    <w:p w14:paraId="3BE386BF"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If changes are required to the CAR or SAMS Plan, the school should download the latest SAMS plan, mark the areas that have changed or are missing, scan and forward to the information and Analysis Unit (IAU) at </w:t>
      </w:r>
      <w:hyperlink r:id="rId80" w:history="1">
        <w:r w:rsidRPr="004D307F">
          <w:rPr>
            <w:rFonts w:ascii="VIC-Regular" w:eastAsia="Times New Roman" w:hAnsi="VIC-Regular" w:cs="Times New Roman"/>
            <w:color w:val="0563C1" w:themeColor="hyperlink"/>
            <w:sz w:val="24"/>
            <w:szCs w:val="24"/>
            <w:u w:val="single"/>
            <w:lang w:val="en" w:eastAsia="en-AU"/>
          </w:rPr>
          <w:t>sams@education.vic.gov.au</w:t>
        </w:r>
      </w:hyperlink>
      <w:r w:rsidRPr="004D307F">
        <w:rPr>
          <w:rFonts w:ascii="VIC-Regular" w:eastAsia="Times New Roman" w:hAnsi="VIC-Regular" w:cs="Times New Roman"/>
          <w:color w:val="011A3C"/>
          <w:sz w:val="24"/>
          <w:szCs w:val="24"/>
          <w:lang w:val="en" w:eastAsia="en-AU"/>
        </w:rPr>
        <w:t>. It may take a few weeks for changes to appear due to the time required to obtain architectural plans and other documentation which confirm the exact changes and building room measurements.</w:t>
      </w:r>
    </w:p>
    <w:p w14:paraId="22B522F5"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Concurrently, the school should contact the School Cleaning Unit (</w:t>
      </w:r>
      <w:hyperlink r:id="rId81" w:history="1">
        <w:r w:rsidRPr="004D307F">
          <w:rPr>
            <w:rFonts w:ascii="VIC-Regular" w:eastAsia="Times New Roman" w:hAnsi="VIC-Regular" w:cs="Times New Roman"/>
            <w:color w:val="0563C1" w:themeColor="hyperlink"/>
            <w:sz w:val="24"/>
            <w:szCs w:val="24"/>
            <w:u w:val="single"/>
            <w:lang w:val="en" w:eastAsia="en-AU"/>
          </w:rPr>
          <w:t>cleaning@education.vic.gov.au</w:t>
        </w:r>
      </w:hyperlink>
      <w:r w:rsidRPr="004D307F">
        <w:rPr>
          <w:rFonts w:ascii="VIC-Regular" w:eastAsia="Times New Roman" w:hAnsi="VIC-Regular" w:cs="Times New Roman"/>
          <w:color w:val="011A3C"/>
          <w:sz w:val="24"/>
          <w:szCs w:val="24"/>
          <w:lang w:val="en" w:eastAsia="en-AU"/>
        </w:rPr>
        <w:t xml:space="preserve">) and their cleaning services provider to ensure and the areas are included in the cleaning schedule.  </w:t>
      </w:r>
    </w:p>
    <w:p w14:paraId="1A0AD51E" w14:textId="77777777" w:rsidR="00F01BB5" w:rsidRPr="004D307F" w:rsidRDefault="00F01BB5" w:rsidP="006D6E02">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Funding is calculated at the Indicative, Confirmed and Revised cycles; funding and is allocated through cash funding.</w:t>
      </w:r>
    </w:p>
    <w:bookmarkEnd w:id="47"/>
    <w:p w14:paraId="5B2C742D"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5371B704"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proofErr w:type="spellStart"/>
      <w:r w:rsidRPr="004D307F">
        <w:rPr>
          <w:rFonts w:ascii="VIC-Regular" w:eastAsia="Times New Roman" w:hAnsi="VIC-Regular" w:cs="Times New Roman"/>
          <w:color w:val="011A3C"/>
          <w:sz w:val="24"/>
          <w:szCs w:val="24"/>
          <w:lang w:val="en" w:eastAsia="en-AU"/>
        </w:rPr>
        <w:t>Normal_Use_Area</w:t>
      </w:r>
      <w:proofErr w:type="spellEnd"/>
      <w:r w:rsidRPr="004D307F">
        <w:rPr>
          <w:rFonts w:ascii="VIC-Regular" w:eastAsia="Times New Roman" w:hAnsi="VIC-Regular" w:cs="Times New Roman"/>
          <w:color w:val="011A3C"/>
          <w:sz w:val="24"/>
          <w:szCs w:val="24"/>
          <w:lang w:val="en" w:eastAsia="en-AU"/>
        </w:rPr>
        <w:t>] x [</w:t>
      </w:r>
      <w:proofErr w:type="spellStart"/>
      <w:r w:rsidRPr="004D307F">
        <w:rPr>
          <w:rFonts w:ascii="VIC-Regular" w:eastAsia="Times New Roman" w:hAnsi="VIC-Regular" w:cs="Times New Roman"/>
          <w:color w:val="011A3C"/>
          <w:sz w:val="24"/>
          <w:szCs w:val="24"/>
          <w:lang w:val="en" w:eastAsia="en-AU"/>
        </w:rPr>
        <w:t>Normal_Use_Rate</w:t>
      </w:r>
      <w:proofErr w:type="spellEnd"/>
      <w:r w:rsidRPr="004D307F">
        <w:rPr>
          <w:rFonts w:ascii="VIC-Regular" w:eastAsia="Times New Roman" w:hAnsi="VIC-Regular" w:cs="Times New Roman"/>
          <w:color w:val="011A3C"/>
          <w:sz w:val="24"/>
          <w:szCs w:val="24"/>
          <w:lang w:val="en" w:eastAsia="en-AU"/>
        </w:rPr>
        <w:t>] plus [</w:t>
      </w:r>
      <w:proofErr w:type="spellStart"/>
      <w:r w:rsidRPr="004D307F">
        <w:rPr>
          <w:rFonts w:ascii="VIC-Regular" w:eastAsia="Times New Roman" w:hAnsi="VIC-Regular" w:cs="Times New Roman"/>
          <w:color w:val="011A3C"/>
          <w:sz w:val="24"/>
          <w:szCs w:val="24"/>
          <w:lang w:val="en" w:eastAsia="en-AU"/>
        </w:rPr>
        <w:t>Low_Use_Area</w:t>
      </w:r>
      <w:proofErr w:type="spellEnd"/>
      <w:r w:rsidRPr="004D307F">
        <w:rPr>
          <w:rFonts w:ascii="VIC-Regular" w:eastAsia="Times New Roman" w:hAnsi="VIC-Regular" w:cs="Times New Roman"/>
          <w:color w:val="011A3C"/>
          <w:sz w:val="24"/>
          <w:szCs w:val="24"/>
          <w:lang w:val="en" w:eastAsia="en-AU"/>
        </w:rPr>
        <w:t>] x [</w:t>
      </w:r>
      <w:proofErr w:type="spellStart"/>
      <w:r w:rsidRPr="004D307F">
        <w:rPr>
          <w:rFonts w:ascii="VIC-Regular" w:eastAsia="Times New Roman" w:hAnsi="VIC-Regular" w:cs="Times New Roman"/>
          <w:color w:val="011A3C"/>
          <w:sz w:val="24"/>
          <w:szCs w:val="24"/>
          <w:lang w:val="en" w:eastAsia="en-AU"/>
        </w:rPr>
        <w:t>Low_Use_Rate</w:t>
      </w:r>
      <w:proofErr w:type="spellEnd"/>
      <w:r w:rsidRPr="004D307F">
        <w:rPr>
          <w:rFonts w:ascii="VIC-Regular" w:eastAsia="Times New Roman" w:hAnsi="VIC-Regular" w:cs="Times New Roman"/>
          <w:color w:val="011A3C"/>
          <w:sz w:val="24"/>
          <w:szCs w:val="24"/>
          <w:lang w:val="en" w:eastAsia="en-AU"/>
        </w:rPr>
        <w:t>]</w:t>
      </w:r>
    </w:p>
    <w:p w14:paraId="4C86F808" w14:textId="77777777" w:rsidR="00F01BB5" w:rsidRPr="004D307F" w:rsidRDefault="00F01BB5" w:rsidP="00C96EF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Refer to Rates Section for stipulated minimum dollar allocation.</w:t>
      </w:r>
    </w:p>
    <w:p w14:paraId="70E6341A" w14:textId="77777777" w:rsidR="00F01BB5" w:rsidRPr="004D307F" w:rsidRDefault="00F01BB5" w:rsidP="00C96EF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Entitlement cannot exceed Total Cleanable Area.</w:t>
      </w:r>
    </w:p>
    <w:p w14:paraId="4A69CA8C"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76"/>
        <w:gridCol w:w="1722"/>
        <w:gridCol w:w="1318"/>
      </w:tblGrid>
      <w:tr w:rsidR="000F3581" w:rsidRPr="004D307F" w14:paraId="049FBAA2" w14:textId="77777777" w:rsidTr="001B1487">
        <w:trPr>
          <w:tblHeader/>
        </w:trPr>
        <w:tc>
          <w:tcPr>
            <w:tcW w:w="0" w:type="auto"/>
            <w:hideMark/>
          </w:tcPr>
          <w:p w14:paraId="578C3580" w14:textId="77777777" w:rsidR="00F01BB5" w:rsidRPr="004D307F" w:rsidRDefault="00F01BB5" w:rsidP="001B1487">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Campus Type</w:t>
            </w:r>
          </w:p>
        </w:tc>
        <w:tc>
          <w:tcPr>
            <w:tcW w:w="0" w:type="auto"/>
            <w:hideMark/>
          </w:tcPr>
          <w:p w14:paraId="38ED44C5" w14:textId="77777777" w:rsidR="00F01BB5" w:rsidRPr="004D307F" w:rsidRDefault="00F01BB5" w:rsidP="001B1487">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Normal Use ($)</w:t>
            </w:r>
          </w:p>
        </w:tc>
        <w:tc>
          <w:tcPr>
            <w:tcW w:w="0" w:type="auto"/>
            <w:hideMark/>
          </w:tcPr>
          <w:p w14:paraId="0174082C" w14:textId="77777777" w:rsidR="00F01BB5" w:rsidRPr="004D307F" w:rsidRDefault="00F01BB5" w:rsidP="001B1487">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Low Use ($)</w:t>
            </w:r>
          </w:p>
        </w:tc>
      </w:tr>
      <w:tr w:rsidR="000F3581" w:rsidRPr="004D307F" w14:paraId="5F710A20" w14:textId="77777777" w:rsidTr="001B1487">
        <w:tc>
          <w:tcPr>
            <w:tcW w:w="0" w:type="auto"/>
            <w:hideMark/>
          </w:tcPr>
          <w:p w14:paraId="11A185EF" w14:textId="77777777" w:rsidR="00F01BB5" w:rsidRPr="004D307F" w:rsidRDefault="00F01BB5" w:rsidP="001B148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Special Development School, Day Special and Special</w:t>
            </w:r>
          </w:p>
        </w:tc>
        <w:tc>
          <w:tcPr>
            <w:tcW w:w="0" w:type="auto"/>
            <w:hideMark/>
          </w:tcPr>
          <w:p w14:paraId="7C9BE9AD"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29.70</w:t>
            </w:r>
          </w:p>
        </w:tc>
        <w:tc>
          <w:tcPr>
            <w:tcW w:w="0" w:type="auto"/>
            <w:hideMark/>
          </w:tcPr>
          <w:p w14:paraId="04609979"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N/A</w:t>
            </w:r>
          </w:p>
        </w:tc>
      </w:tr>
      <w:tr w:rsidR="000F3581" w:rsidRPr="004D307F" w14:paraId="32513FD2" w14:textId="77777777" w:rsidTr="001B1487">
        <w:tc>
          <w:tcPr>
            <w:tcW w:w="0" w:type="auto"/>
            <w:hideMark/>
          </w:tcPr>
          <w:p w14:paraId="6F6E84FF" w14:textId="77777777" w:rsidR="00F01BB5" w:rsidRPr="004D307F" w:rsidRDefault="00F01BB5" w:rsidP="001B148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All Others</w:t>
            </w:r>
          </w:p>
        </w:tc>
        <w:tc>
          <w:tcPr>
            <w:tcW w:w="0" w:type="auto"/>
            <w:hideMark/>
          </w:tcPr>
          <w:p w14:paraId="7DF115B5"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27.67</w:t>
            </w:r>
          </w:p>
        </w:tc>
        <w:tc>
          <w:tcPr>
            <w:tcW w:w="0" w:type="auto"/>
            <w:hideMark/>
          </w:tcPr>
          <w:p w14:paraId="24DAB053"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5.93</w:t>
            </w:r>
          </w:p>
        </w:tc>
      </w:tr>
      <w:tr w:rsidR="000F3581" w:rsidRPr="004D307F" w14:paraId="2E2D1AB4" w14:textId="77777777" w:rsidTr="001B1487">
        <w:tc>
          <w:tcPr>
            <w:tcW w:w="0" w:type="auto"/>
            <w:hideMark/>
          </w:tcPr>
          <w:p w14:paraId="64C8FA61" w14:textId="77777777" w:rsidR="00F01BB5" w:rsidRPr="004D307F" w:rsidRDefault="00F01BB5" w:rsidP="001B148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Small schools under 372m</w:t>
            </w:r>
            <w:r w:rsidRPr="004D307F">
              <w:rPr>
                <w:rFonts w:ascii="VIC-Regular" w:eastAsia="Times New Roman" w:hAnsi="VIC-Regular" w:cs="Times New Roman"/>
                <w:color w:val="323E4F" w:themeColor="text2" w:themeShade="BF"/>
                <w:sz w:val="18"/>
                <w:szCs w:val="18"/>
                <w:vertAlign w:val="superscript"/>
                <w:lang w:eastAsia="en-AU"/>
              </w:rPr>
              <w:t>2</w:t>
            </w:r>
          </w:p>
        </w:tc>
        <w:tc>
          <w:tcPr>
            <w:tcW w:w="0" w:type="auto"/>
            <w:hideMark/>
          </w:tcPr>
          <w:p w14:paraId="0D3A4544"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22.35</w:t>
            </w:r>
          </w:p>
        </w:tc>
        <w:tc>
          <w:tcPr>
            <w:tcW w:w="0" w:type="auto"/>
            <w:hideMark/>
          </w:tcPr>
          <w:p w14:paraId="0F7FF602"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N/A</w:t>
            </w:r>
          </w:p>
        </w:tc>
      </w:tr>
      <w:tr w:rsidR="000F3581" w:rsidRPr="004D307F" w14:paraId="0E48B900" w14:textId="77777777" w:rsidTr="001B1487">
        <w:tc>
          <w:tcPr>
            <w:tcW w:w="0" w:type="auto"/>
            <w:hideMark/>
          </w:tcPr>
          <w:p w14:paraId="09A790CB" w14:textId="77777777" w:rsidR="00F01BB5" w:rsidRPr="004D307F" w:rsidRDefault="00F01BB5" w:rsidP="001B148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Minimum Allocation</w:t>
            </w:r>
          </w:p>
        </w:tc>
        <w:tc>
          <w:tcPr>
            <w:tcW w:w="0" w:type="auto"/>
            <w:hideMark/>
          </w:tcPr>
          <w:p w14:paraId="7C6A67BA"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5,839</w:t>
            </w:r>
          </w:p>
        </w:tc>
        <w:tc>
          <w:tcPr>
            <w:tcW w:w="0" w:type="auto"/>
            <w:hideMark/>
          </w:tcPr>
          <w:p w14:paraId="191A3C50" w14:textId="77777777" w:rsidR="00F01BB5" w:rsidRPr="004D307F" w:rsidRDefault="00F01BB5" w:rsidP="001B148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N/A</w:t>
            </w:r>
          </w:p>
        </w:tc>
      </w:tr>
    </w:tbl>
    <w:p w14:paraId="79575B2D"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Notes</w:t>
      </w:r>
    </w:p>
    <w:p w14:paraId="2751BE1E"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Split site and multi-campus locations are calculated as separate entities.</w:t>
      </w:r>
    </w:p>
    <w:p w14:paraId="05F7469D"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7A5CB3F9" w14:textId="77777777" w:rsidR="00F01BB5" w:rsidRPr="004D307F" w:rsidRDefault="00F01BB5" w:rsidP="00ED0863">
      <w:pPr>
        <w:numPr>
          <w:ilvl w:val="0"/>
          <w:numId w:val="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6001 – Building Services and Utilities</w:t>
      </w:r>
    </w:p>
    <w:p w14:paraId="51714779" w14:textId="77777777" w:rsidR="00F01BB5" w:rsidRPr="004D307F" w:rsidRDefault="00F01BB5" w:rsidP="00ED0863">
      <w:pPr>
        <w:numPr>
          <w:ilvl w:val="0"/>
          <w:numId w:val="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86502 – Contract Cleaning</w:t>
      </w:r>
    </w:p>
    <w:bookmarkEnd w:id="46"/>
    <w:p w14:paraId="407EED08" w14:textId="77777777" w:rsidR="007B0EF6" w:rsidRPr="004D307F" w:rsidRDefault="007B0EF6" w:rsidP="00B566E7">
      <w:pPr>
        <w:pStyle w:val="Heading2"/>
      </w:pPr>
      <w:r w:rsidRPr="004D307F">
        <w:br w:type="page"/>
      </w:r>
    </w:p>
    <w:p w14:paraId="68651DE2" w14:textId="554A2F27" w:rsidR="0076693A" w:rsidRPr="004D307F" w:rsidRDefault="0076693A" w:rsidP="00B566E7">
      <w:pPr>
        <w:pStyle w:val="Heading2"/>
      </w:pPr>
      <w:bookmarkStart w:id="50" w:name="_Toc99882747"/>
      <w:bookmarkStart w:id="51" w:name="_Hlk65739654"/>
      <w:r w:rsidRPr="004D307F">
        <w:lastRenderedPageBreak/>
        <w:t>Cross Infection Prevention Allowance (Reference 29)</w:t>
      </w:r>
      <w:bookmarkEnd w:id="50"/>
    </w:p>
    <w:p w14:paraId="737AFC94" w14:textId="7599FDD2" w:rsidR="00EA42F1" w:rsidRPr="004D307F" w:rsidRDefault="00EA42F1" w:rsidP="00EA42F1">
      <w:pPr>
        <w:pStyle w:val="NormalWeb"/>
        <w:spacing w:line="360" w:lineRule="atLeast"/>
        <w:rPr>
          <w:rFonts w:ascii="VIC-Regular" w:hAnsi="VIC-Regular"/>
          <w:color w:val="011A3C"/>
          <w:lang w:val="en"/>
        </w:rPr>
      </w:pPr>
      <w:r w:rsidRPr="004D307F">
        <w:rPr>
          <w:rFonts w:ascii="VIC-Regular" w:hAnsi="VIC-Regular"/>
          <w:color w:val="011A3C"/>
          <w:lang w:val="en"/>
        </w:rPr>
        <w:t>Additional cleaning funds are provided to special developmental schools and physical disability special schools to reduce the risk of cross infection.</w:t>
      </w:r>
    </w:p>
    <w:p w14:paraId="0DB6AC8D" w14:textId="77777777" w:rsidR="00CC07DD" w:rsidRPr="004D307F" w:rsidRDefault="00CC07DD" w:rsidP="00CC07DD">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3406612F" w14:textId="77777777" w:rsidR="00CC07DD" w:rsidRPr="004D307F" w:rsidRDefault="00CC07DD" w:rsidP="00ED0863">
      <w:pPr>
        <w:numPr>
          <w:ilvl w:val="0"/>
          <w:numId w:val="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6001 – Building Services and Utilities</w:t>
      </w:r>
    </w:p>
    <w:p w14:paraId="2FAB453F" w14:textId="73CB183F" w:rsidR="00CC07DD" w:rsidRPr="004D307F" w:rsidRDefault="00CC07DD" w:rsidP="00ED0863">
      <w:pPr>
        <w:numPr>
          <w:ilvl w:val="0"/>
          <w:numId w:val="3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86502 – Contract Cleaning</w:t>
      </w:r>
    </w:p>
    <w:p w14:paraId="5B11933F" w14:textId="77777777" w:rsidR="00EA42F1" w:rsidRPr="004D307F" w:rsidRDefault="00EA42F1" w:rsidP="00EA42F1">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4C4AB300" w14:textId="3788AEB4" w:rsidR="00EA42F1" w:rsidRPr="004D307F" w:rsidRDefault="006C1522" w:rsidP="00EA42F1">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t>
      </w:r>
      <w:r w:rsidR="00EA42F1" w:rsidRPr="004D307F">
        <w:rPr>
          <w:rFonts w:ascii="VIC-Regular" w:eastAsia="Times New Roman" w:hAnsi="VIC-Regular" w:cs="Times New Roman"/>
          <w:color w:val="011A3C"/>
          <w:sz w:val="24"/>
          <w:szCs w:val="24"/>
          <w:lang w:val="en" w:eastAsia="en-AU"/>
        </w:rPr>
        <w:t>with the following campus types are eligible for Cross Infection Prevention Allowance at campus level:</w:t>
      </w:r>
    </w:p>
    <w:p w14:paraId="68C1DC0B" w14:textId="77777777" w:rsidR="00EA42F1" w:rsidRPr="004D307F" w:rsidRDefault="00EA42F1" w:rsidP="00ED0863">
      <w:pPr>
        <w:numPr>
          <w:ilvl w:val="0"/>
          <w:numId w:val="52"/>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 development</w:t>
      </w:r>
    </w:p>
    <w:p w14:paraId="7023720D" w14:textId="04A021A0" w:rsidR="00EA42F1" w:rsidRPr="004D307F" w:rsidRDefault="00EA42F1" w:rsidP="00ED0863">
      <w:pPr>
        <w:numPr>
          <w:ilvl w:val="0"/>
          <w:numId w:val="52"/>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Disability</w:t>
      </w:r>
    </w:p>
    <w:p w14:paraId="0E36BACA" w14:textId="030A244E" w:rsidR="00FC586C" w:rsidRPr="004D307F" w:rsidRDefault="00FC586C" w:rsidP="00ED0863">
      <w:pPr>
        <w:numPr>
          <w:ilvl w:val="0"/>
          <w:numId w:val="52"/>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Day Special</w:t>
      </w:r>
    </w:p>
    <w:p w14:paraId="371F835B" w14:textId="62C23020" w:rsidR="00FC586C" w:rsidRPr="004D307F" w:rsidRDefault="00FC586C" w:rsidP="00ED0863">
      <w:pPr>
        <w:numPr>
          <w:ilvl w:val="0"/>
          <w:numId w:val="52"/>
        </w:num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339AD141" w14:textId="78BB68C5" w:rsidR="004C0591" w:rsidRPr="004D307F" w:rsidRDefault="00EA42F1" w:rsidP="00EA42F1">
      <w:pPr>
        <w:pStyle w:val="Heading3"/>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Funding is calculated at the Indicative, Confirmed and Revised cycles,</w:t>
      </w:r>
      <w:r w:rsidR="00796B97" w:rsidRPr="004D307F">
        <w:rPr>
          <w:rFonts w:ascii="VIC-Regular" w:eastAsia="Times New Roman" w:hAnsi="VIC-Regular" w:cs="Times New Roman"/>
          <w:color w:val="011A3C"/>
          <w:lang w:val="en" w:eastAsia="en-AU"/>
        </w:rPr>
        <w:t xml:space="preserve"> and</w:t>
      </w:r>
      <w:r w:rsidRPr="004D307F">
        <w:rPr>
          <w:rFonts w:ascii="VIC-Regular" w:eastAsia="Times New Roman" w:hAnsi="VIC-Regular" w:cs="Times New Roman"/>
          <w:color w:val="011A3C"/>
          <w:lang w:val="en" w:eastAsia="en-AU"/>
        </w:rPr>
        <w:t xml:space="preserve"> is provided through cash funding.</w:t>
      </w:r>
      <w:r w:rsidR="004C0591" w:rsidRPr="004D307F">
        <w:rPr>
          <w:rFonts w:ascii="VIC-Regular" w:eastAsia="Times New Roman" w:hAnsi="VIC-Regular" w:cs="Times New Roman"/>
          <w:color w:val="011A3C"/>
          <w:lang w:val="en" w:eastAsia="en-AU"/>
        </w:rPr>
        <w:t xml:space="preserve"> </w:t>
      </w:r>
    </w:p>
    <w:p w14:paraId="5038B672" w14:textId="48AF4155" w:rsidR="00EA42F1" w:rsidRPr="004D307F" w:rsidRDefault="00EA42F1" w:rsidP="00B846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1C7C81" w:rsidRPr="004D307F">
        <w:rPr>
          <w:rFonts w:ascii="VIC-Bold" w:eastAsia="Times New Roman" w:hAnsi="VIC-Bold" w:cs="Times New Roman"/>
          <w:b/>
          <w:bCs/>
          <w:color w:val="011A3C"/>
          <w:sz w:val="27"/>
          <w:szCs w:val="27"/>
          <w:lang w:val="en" w:eastAsia="en-AU"/>
        </w:rPr>
        <w:t>2</w:t>
      </w:r>
    </w:p>
    <w:p w14:paraId="0A386788" w14:textId="066A25C9" w:rsidR="0076693A" w:rsidRPr="004D307F" w:rsidRDefault="00117C90" w:rsidP="00ED0863">
      <w:pPr>
        <w:pStyle w:val="NoSpacing"/>
        <w:numPr>
          <w:ilvl w:val="0"/>
          <w:numId w:val="138"/>
        </w:numPr>
      </w:pPr>
      <w:r w:rsidRPr="004D307F">
        <w:rPr>
          <w:lang w:val="en" w:eastAsia="en-AU"/>
        </w:rPr>
        <w:t xml:space="preserve">A flat rate is provided for </w:t>
      </w:r>
      <w:r w:rsidR="008E7838" w:rsidRPr="004D307F">
        <w:rPr>
          <w:lang w:val="en" w:eastAsia="en-AU"/>
        </w:rPr>
        <w:t xml:space="preserve">eligible </w:t>
      </w:r>
      <w:r w:rsidR="008F4825" w:rsidRPr="004D307F">
        <w:rPr>
          <w:lang w:val="en" w:eastAsia="en-AU"/>
        </w:rPr>
        <w:t xml:space="preserve">schools - </w:t>
      </w:r>
      <w:r w:rsidR="00337C31" w:rsidRPr="004D307F">
        <w:rPr>
          <w:sz w:val="24"/>
          <w:szCs w:val="24"/>
          <w:lang w:val="en"/>
        </w:rPr>
        <w:t>$</w:t>
      </w:r>
      <w:r w:rsidR="00990116" w:rsidRPr="004D307F">
        <w:rPr>
          <w:sz w:val="24"/>
          <w:szCs w:val="24"/>
          <w:lang w:val="en"/>
        </w:rPr>
        <w:t>13,</w:t>
      </w:r>
      <w:r w:rsidR="001C7C81" w:rsidRPr="004D307F">
        <w:rPr>
          <w:sz w:val="24"/>
          <w:szCs w:val="24"/>
          <w:lang w:val="en"/>
        </w:rPr>
        <w:t>5</w:t>
      </w:r>
      <w:r w:rsidR="00990116" w:rsidRPr="004D307F">
        <w:rPr>
          <w:sz w:val="24"/>
          <w:szCs w:val="24"/>
          <w:lang w:val="en"/>
        </w:rPr>
        <w:t>59</w:t>
      </w:r>
      <w:r w:rsidR="0076693A" w:rsidRPr="004D307F">
        <w:br w:type="page"/>
      </w:r>
    </w:p>
    <w:p w14:paraId="30E88C9F" w14:textId="4BFED6E9" w:rsidR="0076693A" w:rsidRPr="004D307F" w:rsidRDefault="0076693A" w:rsidP="00B566E7">
      <w:pPr>
        <w:pStyle w:val="Heading2"/>
      </w:pPr>
      <w:bookmarkStart w:id="52" w:name="_Toc99882748"/>
      <w:bookmarkEnd w:id="51"/>
      <w:r w:rsidRPr="004D307F">
        <w:lastRenderedPageBreak/>
        <w:t>Cleaning Minimum Allowance (Reference 30)</w:t>
      </w:r>
      <w:bookmarkEnd w:id="52"/>
    </w:p>
    <w:p w14:paraId="64677CC9" w14:textId="641CE5CB"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 minimum </w:t>
      </w:r>
      <w:r w:rsidR="008E7838" w:rsidRPr="004D307F">
        <w:rPr>
          <w:rFonts w:ascii="VIC-Regular" w:eastAsia="Times New Roman" w:hAnsi="VIC-Regular" w:cs="Times New Roman"/>
          <w:color w:val="011A3C"/>
          <w:sz w:val="24"/>
          <w:szCs w:val="24"/>
          <w:lang w:val="en" w:eastAsia="en-AU"/>
        </w:rPr>
        <w:t xml:space="preserve">allowance </w:t>
      </w:r>
      <w:r w:rsidRPr="004D307F">
        <w:rPr>
          <w:rFonts w:ascii="VIC-Regular" w:eastAsia="Times New Roman" w:hAnsi="VIC-Regular" w:cs="Times New Roman"/>
          <w:color w:val="011A3C"/>
          <w:sz w:val="24"/>
          <w:szCs w:val="24"/>
          <w:lang w:val="en" w:eastAsia="en-AU"/>
        </w:rPr>
        <w:t xml:space="preserve">is applied to schools and </w:t>
      </w:r>
      <w:proofErr w:type="spellStart"/>
      <w:r w:rsidR="008F4825" w:rsidRPr="004D307F">
        <w:rPr>
          <w:rFonts w:ascii="VIC-Regular" w:eastAsia="Times New Roman" w:hAnsi="VIC-Regular" w:cs="Times New Roman"/>
          <w:color w:val="011A3C"/>
          <w:sz w:val="24"/>
          <w:szCs w:val="24"/>
          <w:lang w:val="en" w:eastAsia="en-AU"/>
        </w:rPr>
        <w:t>centres</w:t>
      </w:r>
      <w:proofErr w:type="spellEnd"/>
      <w:r w:rsidR="008F4825" w:rsidRPr="004D307F">
        <w:rPr>
          <w:rFonts w:ascii="VIC-Regular" w:eastAsia="Times New Roman" w:hAnsi="VIC-Regular" w:cs="Times New Roman"/>
          <w:color w:val="011A3C"/>
          <w:sz w:val="24"/>
          <w:szCs w:val="24"/>
          <w:lang w:val="en" w:eastAsia="en-AU"/>
        </w:rPr>
        <w:t>, that</w:t>
      </w:r>
      <w:r w:rsidR="00E14875"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are not included in the metropolitan area-based cleaning model.  </w:t>
      </w:r>
    </w:p>
    <w:p w14:paraId="6068086E" w14:textId="77777777" w:rsidR="00CC07DD" w:rsidRPr="004D307F" w:rsidRDefault="00CC07DD" w:rsidP="00CC07DD">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121860DF" w14:textId="77777777" w:rsidR="00CC07DD" w:rsidRPr="004D307F" w:rsidRDefault="00CC07DD" w:rsidP="00ED0863">
      <w:pPr>
        <w:pStyle w:val="ListParagraph"/>
        <w:numPr>
          <w:ilvl w:val="0"/>
          <w:numId w:val="138"/>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6001 – Building Services and Utilities</w:t>
      </w:r>
    </w:p>
    <w:p w14:paraId="1DF57B8B" w14:textId="132C956D" w:rsidR="00CC07DD" w:rsidRPr="004D307F" w:rsidRDefault="00CC07DD" w:rsidP="00ED0863">
      <w:pPr>
        <w:pStyle w:val="ListParagraph"/>
        <w:numPr>
          <w:ilvl w:val="0"/>
          <w:numId w:val="138"/>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86502 – Contract Cleaning</w:t>
      </w:r>
    </w:p>
    <w:p w14:paraId="242EC633" w14:textId="21F194C0" w:rsidR="00947063" w:rsidRPr="004D307F" w:rsidRDefault="00947063"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cycles, </w:t>
      </w:r>
      <w:r w:rsidR="00083F97" w:rsidRPr="004D307F">
        <w:rPr>
          <w:rFonts w:ascii="VIC-Regular" w:eastAsia="Times New Roman" w:hAnsi="VIC-Regular" w:cs="Times New Roman"/>
          <w:color w:val="011A3C"/>
          <w:sz w:val="24"/>
          <w:szCs w:val="24"/>
          <w:lang w:val="en" w:eastAsia="en-AU"/>
        </w:rPr>
        <w:t xml:space="preserve">and </w:t>
      </w:r>
      <w:r w:rsidRPr="004D307F">
        <w:rPr>
          <w:rFonts w:ascii="VIC-Regular" w:eastAsia="Times New Roman" w:hAnsi="VIC-Regular" w:cs="Times New Roman"/>
          <w:color w:val="011A3C"/>
          <w:sz w:val="24"/>
          <w:szCs w:val="24"/>
          <w:lang w:val="en" w:eastAsia="en-AU"/>
        </w:rPr>
        <w:t>provided through cash funding.</w:t>
      </w:r>
    </w:p>
    <w:p w14:paraId="712B20BB" w14:textId="4BE4452B"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083F97" w:rsidRPr="004D307F">
        <w:rPr>
          <w:rFonts w:ascii="VIC-Bold" w:eastAsia="Times New Roman" w:hAnsi="VIC-Bold" w:cs="Times New Roman"/>
          <w:b/>
          <w:bCs/>
          <w:color w:val="011A3C"/>
          <w:sz w:val="27"/>
          <w:szCs w:val="27"/>
          <w:lang w:val="en" w:eastAsia="en-AU"/>
        </w:rPr>
        <w:t>2</w:t>
      </w:r>
    </w:p>
    <w:p w14:paraId="1DA7A916" w14:textId="0F3E5E09" w:rsidR="0076693A" w:rsidRPr="004D307F" w:rsidRDefault="0076693A" w:rsidP="00550811">
      <w:pPr>
        <w:spacing w:before="100" w:beforeAutospacing="1" w:after="100" w:afterAutospacing="1" w:line="360" w:lineRule="atLeast"/>
      </w:pPr>
      <w:r w:rsidRPr="004D307F">
        <w:rPr>
          <w:rFonts w:ascii="VIC-Regular" w:eastAsia="Times New Roman" w:hAnsi="VIC-Regular" w:cs="Times New Roman"/>
          <w:color w:val="011A3C"/>
          <w:sz w:val="24"/>
          <w:szCs w:val="24"/>
          <w:lang w:val="en" w:eastAsia="en-AU"/>
        </w:rPr>
        <w:t xml:space="preserve">Minimum: </w:t>
      </w:r>
      <w:r w:rsidR="00337C31" w:rsidRPr="004D307F">
        <w:rPr>
          <w:rFonts w:ascii="VIC-Regular" w:eastAsia="Times New Roman" w:hAnsi="VIC-Regular" w:cs="Times New Roman"/>
          <w:color w:val="011A3C"/>
          <w:sz w:val="24"/>
          <w:szCs w:val="24"/>
          <w:lang w:val="en" w:eastAsia="en-AU"/>
        </w:rPr>
        <w:t>$</w:t>
      </w:r>
      <w:r w:rsidR="00550811" w:rsidRPr="004D307F">
        <w:rPr>
          <w:rFonts w:ascii="VIC-Regular" w:eastAsia="Times New Roman" w:hAnsi="VIC-Regular" w:cs="Times New Roman"/>
          <w:color w:val="011A3C"/>
          <w:sz w:val="24"/>
          <w:szCs w:val="24"/>
          <w:lang w:val="en" w:eastAsia="en-AU"/>
        </w:rPr>
        <w:t>5,</w:t>
      </w:r>
      <w:r w:rsidR="00083F97" w:rsidRPr="004D307F">
        <w:rPr>
          <w:rFonts w:ascii="VIC-Regular" w:eastAsia="Times New Roman" w:hAnsi="VIC-Regular" w:cs="Times New Roman"/>
          <w:color w:val="011A3C"/>
          <w:sz w:val="24"/>
          <w:szCs w:val="24"/>
          <w:lang w:val="en" w:eastAsia="en-AU"/>
        </w:rPr>
        <w:t>839</w:t>
      </w:r>
    </w:p>
    <w:p w14:paraId="440E7F11" w14:textId="77777777" w:rsidR="0076693A" w:rsidRPr="004D307F" w:rsidRDefault="0076693A" w:rsidP="0076693A">
      <w:r w:rsidRPr="004D307F">
        <w:br w:type="page"/>
      </w:r>
    </w:p>
    <w:p w14:paraId="7D56A57B" w14:textId="77777777" w:rsidR="00F01BB5" w:rsidRPr="004D307F" w:rsidRDefault="00F01BB5" w:rsidP="00F01BB5">
      <w:pPr>
        <w:keepNext/>
        <w:keepLines/>
        <w:spacing w:before="40" w:after="0"/>
        <w:outlineLvl w:val="1"/>
        <w:rPr>
          <w:rFonts w:asciiTheme="majorHAnsi" w:eastAsia="Times New Roman" w:hAnsiTheme="majorHAnsi" w:cstheme="majorBidi"/>
          <w:b/>
          <w:color w:val="2F5496" w:themeColor="accent1" w:themeShade="BF"/>
          <w:sz w:val="36"/>
          <w:szCs w:val="26"/>
          <w:lang w:val="en" w:eastAsia="en-AU"/>
        </w:rPr>
      </w:pPr>
      <w:r w:rsidRPr="004D307F">
        <w:rPr>
          <w:rFonts w:asciiTheme="majorHAnsi" w:eastAsia="Times New Roman" w:hAnsiTheme="majorHAnsi" w:cstheme="majorBidi"/>
          <w:b/>
          <w:color w:val="2F5496" w:themeColor="accent1" w:themeShade="BF"/>
          <w:sz w:val="36"/>
          <w:szCs w:val="26"/>
          <w:lang w:val="en" w:eastAsia="en-AU"/>
        </w:rPr>
        <w:lastRenderedPageBreak/>
        <w:t>Grounds Allowance (Reference 31)</w:t>
      </w:r>
    </w:p>
    <w:p w14:paraId="00174E35" w14:textId="77777777" w:rsidR="00F01BB5" w:rsidRPr="004D307F" w:rsidRDefault="00F01BB5" w:rsidP="00F01BB5"/>
    <w:p w14:paraId="7A6FAEC7" w14:textId="680D9880" w:rsidR="00F01BB5" w:rsidRPr="004D307F" w:rsidRDefault="009B124F" w:rsidP="00F01BB5">
      <w:pPr>
        <w:rPr>
          <w:rFonts w:ascii="VIC-Regular" w:hAnsi="VIC-Regular" w:cs="Times New Roman"/>
          <w:color w:val="011A3C"/>
          <w:sz w:val="24"/>
          <w:szCs w:val="24"/>
        </w:rPr>
      </w:pPr>
      <w:r w:rsidRPr="009B124F">
        <w:rPr>
          <w:rFonts w:ascii="VIC-Regular" w:eastAsia="Times New Roman" w:hAnsi="VIC-Regular" w:cs="Times New Roman"/>
          <w:color w:val="011A3C"/>
          <w:sz w:val="24"/>
          <w:szCs w:val="24"/>
          <w:lang w:val="en" w:eastAsia="en-AU"/>
        </w:rPr>
        <w:t>The Student Resource Package (SRP)</w:t>
      </w:r>
      <w:r>
        <w:rPr>
          <w:rFonts w:ascii="VIC-Regular" w:eastAsia="Times New Roman" w:hAnsi="VIC-Regular" w:cs="Times New Roman"/>
          <w:color w:val="011A3C"/>
          <w:sz w:val="24"/>
          <w:szCs w:val="24"/>
          <w:lang w:val="en" w:eastAsia="en-AU"/>
        </w:rPr>
        <w:t xml:space="preserve"> </w:t>
      </w:r>
      <w:r w:rsidR="00F01BB5" w:rsidRPr="004D307F">
        <w:rPr>
          <w:rFonts w:ascii="VIC-Regular" w:eastAsia="Times New Roman" w:hAnsi="VIC-Regular" w:cs="Times New Roman"/>
          <w:color w:val="011A3C"/>
          <w:sz w:val="24"/>
          <w:szCs w:val="24"/>
          <w:lang w:val="en" w:eastAsia="en-AU"/>
        </w:rPr>
        <w:t>Grounds Allowance is provided to schools to ensure the grounds of the school are properly maintained.</w:t>
      </w:r>
    </w:p>
    <w:p w14:paraId="2990FABB"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The types of specific tasks that should be undertaken include:</w:t>
      </w:r>
    </w:p>
    <w:p w14:paraId="39EF91B4"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lawn mowing</w:t>
      </w:r>
    </w:p>
    <w:p w14:paraId="36B581F4"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landscaping services</w:t>
      </w:r>
    </w:p>
    <w:p w14:paraId="6C474621"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sports field maintenance</w:t>
      </w:r>
    </w:p>
    <w:p w14:paraId="055A4DB0"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tree management</w:t>
      </w:r>
    </w:p>
    <w:p w14:paraId="7463096A" w14:textId="77777777" w:rsidR="00F01BB5" w:rsidRPr="004D307F" w:rsidRDefault="00F01BB5" w:rsidP="00F01BB5">
      <w:pPr>
        <w:rPr>
          <w:rFonts w:ascii="VIC-Regular" w:hAnsi="VIC-Regular" w:cs="Times New Roman"/>
          <w:color w:val="011A3C"/>
          <w:sz w:val="24"/>
          <w:szCs w:val="24"/>
        </w:rPr>
      </w:pPr>
      <w:r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ab/>
        <w:t>drainage and flooding issues</w:t>
      </w:r>
    </w:p>
    <w:p w14:paraId="166D155B" w14:textId="226077A3" w:rsidR="00F01BB5" w:rsidRPr="004D307F" w:rsidRDefault="00F01BB5" w:rsidP="00F01BB5">
      <w:pPr>
        <w:rPr>
          <w:rFonts w:eastAsia="Times New Roman"/>
          <w:lang w:val="en" w:eastAsia="en-AU"/>
        </w:rPr>
      </w:pPr>
      <w:r w:rsidRPr="004D307F">
        <w:rPr>
          <w:rFonts w:ascii="VIC-Regular" w:eastAsia="Times New Roman" w:hAnsi="VIC-Regular" w:cs="Times New Roman"/>
          <w:color w:val="011A3C"/>
          <w:sz w:val="24"/>
          <w:szCs w:val="24"/>
          <w:lang w:val="en" w:eastAsia="en-AU"/>
        </w:rPr>
        <w:t xml:space="preserve">Schools that have already taken part in the Rolling Facilities Evaluation should be using the School Maintenance Plan portal to plan and schedule maintenance tasks. For further information refer to </w:t>
      </w:r>
      <w:hyperlink r:id="rId82" w:history="1">
        <w:r w:rsidRPr="009B124F">
          <w:rPr>
            <w:rStyle w:val="Hyperlink"/>
            <w:rFonts w:ascii="VIC-Regular" w:eastAsia="Times New Roman" w:hAnsi="VIC-Regular" w:cs="Times New Roman"/>
            <w:sz w:val="24"/>
            <w:szCs w:val="24"/>
            <w:lang w:val="en" w:eastAsia="en-AU"/>
          </w:rPr>
          <w:t>School Maintenance Plans</w:t>
        </w:r>
      </w:hyperlink>
      <w:r w:rsidRPr="004D307F">
        <w:rPr>
          <w:rFonts w:ascii="VIC-Regular" w:eastAsia="Times New Roman" w:hAnsi="VIC-Regular" w:cs="Times New Roman"/>
          <w:color w:val="011A3C"/>
          <w:sz w:val="24"/>
          <w:szCs w:val="24"/>
          <w:lang w:val="en" w:eastAsia="en-AU"/>
        </w:rPr>
        <w:t>.</w:t>
      </w:r>
    </w:p>
    <w:p w14:paraId="71D9029F"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D46814D"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Grounds Area (m2) x Grounds Allowance Rate</w:t>
      </w:r>
    </w:p>
    <w:p w14:paraId="04DB446A"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2022</w:t>
      </w:r>
    </w:p>
    <w:p w14:paraId="6ADC3706" w14:textId="77777777" w:rsidR="00F01BB5" w:rsidRPr="004D307F" w:rsidRDefault="00F01BB5" w:rsidP="00F01BB5">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Grounds Allowance Rate =</w:t>
      </w:r>
      <w:r w:rsidRPr="004D307F">
        <w:rPr>
          <w:rFonts w:ascii="VIC-Regular" w:eastAsia="Times New Roman" w:hAnsi="VIC-Regular" w:cs="Times New Roman"/>
          <w:color w:val="011A3C"/>
          <w:sz w:val="24"/>
          <w:szCs w:val="24"/>
          <w:lang w:val="en" w:eastAsia="en-AU"/>
        </w:rPr>
        <w:t xml:space="preserve"> 0.210 cents per square </w:t>
      </w:r>
      <w:proofErr w:type="spellStart"/>
      <w:r w:rsidRPr="004D307F">
        <w:rPr>
          <w:rFonts w:ascii="VIC-Regular" w:eastAsia="Times New Roman" w:hAnsi="VIC-Regular" w:cs="Times New Roman"/>
          <w:color w:val="011A3C"/>
          <w:sz w:val="24"/>
          <w:szCs w:val="24"/>
          <w:lang w:val="en" w:eastAsia="en-AU"/>
        </w:rPr>
        <w:t>metre</w:t>
      </w:r>
      <w:proofErr w:type="spellEnd"/>
    </w:p>
    <w:p w14:paraId="1D37DAF1"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02D70979"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Expenditure should be allocated in CASES21 to the following:</w:t>
      </w:r>
    </w:p>
    <w:p w14:paraId="0E932A19" w14:textId="77777777" w:rsidR="00F01BB5" w:rsidRPr="004D307F" w:rsidRDefault="00F01BB5" w:rsidP="00ED0863">
      <w:pPr>
        <w:numPr>
          <w:ilvl w:val="0"/>
          <w:numId w:val="38"/>
        </w:numPr>
        <w:spacing w:after="0" w:line="240" w:lineRule="auto"/>
        <w:contextualSpacing/>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Sub Program Code: 6502 – Grounds</w:t>
      </w:r>
    </w:p>
    <w:p w14:paraId="3EC2AAF8" w14:textId="77777777" w:rsidR="00F01BB5" w:rsidRPr="004D307F" w:rsidRDefault="00F01BB5" w:rsidP="00ED0863">
      <w:pPr>
        <w:numPr>
          <w:ilvl w:val="0"/>
          <w:numId w:val="38"/>
        </w:numPr>
        <w:spacing w:after="0" w:line="240" w:lineRule="auto"/>
        <w:contextualSpacing/>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General Ledger Account Code: 86505 – </w:t>
      </w:r>
      <w:proofErr w:type="gramStart"/>
      <w:r w:rsidRPr="004D307F">
        <w:rPr>
          <w:rFonts w:ascii="VIC-Regular" w:eastAsia="Times New Roman" w:hAnsi="VIC-Regular" w:cs="Times New Roman"/>
          <w:color w:val="011A3C"/>
          <w:sz w:val="24"/>
          <w:szCs w:val="24"/>
          <w:lang w:eastAsia="en-AU"/>
        </w:rPr>
        <w:t>Ground Work</w:t>
      </w:r>
      <w:proofErr w:type="gramEnd"/>
    </w:p>
    <w:p w14:paraId="4D25CB2D" w14:textId="77777777" w:rsidR="00F01BB5" w:rsidRPr="004D307F" w:rsidRDefault="00F01BB5" w:rsidP="00F01BB5">
      <w:pPr>
        <w:spacing w:after="0" w:line="240" w:lineRule="auto"/>
        <w:ind w:left="720"/>
        <w:contextualSpacing/>
        <w:rPr>
          <w:rFonts w:ascii="VIC-Regular" w:eastAsia="Times New Roman" w:hAnsi="VIC-Regular" w:cs="Times New Roman"/>
          <w:color w:val="011A3C"/>
          <w:sz w:val="24"/>
          <w:szCs w:val="24"/>
          <w:lang w:eastAsia="en-AU"/>
        </w:rPr>
      </w:pPr>
    </w:p>
    <w:p w14:paraId="05FD36A4" w14:textId="42B990F1" w:rsidR="005965D3" w:rsidRPr="004D307F" w:rsidRDefault="00F01BB5" w:rsidP="00C116FE">
      <w:pPr>
        <w:rPr>
          <w:lang w:val="en" w:eastAsia="en-AU"/>
        </w:rPr>
      </w:pPr>
      <w:r w:rsidRPr="004D307F">
        <w:rPr>
          <w:rFonts w:ascii="VIC-Regular" w:eastAsia="Times New Roman" w:hAnsi="VIC-Regular" w:cs="Times New Roman"/>
          <w:color w:val="011A3C"/>
          <w:sz w:val="24"/>
          <w:szCs w:val="24"/>
          <w:lang w:val="en" w:eastAsia="en-AU"/>
        </w:rPr>
        <w:t>SRP funding for Grounds Allowance is calculated at the Confirmed cycle using updated data and may be updated at the Revised cycle and is allocated through cash funding. Grounds area is sourced from the Victorian Schools Building Authority annually.</w:t>
      </w:r>
    </w:p>
    <w:p w14:paraId="4019614C" w14:textId="77777777" w:rsidR="007B0EF6" w:rsidRPr="004D307F" w:rsidRDefault="007B0EF6" w:rsidP="00F01BB5">
      <w:pPr>
        <w:keepNext/>
        <w:keepLines/>
        <w:spacing w:before="40" w:after="0"/>
        <w:outlineLvl w:val="1"/>
        <w:rPr>
          <w:rFonts w:asciiTheme="majorHAnsi" w:eastAsia="Times New Roman" w:hAnsiTheme="majorHAnsi" w:cstheme="majorBidi"/>
          <w:b/>
          <w:color w:val="2F5496" w:themeColor="accent1" w:themeShade="BF"/>
          <w:sz w:val="36"/>
          <w:szCs w:val="26"/>
          <w:lang w:val="en" w:eastAsia="en-AU"/>
        </w:rPr>
      </w:pPr>
      <w:bookmarkStart w:id="53" w:name="_Hlk50213227"/>
      <w:r w:rsidRPr="004D307F">
        <w:rPr>
          <w:rFonts w:asciiTheme="majorHAnsi" w:eastAsia="Times New Roman" w:hAnsiTheme="majorHAnsi" w:cstheme="majorBidi"/>
          <w:b/>
          <w:color w:val="2F5496" w:themeColor="accent1" w:themeShade="BF"/>
          <w:sz w:val="36"/>
          <w:szCs w:val="26"/>
          <w:lang w:val="en" w:eastAsia="en-AU"/>
        </w:rPr>
        <w:br w:type="page"/>
      </w:r>
    </w:p>
    <w:p w14:paraId="3144FD97" w14:textId="3B6F83A0" w:rsidR="00F01BB5" w:rsidRPr="004D307F" w:rsidRDefault="00F01BB5" w:rsidP="00F01BB5">
      <w:pPr>
        <w:keepNext/>
        <w:keepLines/>
        <w:spacing w:before="40" w:after="0"/>
        <w:outlineLvl w:val="1"/>
        <w:rPr>
          <w:rFonts w:asciiTheme="majorHAnsi" w:eastAsia="Times New Roman" w:hAnsiTheme="majorHAnsi" w:cstheme="majorBidi"/>
          <w:b/>
          <w:color w:val="2F5496" w:themeColor="accent1" w:themeShade="BF"/>
          <w:sz w:val="36"/>
          <w:szCs w:val="26"/>
          <w:lang w:val="en" w:eastAsia="en-AU"/>
        </w:rPr>
      </w:pPr>
      <w:r w:rsidRPr="004D307F">
        <w:rPr>
          <w:rFonts w:asciiTheme="majorHAnsi" w:eastAsia="Times New Roman" w:hAnsiTheme="majorHAnsi" w:cstheme="majorBidi"/>
          <w:b/>
          <w:color w:val="2F5496" w:themeColor="accent1" w:themeShade="BF"/>
          <w:sz w:val="36"/>
          <w:szCs w:val="26"/>
          <w:lang w:val="en" w:eastAsia="en-AU"/>
        </w:rPr>
        <w:lastRenderedPageBreak/>
        <w:t>Building Area Allowance (Reference 32)</w:t>
      </w:r>
    </w:p>
    <w:p w14:paraId="3EC15AB4" w14:textId="77777777" w:rsidR="00F01BB5" w:rsidRPr="004D307F" w:rsidRDefault="00F01BB5" w:rsidP="00F01BB5">
      <w:pPr>
        <w:spacing w:after="0" w:line="240" w:lineRule="auto"/>
        <w:rPr>
          <w:rFonts w:ascii="VIC-Regular" w:eastAsia="Times New Roman" w:hAnsi="VIC-Regular" w:cs="Times New Roman"/>
          <w:color w:val="011A3C"/>
          <w:sz w:val="24"/>
          <w:szCs w:val="24"/>
          <w:lang w:val="en" w:eastAsia="en-AU"/>
        </w:rPr>
      </w:pPr>
    </w:p>
    <w:p w14:paraId="1AC184DC" w14:textId="77777777" w:rsidR="00F01BB5" w:rsidRPr="004D307F" w:rsidRDefault="00F01BB5" w:rsidP="00F01BB5">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for the building area allowance is </w:t>
      </w:r>
      <w:proofErr w:type="gramStart"/>
      <w:r w:rsidRPr="004D307F">
        <w:rPr>
          <w:rFonts w:ascii="VIC-Regular" w:eastAsia="Times New Roman" w:hAnsi="VIC-Regular" w:cs="Times New Roman"/>
          <w:color w:val="011A3C"/>
          <w:sz w:val="24"/>
          <w:szCs w:val="24"/>
          <w:lang w:val="en" w:eastAsia="en-AU"/>
        </w:rPr>
        <w:t>on the basis of</w:t>
      </w:r>
      <w:proofErr w:type="gramEnd"/>
      <w:r w:rsidRPr="004D307F">
        <w:rPr>
          <w:rFonts w:ascii="VIC-Regular" w:eastAsia="Times New Roman" w:hAnsi="VIC-Regular" w:cs="Times New Roman"/>
          <w:color w:val="011A3C"/>
          <w:sz w:val="24"/>
          <w:szCs w:val="24"/>
          <w:lang w:val="en" w:eastAsia="en-AU"/>
        </w:rPr>
        <w:t xml:space="preserve"> the school’s total building area in square </w:t>
      </w:r>
      <w:proofErr w:type="spellStart"/>
      <w:r w:rsidRPr="004D307F">
        <w:rPr>
          <w:rFonts w:ascii="VIC-Regular" w:eastAsia="Times New Roman" w:hAnsi="VIC-Regular" w:cs="Times New Roman"/>
          <w:color w:val="011A3C"/>
          <w:sz w:val="24"/>
          <w:szCs w:val="24"/>
          <w:lang w:val="en" w:eastAsia="en-AU"/>
        </w:rPr>
        <w:t>metres</w:t>
      </w:r>
      <w:proofErr w:type="spellEnd"/>
      <w:r w:rsidRPr="004D307F">
        <w:rPr>
          <w:rFonts w:ascii="VIC-Regular" w:eastAsia="Times New Roman" w:hAnsi="VIC-Regular" w:cs="Times New Roman"/>
          <w:color w:val="011A3C"/>
          <w:sz w:val="24"/>
          <w:szCs w:val="24"/>
          <w:lang w:val="en" w:eastAsia="en-AU"/>
        </w:rPr>
        <w:t>. Total building area is sourced from the VSBA annually.</w:t>
      </w:r>
    </w:p>
    <w:p w14:paraId="0D129AC1"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1DC7A5BF" w14:textId="77777777" w:rsidR="00F01BB5" w:rsidRPr="004D307F" w:rsidRDefault="00F01BB5" w:rsidP="00F01BB5">
      <w:pPr>
        <w:keepNext/>
        <w:keepLines/>
        <w:spacing w:before="40" w:after="0"/>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All campus types listed below are eligible for Building Area Allowance funding provided at campus level. </w:t>
      </w:r>
    </w:p>
    <w:p w14:paraId="0F2E5CBE"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Day special</w:t>
      </w:r>
    </w:p>
    <w:p w14:paraId="00A89C06"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 development school</w:t>
      </w:r>
    </w:p>
    <w:p w14:paraId="5F765218"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Physical disability</w:t>
      </w:r>
    </w:p>
    <w:p w14:paraId="59383A3C"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Special</w:t>
      </w:r>
    </w:p>
    <w:p w14:paraId="5D1EFB18"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Hospital special</w:t>
      </w:r>
    </w:p>
    <w:p w14:paraId="0893A5C2"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Deaf</w:t>
      </w:r>
    </w:p>
    <w:p w14:paraId="234AB562"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Language</w:t>
      </w:r>
    </w:p>
    <w:p w14:paraId="041D2308"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Youth training </w:t>
      </w:r>
      <w:proofErr w:type="spellStart"/>
      <w:r w:rsidRPr="004D307F">
        <w:rPr>
          <w:rFonts w:ascii="VIC-Regular" w:eastAsia="Times New Roman" w:hAnsi="VIC-Regular" w:cs="Times New Roman"/>
          <w:color w:val="011A3C"/>
          <w:sz w:val="24"/>
          <w:szCs w:val="24"/>
          <w:lang w:val="en" w:eastAsia="en-AU"/>
        </w:rPr>
        <w:t>centre</w:t>
      </w:r>
      <w:proofErr w:type="spellEnd"/>
    </w:p>
    <w:p w14:paraId="6CD5A6BF" w14:textId="77777777" w:rsidR="00F01BB5" w:rsidRPr="004D307F" w:rsidRDefault="00F01BB5" w:rsidP="00F01BB5">
      <w:pPr>
        <w:keepNext/>
        <w:keepLines/>
        <w:spacing w:before="40" w:after="0"/>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Indicative cycle only and allocated through cash funding.</w:t>
      </w:r>
    </w:p>
    <w:p w14:paraId="5B6ADA1B"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D3E2D3A"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Building Area square </w:t>
      </w:r>
      <w:proofErr w:type="spellStart"/>
      <w:r w:rsidRPr="004D307F">
        <w:rPr>
          <w:rFonts w:ascii="VIC-Regular" w:eastAsia="Times New Roman" w:hAnsi="VIC-Regular" w:cs="Times New Roman"/>
          <w:color w:val="011A3C"/>
          <w:sz w:val="24"/>
          <w:szCs w:val="24"/>
          <w:lang w:val="en" w:eastAsia="en-AU"/>
        </w:rPr>
        <w:t>metres</w:t>
      </w:r>
      <w:proofErr w:type="spellEnd"/>
      <w:r w:rsidRPr="004D307F">
        <w:rPr>
          <w:rFonts w:ascii="VIC-Regular" w:eastAsia="Times New Roman" w:hAnsi="VIC-Regular" w:cs="Times New Roman"/>
          <w:color w:val="011A3C"/>
          <w:sz w:val="24"/>
          <w:szCs w:val="24"/>
          <w:lang w:val="en" w:eastAsia="en-AU"/>
        </w:rPr>
        <w:t xml:space="preserve"> x Building Area Allowance Rate</w:t>
      </w:r>
    </w:p>
    <w:p w14:paraId="4559E7BB" w14:textId="77777777" w:rsidR="00F01BB5" w:rsidRPr="004D307F" w:rsidRDefault="00F01BB5" w:rsidP="00F01BB5">
      <w:pPr>
        <w:keepNext/>
        <w:keepLines/>
        <w:spacing w:before="40" w:after="0"/>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Rates 2022 ($/m2 annually)</w:t>
      </w:r>
    </w:p>
    <w:p w14:paraId="251BCCB9" w14:textId="77777777" w:rsidR="00F01BB5" w:rsidRPr="004D307F" w:rsidRDefault="00F01BB5" w:rsidP="00ED0863">
      <w:pPr>
        <w:numPr>
          <w:ilvl w:val="0"/>
          <w:numId w:val="12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$3.02/m2</w:t>
      </w:r>
    </w:p>
    <w:p w14:paraId="6A20AAF1" w14:textId="4DE78564" w:rsidR="00F01BB5" w:rsidRPr="004D307F" w:rsidRDefault="00F01BB5" w:rsidP="00B129DC">
      <w:pPr>
        <w:pStyle w:val="NormalWeb"/>
        <w:spacing w:line="360" w:lineRule="atLeast"/>
        <w:rPr>
          <w:rFonts w:ascii="VIC-Regular" w:hAnsi="VIC-Regular"/>
          <w:color w:val="323E4F" w:themeColor="text2" w:themeShade="BF"/>
          <w:lang w:val="en"/>
        </w:rPr>
      </w:pPr>
      <w:r w:rsidRPr="004D307F">
        <w:rPr>
          <w:rFonts w:ascii="Calibri" w:hAnsi="Calibri" w:cs="Calibri"/>
          <w:color w:val="323E4F" w:themeColor="text2" w:themeShade="BF"/>
        </w:rPr>
        <w:t>Example: A Special Development campus with a total building area of 1,000 sqm x $3.02 = $3,002</w:t>
      </w:r>
      <w:bookmarkEnd w:id="53"/>
    </w:p>
    <w:p w14:paraId="07F10C26" w14:textId="3991C8F1" w:rsidR="0076693A" w:rsidRPr="004D307F" w:rsidRDefault="0076693A" w:rsidP="0076693A"/>
    <w:p w14:paraId="19221484" w14:textId="77777777" w:rsidR="007B0EF6" w:rsidRPr="004D307F" w:rsidRDefault="007B0EF6" w:rsidP="00B566E7">
      <w:pPr>
        <w:pStyle w:val="Heading2"/>
      </w:pPr>
      <w:r w:rsidRPr="004D307F">
        <w:br w:type="page"/>
      </w:r>
    </w:p>
    <w:p w14:paraId="456BC8B3" w14:textId="588FA10B" w:rsidR="0076693A" w:rsidRPr="004D307F" w:rsidRDefault="0076693A" w:rsidP="00B566E7">
      <w:pPr>
        <w:pStyle w:val="Heading2"/>
      </w:pPr>
      <w:bookmarkStart w:id="54" w:name="_Toc99882749"/>
      <w:r w:rsidRPr="004D307F">
        <w:lastRenderedPageBreak/>
        <w:t>Split-Site/Multi-Site Allowance (Reference 33)</w:t>
      </w:r>
      <w:bookmarkEnd w:id="54"/>
    </w:p>
    <w:p w14:paraId="52FF4C06" w14:textId="4D82476E"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Split-site/multi-site allowances are paid to designated primary, P-12 and secondary colleges which are not being funded for a separate enrolment linked base (</w:t>
      </w:r>
      <w:hyperlink r:id="rId83" w:history="1">
        <w:r w:rsidRPr="004D307F">
          <w:rPr>
            <w:rFonts w:ascii="VIC-Regular" w:eastAsia="Times New Roman" w:hAnsi="VIC-Regular" w:cs="Times New Roman"/>
            <w:color w:val="011A3C"/>
            <w:sz w:val="24"/>
            <w:szCs w:val="24"/>
            <w:lang w:val="en" w:eastAsia="en-AU"/>
          </w:rPr>
          <w:t>Reference 2</w:t>
        </w:r>
      </w:hyperlink>
      <w:r w:rsidRPr="004D307F">
        <w:rPr>
          <w:rFonts w:ascii="VIC-Regular" w:eastAsia="Times New Roman" w:hAnsi="VIC-Regular" w:cs="Times New Roman"/>
          <w:color w:val="011A3C"/>
          <w:sz w:val="24"/>
          <w:szCs w:val="24"/>
          <w:lang w:val="en" w:eastAsia="en-AU"/>
        </w:rPr>
        <w:t>).</w:t>
      </w:r>
      <w:r w:rsidR="007F1D90" w:rsidRPr="004D307F">
        <w:rPr>
          <w:rFonts w:ascii="VIC-Regular" w:eastAsia="Times New Roman" w:hAnsi="VIC-Regular" w:cs="Times New Roman"/>
          <w:color w:val="011A3C"/>
          <w:sz w:val="24"/>
          <w:szCs w:val="24"/>
          <w:lang w:val="en" w:eastAsia="en-AU"/>
        </w:rPr>
        <w:t xml:space="preserve"> Specialist and Language Schools are also eligible if applied criteria is satisfied. </w:t>
      </w:r>
    </w:p>
    <w:p w14:paraId="27146995"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school may be eligible for the allowance if:</w:t>
      </w:r>
    </w:p>
    <w:p w14:paraId="55234614" w14:textId="77777777" w:rsidR="0076693A" w:rsidRPr="004D307F" w:rsidRDefault="0076693A" w:rsidP="00ED0863">
      <w:pPr>
        <w:numPr>
          <w:ilvl w:val="0"/>
          <w:numId w:val="3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it is a specialist school operating on sites that are more than one </w:t>
      </w:r>
      <w:proofErr w:type="spellStart"/>
      <w:r w:rsidRPr="004D307F">
        <w:rPr>
          <w:rFonts w:ascii="VIC-Regular" w:eastAsia="Times New Roman" w:hAnsi="VIC-Regular" w:cs="Times New Roman"/>
          <w:color w:val="011A3C"/>
          <w:sz w:val="24"/>
          <w:szCs w:val="24"/>
          <w:lang w:val="en" w:eastAsia="en-AU"/>
        </w:rPr>
        <w:t>kilometre</w:t>
      </w:r>
      <w:proofErr w:type="spellEnd"/>
      <w:r w:rsidRPr="004D307F">
        <w:rPr>
          <w:rFonts w:ascii="VIC-Regular" w:eastAsia="Times New Roman" w:hAnsi="VIC-Regular" w:cs="Times New Roman"/>
          <w:color w:val="011A3C"/>
          <w:sz w:val="24"/>
          <w:szCs w:val="24"/>
          <w:lang w:val="en" w:eastAsia="en-AU"/>
        </w:rPr>
        <w:t xml:space="preserve"> apart (not including base rooms)</w:t>
      </w:r>
    </w:p>
    <w:p w14:paraId="45445C02"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or</w:t>
      </w:r>
    </w:p>
    <w:p w14:paraId="6A8AA465" w14:textId="5DBEB46F" w:rsidR="0076693A" w:rsidRPr="004D307F" w:rsidRDefault="0076693A" w:rsidP="00ED0863">
      <w:pPr>
        <w:numPr>
          <w:ilvl w:val="0"/>
          <w:numId w:val="4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configuration of the school represents a historical merging of two or more schools</w:t>
      </w:r>
    </w:p>
    <w:p w14:paraId="63D1B791"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or</w:t>
      </w:r>
    </w:p>
    <w:p w14:paraId="7F7C1FB2" w14:textId="77777777" w:rsidR="0076693A" w:rsidRPr="004D307F" w:rsidRDefault="0076693A" w:rsidP="00ED0863">
      <w:pPr>
        <w:numPr>
          <w:ilvl w:val="0"/>
          <w:numId w:val="4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it has classrooms operating on two or more sites </w:t>
      </w:r>
      <w:proofErr w:type="gramStart"/>
      <w:r w:rsidRPr="004D307F">
        <w:rPr>
          <w:rFonts w:ascii="VIC-Regular" w:eastAsia="Times New Roman" w:hAnsi="VIC-Regular" w:cs="Times New Roman"/>
          <w:color w:val="011A3C"/>
          <w:sz w:val="24"/>
          <w:szCs w:val="24"/>
          <w:lang w:val="en" w:eastAsia="en-AU"/>
        </w:rPr>
        <w:t>e.g.</w:t>
      </w:r>
      <w:proofErr w:type="gramEnd"/>
      <w:r w:rsidRPr="004D307F">
        <w:rPr>
          <w:rFonts w:ascii="VIC-Regular" w:eastAsia="Times New Roman" w:hAnsi="VIC-Regular" w:cs="Times New Roman"/>
          <w:color w:val="011A3C"/>
          <w:sz w:val="24"/>
          <w:szCs w:val="24"/>
          <w:lang w:val="en" w:eastAsia="en-AU"/>
        </w:rPr>
        <w:t xml:space="preserve"> separated by at least a road or an oval (not including alternative settings attached to schools).</w:t>
      </w:r>
    </w:p>
    <w:p w14:paraId="57D8F0B1"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Note:</w:t>
      </w:r>
    </w:p>
    <w:p w14:paraId="3896880C"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Includes P–12 colleges that have more than one primary school site.</w:t>
      </w:r>
    </w:p>
    <w:p w14:paraId="01EE14B9" w14:textId="5B4DDC3B"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(b) For approved secondary colleges formed through the merger of secondary colleges on adjacent sites, this item is replaced by a $</w:t>
      </w:r>
      <w:r w:rsidR="00691ECB" w:rsidRPr="004D307F">
        <w:rPr>
          <w:rFonts w:ascii="VIC-Regular" w:eastAsia="Times New Roman" w:hAnsi="VIC-Regular" w:cs="Times New Roman"/>
          <w:color w:val="011A3C"/>
          <w:sz w:val="24"/>
          <w:szCs w:val="24"/>
          <w:lang w:val="en" w:eastAsia="en-AU"/>
        </w:rPr>
        <w:t>60,154</w:t>
      </w:r>
      <w:r w:rsidRPr="004D307F">
        <w:rPr>
          <w:rFonts w:ascii="VIC-Regular" w:eastAsia="Times New Roman" w:hAnsi="VIC-Regular" w:cs="Times New Roman"/>
          <w:color w:val="011A3C"/>
          <w:sz w:val="24"/>
          <w:szCs w:val="24"/>
          <w:lang w:val="en" w:eastAsia="en-AU"/>
        </w:rPr>
        <w:t xml:space="preserve"> site allowance.</w:t>
      </w:r>
    </w:p>
    <w:p w14:paraId="259DA0F3" w14:textId="408A07FA" w:rsidR="0076693A" w:rsidRPr="004D307F" w:rsidRDefault="007F1D90"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55" w:name="_Hlk47010300"/>
      <w:r w:rsidRPr="004D307F">
        <w:rPr>
          <w:rFonts w:ascii="VIC-Regular" w:eastAsia="Times New Roman" w:hAnsi="VIC-Regular" w:cs="Times New Roman"/>
          <w:color w:val="011A3C"/>
          <w:sz w:val="24"/>
          <w:szCs w:val="24"/>
          <w:lang w:val="en" w:eastAsia="en-AU"/>
        </w:rPr>
        <w:t>Funding is calculated at the Indicative cycle and allocated through cash funding</w:t>
      </w:r>
      <w:bookmarkEnd w:id="55"/>
      <w:r w:rsidRPr="004D307F">
        <w:rPr>
          <w:rFonts w:ascii="VIC-Regular" w:eastAsia="Times New Roman" w:hAnsi="VIC-Regular" w:cs="Times New Roman"/>
          <w:color w:val="011A3C"/>
          <w:sz w:val="24"/>
          <w:szCs w:val="24"/>
          <w:lang w:val="en" w:eastAsia="en-AU"/>
        </w:rPr>
        <w:t>.</w:t>
      </w:r>
    </w:p>
    <w:p w14:paraId="2B345669" w14:textId="5506A956"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691ECB" w:rsidRPr="004D307F">
        <w:rPr>
          <w:rFonts w:ascii="VIC-Bold" w:eastAsia="Times New Roman" w:hAnsi="VIC-Bold" w:cs="Times New Roman"/>
          <w:b/>
          <w:bCs/>
          <w:color w:val="011A3C"/>
          <w:sz w:val="27"/>
          <w:szCs w:val="27"/>
          <w:lang w:val="en" w:eastAsia="en-AU"/>
        </w:rPr>
        <w:t>2</w:t>
      </w:r>
    </w:p>
    <w:p w14:paraId="11E3B33E"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Primary school</w:t>
      </w:r>
      <w:r w:rsidRPr="004D307F">
        <w:rPr>
          <w:rFonts w:ascii="VIC-Bold" w:eastAsia="Times New Roman" w:hAnsi="VIC-Bold" w:cs="Times New Roman"/>
          <w:color w:val="011A3C"/>
          <w:sz w:val="24"/>
          <w:szCs w:val="24"/>
          <w:lang w:val="en" w:eastAsia="en-AU"/>
        </w:rPr>
        <w:t xml:space="preserve"> (includes P–12 colleges that have more than one primary site)</w:t>
      </w:r>
    </w:p>
    <w:p w14:paraId="676014BB" w14:textId="7B9B2347" w:rsidR="0076693A" w:rsidRPr="004D307F" w:rsidRDefault="00B614CB" w:rsidP="00ED0863">
      <w:pPr>
        <w:numPr>
          <w:ilvl w:val="0"/>
          <w:numId w:val="4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550811" w:rsidRPr="004D307F">
        <w:rPr>
          <w:rFonts w:ascii="VIC-Regular" w:eastAsia="Times New Roman" w:hAnsi="VIC-Regular" w:cs="Times New Roman"/>
          <w:color w:val="011A3C"/>
          <w:sz w:val="24"/>
          <w:szCs w:val="24"/>
          <w:lang w:val="en" w:eastAsia="en-AU"/>
        </w:rPr>
        <w:t>6,</w:t>
      </w:r>
      <w:r w:rsidR="00691ECB" w:rsidRPr="004D307F">
        <w:rPr>
          <w:rFonts w:ascii="VIC-Regular" w:eastAsia="Times New Roman" w:hAnsi="VIC-Regular" w:cs="Times New Roman"/>
          <w:color w:val="011A3C"/>
          <w:sz w:val="24"/>
          <w:szCs w:val="24"/>
          <w:lang w:val="en" w:eastAsia="en-AU"/>
        </w:rPr>
        <w:t>664</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the second site</w:t>
      </w:r>
    </w:p>
    <w:p w14:paraId="6C084783" w14:textId="09A54F3C" w:rsidR="0076693A" w:rsidRPr="004D307F" w:rsidRDefault="00B614CB" w:rsidP="00ED0863">
      <w:pPr>
        <w:numPr>
          <w:ilvl w:val="0"/>
          <w:numId w:val="4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550811" w:rsidRPr="004D307F">
        <w:rPr>
          <w:rFonts w:ascii="VIC-Regular" w:eastAsia="Times New Roman" w:hAnsi="VIC-Regular" w:cs="Times New Roman"/>
          <w:color w:val="011A3C"/>
          <w:sz w:val="24"/>
          <w:szCs w:val="24"/>
          <w:lang w:val="en" w:eastAsia="en-AU"/>
        </w:rPr>
        <w:t>3,</w:t>
      </w:r>
      <w:r w:rsidR="00691ECB" w:rsidRPr="004D307F">
        <w:rPr>
          <w:rFonts w:ascii="VIC-Regular" w:eastAsia="Times New Roman" w:hAnsi="VIC-Regular" w:cs="Times New Roman"/>
          <w:color w:val="011A3C"/>
          <w:sz w:val="24"/>
          <w:szCs w:val="24"/>
          <w:lang w:val="en" w:eastAsia="en-AU"/>
        </w:rPr>
        <w:t>333</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each subsequent site</w:t>
      </w:r>
    </w:p>
    <w:p w14:paraId="14AC56EB"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lastRenderedPageBreak/>
        <w:t>P–12 school</w:t>
      </w:r>
    </w:p>
    <w:p w14:paraId="66F816D5" w14:textId="25DD6EC4" w:rsidR="00B846F8" w:rsidRPr="004D307F" w:rsidRDefault="00B614CB" w:rsidP="00ED0863">
      <w:pPr>
        <w:numPr>
          <w:ilvl w:val="0"/>
          <w:numId w:val="4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$10,</w:t>
      </w:r>
      <w:r w:rsidR="00691ECB" w:rsidRPr="004D307F">
        <w:rPr>
          <w:rFonts w:ascii="VIC-Regular" w:eastAsia="Times New Roman" w:hAnsi="VIC-Regular" w:cs="Times New Roman"/>
          <w:color w:val="011A3C"/>
          <w:sz w:val="24"/>
          <w:szCs w:val="24"/>
          <w:lang w:val="en" w:eastAsia="en-AU"/>
        </w:rPr>
        <w:t>515</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each additional site</w:t>
      </w:r>
    </w:p>
    <w:p w14:paraId="37AEEF0F" w14:textId="079E8244"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Secondary college</w:t>
      </w:r>
    </w:p>
    <w:p w14:paraId="4D15E23F" w14:textId="3AEF10FF" w:rsidR="0076693A" w:rsidRPr="004D307F" w:rsidRDefault="00B614CB" w:rsidP="00ED0863">
      <w:pPr>
        <w:numPr>
          <w:ilvl w:val="0"/>
          <w:numId w:val="4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$10,</w:t>
      </w:r>
      <w:r w:rsidR="00691ECB" w:rsidRPr="004D307F">
        <w:rPr>
          <w:rFonts w:ascii="VIC-Regular" w:eastAsia="Times New Roman" w:hAnsi="VIC-Regular" w:cs="Times New Roman"/>
          <w:color w:val="011A3C"/>
          <w:sz w:val="24"/>
          <w:szCs w:val="24"/>
          <w:lang w:val="en" w:eastAsia="en-AU"/>
        </w:rPr>
        <w:t>515</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each additional site</w:t>
      </w:r>
    </w:p>
    <w:p w14:paraId="061F0547" w14:textId="77777777" w:rsidR="007F1D90" w:rsidRPr="004D307F" w:rsidRDefault="007F1D90" w:rsidP="007F1D9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Language school</w:t>
      </w:r>
    </w:p>
    <w:p w14:paraId="1A7B4551" w14:textId="006BDE88" w:rsidR="007F1D90" w:rsidRPr="004D307F" w:rsidRDefault="00B614CB" w:rsidP="00ED0863">
      <w:pPr>
        <w:numPr>
          <w:ilvl w:val="0"/>
          <w:numId w:val="4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$10,</w:t>
      </w:r>
      <w:r w:rsidR="00691ECB" w:rsidRPr="004D307F">
        <w:rPr>
          <w:rFonts w:ascii="VIC-Regular" w:eastAsia="Times New Roman" w:hAnsi="VIC-Regular" w:cs="Times New Roman"/>
          <w:color w:val="011A3C"/>
          <w:sz w:val="24"/>
          <w:szCs w:val="24"/>
          <w:lang w:val="en" w:eastAsia="en-AU"/>
        </w:rPr>
        <w:t>515</w:t>
      </w:r>
      <w:r w:rsidR="008F4825" w:rsidRPr="004D307F">
        <w:rPr>
          <w:rFonts w:ascii="VIC-Regular" w:eastAsia="Times New Roman" w:hAnsi="VIC-Regular" w:cs="Times New Roman"/>
          <w:color w:val="011A3C"/>
          <w:sz w:val="24"/>
          <w:szCs w:val="24"/>
          <w:lang w:val="en" w:eastAsia="en-AU"/>
        </w:rPr>
        <w:t xml:space="preserve"> </w:t>
      </w:r>
      <w:r w:rsidR="007F1D90" w:rsidRPr="004D307F">
        <w:rPr>
          <w:rFonts w:ascii="VIC-Regular" w:eastAsia="Times New Roman" w:hAnsi="VIC-Regular" w:cs="Times New Roman"/>
          <w:color w:val="011A3C"/>
          <w:sz w:val="24"/>
          <w:szCs w:val="24"/>
          <w:lang w:val="en" w:eastAsia="en-AU"/>
        </w:rPr>
        <w:t>per annum for each additional site</w:t>
      </w:r>
    </w:p>
    <w:p w14:paraId="7740ADDF" w14:textId="48E1D37D" w:rsidR="0076693A" w:rsidRPr="004D307F" w:rsidRDefault="0076693A" w:rsidP="0076693A">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Special School</w:t>
      </w:r>
    </w:p>
    <w:p w14:paraId="52F30820" w14:textId="4544BD5B" w:rsidR="0076693A" w:rsidRPr="004D307F" w:rsidRDefault="00B614CB" w:rsidP="00ED0863">
      <w:pPr>
        <w:numPr>
          <w:ilvl w:val="0"/>
          <w:numId w:val="45"/>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$2,9</w:t>
      </w:r>
      <w:r w:rsidR="00691ECB" w:rsidRPr="004D307F">
        <w:rPr>
          <w:rFonts w:ascii="VIC-Regular" w:eastAsia="Times New Roman" w:hAnsi="VIC-Regular" w:cs="Times New Roman"/>
          <w:color w:val="011A3C"/>
          <w:sz w:val="24"/>
          <w:szCs w:val="24"/>
          <w:lang w:val="en" w:eastAsia="en-AU"/>
        </w:rPr>
        <w:t>54</w:t>
      </w:r>
      <w:r w:rsidR="008F4825" w:rsidRPr="004D307F">
        <w:rPr>
          <w:rFonts w:ascii="VIC-Regular" w:eastAsia="Times New Roman" w:hAnsi="VIC-Regular" w:cs="Times New Roman"/>
          <w:color w:val="011A3C"/>
          <w:sz w:val="24"/>
          <w:szCs w:val="24"/>
          <w:lang w:val="en" w:eastAsia="en-AU"/>
        </w:rPr>
        <w:t xml:space="preserve"> </w:t>
      </w:r>
      <w:r w:rsidR="0076693A" w:rsidRPr="004D307F">
        <w:rPr>
          <w:rFonts w:ascii="VIC-Regular" w:eastAsia="Times New Roman" w:hAnsi="VIC-Regular" w:cs="Times New Roman"/>
          <w:color w:val="011A3C"/>
          <w:sz w:val="24"/>
          <w:szCs w:val="24"/>
          <w:lang w:val="en" w:eastAsia="en-AU"/>
        </w:rPr>
        <w:t>per annum for each additional site</w:t>
      </w:r>
    </w:p>
    <w:p w14:paraId="508B86A5" w14:textId="347DB1A7" w:rsidR="0076693A" w:rsidRPr="004D307F" w:rsidRDefault="00B614CB" w:rsidP="0076693A">
      <w:r w:rsidRPr="004D307F">
        <w:rPr>
          <w:color w:val="323E4F" w:themeColor="text2" w:themeShade="BF"/>
        </w:rPr>
        <w:t xml:space="preserve">Note – A stocktake of schools is scheduled to occur during 2021 and schools currently receiving this allocation will be assessed and sites no longer operational will have funding discontinued from 2022.  </w:t>
      </w:r>
      <w:r w:rsidR="0076693A" w:rsidRPr="004D307F">
        <w:br w:type="page"/>
      </w:r>
    </w:p>
    <w:p w14:paraId="13B94BAD" w14:textId="59D475A3" w:rsidR="0076693A" w:rsidRPr="004D307F" w:rsidRDefault="0076693A" w:rsidP="00B566E7">
      <w:pPr>
        <w:pStyle w:val="Heading2"/>
      </w:pPr>
      <w:bookmarkStart w:id="56" w:name="_Toc99882750"/>
      <w:r w:rsidRPr="004D307F">
        <w:lastRenderedPageBreak/>
        <w:t>Utilities (Reference 34)</w:t>
      </w:r>
      <w:bookmarkEnd w:id="56"/>
    </w:p>
    <w:p w14:paraId="4698D642"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Utilities funding is provided as a cash allocation as part of a school’s Student Resource Package (SRP) under the School Infrastructure items. Funding is distributed through the quarterly cash grant.</w:t>
      </w:r>
    </w:p>
    <w:p w14:paraId="70607478"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Utilities funding is provided for the following items.</w:t>
      </w:r>
    </w:p>
    <w:p w14:paraId="3F611F46" w14:textId="77777777" w:rsidR="0076693A" w:rsidRPr="004D307F" w:rsidRDefault="0076693A" w:rsidP="00ED0863">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Electricity</w:t>
      </w:r>
    </w:p>
    <w:p w14:paraId="0BF987B1" w14:textId="77777777" w:rsidR="0076693A" w:rsidRPr="004D307F" w:rsidRDefault="0076693A" w:rsidP="00ED0863">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Natural and LPG Gas</w:t>
      </w:r>
    </w:p>
    <w:p w14:paraId="7ED73ACF" w14:textId="77777777" w:rsidR="0076693A" w:rsidRPr="004D307F" w:rsidRDefault="0076693A" w:rsidP="00ED0863">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Water/rates</w:t>
      </w:r>
    </w:p>
    <w:p w14:paraId="21F8092B" w14:textId="77777777" w:rsidR="0076693A" w:rsidRPr="004D307F" w:rsidRDefault="0076693A" w:rsidP="00ED0863">
      <w:pPr>
        <w:numPr>
          <w:ilvl w:val="0"/>
          <w:numId w:val="46"/>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Refuse and Garbage</w:t>
      </w:r>
    </w:p>
    <w:p w14:paraId="438474BD"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Telephones and sanitation costs are not included under the utilities budget.</w:t>
      </w:r>
    </w:p>
    <w:p w14:paraId="4B7F4064"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utilities budget is based on historical spending plus indexation. It is not formula driven and therefore is not automatically adjusted to reflect changes in a school’s profile.</w:t>
      </w:r>
    </w:p>
    <w:p w14:paraId="6BD60BF9"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that have undergone building configuration changes or had major works that have materially impacted on utility costs may be eligible for an ongoing utilities budget adjustment to help support those additional costs.</w:t>
      </w:r>
    </w:p>
    <w:p w14:paraId="0D9652E2" w14:textId="77777777"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Energy Supplement</w:t>
      </w:r>
    </w:p>
    <w:p w14:paraId="31981140" w14:textId="56E3E8D8" w:rsidR="00397125" w:rsidRPr="004D307F" w:rsidRDefault="00397125" w:rsidP="0039712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202</w:t>
      </w:r>
      <w:r w:rsidR="004650F7" w:rsidRPr="004D307F">
        <w:rPr>
          <w:rFonts w:ascii="VIC-Regular" w:eastAsia="Times New Roman" w:hAnsi="VIC-Regular" w:cs="Times New Roman"/>
          <w:color w:val="011A3C"/>
          <w:sz w:val="24"/>
          <w:szCs w:val="24"/>
          <w:lang w:val="en" w:eastAsia="en-AU"/>
        </w:rPr>
        <w:t>0 and 2021</w:t>
      </w:r>
      <w:r w:rsidRPr="004D307F">
        <w:rPr>
          <w:rFonts w:ascii="VIC-Regular" w:eastAsia="Times New Roman" w:hAnsi="VIC-Regular" w:cs="Times New Roman"/>
          <w:color w:val="011A3C"/>
          <w:sz w:val="24"/>
          <w:szCs w:val="24"/>
          <w:lang w:val="en" w:eastAsia="en-AU"/>
        </w:rPr>
        <w:t>, $</w:t>
      </w:r>
      <w:r w:rsidR="004650F7"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5m </w:t>
      </w:r>
      <w:r w:rsidR="004650F7" w:rsidRPr="004D307F">
        <w:rPr>
          <w:rFonts w:ascii="VIC-Regular" w:eastAsia="Times New Roman" w:hAnsi="VIC-Regular" w:cs="Times New Roman"/>
          <w:color w:val="011A3C"/>
          <w:sz w:val="24"/>
          <w:szCs w:val="24"/>
          <w:lang w:val="en" w:eastAsia="en-AU"/>
        </w:rPr>
        <w:t xml:space="preserve">in total </w:t>
      </w:r>
      <w:r w:rsidRPr="004D307F">
        <w:rPr>
          <w:rFonts w:ascii="VIC-Regular" w:eastAsia="Times New Roman" w:hAnsi="VIC-Regular" w:cs="Times New Roman"/>
          <w:color w:val="011A3C"/>
          <w:sz w:val="24"/>
          <w:szCs w:val="24"/>
          <w:lang w:val="en" w:eastAsia="en-AU"/>
        </w:rPr>
        <w:t>w</w:t>
      </w:r>
      <w:r w:rsidR="004650F7" w:rsidRPr="004D307F">
        <w:rPr>
          <w:rFonts w:ascii="VIC-Regular" w:eastAsia="Times New Roman" w:hAnsi="VIC-Regular" w:cs="Times New Roman"/>
          <w:color w:val="011A3C"/>
          <w:sz w:val="24"/>
          <w:szCs w:val="24"/>
          <w:lang w:val="en" w:eastAsia="en-AU"/>
        </w:rPr>
        <w:t>as</w:t>
      </w:r>
      <w:r w:rsidRPr="004D307F">
        <w:rPr>
          <w:rFonts w:ascii="VIC-Regular" w:eastAsia="Times New Roman" w:hAnsi="VIC-Regular" w:cs="Times New Roman"/>
          <w:color w:val="011A3C"/>
          <w:sz w:val="24"/>
          <w:szCs w:val="24"/>
          <w:lang w:val="en" w:eastAsia="en-AU"/>
        </w:rPr>
        <w:t xml:space="preserve"> distributed to schools experiencing a significant utilities funding shortfall </w:t>
      </w:r>
      <w:r w:rsidR="004650F7" w:rsidRPr="004D307F">
        <w:rPr>
          <w:rFonts w:ascii="VIC-Regular" w:eastAsia="Times New Roman" w:hAnsi="VIC-Regular" w:cs="Times New Roman"/>
          <w:color w:val="011A3C"/>
          <w:sz w:val="24"/>
          <w:szCs w:val="24"/>
          <w:lang w:val="en" w:eastAsia="en-AU"/>
        </w:rPr>
        <w:t>because of rising energy costs. This supplementary funding was once</w:t>
      </w:r>
      <w:r w:rsidR="00B241D3" w:rsidRPr="004D307F">
        <w:rPr>
          <w:rFonts w:ascii="VIC-Regular" w:eastAsia="Times New Roman" w:hAnsi="VIC-Regular" w:cs="Times New Roman"/>
          <w:color w:val="011A3C"/>
          <w:sz w:val="24"/>
          <w:szCs w:val="24"/>
          <w:lang w:val="en" w:eastAsia="en-AU"/>
        </w:rPr>
        <w:t>-</w:t>
      </w:r>
      <w:r w:rsidR="004650F7" w:rsidRPr="004D307F">
        <w:rPr>
          <w:rFonts w:ascii="VIC-Regular" w:eastAsia="Times New Roman" w:hAnsi="VIC-Regular" w:cs="Times New Roman"/>
          <w:color w:val="011A3C"/>
          <w:sz w:val="24"/>
          <w:szCs w:val="24"/>
          <w:lang w:val="en" w:eastAsia="en-AU"/>
        </w:rPr>
        <w:t>off and school</w:t>
      </w:r>
      <w:r w:rsidR="00B241D3" w:rsidRPr="004D307F">
        <w:rPr>
          <w:rFonts w:ascii="VIC-Regular" w:eastAsia="Times New Roman" w:hAnsi="VIC-Regular" w:cs="Times New Roman"/>
          <w:color w:val="011A3C"/>
          <w:sz w:val="24"/>
          <w:szCs w:val="24"/>
          <w:lang w:val="en" w:eastAsia="en-AU"/>
        </w:rPr>
        <w:t>'</w:t>
      </w:r>
      <w:r w:rsidR="004650F7" w:rsidRPr="004D307F">
        <w:rPr>
          <w:rFonts w:ascii="VIC-Regular" w:eastAsia="Times New Roman" w:hAnsi="VIC-Regular" w:cs="Times New Roman"/>
          <w:color w:val="011A3C"/>
          <w:sz w:val="24"/>
          <w:szCs w:val="24"/>
          <w:lang w:val="en" w:eastAsia="en-AU"/>
        </w:rPr>
        <w:t>s 2022 utilities budgets will revert to 2019 funding levels with the addition of yearly indexation.</w:t>
      </w:r>
      <w:r w:rsidRPr="004D307F">
        <w:rPr>
          <w:rFonts w:ascii="VIC-Regular" w:eastAsia="Times New Roman" w:hAnsi="VIC-Regular" w:cs="Times New Roman"/>
          <w:color w:val="011A3C"/>
          <w:sz w:val="24"/>
          <w:szCs w:val="24"/>
          <w:lang w:val="en" w:eastAsia="en-AU"/>
        </w:rPr>
        <w:t xml:space="preserve"> </w:t>
      </w:r>
    </w:p>
    <w:p w14:paraId="775523F1" w14:textId="4E0A2188"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Whole of Victorian Government Energy Contracts</w:t>
      </w:r>
    </w:p>
    <w:p w14:paraId="28370218" w14:textId="34A2C71E" w:rsidR="00B846F8" w:rsidRPr="004D307F"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Department is currently a participant in Whole of Victorian Government contracts that cover the supply of electricity and natural gas to all school sites (meters).</w:t>
      </w:r>
    </w:p>
    <w:p w14:paraId="6C4FEC47" w14:textId="754D0EA0"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Electricity</w:t>
      </w:r>
    </w:p>
    <w:p w14:paraId="51284924"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1. Red Energy </w:t>
      </w:r>
      <w:r w:rsidRPr="004D307F">
        <w:rPr>
          <w:rFonts w:ascii="VIC-Regular" w:eastAsia="Times New Roman" w:hAnsi="VIC-Regular" w:cs="Times New Roman"/>
          <w:color w:val="011A3C"/>
          <w:sz w:val="24"/>
          <w:szCs w:val="24"/>
          <w:lang w:val="en" w:eastAsia="en-AU"/>
        </w:rPr>
        <w:t>is our retailer for schools (meters) that consume &gt;40 MWh pa.</w:t>
      </w:r>
    </w:p>
    <w:p w14:paraId="118AD2E8"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Contacts for billing enquiries</w:t>
      </w:r>
    </w:p>
    <w:p w14:paraId="15C9C62E" w14:textId="739E63EA" w:rsidR="0076693A" w:rsidRPr="004D307F" w:rsidRDefault="004650F7"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Akhil Arora</w:t>
      </w:r>
      <w:r w:rsidR="0076693A" w:rsidRPr="004D307F">
        <w:rPr>
          <w:rFonts w:ascii="VIC-Regular" w:eastAsia="Times New Roman" w:hAnsi="VIC-Regular" w:cs="Times New Roman"/>
          <w:color w:val="011A3C"/>
          <w:sz w:val="24"/>
          <w:szCs w:val="24"/>
          <w:lang w:val="en" w:eastAsia="en-AU"/>
        </w:rPr>
        <w:t>/</w:t>
      </w:r>
      <w:proofErr w:type="spellStart"/>
      <w:r w:rsidR="0076693A" w:rsidRPr="004D307F">
        <w:rPr>
          <w:rFonts w:ascii="VIC-Regular" w:eastAsia="Times New Roman" w:hAnsi="VIC-Regular" w:cs="Times New Roman"/>
          <w:color w:val="011A3C"/>
          <w:sz w:val="24"/>
          <w:szCs w:val="24"/>
          <w:lang w:val="en" w:eastAsia="en-AU"/>
        </w:rPr>
        <w:t>Taimur</w:t>
      </w:r>
      <w:proofErr w:type="spellEnd"/>
      <w:r w:rsidR="0076693A" w:rsidRPr="004D307F">
        <w:rPr>
          <w:rFonts w:ascii="VIC-Regular" w:eastAsia="Times New Roman" w:hAnsi="VIC-Regular" w:cs="Times New Roman"/>
          <w:color w:val="011A3C"/>
          <w:sz w:val="24"/>
          <w:szCs w:val="24"/>
          <w:lang w:val="en" w:eastAsia="en-AU"/>
        </w:rPr>
        <w:t xml:space="preserve"> Khan — email: </w:t>
      </w:r>
      <w:hyperlink r:id="rId84" w:history="1">
        <w:r w:rsidR="0076693A" w:rsidRPr="004D307F">
          <w:rPr>
            <w:rFonts w:ascii="VIC-Regular" w:eastAsia="Times New Roman" w:hAnsi="VIC-Regular" w:cs="Times New Roman"/>
            <w:color w:val="011A3C"/>
            <w:sz w:val="24"/>
            <w:szCs w:val="24"/>
            <w:lang w:val="en" w:eastAsia="en-AU"/>
          </w:rPr>
          <w:t>business@redenergy.com.au</w:t>
        </w:r>
      </w:hyperlink>
      <w:r w:rsidR="0076693A" w:rsidRPr="004D307F">
        <w:rPr>
          <w:rFonts w:ascii="VIC-Regular" w:eastAsia="Times New Roman" w:hAnsi="VIC-Regular" w:cs="Times New Roman"/>
          <w:color w:val="011A3C"/>
          <w:sz w:val="24"/>
          <w:szCs w:val="24"/>
          <w:lang w:val="en" w:eastAsia="en-AU"/>
        </w:rPr>
        <w:t xml:space="preserve">  </w:t>
      </w:r>
      <w:proofErr w:type="spellStart"/>
      <w:r w:rsidR="0076693A" w:rsidRPr="004D307F">
        <w:rPr>
          <w:rFonts w:ascii="VIC-Regular" w:eastAsia="Times New Roman" w:hAnsi="VIC-Regular" w:cs="Times New Roman"/>
          <w:color w:val="011A3C"/>
          <w:sz w:val="24"/>
          <w:szCs w:val="24"/>
          <w:lang w:val="en" w:eastAsia="en-AU"/>
        </w:rPr>
        <w:t>ph</w:t>
      </w:r>
      <w:proofErr w:type="spellEnd"/>
      <w:r w:rsidR="0076693A" w:rsidRPr="004D307F">
        <w:rPr>
          <w:rFonts w:ascii="VIC-Regular" w:eastAsia="Times New Roman" w:hAnsi="VIC-Regular" w:cs="Times New Roman"/>
          <w:color w:val="011A3C"/>
          <w:sz w:val="24"/>
          <w:szCs w:val="24"/>
          <w:lang w:val="en" w:eastAsia="en-AU"/>
        </w:rPr>
        <w:t xml:space="preserve">: </w:t>
      </w:r>
      <w:hyperlink r:id="rId85" w:history="1">
        <w:r w:rsidR="0076693A" w:rsidRPr="004D307F">
          <w:rPr>
            <w:rFonts w:ascii="VIC-Regular" w:eastAsia="Times New Roman" w:hAnsi="VIC-Regular" w:cs="Times New Roman"/>
            <w:color w:val="011A3C"/>
            <w:sz w:val="24"/>
            <w:szCs w:val="24"/>
            <w:lang w:val="en" w:eastAsia="en-AU"/>
          </w:rPr>
          <w:t>1300 322 067</w:t>
        </w:r>
      </w:hyperlink>
    </w:p>
    <w:p w14:paraId="78C49984"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2. AGL</w:t>
      </w:r>
      <w:r w:rsidRPr="004D307F">
        <w:rPr>
          <w:rFonts w:ascii="VIC-Regular" w:eastAsia="Times New Roman" w:hAnsi="VIC-Regular" w:cs="Times New Roman"/>
          <w:color w:val="011A3C"/>
          <w:sz w:val="24"/>
          <w:szCs w:val="24"/>
          <w:lang w:val="en" w:eastAsia="en-AU"/>
        </w:rPr>
        <w:t xml:space="preserve"> is our retailer for schools (meters) that consume &lt;40 MWh pa</w:t>
      </w:r>
    </w:p>
    <w:p w14:paraId="29424FBF"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Contacts for billing enquiries</w:t>
      </w:r>
    </w:p>
    <w:p w14:paraId="6FFA105A" w14:textId="010AF19E"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Email: </w:t>
      </w:r>
      <w:hyperlink r:id="rId86" w:history="1">
        <w:r w:rsidRPr="004D307F">
          <w:rPr>
            <w:rFonts w:ascii="VIC-Regular" w:eastAsia="Times New Roman" w:hAnsi="VIC-Regular" w:cs="Times New Roman"/>
            <w:color w:val="011A3C"/>
            <w:sz w:val="24"/>
            <w:szCs w:val="24"/>
            <w:lang w:val="en" w:eastAsia="en-AU"/>
          </w:rPr>
          <w:t>vicgov@agl.com.au</w:t>
        </w:r>
      </w:hyperlink>
      <w:r w:rsidRPr="004D307F">
        <w:rPr>
          <w:rFonts w:ascii="VIC-Regular" w:eastAsia="Times New Roman" w:hAnsi="VIC-Regular" w:cs="Times New Roman"/>
          <w:color w:val="011A3C"/>
          <w:sz w:val="24"/>
          <w:szCs w:val="24"/>
          <w:lang w:val="en" w:eastAsia="en-AU"/>
        </w:rPr>
        <w:t xml:space="preserve"> </w:t>
      </w:r>
      <w:proofErr w:type="spellStart"/>
      <w:r w:rsidRPr="004D307F">
        <w:rPr>
          <w:rFonts w:ascii="VIC-Regular" w:eastAsia="Times New Roman" w:hAnsi="VIC-Regular" w:cs="Times New Roman"/>
          <w:color w:val="011A3C"/>
          <w:sz w:val="24"/>
          <w:szCs w:val="24"/>
          <w:lang w:val="en" w:eastAsia="en-AU"/>
        </w:rPr>
        <w:t>ph</w:t>
      </w:r>
      <w:proofErr w:type="spellEnd"/>
      <w:r w:rsidRPr="004D307F">
        <w:rPr>
          <w:rFonts w:ascii="VIC-Regular" w:eastAsia="Times New Roman" w:hAnsi="VIC-Regular" w:cs="Times New Roman"/>
          <w:color w:val="011A3C"/>
          <w:sz w:val="24"/>
          <w:szCs w:val="24"/>
          <w:lang w:val="en" w:eastAsia="en-AU"/>
        </w:rPr>
        <w:t xml:space="preserve">: </w:t>
      </w:r>
      <w:hyperlink r:id="rId87" w:history="1">
        <w:r w:rsidRPr="004D307F">
          <w:rPr>
            <w:rFonts w:ascii="VIC-Regular" w:eastAsia="Times New Roman" w:hAnsi="VIC-Regular" w:cs="Times New Roman"/>
            <w:color w:val="011A3C"/>
            <w:sz w:val="24"/>
            <w:szCs w:val="24"/>
            <w:lang w:val="en" w:eastAsia="en-AU"/>
          </w:rPr>
          <w:t>1300 793 477</w:t>
        </w:r>
      </w:hyperlink>
    </w:p>
    <w:p w14:paraId="67522ED9" w14:textId="77777777"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Natural Gas</w:t>
      </w:r>
      <w:r w:rsidRPr="004D307F">
        <w:rPr>
          <w:rFonts w:ascii="VIC-Bold" w:eastAsia="Times New Roman" w:hAnsi="VIC-Bold" w:cs="Times New Roman" w:hint="eastAsia"/>
          <w:b/>
          <w:bCs/>
          <w:color w:val="011A3C"/>
          <w:sz w:val="27"/>
          <w:szCs w:val="27"/>
          <w:lang w:val="en" w:eastAsia="en-AU"/>
        </w:rPr>
        <w:t>  </w:t>
      </w:r>
    </w:p>
    <w:p w14:paraId="56DC393C" w14:textId="5A2E4B2A"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Origin Energy is the provider of Natural Gas under a Whole of Government contract arrangement.</w:t>
      </w:r>
    </w:p>
    <w:p w14:paraId="598C9D0B" w14:textId="3954DA98"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contract commence</w:t>
      </w:r>
      <w:r w:rsidR="00397125" w:rsidRPr="004D307F">
        <w:rPr>
          <w:rFonts w:ascii="VIC-Regular" w:eastAsia="Times New Roman" w:hAnsi="VIC-Regular" w:cs="Times New Roman"/>
          <w:color w:val="011A3C"/>
          <w:sz w:val="24"/>
          <w:szCs w:val="24"/>
          <w:lang w:val="en" w:eastAsia="en-AU"/>
        </w:rPr>
        <w:t>d</w:t>
      </w:r>
      <w:r w:rsidRPr="004D307F">
        <w:rPr>
          <w:rFonts w:ascii="VIC-Regular" w:eastAsia="Times New Roman" w:hAnsi="VIC-Regular" w:cs="Times New Roman"/>
          <w:color w:val="011A3C"/>
          <w:sz w:val="24"/>
          <w:szCs w:val="24"/>
          <w:lang w:val="en" w:eastAsia="en-AU"/>
        </w:rPr>
        <w:t xml:space="preserve"> on 1 January 2020 and runs initially for two years.</w:t>
      </w:r>
    </w:p>
    <w:p w14:paraId="02719E92" w14:textId="77777777" w:rsidR="0076693A" w:rsidRPr="004D307F" w:rsidRDefault="0076693A" w:rsidP="0076693A">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 xml:space="preserve">Contacts for transfer, </w:t>
      </w:r>
      <w:proofErr w:type="gramStart"/>
      <w:r w:rsidRPr="004D307F">
        <w:rPr>
          <w:rFonts w:ascii="VIC-Bold" w:eastAsia="Times New Roman" w:hAnsi="VIC-Bold" w:cs="Times New Roman"/>
          <w:color w:val="011A3C"/>
          <w:sz w:val="24"/>
          <w:szCs w:val="24"/>
          <w:lang w:val="en" w:eastAsia="en-AU"/>
        </w:rPr>
        <w:t>billing</w:t>
      </w:r>
      <w:proofErr w:type="gramEnd"/>
      <w:r w:rsidRPr="004D307F">
        <w:rPr>
          <w:rFonts w:ascii="VIC-Bold" w:eastAsia="Times New Roman" w:hAnsi="VIC-Bold" w:cs="Times New Roman"/>
          <w:color w:val="011A3C"/>
          <w:sz w:val="24"/>
          <w:szCs w:val="24"/>
          <w:lang w:val="en" w:eastAsia="en-AU"/>
        </w:rPr>
        <w:t xml:space="preserve"> and new connection enquiries</w:t>
      </w:r>
    </w:p>
    <w:p w14:paraId="5BDCE5E8"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Email: </w:t>
      </w:r>
      <w:hyperlink r:id="rId88" w:history="1">
        <w:r w:rsidRPr="004D307F">
          <w:rPr>
            <w:rFonts w:ascii="VIC-Regular" w:eastAsia="Times New Roman" w:hAnsi="VIC-Regular" w:cs="Times New Roman"/>
            <w:color w:val="011A3C"/>
            <w:sz w:val="24"/>
            <w:szCs w:val="24"/>
            <w:lang w:val="en" w:eastAsia="en-AU"/>
          </w:rPr>
          <w:t>vicgovernment@originenergy.com.au</w:t>
        </w:r>
      </w:hyperlink>
    </w:p>
    <w:p w14:paraId="48E4BA67" w14:textId="63BD962C" w:rsidR="007F1D90"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Phone: </w:t>
      </w:r>
      <w:hyperlink r:id="rId89" w:history="1">
        <w:r w:rsidRPr="004D307F">
          <w:rPr>
            <w:rFonts w:ascii="VIC-Regular" w:eastAsia="Times New Roman" w:hAnsi="VIC-Regular" w:cs="Times New Roman"/>
            <w:color w:val="011A3C"/>
            <w:sz w:val="24"/>
            <w:szCs w:val="24"/>
            <w:lang w:val="en" w:eastAsia="en-AU"/>
          </w:rPr>
          <w:t>1800 319 299</w:t>
        </w:r>
      </w:hyperlink>
    </w:p>
    <w:p w14:paraId="060FC52B" w14:textId="77720884" w:rsidR="007F1D90" w:rsidRPr="004D307F" w:rsidRDefault="007F1D90" w:rsidP="007F1D90">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tariff and contract information, see: </w:t>
      </w:r>
      <w:hyperlink r:id="rId90" w:history="1">
        <w:r w:rsidRPr="004D307F">
          <w:rPr>
            <w:rStyle w:val="Hyperlink"/>
            <w:rFonts w:ascii="Times New Roman" w:hAnsi="Times New Roman"/>
          </w:rPr>
          <w:t>Student Resource Package</w:t>
        </w:r>
      </w:hyperlink>
      <w:r w:rsidRPr="004D307F">
        <w:rPr>
          <w:rFonts w:ascii="VIC-Regular" w:eastAsia="Times New Roman" w:hAnsi="VIC-Regular" w:cs="Times New Roman"/>
          <w:color w:val="011A3C"/>
          <w:sz w:val="24"/>
          <w:szCs w:val="24"/>
          <w:lang w:val="en" w:eastAsia="en-AU"/>
        </w:rPr>
        <w:t> (school user log in required).</w:t>
      </w:r>
    </w:p>
    <w:p w14:paraId="687990B6" w14:textId="104C191D"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Any school not supplied under the relevant Whole of Victorian Government contract must contact </w:t>
      </w:r>
      <w:proofErr w:type="spellStart"/>
      <w:r w:rsidRPr="004D307F">
        <w:rPr>
          <w:rFonts w:ascii="VIC-Regular" w:eastAsia="Times New Roman" w:hAnsi="VIC-Regular" w:cs="Times New Roman"/>
          <w:color w:val="011A3C"/>
          <w:sz w:val="24"/>
          <w:szCs w:val="24"/>
          <w:lang w:val="en" w:eastAsia="en-AU"/>
        </w:rPr>
        <w:t>Mr</w:t>
      </w:r>
      <w:proofErr w:type="spellEnd"/>
      <w:r w:rsidRPr="004D307F">
        <w:rPr>
          <w:rFonts w:ascii="VIC-Regular" w:eastAsia="Times New Roman" w:hAnsi="VIC-Regular" w:cs="Times New Roman"/>
          <w:color w:val="011A3C"/>
          <w:sz w:val="24"/>
          <w:szCs w:val="24"/>
          <w:lang w:val="en" w:eastAsia="en-AU"/>
        </w:rPr>
        <w:t xml:space="preserve"> Brett Duff on email: </w:t>
      </w:r>
      <w:hyperlink r:id="rId91" w:history="1"/>
      <w:hyperlink r:id="rId92" w:history="1">
        <w:r w:rsidRPr="004D307F">
          <w:rPr>
            <w:rStyle w:val="Hyperlink"/>
            <w:rFonts w:ascii="Times New Roman" w:eastAsia="Times New Roman" w:hAnsi="Times New Roman" w:cs="Times New Roman"/>
            <w:sz w:val="24"/>
            <w:szCs w:val="24"/>
            <w:lang w:eastAsia="en-AU"/>
          </w:rPr>
          <w:t xml:space="preserve"> Brett.Duff@education</w:t>
        </w:r>
        <w:r w:rsidRPr="004D307F">
          <w:rPr>
            <w:rStyle w:val="Hyperlink"/>
            <w:rFonts w:ascii="VIC-Regular" w:eastAsia="Times New Roman" w:hAnsi="VIC-Regular" w:cs="Times New Roman"/>
            <w:sz w:val="24"/>
            <w:szCs w:val="24"/>
            <w:lang w:val="en" w:eastAsia="en-AU"/>
          </w:rPr>
          <w:t>.vic.gov.au</w:t>
        </w:r>
      </w:hyperlink>
      <w:r w:rsidRPr="004D307F">
        <w:rPr>
          <w:rFonts w:ascii="VIC-Regular" w:eastAsia="Times New Roman" w:hAnsi="VIC-Regular" w:cs="Times New Roman"/>
          <w:color w:val="011A3C"/>
          <w:sz w:val="24"/>
          <w:szCs w:val="24"/>
          <w:lang w:val="en" w:eastAsia="en-AU"/>
        </w:rPr>
        <w:t>, to arrange transition to the appropriate Whole of Victorian Government retailer. All other queries can be directed to the retailer.</w:t>
      </w:r>
    </w:p>
    <w:p w14:paraId="0A8AAB7A" w14:textId="399C7188" w:rsidR="00B846F8" w:rsidRPr="004D307F"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lieu of schools joining a Whole of Government contract, schools must not sign or negotiate individual or group contracts for the supply of electricity and natural gas irrespective of usage levels as per the Executive Memo 2005/19 Update on the Supply of Electricity and Natural Gas.</w:t>
      </w:r>
    </w:p>
    <w:p w14:paraId="294B2030" w14:textId="615810D5" w:rsidR="0076693A" w:rsidRPr="004D307F" w:rsidRDefault="0076693A" w:rsidP="000D106B">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Water</w:t>
      </w:r>
    </w:p>
    <w:p w14:paraId="421E9AF1"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 schools are supplied water by their designated water authority. No government contract is in place for water.</w:t>
      </w:r>
    </w:p>
    <w:p w14:paraId="2B2AF0A9"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assist schools with managing water costs, we encourage you to join the Schools Water Efficiency Program (SWEP). SWEP is a state government </w:t>
      </w:r>
      <w:r w:rsidRPr="004D307F">
        <w:rPr>
          <w:rFonts w:ascii="VIC-Regular" w:eastAsia="Times New Roman" w:hAnsi="VIC-Regular" w:cs="Times New Roman"/>
          <w:color w:val="011A3C"/>
          <w:sz w:val="24"/>
          <w:szCs w:val="24"/>
          <w:lang w:val="en" w:eastAsia="en-AU"/>
        </w:rPr>
        <w:lastRenderedPageBreak/>
        <w:t>initiative jointly developed and funded by the Department of Environment, Land, Water and Planning (DELWP) and the Department of Education and Training (DET).</w:t>
      </w:r>
    </w:p>
    <w:p w14:paraId="295F4675"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SWEP provides you with a program to monitor your schools’ water usage to save water, money and educate students about water efficiency concepts. You can register online for SWEP or learn more by visiting </w:t>
      </w:r>
      <w:hyperlink r:id="rId93" w:history="1">
        <w:r w:rsidRPr="004D307F">
          <w:rPr>
            <w:rFonts w:ascii="VIC-Regular" w:eastAsia="Times New Roman" w:hAnsi="VIC-Regular" w:cs="Times New Roman"/>
            <w:color w:val="011A3C"/>
            <w:sz w:val="24"/>
            <w:szCs w:val="24"/>
            <w:lang w:val="en" w:eastAsia="en-AU"/>
          </w:rPr>
          <w:t>www.myswep.com.au</w:t>
        </w:r>
      </w:hyperlink>
      <w:r w:rsidRPr="004D307F">
        <w:rPr>
          <w:rFonts w:ascii="VIC-Regular" w:eastAsia="Times New Roman" w:hAnsi="VIC-Regular" w:cs="Times New Roman"/>
          <w:color w:val="011A3C"/>
          <w:sz w:val="24"/>
          <w:szCs w:val="24"/>
          <w:lang w:val="en" w:eastAsia="en-AU"/>
        </w:rPr>
        <w:t>.</w:t>
      </w:r>
    </w:p>
    <w:p w14:paraId="471EBFC9" w14:textId="77777777" w:rsidR="0076693A" w:rsidRPr="004D307F" w:rsidRDefault="0076693A" w:rsidP="0076693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Separately, schools in Victoria are eligible for a rebate on their fixed charges for water and sewer (</w:t>
      </w:r>
      <w:proofErr w:type="spellStart"/>
      <w:r w:rsidRPr="004D307F">
        <w:rPr>
          <w:rFonts w:ascii="VIC-Regular" w:eastAsia="Times New Roman" w:hAnsi="VIC-Regular" w:cs="Times New Roman"/>
          <w:color w:val="011A3C"/>
          <w:sz w:val="24"/>
          <w:szCs w:val="24"/>
          <w:lang w:val="en" w:eastAsia="en-AU"/>
        </w:rPr>
        <w:t>self supply</w:t>
      </w:r>
      <w:proofErr w:type="spellEnd"/>
      <w:r w:rsidRPr="004D307F">
        <w:rPr>
          <w:rFonts w:ascii="VIC-Regular" w:eastAsia="Times New Roman" w:hAnsi="VIC-Regular" w:cs="Times New Roman"/>
          <w:color w:val="011A3C"/>
          <w:sz w:val="24"/>
          <w:szCs w:val="24"/>
          <w:lang w:val="en" w:eastAsia="en-AU"/>
        </w:rPr>
        <w:t xml:space="preserve"> schools are ineligible). This initiative developed by the State Revenue Office provides a rebate of up to a maximum of $260 yearly. The application form that needs to be submitted to your local water authority can be accessed via the following link: </w:t>
      </w:r>
      <w:hyperlink r:id="rId94" w:history="1">
        <w:r w:rsidRPr="004D307F">
          <w:rPr>
            <w:rFonts w:ascii="VIC-Regular" w:eastAsia="Times New Roman" w:hAnsi="VIC-Regular" w:cs="Times New Roman"/>
            <w:color w:val="011A3C"/>
            <w:sz w:val="24"/>
            <w:szCs w:val="24"/>
            <w:lang w:val="en" w:eastAsia="en-AU"/>
          </w:rPr>
          <w:t xml:space="preserve"> https://www.sro.vic.gov.au/forms/apply-water-and-sewerage-rebate</w:t>
        </w:r>
      </w:hyperlink>
      <w:r w:rsidRPr="004D307F">
        <w:rPr>
          <w:rFonts w:ascii="VIC-Regular" w:eastAsia="Times New Roman" w:hAnsi="VIC-Regular" w:cs="Times New Roman"/>
          <w:color w:val="011A3C"/>
          <w:sz w:val="24"/>
          <w:szCs w:val="24"/>
          <w:lang w:val="en" w:eastAsia="en-AU"/>
        </w:rPr>
        <w:t xml:space="preserve"> or by contacting the State Revenue Office on </w:t>
      </w:r>
      <w:hyperlink r:id="rId95" w:history="1">
        <w:r w:rsidRPr="004D307F">
          <w:rPr>
            <w:rFonts w:ascii="VIC-Regular" w:eastAsia="Times New Roman" w:hAnsi="VIC-Regular" w:cs="Times New Roman"/>
            <w:color w:val="011A3C"/>
            <w:sz w:val="24"/>
            <w:szCs w:val="24"/>
            <w:lang w:val="en" w:eastAsia="en-AU"/>
          </w:rPr>
          <w:t>9628 0301</w:t>
        </w:r>
      </w:hyperlink>
      <w:r w:rsidRPr="004D307F">
        <w:rPr>
          <w:rFonts w:ascii="VIC-Regular" w:eastAsia="Times New Roman" w:hAnsi="VIC-Regular" w:cs="Times New Roman"/>
          <w:color w:val="011A3C"/>
          <w:sz w:val="24"/>
          <w:szCs w:val="24"/>
          <w:lang w:val="en" w:eastAsia="en-AU"/>
        </w:rPr>
        <w:t>.</w:t>
      </w:r>
    </w:p>
    <w:p w14:paraId="01B04E3A" w14:textId="77777777" w:rsidR="0076693A" w:rsidRPr="004D307F" w:rsidRDefault="0076693A" w:rsidP="0076693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New schools, </w:t>
      </w:r>
      <w:proofErr w:type="gramStart"/>
      <w:r w:rsidRPr="004D307F">
        <w:rPr>
          <w:rFonts w:ascii="VIC-Bold" w:eastAsia="Times New Roman" w:hAnsi="VIC-Bold" w:cs="Times New Roman"/>
          <w:b/>
          <w:bCs/>
          <w:color w:val="011A3C"/>
          <w:sz w:val="27"/>
          <w:szCs w:val="27"/>
          <w:lang w:val="en" w:eastAsia="en-AU"/>
        </w:rPr>
        <w:t>refurbishment</w:t>
      </w:r>
      <w:proofErr w:type="gramEnd"/>
      <w:r w:rsidRPr="004D307F">
        <w:rPr>
          <w:rFonts w:ascii="VIC-Bold" w:eastAsia="Times New Roman" w:hAnsi="VIC-Bold" w:cs="Times New Roman"/>
          <w:b/>
          <w:bCs/>
          <w:color w:val="011A3C"/>
          <w:sz w:val="27"/>
          <w:szCs w:val="27"/>
          <w:lang w:val="en" w:eastAsia="en-AU"/>
        </w:rPr>
        <w:t xml:space="preserve"> or major building works</w:t>
      </w:r>
    </w:p>
    <w:p w14:paraId="4C32D082" w14:textId="7B3712BD" w:rsidR="0076693A" w:rsidRPr="004D307F" w:rsidRDefault="0076693A" w:rsidP="000D106B">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Projects of this nature will involve new connections, or upgrades in infrastructure used to supply electricity or natural gas. Where this is the case, schools should make early contact with the appropriate Whole of Victorian Government electricity or natural gas supplier </w:t>
      </w:r>
      <w:proofErr w:type="gramStart"/>
      <w:r w:rsidRPr="004D307F">
        <w:rPr>
          <w:rFonts w:ascii="VIC-Regular" w:eastAsia="Times New Roman" w:hAnsi="VIC-Regular" w:cs="Times New Roman"/>
          <w:color w:val="011A3C"/>
          <w:sz w:val="24"/>
          <w:szCs w:val="24"/>
          <w:lang w:val="en" w:eastAsia="en-AU"/>
        </w:rPr>
        <w:t>in order to</w:t>
      </w:r>
      <w:proofErr w:type="gramEnd"/>
      <w:r w:rsidRPr="004D307F">
        <w:rPr>
          <w:rFonts w:ascii="VIC-Regular" w:eastAsia="Times New Roman" w:hAnsi="VIC-Regular" w:cs="Times New Roman"/>
          <w:color w:val="011A3C"/>
          <w:sz w:val="24"/>
          <w:szCs w:val="24"/>
          <w:lang w:val="en" w:eastAsia="en-AU"/>
        </w:rPr>
        <w:t xml:space="preserve"> understand both the nature and cost of this aspect of the project.</w:t>
      </w:r>
      <w:r w:rsidRPr="004D307F">
        <w:rPr>
          <w:rFonts w:ascii="VIC-Regular" w:eastAsia="Times New Roman" w:hAnsi="VIC-Regular" w:cs="Times New Roman"/>
          <w:color w:val="011A3C"/>
          <w:sz w:val="24"/>
          <w:szCs w:val="24"/>
          <w:lang w:val="en" w:eastAsia="en-AU"/>
        </w:rPr>
        <w:t> </w:t>
      </w:r>
    </w:p>
    <w:p w14:paraId="5475F8FF" w14:textId="77777777" w:rsidR="0076693A" w:rsidRPr="004D307F" w:rsidRDefault="0076693A" w:rsidP="0076693A">
      <w:r w:rsidRPr="004D307F">
        <w:br w:type="page"/>
      </w:r>
    </w:p>
    <w:p w14:paraId="70BB5F29" w14:textId="77777777" w:rsidR="00F01BB5" w:rsidRPr="004D307F" w:rsidRDefault="00F01BB5" w:rsidP="00B566E7">
      <w:pPr>
        <w:pStyle w:val="Heading2"/>
      </w:pPr>
      <w:bookmarkStart w:id="57" w:name="_Toc99882751"/>
      <w:bookmarkStart w:id="58" w:name="_Hlk50214434"/>
      <w:r w:rsidRPr="004D307F">
        <w:lastRenderedPageBreak/>
        <w:t>Maintenance (Reference 35)</w:t>
      </w:r>
      <w:bookmarkEnd w:id="57"/>
    </w:p>
    <w:p w14:paraId="5F3EA446"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formula for Maintenance and Minor Works funding distributes:</w:t>
      </w:r>
    </w:p>
    <w:p w14:paraId="0130FF5B" w14:textId="77777777" w:rsidR="00F01BB5" w:rsidRPr="004D307F" w:rsidRDefault="00F01BB5" w:rsidP="00ED0863">
      <w:pPr>
        <w:pStyle w:val="ListParagraph"/>
        <w:numPr>
          <w:ilvl w:val="0"/>
          <w:numId w:val="1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50% of the available funds based on areas required for the school’s enrolments (a school’s ‘facility area’ as per the 2018 Facility Area Schedules)</w:t>
      </w:r>
    </w:p>
    <w:p w14:paraId="4FC0E514" w14:textId="77777777" w:rsidR="00F01BB5" w:rsidRPr="004D307F" w:rsidRDefault="00F01BB5" w:rsidP="00ED0863">
      <w:pPr>
        <w:pStyle w:val="ListParagraph"/>
        <w:numPr>
          <w:ilvl w:val="0"/>
          <w:numId w:val="13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25% based on the type of materials used in the construction of the school buildings</w:t>
      </w:r>
    </w:p>
    <w:p w14:paraId="362111C0" w14:textId="77777777" w:rsidR="00F01BB5" w:rsidRPr="004D307F" w:rsidRDefault="00F01BB5" w:rsidP="00ED0863">
      <w:pPr>
        <w:numPr>
          <w:ilvl w:val="0"/>
          <w:numId w:val="4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25% based on the relative age of those buildings</w:t>
      </w:r>
    </w:p>
    <w:p w14:paraId="2DB2BDC1"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Appropriate factors are also applied to cater for the higher costs associated with building works in remote areas.</w:t>
      </w:r>
    </w:p>
    <w:p w14:paraId="3D266822"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formula calculates the facility area for each school, in accordance with the 2018 Facility Schedules that set out the number, type, and area of learning spaces required based on enrolment.</w:t>
      </w:r>
    </w:p>
    <w:p w14:paraId="0575C416"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formula multiplies the actual area of each building by factors for both its building construction material and building age.</w:t>
      </w:r>
    </w:p>
    <w:p w14:paraId="11F02A68"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Student Resource Package (SRP) Maintenance and Minor Works grant is paid on a quarterly basis as part of the SRP</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budget cash grant.</w:t>
      </w:r>
    </w:p>
    <w:p w14:paraId="459783EA"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to a schools Maintenance and Minor Works funding allocation between calendar years and /or between indicative and confirmed allocation may</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have occurred</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due to:</w:t>
      </w:r>
    </w:p>
    <w:p w14:paraId="60AC8152" w14:textId="77777777" w:rsidR="00F01BB5" w:rsidRPr="004D307F" w:rsidRDefault="00F01BB5" w:rsidP="00ED0863">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to building data</w:t>
      </w:r>
    </w:p>
    <w:p w14:paraId="54EA1468" w14:textId="77777777" w:rsidR="00F01BB5" w:rsidRPr="004D307F" w:rsidRDefault="00F01BB5" w:rsidP="00ED0863">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to enrolment</w:t>
      </w:r>
    </w:p>
    <w:p w14:paraId="331DD005" w14:textId="77777777" w:rsidR="00F01BB5" w:rsidRPr="004D307F" w:rsidRDefault="00F01BB5" w:rsidP="00ED0863">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in relocatable buildings</w:t>
      </w:r>
    </w:p>
    <w:p w14:paraId="19C21B6C" w14:textId="77777777" w:rsidR="00F01BB5" w:rsidRPr="004D307F" w:rsidRDefault="00F01BB5" w:rsidP="00ED0863">
      <w:pPr>
        <w:numPr>
          <w:ilvl w:val="0"/>
          <w:numId w:val="4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changes in the state-wide maintenance budget</w:t>
      </w:r>
      <w:r w:rsidRPr="004D307F">
        <w:rPr>
          <w:rFonts w:ascii="Calibri" w:eastAsia="Times New Roman" w:hAnsi="Calibri" w:cs="Calibri"/>
          <w:color w:val="011A3C"/>
          <w:sz w:val="24"/>
          <w:szCs w:val="24"/>
          <w:lang w:val="en" w:eastAsia="en-AU"/>
        </w:rPr>
        <w:t> </w:t>
      </w:r>
    </w:p>
    <w:p w14:paraId="46A2BC46" w14:textId="77777777" w:rsidR="00F01BB5" w:rsidRPr="004D307F" w:rsidRDefault="00F01BB5" w:rsidP="00F01BB5">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6C1DB28D"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 schools are encouraged to undertake proactive maintenance planning, using all available information, including routine maintenance guides and the results of condition assessments. It is vital that schools use their SRP Maintenance and Minor Works allocation for the active and ongoing maintenance of facilities and to prevent potential health and safety issues.</w:t>
      </w:r>
    </w:p>
    <w:p w14:paraId="4A57C55B" w14:textId="2E8B76D9"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Schools that have already taken part in the Rolling Facilities Evaluation should be using the School Maintenance Plan portal to plan or AIMS, if your school has been migrated to AIMS, and schedule maintenance tasks. For further information, refer to </w:t>
      </w:r>
      <w:hyperlink r:id="rId96" w:history="1">
        <w:r w:rsidRPr="004D307F">
          <w:rPr>
            <w:rFonts w:ascii="VIC-Regular" w:eastAsia="Times New Roman" w:hAnsi="VIC-Regular" w:cs="Times New Roman"/>
            <w:color w:val="011A3C"/>
            <w:sz w:val="24"/>
            <w:szCs w:val="24"/>
            <w:lang w:val="en" w:eastAsia="en-AU"/>
          </w:rPr>
          <w:t>School Maintenance Plans</w:t>
        </w:r>
      </w:hyperlink>
      <w:r w:rsidRPr="004D307F">
        <w:rPr>
          <w:rFonts w:ascii="VIC-Regular" w:eastAsia="Times New Roman" w:hAnsi="VIC-Regular" w:cs="Times New Roman"/>
          <w:color w:val="011A3C"/>
          <w:sz w:val="24"/>
          <w:szCs w:val="24"/>
          <w:lang w:val="en" w:eastAsia="en-AU"/>
        </w:rPr>
        <w:t xml:space="preserve"> or contact </w:t>
      </w:r>
      <w:hyperlink r:id="rId97" w:history="1">
        <w:r w:rsidRPr="004D307F">
          <w:rPr>
            <w:rStyle w:val="Hyperlink"/>
            <w:rFonts w:ascii="VIC-Regular" w:eastAsia="Times New Roman" w:hAnsi="VIC-Regular" w:cs="Times New Roman"/>
            <w:sz w:val="24"/>
            <w:szCs w:val="24"/>
            <w:lang w:val="en" w:eastAsia="en-AU"/>
          </w:rPr>
          <w:t>vsba.asset.management@education.vic.gov.au</w:t>
        </w:r>
      </w:hyperlink>
    </w:p>
    <w:p w14:paraId="243B10E6" w14:textId="77777777" w:rsidR="00F01BB5" w:rsidRPr="004D307F" w:rsidRDefault="00F01BB5" w:rsidP="00F01BB5">
      <w:pPr>
        <w:rPr>
          <w:rFonts w:ascii="Arial Narrow" w:hAnsi="Arial Narrow"/>
          <w:color w:val="FF0000"/>
        </w:rPr>
      </w:pPr>
      <w:r w:rsidRPr="004D307F">
        <w:rPr>
          <w:rFonts w:ascii="Cambria Math" w:eastAsia="Times New Roman" w:hAnsi="Cambria Math" w:cs="Cambria Math"/>
          <w:color w:val="011A3C"/>
          <w:sz w:val="24"/>
          <w:szCs w:val="24"/>
          <w:lang w:val="en" w:eastAsia="en-AU"/>
        </w:rPr>
        <w:t>​</w:t>
      </w:r>
    </w:p>
    <w:p w14:paraId="0903FD0F"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790FD015" w14:textId="77777777" w:rsidR="00F01BB5" w:rsidRPr="004D307F" w:rsidRDefault="00F01BB5" w:rsidP="00ED0863">
      <w:pPr>
        <w:pStyle w:val="ListParagraph"/>
        <w:numPr>
          <w:ilvl w:val="0"/>
          <w:numId w:val="148"/>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6201 – Maintenance and Minor Works</w:t>
      </w:r>
    </w:p>
    <w:p w14:paraId="6EAEB933" w14:textId="77777777" w:rsidR="00F01BB5" w:rsidRPr="004D307F" w:rsidRDefault="00F01BB5" w:rsidP="00ED0863">
      <w:pPr>
        <w:pStyle w:val="ListParagraph"/>
        <w:numPr>
          <w:ilvl w:val="0"/>
          <w:numId w:val="148"/>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86504 – Building Works</w:t>
      </w:r>
    </w:p>
    <w:p w14:paraId="4003D83B"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SRP funding for Maintenance is calculated at the Indicative and Confirmed cycle and may be updated at the Revised cycle, funding is allocated through cash funding.</w:t>
      </w:r>
    </w:p>
    <w:p w14:paraId="6E8B2F44" w14:textId="77777777" w:rsidR="00F01BB5" w:rsidRPr="004D307F" w:rsidRDefault="00F01BB5" w:rsidP="00F01BB5">
      <w:pPr>
        <w:spacing w:before="100" w:beforeAutospacing="1" w:after="100" w:afterAutospacing="1" w:line="360" w:lineRule="atLeast"/>
        <w:rPr>
          <w:rFonts w:ascii="Calibri" w:eastAsia="Times New Roman" w:hAnsi="Calibri" w:cs="Calibri"/>
          <w:color w:val="323E4F" w:themeColor="text2" w:themeShade="BF"/>
          <w:sz w:val="24"/>
          <w:szCs w:val="24"/>
          <w:lang w:eastAsia="en-AU"/>
        </w:rPr>
      </w:pPr>
    </w:p>
    <w:p w14:paraId="6CA129C1" w14:textId="77777777" w:rsidR="00F01BB5" w:rsidRPr="004D307F" w:rsidRDefault="00F01BB5" w:rsidP="00F01BB5">
      <w:pPr>
        <w:spacing w:before="100" w:beforeAutospacing="1" w:after="100" w:afterAutospacing="1" w:line="360" w:lineRule="atLeast"/>
        <w:rPr>
          <w:rFonts w:ascii="Calibri" w:eastAsia="Times New Roman" w:hAnsi="Calibri" w:cs="Calibri"/>
          <w:color w:val="323E4F" w:themeColor="text2" w:themeShade="BF"/>
          <w:sz w:val="24"/>
          <w:szCs w:val="24"/>
          <w:lang w:eastAsia="en-AU"/>
        </w:rPr>
      </w:pPr>
    </w:p>
    <w:p w14:paraId="261DE07B" w14:textId="2E3C0477" w:rsidR="0076693A" w:rsidRPr="004D307F" w:rsidRDefault="0076693A" w:rsidP="0076693A"/>
    <w:p w14:paraId="583BB42C" w14:textId="77777777" w:rsidR="007B0EF6" w:rsidRPr="004D307F" w:rsidRDefault="007B0EF6">
      <w:pPr>
        <w:rPr>
          <w:rFonts w:asciiTheme="majorHAnsi" w:eastAsia="Calibri" w:hAnsiTheme="majorHAnsi" w:cstheme="majorBidi"/>
          <w:b/>
          <w:color w:val="2F5496" w:themeColor="accent1" w:themeShade="BF"/>
          <w:sz w:val="36"/>
          <w:szCs w:val="26"/>
          <w:lang w:val="en" w:eastAsia="en-AU"/>
        </w:rPr>
      </w:pPr>
      <w:bookmarkStart w:id="59" w:name="_Hlk97907990"/>
      <w:r w:rsidRPr="004D307F">
        <w:br w:type="page"/>
      </w:r>
    </w:p>
    <w:p w14:paraId="1867B7A3" w14:textId="143534EA" w:rsidR="00F01BB5" w:rsidRPr="004D307F" w:rsidRDefault="00F01BB5" w:rsidP="00B566E7">
      <w:pPr>
        <w:pStyle w:val="Heading2"/>
      </w:pPr>
      <w:bookmarkStart w:id="60" w:name="_Toc99882752"/>
      <w:r w:rsidRPr="004D307F">
        <w:lastRenderedPageBreak/>
        <w:t>Annual Contracts and Essential Safety Measures (ACES) (Reference 36)</w:t>
      </w:r>
      <w:bookmarkEnd w:id="60"/>
    </w:p>
    <w:p w14:paraId="5DFC959F"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Annual Contracts </w:t>
      </w:r>
    </w:p>
    <w:p w14:paraId="3E04E874"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w:t>
      </w:r>
      <w:r w:rsidRPr="004D307F">
        <w:rPr>
          <w:rFonts w:ascii="Calibri" w:eastAsia="Times New Roman" w:hAnsi="Calibri" w:cs="Calibri"/>
          <w:color w:val="011A3C"/>
          <w:sz w:val="24"/>
          <w:szCs w:val="24"/>
          <w:lang w:val="en" w:eastAsia="en-AU"/>
        </w:rPr>
        <w:t> </w:t>
      </w:r>
      <w:r w:rsidRPr="004D307F">
        <w:rPr>
          <w:rFonts w:ascii="VIC-Regular" w:eastAsia="Times New Roman" w:hAnsi="VIC-Regular" w:cs="Times New Roman"/>
          <w:color w:val="011A3C"/>
          <w:sz w:val="24"/>
          <w:szCs w:val="24"/>
          <w:lang w:val="en" w:eastAsia="en-AU"/>
        </w:rPr>
        <w:t xml:space="preserve">Annual Contracts allocation provides for the routine servicing, inspection, and testing of various items both essential and mandatory. These tasks are: </w:t>
      </w:r>
    </w:p>
    <w:p w14:paraId="5D566F00"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Hygiene requirements (sanitary bins, nappy bins, sharps containers)</w:t>
      </w:r>
    </w:p>
    <w:p w14:paraId="57ED2A11"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Onsite Wastewater Management Systems (OWMS)</w:t>
      </w:r>
    </w:p>
    <w:p w14:paraId="4073AA90"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Private Drinking Water (PDW) </w:t>
      </w:r>
    </w:p>
    <w:p w14:paraId="30632EBB"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Lifts (if required)</w:t>
      </w:r>
    </w:p>
    <w:p w14:paraId="68047C4B"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Termite inspections</w:t>
      </w:r>
    </w:p>
    <w:p w14:paraId="0F214A93" w14:textId="5CA35651"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Heaters (</w:t>
      </w:r>
      <w:r w:rsidR="006C3C0D">
        <w:rPr>
          <w:rFonts w:ascii="VIC-Regular" w:eastAsia="Times New Roman" w:hAnsi="VIC-Regular" w:cs="Times New Roman"/>
          <w:color w:val="011A3C"/>
          <w:sz w:val="24"/>
          <w:szCs w:val="24"/>
          <w:lang w:val="en" w:eastAsia="en-AU"/>
        </w:rPr>
        <w:t>for example,</w:t>
      </w:r>
      <w:r w:rsidRPr="004D307F">
        <w:rPr>
          <w:rFonts w:ascii="VIC-Regular" w:eastAsia="Times New Roman" w:hAnsi="VIC-Regular" w:cs="Times New Roman"/>
          <w:color w:val="011A3C"/>
          <w:sz w:val="24"/>
          <w:szCs w:val="24"/>
          <w:lang w:val="en" w:eastAsia="en-AU"/>
        </w:rPr>
        <w:t xml:space="preserve"> Type A and B Gas </w:t>
      </w:r>
      <w:proofErr w:type="gramStart"/>
      <w:r w:rsidRPr="004D307F">
        <w:rPr>
          <w:rFonts w:ascii="VIC-Regular" w:eastAsia="Times New Roman" w:hAnsi="VIC-Regular" w:cs="Times New Roman"/>
          <w:color w:val="011A3C"/>
          <w:sz w:val="24"/>
          <w:szCs w:val="24"/>
          <w:lang w:val="en" w:eastAsia="en-AU"/>
        </w:rPr>
        <w:t>Appliances )</w:t>
      </w:r>
      <w:proofErr w:type="gramEnd"/>
    </w:p>
    <w:p w14:paraId="0B36B083"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Air conditioning  </w:t>
      </w:r>
    </w:p>
    <w:p w14:paraId="4C1E5387" w14:textId="013347A2"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Vertical school systems (</w:t>
      </w:r>
      <w:proofErr w:type="gramStart"/>
      <w:r w:rsidRPr="004D307F">
        <w:rPr>
          <w:rFonts w:ascii="VIC-Regular" w:eastAsia="Times New Roman" w:hAnsi="VIC-Regular" w:cs="Times New Roman"/>
          <w:color w:val="011A3C"/>
          <w:sz w:val="24"/>
          <w:szCs w:val="24"/>
          <w:lang w:val="en" w:eastAsia="en-AU"/>
        </w:rPr>
        <w:t>i.e.</w:t>
      </w:r>
      <w:proofErr w:type="gramEnd"/>
      <w:r w:rsidRPr="004D307F">
        <w:rPr>
          <w:rFonts w:ascii="VIC-Regular" w:eastAsia="Times New Roman" w:hAnsi="VIC-Regular" w:cs="Times New Roman"/>
          <w:color w:val="011A3C"/>
          <w:sz w:val="24"/>
          <w:szCs w:val="24"/>
          <w:lang w:val="en" w:eastAsia="en-AU"/>
        </w:rPr>
        <w:t xml:space="preserve"> </w:t>
      </w:r>
      <w:proofErr w:type="spellStart"/>
      <w:r w:rsidRPr="004D307F">
        <w:rPr>
          <w:rFonts w:ascii="VIC-Regular" w:eastAsia="Times New Roman" w:hAnsi="VIC-Regular" w:cs="Times New Roman"/>
          <w:color w:val="011A3C"/>
          <w:sz w:val="24"/>
          <w:szCs w:val="24"/>
          <w:lang w:val="en" w:eastAsia="en-AU"/>
        </w:rPr>
        <w:t>centralised</w:t>
      </w:r>
      <w:proofErr w:type="spellEnd"/>
      <w:r w:rsidRPr="004D307F">
        <w:rPr>
          <w:rFonts w:ascii="VIC-Regular" w:eastAsia="Times New Roman" w:hAnsi="VIC-Regular" w:cs="Times New Roman"/>
          <w:color w:val="011A3C"/>
          <w:sz w:val="24"/>
          <w:szCs w:val="24"/>
          <w:lang w:val="en" w:eastAsia="en-AU"/>
        </w:rPr>
        <w:t xml:space="preserve"> Heating, Ventilation, and Air Conditioning systems)</w:t>
      </w:r>
      <w:r w:rsidR="006C3C0D">
        <w:rPr>
          <w:rFonts w:ascii="VIC-Regular" w:eastAsia="Times New Roman" w:hAnsi="VIC-Regular" w:cs="Times New Roman"/>
          <w:color w:val="011A3C"/>
          <w:sz w:val="24"/>
          <w:szCs w:val="24"/>
          <w:lang w:val="en" w:eastAsia="en-AU"/>
        </w:rPr>
        <w:t>.</w:t>
      </w:r>
    </w:p>
    <w:p w14:paraId="427735E3"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Costs associated with repairs for any of the equipment serviced under this component are funded within the maintenance portion of the Student Resource Package (SRP).</w:t>
      </w:r>
    </w:p>
    <w:p w14:paraId="725B291E"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allocation for SRP Annual Contracts includes funding for the servicing of existing annual contracts items mentioned above at eligible schools. This does not include funding for new annual contacts items (for example, funding is to service air conditioning units and not to purchase new air conditioning units).</w:t>
      </w:r>
    </w:p>
    <w:p w14:paraId="2E455411" w14:textId="77777777" w:rsidR="00F01BB5" w:rsidRPr="004D307F" w:rsidRDefault="00A35420" w:rsidP="00F01BB5">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hyperlink r:id="rId98" w:history="1">
        <w:r w:rsidR="00F01BB5" w:rsidRPr="004D307F">
          <w:rPr>
            <w:rFonts w:ascii="VIC-Regular" w:eastAsia="Times New Roman" w:hAnsi="VIC-Regular" w:cs="Times New Roman"/>
            <w:b/>
            <w:bCs/>
            <w:color w:val="011A3C"/>
            <w:sz w:val="24"/>
            <w:szCs w:val="24"/>
            <w:lang w:val="en" w:eastAsia="en-AU"/>
          </w:rPr>
          <w:t>Essential Safety Measures</w:t>
        </w:r>
      </w:hyperlink>
      <w:r w:rsidR="00F01BB5" w:rsidRPr="004D307F">
        <w:rPr>
          <w:rFonts w:ascii="VIC-Regular" w:eastAsia="Times New Roman" w:hAnsi="VIC-Regular" w:cs="Times New Roman"/>
          <w:b/>
          <w:bCs/>
          <w:color w:val="011A3C"/>
          <w:sz w:val="24"/>
          <w:szCs w:val="24"/>
          <w:lang w:val="en" w:eastAsia="en-AU"/>
        </w:rPr>
        <w:t xml:space="preserve"> (ESM) </w:t>
      </w:r>
    </w:p>
    <w:p w14:paraId="34B6E6DE"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Essential safety measures (ESM) are central to ensuring a safe and healthy environment in Victorian schools, and their maintenance is vital for the life, safety, and health of occupants over the lifetime of school buildings. When correctly maintained, ESM support students, </w:t>
      </w:r>
      <w:proofErr w:type="gramStart"/>
      <w:r w:rsidRPr="004D307F">
        <w:rPr>
          <w:rFonts w:ascii="VIC-Regular" w:eastAsia="Times New Roman" w:hAnsi="VIC-Regular" w:cs="Times New Roman"/>
          <w:color w:val="011A3C"/>
          <w:sz w:val="24"/>
          <w:szCs w:val="24"/>
          <w:lang w:val="en" w:eastAsia="en-AU"/>
        </w:rPr>
        <w:t>staff</w:t>
      </w:r>
      <w:proofErr w:type="gramEnd"/>
      <w:r w:rsidRPr="004D307F">
        <w:rPr>
          <w:rFonts w:ascii="VIC-Regular" w:eastAsia="Times New Roman" w:hAnsi="VIC-Regular" w:cs="Times New Roman"/>
          <w:color w:val="011A3C"/>
          <w:sz w:val="24"/>
          <w:szCs w:val="24"/>
          <w:lang w:val="en" w:eastAsia="en-AU"/>
        </w:rPr>
        <w:t xml:space="preserve"> and visitors to evacuate safely in the event of a fire.</w:t>
      </w:r>
    </w:p>
    <w:p w14:paraId="67C3B28E"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In line with the Department’s Essential Safety Measures Framework, schools are required to ensure ESM compliance which includes the inspection, </w:t>
      </w:r>
      <w:r w:rsidRPr="004D307F">
        <w:rPr>
          <w:rFonts w:ascii="VIC-Regular" w:eastAsia="Times New Roman" w:hAnsi="VIC-Regular" w:cs="Times New Roman"/>
          <w:color w:val="011A3C"/>
          <w:sz w:val="24"/>
          <w:szCs w:val="24"/>
          <w:lang w:val="en" w:eastAsia="en-AU"/>
        </w:rPr>
        <w:lastRenderedPageBreak/>
        <w:t>testing, rectification maintenance (if required) and recordkeeping of measures.</w:t>
      </w:r>
      <w:r w:rsidRPr="004D307F">
        <w:rPr>
          <w:rFonts w:ascii="Calibri" w:eastAsia="Times New Roman" w:hAnsi="Calibri" w:cs="Calibri"/>
          <w:color w:val="011A3C"/>
          <w:sz w:val="24"/>
          <w:szCs w:val="24"/>
          <w:lang w:val="en" w:eastAsia="en-AU"/>
        </w:rPr>
        <w:t>  </w:t>
      </w:r>
    </w:p>
    <w:p w14:paraId="59A5DE9B" w14:textId="77777777" w:rsidR="00F01BB5" w:rsidRPr="004D307F" w:rsidRDefault="00F01BB5" w:rsidP="00F01BB5">
      <w:pPr>
        <w:keepNext/>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4B59C529"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ACES SRP funding for any eligible school is allocated </w:t>
      </w:r>
      <w:proofErr w:type="gramStart"/>
      <w:r w:rsidRPr="004D307F">
        <w:rPr>
          <w:rFonts w:ascii="VIC-Regular" w:eastAsia="Times New Roman" w:hAnsi="VIC-Regular" w:cs="Times New Roman"/>
          <w:color w:val="011A3C"/>
          <w:sz w:val="24"/>
          <w:szCs w:val="24"/>
          <w:lang w:val="en" w:eastAsia="en-AU"/>
        </w:rPr>
        <w:t>in order to</w:t>
      </w:r>
      <w:proofErr w:type="gramEnd"/>
      <w:r w:rsidRPr="004D307F">
        <w:rPr>
          <w:rFonts w:ascii="VIC-Regular" w:eastAsia="Times New Roman" w:hAnsi="VIC-Regular" w:cs="Times New Roman"/>
          <w:color w:val="011A3C"/>
          <w:sz w:val="24"/>
          <w:szCs w:val="24"/>
          <w:lang w:val="en" w:eastAsia="en-AU"/>
        </w:rPr>
        <w:t xml:space="preserve"> cover costs of Annual Contracts and Essential Safety Measures.  Adjustments to the ACES SRP allocation will be made </w:t>
      </w:r>
      <w:proofErr w:type="gramStart"/>
      <w:r w:rsidRPr="004D307F">
        <w:rPr>
          <w:rFonts w:ascii="VIC-Regular" w:eastAsia="Times New Roman" w:hAnsi="VIC-Regular" w:cs="Times New Roman"/>
          <w:color w:val="011A3C"/>
          <w:sz w:val="24"/>
          <w:szCs w:val="24"/>
          <w:lang w:val="en" w:eastAsia="en-AU"/>
        </w:rPr>
        <w:t>on the basis of</w:t>
      </w:r>
      <w:proofErr w:type="gramEnd"/>
      <w:r w:rsidRPr="004D307F">
        <w:rPr>
          <w:rFonts w:ascii="VIC-Regular" w:eastAsia="Times New Roman" w:hAnsi="VIC-Regular" w:cs="Times New Roman"/>
          <w:color w:val="011A3C"/>
          <w:sz w:val="24"/>
          <w:szCs w:val="24"/>
          <w:lang w:val="en" w:eastAsia="en-AU"/>
        </w:rPr>
        <w:t xml:space="preserve"> enrolment/entitlement area or the provision of new equipment. </w:t>
      </w:r>
    </w:p>
    <w:p w14:paraId="4DEDA277"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Annual Contracts are calculated using a </w:t>
      </w:r>
      <w:r w:rsidRPr="004D307F">
        <w:rPr>
          <w:rFonts w:ascii="VIC-Regular" w:eastAsia="Times New Roman" w:hAnsi="VIC-Regular" w:cs="Times New Roman" w:hint="eastAsia"/>
          <w:color w:val="011A3C"/>
          <w:sz w:val="24"/>
          <w:szCs w:val="24"/>
          <w:lang w:val="en" w:eastAsia="en-AU"/>
        </w:rPr>
        <w:t>‘</w:t>
      </w:r>
      <w:r w:rsidRPr="004D307F">
        <w:rPr>
          <w:rFonts w:ascii="VIC-Regular" w:eastAsia="Times New Roman" w:hAnsi="VIC-Regular" w:cs="Times New Roman"/>
          <w:color w:val="011A3C"/>
          <w:sz w:val="24"/>
          <w:szCs w:val="24"/>
          <w:lang w:val="en" w:eastAsia="en-AU"/>
        </w:rPr>
        <w:t>bottom-up</w:t>
      </w:r>
      <w:r w:rsidRPr="004D307F">
        <w:rPr>
          <w:rFonts w:ascii="VIC-Regular" w:eastAsia="Times New Roman" w:hAnsi="VIC-Regular" w:cs="Times New Roman" w:hint="eastAsia"/>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formula involving 7 base contracts (as outlined in the Annual Contracts section above, excluding the vertical school allocation).  The formula used to calculate each of the individual contracts is either based on fixed tiers, or a specific funding amount per individual unit present at the school.  </w:t>
      </w:r>
    </w:p>
    <w:p w14:paraId="307E90A3"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each of the annual contract items listed below, a pre-determined dollar/unit rate (with both metro and regional rates) is multiplied by every unit recorded at the school:</w:t>
      </w:r>
    </w:p>
    <w:p w14:paraId="027F9C27"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Onsite Wastewater Management Systems (OWMS) – the number of septic tank units</w:t>
      </w:r>
    </w:p>
    <w:p w14:paraId="74963CF6"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Private Drinking Water (PDW) – the number of potable </w:t>
      </w:r>
      <w:proofErr w:type="gramStart"/>
      <w:r w:rsidRPr="004D307F">
        <w:rPr>
          <w:rFonts w:ascii="VIC-Regular" w:eastAsia="Times New Roman" w:hAnsi="VIC-Regular" w:cs="Times New Roman"/>
          <w:color w:val="011A3C"/>
          <w:sz w:val="24"/>
          <w:szCs w:val="24"/>
          <w:lang w:val="en" w:eastAsia="en-AU"/>
        </w:rPr>
        <w:t>water</w:t>
      </w:r>
      <w:proofErr w:type="gramEnd"/>
      <w:r w:rsidRPr="004D307F">
        <w:rPr>
          <w:rFonts w:ascii="VIC-Regular" w:eastAsia="Times New Roman" w:hAnsi="VIC-Regular" w:cs="Times New Roman"/>
          <w:color w:val="011A3C"/>
          <w:sz w:val="24"/>
          <w:szCs w:val="24"/>
          <w:lang w:val="en" w:eastAsia="en-AU"/>
        </w:rPr>
        <w:t xml:space="preserve"> drinking tanks </w:t>
      </w:r>
    </w:p>
    <w:p w14:paraId="42AD9D6F"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Lifts - the number of passenger and/or document lifts </w:t>
      </w:r>
    </w:p>
    <w:p w14:paraId="197D83AB"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Heating units – the number of furnace heating units and/or boiling water units </w:t>
      </w:r>
    </w:p>
    <w:p w14:paraId="7F30F083"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Air conditioning units – including evaporative and </w:t>
      </w:r>
      <w:proofErr w:type="spellStart"/>
      <w:r w:rsidRPr="004D307F">
        <w:rPr>
          <w:rFonts w:ascii="VIC-Regular" w:eastAsia="Times New Roman" w:hAnsi="VIC-Regular" w:cs="Times New Roman"/>
          <w:color w:val="011A3C"/>
          <w:sz w:val="24"/>
          <w:szCs w:val="24"/>
          <w:lang w:val="en" w:eastAsia="en-AU"/>
        </w:rPr>
        <w:t>refrigerative</w:t>
      </w:r>
      <w:proofErr w:type="spellEnd"/>
      <w:r w:rsidRPr="004D307F">
        <w:rPr>
          <w:rFonts w:ascii="VIC-Regular" w:eastAsia="Times New Roman" w:hAnsi="VIC-Regular" w:cs="Times New Roman"/>
          <w:color w:val="011A3C"/>
          <w:sz w:val="24"/>
          <w:szCs w:val="24"/>
          <w:lang w:val="en" w:eastAsia="en-AU"/>
        </w:rPr>
        <w:t xml:space="preserve"> units. </w:t>
      </w:r>
    </w:p>
    <w:p w14:paraId="1387D70A"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annual contract items are calculated based on their enrolment or building area.  If the school’s enrolment/building area goes above a certain number, the school will receive an increased funding allowance.</w:t>
      </w:r>
    </w:p>
    <w:p w14:paraId="5D516170"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Hygiene requirements (sanitary bins, nappy bins, sharps containers)</w:t>
      </w:r>
    </w:p>
    <w:p w14:paraId="1613F87B" w14:textId="77777777" w:rsidR="00F01BB5" w:rsidRPr="004D307F" w:rsidRDefault="00F01BB5" w:rsidP="00ED0863">
      <w:pPr>
        <w:pStyle w:val="ListParagraph"/>
        <w:numPr>
          <w:ilvl w:val="1"/>
          <w:numId w:val="51"/>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allocation is a fixed amount for schools with less than 400 students, and an increased fixed amount for schools with greater than or equal to 400 students. The amounts are dependent on if the school is metro or rural based.</w:t>
      </w:r>
    </w:p>
    <w:p w14:paraId="173044A7"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Termite inspections</w:t>
      </w:r>
    </w:p>
    <w:p w14:paraId="31C67676" w14:textId="77777777" w:rsidR="00F01BB5" w:rsidRPr="004D307F" w:rsidRDefault="00F01BB5" w:rsidP="00ED0863">
      <w:pPr>
        <w:pStyle w:val="ListParagraph"/>
        <w:numPr>
          <w:ilvl w:val="1"/>
          <w:numId w:val="51"/>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The allocation is dependent on the school's total internal floor area. Schools with an area below 2,000m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receive a fixed base amount. Schools with an area between 2,000m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and 8,000m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receive an additional $1,000 on top of the base amount. Schools with an area between 8,000m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and 14,000m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receive a further $1,000, with the allocation continuously increasing by $1,000 for every subsequent 6,000m</w:t>
      </w:r>
      <w:r w:rsidRPr="004D307F">
        <w:rPr>
          <w:rFonts w:ascii="VIC-Regular" w:eastAsia="Times New Roman" w:hAnsi="VIC-Regular" w:cs="Times New Roman"/>
          <w:color w:val="011A3C"/>
          <w:sz w:val="24"/>
          <w:szCs w:val="24"/>
          <w:vertAlign w:val="superscript"/>
          <w:lang w:val="en" w:eastAsia="en-AU"/>
        </w:rPr>
        <w:t>2</w:t>
      </w:r>
      <w:r w:rsidRPr="004D307F">
        <w:rPr>
          <w:rFonts w:ascii="VIC-Regular" w:eastAsia="Times New Roman" w:hAnsi="VIC-Regular" w:cs="Times New Roman"/>
          <w:color w:val="011A3C"/>
          <w:sz w:val="24"/>
          <w:szCs w:val="24"/>
          <w:lang w:val="en" w:eastAsia="en-AU"/>
        </w:rPr>
        <w:t xml:space="preserve"> threshold crossed.</w:t>
      </w:r>
    </w:p>
    <w:p w14:paraId="25BB64C3" w14:textId="77777777" w:rsidR="00F01BB5" w:rsidRPr="004D307F" w:rsidRDefault="00F01BB5" w:rsidP="00ED0863">
      <w:pPr>
        <w:numPr>
          <w:ilvl w:val="0"/>
          <w:numId w:val="5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Instant hot water heating units</w:t>
      </w:r>
    </w:p>
    <w:p w14:paraId="211542CA" w14:textId="77777777" w:rsidR="00F01BB5" w:rsidRPr="004D307F" w:rsidRDefault="00F01BB5" w:rsidP="00ED0863">
      <w:pPr>
        <w:pStyle w:val="ListParagraph"/>
        <w:numPr>
          <w:ilvl w:val="1"/>
          <w:numId w:val="51"/>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allocation is a fixed amount for schools with less than 400 students, and an increased fixed amount for schools with greater than or equal to 400 students. The amounts are dependent on if the school is metro or rural based.</w:t>
      </w:r>
    </w:p>
    <w:p w14:paraId="47B010D4"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Distinct rates have been established for metro versus regional schools to accommodate extra travel requirements by maintenance contractors.</w:t>
      </w:r>
    </w:p>
    <w:p w14:paraId="48827FDD"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school</w:t>
      </w:r>
      <w:r w:rsidRPr="004D307F">
        <w:rPr>
          <w:rFonts w:ascii="VIC-Regular" w:eastAsia="Times New Roman" w:hAnsi="VIC-Regular" w:cs="Times New Roman" w:hint="eastAsia"/>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s eligibility to receive air conditioning funding is determined by the VSBA Heating and Cooling policy in conjunction with the </w:t>
      </w:r>
      <w:proofErr w:type="spellStart"/>
      <w:r w:rsidRPr="004D307F">
        <w:rPr>
          <w:rFonts w:ascii="VIC-Regular" w:eastAsia="Times New Roman" w:hAnsi="VIC-Regular" w:cs="Times New Roman"/>
          <w:color w:val="011A3C"/>
          <w:sz w:val="24"/>
          <w:szCs w:val="24"/>
          <w:lang w:val="en" w:eastAsia="en-AU"/>
        </w:rPr>
        <w:t>NatHERS</w:t>
      </w:r>
      <w:proofErr w:type="spellEnd"/>
      <w:r w:rsidRPr="004D307F">
        <w:rPr>
          <w:rFonts w:ascii="VIC-Regular" w:eastAsia="Times New Roman" w:hAnsi="VIC-Regular" w:cs="Times New Roman"/>
          <w:color w:val="011A3C"/>
          <w:sz w:val="24"/>
          <w:szCs w:val="24"/>
          <w:lang w:val="en" w:eastAsia="en-AU"/>
        </w:rPr>
        <w:t xml:space="preserve"> zones 20 and 27 as outlined on the </w:t>
      </w:r>
      <w:hyperlink r:id="rId99" w:history="1">
        <w:r w:rsidRPr="004D307F">
          <w:rPr>
            <w:rStyle w:val="Hyperlink"/>
            <w:rFonts w:ascii="VIC-Regular" w:eastAsia="Times New Roman" w:hAnsi="VIC-Regular" w:cs="Times New Roman"/>
            <w:sz w:val="24"/>
            <w:szCs w:val="24"/>
            <w:lang w:val="en" w:eastAsia="en-AU"/>
          </w:rPr>
          <w:t>Nationwide House Energy Rating Scheme site.</w:t>
        </w:r>
      </w:hyperlink>
    </w:p>
    <w:p w14:paraId="51701BDF"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Vertical schools receive a single additional payment to accommodate increased servicing costs associated with residing in a high-rise building. </w:t>
      </w:r>
    </w:p>
    <w:p w14:paraId="54EA2B01" w14:textId="77777777" w:rsidR="00F01BB5" w:rsidRPr="004D307F" w:rsidRDefault="00F01BB5" w:rsidP="00F01BB5">
      <w:pPr>
        <w:rPr>
          <w:rFonts w:ascii="VIC-Regular" w:eastAsia="Times New Roman" w:hAnsi="VIC-Regular" w:cs="Times New Roman"/>
          <w:color w:val="011A3C"/>
          <w:sz w:val="24"/>
          <w:szCs w:val="24"/>
          <w:lang w:val="en" w:eastAsia="en-AU"/>
        </w:rPr>
      </w:pPr>
    </w:p>
    <w:p w14:paraId="36809BE8" w14:textId="77777777" w:rsidR="00F01BB5" w:rsidRPr="004D307F" w:rsidRDefault="00F01BB5" w:rsidP="00F01BB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ESM measures funding is calculated based on the size of the school in terms of both floor area (50% of allocation) and the number of buildings (50% of allocation).</w:t>
      </w:r>
    </w:p>
    <w:p w14:paraId="7EE9E540"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Expenditure should be allocated in CASES21 to the following:</w:t>
      </w:r>
    </w:p>
    <w:p w14:paraId="6E0CBD83" w14:textId="77777777" w:rsidR="00F01BB5" w:rsidRPr="004D307F" w:rsidRDefault="00F01BB5" w:rsidP="00ED0863">
      <w:pPr>
        <w:pStyle w:val="ListParagraph"/>
        <w:numPr>
          <w:ilvl w:val="0"/>
          <w:numId w:val="1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Sub Program Code: 6401 – Annual Contracts Essential Safety</w:t>
      </w:r>
    </w:p>
    <w:p w14:paraId="79CF2EC4" w14:textId="77777777" w:rsidR="00F01BB5" w:rsidRPr="004D307F" w:rsidRDefault="00F01BB5" w:rsidP="00ED0863">
      <w:pPr>
        <w:pStyle w:val="ListParagraph"/>
        <w:numPr>
          <w:ilvl w:val="0"/>
          <w:numId w:val="1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86500 – Security/Safety/Fire Prevention</w:t>
      </w:r>
    </w:p>
    <w:p w14:paraId="1C420FDD" w14:textId="77777777" w:rsidR="00F01BB5" w:rsidRPr="004D307F" w:rsidRDefault="00F01BB5" w:rsidP="00ED0863">
      <w:pPr>
        <w:pStyle w:val="ListParagraph"/>
        <w:numPr>
          <w:ilvl w:val="0"/>
          <w:numId w:val="1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General Ledger Account Code: 86504 – Building works</w:t>
      </w:r>
    </w:p>
    <w:p w14:paraId="2D675219"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SRP funding for Annual Contracts and Essential Safety Measures is calculated at the Indicative and Confirmed cycle and may be updated at the Revised </w:t>
      </w:r>
      <w:proofErr w:type="gramStart"/>
      <w:r w:rsidRPr="004D307F">
        <w:rPr>
          <w:rFonts w:ascii="VIC-Regular" w:eastAsia="Times New Roman" w:hAnsi="VIC-Regular" w:cs="Times New Roman"/>
          <w:color w:val="011A3C"/>
          <w:sz w:val="24"/>
          <w:szCs w:val="24"/>
          <w:lang w:val="en" w:eastAsia="en-AU"/>
        </w:rPr>
        <w:t>cycle, and</w:t>
      </w:r>
      <w:proofErr w:type="gramEnd"/>
      <w:r w:rsidRPr="004D307F">
        <w:rPr>
          <w:rFonts w:ascii="VIC-Regular" w:eastAsia="Times New Roman" w:hAnsi="VIC-Regular" w:cs="Times New Roman"/>
          <w:color w:val="011A3C"/>
          <w:sz w:val="24"/>
          <w:szCs w:val="24"/>
          <w:lang w:val="en" w:eastAsia="en-AU"/>
        </w:rPr>
        <w:t xml:space="preserve"> is allocated through cash funding.</w:t>
      </w:r>
    </w:p>
    <w:p w14:paraId="6FC5677D" w14:textId="77777777" w:rsidR="00F01BB5" w:rsidRPr="004D307F" w:rsidRDefault="00F01BB5" w:rsidP="00F01BB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further information, including how to acquit ESM obligations, refer to: </w:t>
      </w:r>
      <w:r w:rsidRPr="004D307F">
        <w:t xml:space="preserve">Annual Contracts contact </w:t>
      </w:r>
      <w:r w:rsidRPr="004D307F">
        <w:rPr>
          <w:rFonts w:ascii="Century Gothic" w:hAnsi="Century Gothic"/>
          <w:b/>
          <w:bCs/>
          <w:color w:val="696B6D"/>
          <w:sz w:val="16"/>
          <w:szCs w:val="16"/>
          <w:lang w:eastAsia="en-AU"/>
        </w:rPr>
        <w:t> </w:t>
      </w:r>
      <w:hyperlink r:id="rId100" w:history="1">
        <w:r w:rsidRPr="004D307F">
          <w:rPr>
            <w:rStyle w:val="Hyperlink"/>
            <w:rFonts w:ascii="Century Gothic" w:hAnsi="Century Gothic"/>
            <w:sz w:val="16"/>
            <w:szCs w:val="16"/>
          </w:rPr>
          <w:t>vsba.annual.contracts@education.vic.gov.au</w:t>
        </w:r>
      </w:hyperlink>
      <w:r w:rsidRPr="004D307F">
        <w:rPr>
          <w:rFonts w:ascii="Century Gothic" w:hAnsi="Century Gothic"/>
          <w:sz w:val="16"/>
          <w:szCs w:val="16"/>
          <w:lang w:eastAsia="en-AU"/>
        </w:rPr>
        <w:t xml:space="preserve"> </w:t>
      </w:r>
      <w:r w:rsidRPr="004D307F">
        <w:rPr>
          <w:rFonts w:ascii="Century Gothic" w:hAnsi="Century Gothic"/>
          <w:color w:val="7F7F7F"/>
          <w:sz w:val="16"/>
          <w:szCs w:val="16"/>
          <w:lang w:eastAsia="en-AU"/>
        </w:rPr>
        <w:t>03 7022 5800</w:t>
      </w:r>
      <w:r w:rsidRPr="004D307F">
        <w:rPr>
          <w:rFonts w:ascii="VIC-Regular" w:eastAsia="Times New Roman" w:hAnsi="VIC-Regular" w:cs="Times New Roman"/>
          <w:color w:val="011A3C"/>
          <w:sz w:val="24"/>
          <w:szCs w:val="24"/>
          <w:lang w:val="en" w:eastAsia="en-AU"/>
        </w:rPr>
        <w:t xml:space="preserve"> Essential Safety Measures policy</w:t>
      </w:r>
      <w:r w:rsidRPr="004D307F">
        <w:rPr>
          <w:rFonts w:ascii="Calibri" w:eastAsia="Times New Roman" w:hAnsi="Calibri" w:cs="Calibri"/>
          <w:color w:val="011A3C"/>
          <w:sz w:val="24"/>
          <w:szCs w:val="24"/>
          <w:lang w:val="en" w:eastAsia="en-AU"/>
        </w:rPr>
        <w:t> </w:t>
      </w:r>
      <w:r w:rsidRPr="004D307F" w:rsidDel="00676498">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or contact </w:t>
      </w:r>
      <w:hyperlink r:id="rId101" w:history="1">
        <w:r w:rsidRPr="004D307F">
          <w:rPr>
            <w:rStyle w:val="Hyperlink"/>
            <w:rFonts w:ascii="VIC-Regular" w:eastAsia="Times New Roman" w:hAnsi="VIC-Regular" w:cs="Times New Roman"/>
            <w:sz w:val="24"/>
            <w:szCs w:val="24"/>
            <w:lang w:val="en" w:eastAsia="en-AU"/>
          </w:rPr>
          <w:t>essential.safety.measures@education.vic.gov.au</w:t>
        </w:r>
      </w:hyperlink>
    </w:p>
    <w:p w14:paraId="63399E55" w14:textId="436382C7" w:rsidR="0076693A" w:rsidRPr="004D307F" w:rsidRDefault="0076693A" w:rsidP="00B566E7">
      <w:pPr>
        <w:pStyle w:val="Heading2"/>
      </w:pPr>
      <w:bookmarkStart w:id="61" w:name="_Toc99882753"/>
      <w:bookmarkEnd w:id="58"/>
      <w:bookmarkEnd w:id="59"/>
      <w:r w:rsidRPr="004D307F">
        <w:lastRenderedPageBreak/>
        <w:t>Workers’ Compensation (Reference 37)</w:t>
      </w:r>
      <w:bookmarkEnd w:id="61"/>
    </w:p>
    <w:p w14:paraId="347BFFF1" w14:textId="42BEC610"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Each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r w:rsidR="00242599"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242599" w:rsidRPr="004D307F">
        <w:rPr>
          <w:rFonts w:ascii="VIC" w:eastAsia="Times New Roman" w:hAnsi="VIC" w:cs="Times New Roman"/>
          <w:color w:val="011A3C"/>
          <w:sz w:val="24"/>
          <w:szCs w:val="24"/>
          <w:lang w:val="en" w:eastAsia="en-AU"/>
        </w:rPr>
        <w:t>c</w:t>
      </w:r>
      <w:r w:rsidRPr="004D307F">
        <w:rPr>
          <w:rFonts w:ascii="VIC" w:eastAsia="Times New Roman" w:hAnsi="VIC" w:cs="Times New Roman"/>
          <w:color w:val="011A3C"/>
          <w:sz w:val="24"/>
          <w:szCs w:val="24"/>
          <w:lang w:val="en" w:eastAsia="en-AU"/>
        </w:rPr>
        <w:t>ompensation budget allocation has been determined by applying an averaged claim cost rate for each school type to the remuneration of each school.</w:t>
      </w:r>
    </w:p>
    <w:p w14:paraId="14168AF5" w14:textId="7844CB84"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amount charged against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r w:rsidR="001E12C0"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1E12C0" w:rsidRPr="004D307F">
        <w:rPr>
          <w:rFonts w:ascii="VIC" w:eastAsia="Times New Roman" w:hAnsi="VIC" w:cs="Times New Roman"/>
          <w:color w:val="011A3C"/>
          <w:sz w:val="24"/>
          <w:szCs w:val="24"/>
          <w:lang w:val="en" w:eastAsia="en-AU"/>
        </w:rPr>
        <w:t>c</w:t>
      </w:r>
      <w:r w:rsidRPr="004D307F">
        <w:rPr>
          <w:rFonts w:ascii="VIC" w:eastAsia="Times New Roman" w:hAnsi="VIC" w:cs="Times New Roman"/>
          <w:color w:val="011A3C"/>
          <w:sz w:val="24"/>
          <w:szCs w:val="24"/>
          <w:lang w:val="en" w:eastAsia="en-AU"/>
        </w:rPr>
        <w:t>ompensation budget allocation is based on the actual incurred costs of claims that have been lodged at the school during the 20</w:t>
      </w:r>
      <w:r w:rsidR="00990116" w:rsidRPr="004D307F">
        <w:rPr>
          <w:rFonts w:ascii="VIC" w:eastAsia="Times New Roman" w:hAnsi="VIC" w:cs="Times New Roman"/>
          <w:color w:val="011A3C"/>
          <w:sz w:val="24"/>
          <w:szCs w:val="24"/>
          <w:lang w:val="en" w:eastAsia="en-AU"/>
        </w:rPr>
        <w:t>2</w:t>
      </w:r>
      <w:r w:rsidR="001E12C0" w:rsidRPr="004D307F">
        <w:rPr>
          <w:rFonts w:ascii="VIC" w:eastAsia="Times New Roman" w:hAnsi="VIC" w:cs="Times New Roman"/>
          <w:color w:val="011A3C"/>
          <w:sz w:val="24"/>
          <w:szCs w:val="24"/>
          <w:lang w:val="en" w:eastAsia="en-AU"/>
        </w:rPr>
        <w:t>1</w:t>
      </w:r>
      <w:r w:rsidRPr="004D307F">
        <w:rPr>
          <w:rFonts w:ascii="VIC" w:eastAsia="Times New Roman" w:hAnsi="VIC" w:cs="Times New Roman"/>
          <w:color w:val="011A3C"/>
          <w:sz w:val="24"/>
          <w:szCs w:val="24"/>
          <w:lang w:val="en" w:eastAsia="en-AU"/>
        </w:rPr>
        <w:t>/202</w:t>
      </w:r>
      <w:r w:rsidR="001E12C0"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premium calculation period from 01 January 201</w:t>
      </w:r>
      <w:r w:rsidR="001E12C0" w:rsidRPr="004D307F">
        <w:rPr>
          <w:rFonts w:ascii="VIC" w:eastAsia="Times New Roman" w:hAnsi="VIC" w:cs="Times New Roman"/>
          <w:color w:val="011A3C"/>
          <w:sz w:val="24"/>
          <w:szCs w:val="24"/>
          <w:lang w:val="en" w:eastAsia="en-AU"/>
        </w:rPr>
        <w:t>8</w:t>
      </w:r>
      <w:r w:rsidRPr="004D307F">
        <w:rPr>
          <w:rFonts w:ascii="VIC" w:eastAsia="Times New Roman" w:hAnsi="VIC" w:cs="Times New Roman"/>
          <w:color w:val="011A3C"/>
          <w:sz w:val="24"/>
          <w:szCs w:val="24"/>
          <w:lang w:val="en" w:eastAsia="en-AU"/>
        </w:rPr>
        <w:t xml:space="preserve"> to 30 June 20</w:t>
      </w:r>
      <w:r w:rsidR="001E12C0" w:rsidRPr="004D307F">
        <w:rPr>
          <w:rFonts w:ascii="VIC" w:eastAsia="Times New Roman" w:hAnsi="VIC" w:cs="Times New Roman"/>
          <w:color w:val="011A3C"/>
          <w:sz w:val="24"/>
          <w:szCs w:val="24"/>
          <w:lang w:val="en" w:eastAsia="en-AU"/>
        </w:rPr>
        <w:t>20</w:t>
      </w:r>
      <w:r w:rsidRPr="004D307F">
        <w:rPr>
          <w:rFonts w:ascii="VIC" w:eastAsia="Times New Roman" w:hAnsi="VIC" w:cs="Times New Roman"/>
          <w:color w:val="011A3C"/>
          <w:sz w:val="24"/>
          <w:szCs w:val="24"/>
          <w:lang w:val="en" w:eastAsia="en-AU"/>
        </w:rPr>
        <w:t>.</w:t>
      </w:r>
      <w:r w:rsidRPr="004D307F">
        <w:rPr>
          <w:rFonts w:ascii="Calibri" w:eastAsia="Times New Roman" w:hAnsi="Calibri" w:cs="Calibri" w:hint="eastAsia"/>
          <w:color w:val="011A3C"/>
          <w:sz w:val="24"/>
          <w:szCs w:val="24"/>
          <w:lang w:val="en" w:eastAsia="en-AU"/>
        </w:rPr>
        <w:t> </w:t>
      </w:r>
    </w:p>
    <w:p w14:paraId="3FDD9AA4" w14:textId="7F828760"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If the total cost of these claims is greater than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r w:rsidR="001E12C0"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1E12C0" w:rsidRPr="004D307F">
        <w:rPr>
          <w:rFonts w:ascii="VIC" w:eastAsia="Times New Roman" w:hAnsi="VIC" w:cs="Times New Roman"/>
          <w:color w:val="011A3C"/>
          <w:sz w:val="24"/>
          <w:szCs w:val="24"/>
          <w:lang w:val="en" w:eastAsia="en-AU"/>
        </w:rPr>
        <w:t>c</w:t>
      </w:r>
      <w:r w:rsidRPr="004D307F">
        <w:rPr>
          <w:rFonts w:ascii="VIC" w:eastAsia="Times New Roman" w:hAnsi="VIC" w:cs="Times New Roman"/>
          <w:color w:val="011A3C"/>
          <w:sz w:val="24"/>
          <w:szCs w:val="24"/>
          <w:lang w:val="en" w:eastAsia="en-AU"/>
        </w:rPr>
        <w:t>ompensation budget allocation, the school is required to pay all or part of the difference, capped at 0.5% of its remuneration up to a maximum of $25,000.</w:t>
      </w:r>
      <w:r w:rsidRPr="004D307F">
        <w:rPr>
          <w:rFonts w:ascii="Calibri" w:eastAsia="Times New Roman" w:hAnsi="Calibri" w:cs="Calibri" w:hint="eastAsia"/>
          <w:color w:val="011A3C"/>
          <w:sz w:val="24"/>
          <w:szCs w:val="24"/>
          <w:lang w:val="en" w:eastAsia="en-AU"/>
        </w:rPr>
        <w:t> </w:t>
      </w:r>
    </w:p>
    <w:p w14:paraId="338263EA" w14:textId="4803799C"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Savings capped at 0.5% of remuneration, up to a maximum of $25,000 accrue to those schools with claims costs less than their </w:t>
      </w:r>
      <w:r w:rsidR="001E12C0"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1E12C0" w:rsidRPr="004D307F">
        <w:rPr>
          <w:rFonts w:ascii="VIC" w:eastAsia="Times New Roman" w:hAnsi="VIC" w:cs="Times New Roman"/>
          <w:color w:val="011A3C"/>
          <w:sz w:val="24"/>
          <w:szCs w:val="24"/>
          <w:lang w:val="en" w:eastAsia="en-AU"/>
        </w:rPr>
        <w:t>c</w:t>
      </w:r>
      <w:r w:rsidRPr="004D307F">
        <w:rPr>
          <w:rFonts w:ascii="VIC" w:eastAsia="Times New Roman" w:hAnsi="VIC" w:cs="Times New Roman"/>
          <w:color w:val="011A3C"/>
          <w:sz w:val="24"/>
          <w:szCs w:val="24"/>
          <w:lang w:val="en" w:eastAsia="en-AU"/>
        </w:rPr>
        <w:t>ompensation budget allocations. Full 202</w:t>
      </w:r>
      <w:r w:rsidR="001E12C0"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budget allocations, charge out amounts and end of year balance details are in the </w:t>
      </w:r>
      <w:hyperlink r:id="rId102" w:history="1">
        <w:r w:rsidRPr="004D307F">
          <w:rPr>
            <w:rStyle w:val="Hyperlink"/>
            <w:rFonts w:ascii="VIC" w:eastAsia="Times New Roman" w:hAnsi="VIC" w:cs="Times New Roman"/>
            <w:sz w:val="24"/>
            <w:szCs w:val="24"/>
            <w:lang w:val="en" w:eastAsia="en-AU"/>
          </w:rPr>
          <w:t>Workers</w:t>
        </w:r>
        <w:r w:rsidRPr="004D307F">
          <w:rPr>
            <w:rStyle w:val="Hyperlink"/>
            <w:rFonts w:ascii="VIC" w:eastAsia="Times New Roman" w:hAnsi="VIC" w:cs="Times New Roman" w:hint="eastAsia"/>
            <w:sz w:val="24"/>
            <w:szCs w:val="24"/>
            <w:lang w:val="en" w:eastAsia="en-AU"/>
          </w:rPr>
          <w:t>’</w:t>
        </w:r>
        <w:r w:rsidRPr="004D307F">
          <w:rPr>
            <w:rStyle w:val="Hyperlink"/>
            <w:rFonts w:ascii="VIC" w:eastAsia="Times New Roman" w:hAnsi="VIC" w:cs="Times New Roman"/>
            <w:sz w:val="24"/>
            <w:szCs w:val="24"/>
            <w:lang w:val="en" w:eastAsia="en-AU"/>
          </w:rPr>
          <w:t xml:space="preserve"> Compensation Summary Statement.</w:t>
        </w:r>
      </w:hyperlink>
    </w:p>
    <w:p w14:paraId="2C3FD5C9" w14:textId="77777777" w:rsidR="0076693A" w:rsidRPr="004D307F" w:rsidRDefault="0076693A" w:rsidP="00D93949">
      <w:pPr>
        <w:pStyle w:val="Heading3"/>
        <w:rPr>
          <w:rStyle w:val="Strong"/>
          <w:rFonts w:ascii="VIC" w:hAnsi="VIC"/>
        </w:rPr>
      </w:pPr>
      <w:r w:rsidRPr="004D307F">
        <w:rPr>
          <w:rStyle w:val="Strong"/>
          <w:rFonts w:ascii="VIC" w:hAnsi="VIC"/>
        </w:rPr>
        <w:t>Notes</w:t>
      </w:r>
    </w:p>
    <w:p w14:paraId="27F94854" w14:textId="77777777" w:rsidR="0076693A" w:rsidRPr="004D307F" w:rsidRDefault="0076693A" w:rsidP="0076693A">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Exempt Category Claims</w:t>
      </w:r>
    </w:p>
    <w:p w14:paraId="21587CDC" w14:textId="566DCB03"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bookmarkStart w:id="62" w:name="_Hlk50298055"/>
      <w:r w:rsidRPr="004D307F">
        <w:rPr>
          <w:rFonts w:ascii="VIC" w:eastAsia="Times New Roman" w:hAnsi="VIC" w:cs="Times New Roman"/>
          <w:color w:val="011A3C"/>
          <w:sz w:val="24"/>
          <w:szCs w:val="24"/>
          <w:lang w:val="en" w:eastAsia="en-AU"/>
        </w:rPr>
        <w:t>The following categories of claims are eligible for exemption from the calculation of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202</w:t>
      </w:r>
      <w:r w:rsidR="00990116" w:rsidRPr="004D307F">
        <w:rPr>
          <w:rFonts w:ascii="VIC" w:eastAsia="Times New Roman" w:hAnsi="VIC" w:cs="Times New Roman"/>
          <w:color w:val="011A3C"/>
          <w:sz w:val="24"/>
          <w:szCs w:val="24"/>
          <w:lang w:val="en" w:eastAsia="en-AU"/>
        </w:rPr>
        <w:t>1</w:t>
      </w:r>
      <w:r w:rsidRPr="004D307F">
        <w:rPr>
          <w:rFonts w:ascii="VIC" w:eastAsia="Times New Roman" w:hAnsi="VIC" w:cs="Times New Roman"/>
          <w:color w:val="011A3C"/>
          <w:sz w:val="24"/>
          <w:szCs w:val="24"/>
          <w:lang w:val="en" w:eastAsia="en-AU"/>
        </w:rPr>
        <w:t xml:space="preserve"> </w:t>
      </w:r>
      <w:r w:rsidR="001B66F8" w:rsidRPr="004D307F">
        <w:rPr>
          <w:rFonts w:ascii="VIC" w:eastAsia="Times New Roman" w:hAnsi="VIC" w:cs="Times New Roman"/>
          <w:color w:val="011A3C"/>
          <w:sz w:val="24"/>
          <w:szCs w:val="24"/>
          <w:lang w:val="en" w:eastAsia="en-AU"/>
        </w:rPr>
        <w:t>Student Resource Package (</w:t>
      </w:r>
      <w:r w:rsidRPr="004D307F">
        <w:rPr>
          <w:rFonts w:ascii="VIC" w:eastAsia="Times New Roman" w:hAnsi="VIC" w:cs="Times New Roman"/>
          <w:color w:val="011A3C"/>
          <w:sz w:val="24"/>
          <w:szCs w:val="24"/>
          <w:lang w:val="en" w:eastAsia="en-AU"/>
        </w:rPr>
        <w:t>SRP</w:t>
      </w:r>
      <w:r w:rsidR="001B66F8"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cost:</w:t>
      </w:r>
    </w:p>
    <w:bookmarkEnd w:id="62"/>
    <w:p w14:paraId="5ABABC31" w14:textId="3BCBF10E" w:rsidR="0076693A" w:rsidRPr="004D307F" w:rsidRDefault="001E12C0" w:rsidP="00ED0863">
      <w:pPr>
        <w:numPr>
          <w:ilvl w:val="0"/>
          <w:numId w:val="4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w:t>
      </w:r>
      <w:r w:rsidR="0076693A" w:rsidRPr="004D307F">
        <w:rPr>
          <w:rFonts w:ascii="VIC" w:eastAsia="Times New Roman" w:hAnsi="VIC" w:cs="Times New Roman"/>
          <w:color w:val="011A3C"/>
          <w:sz w:val="24"/>
          <w:szCs w:val="24"/>
          <w:lang w:val="en" w:eastAsia="en-AU"/>
        </w:rPr>
        <w:t>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c</w:t>
      </w:r>
      <w:r w:rsidR="0076693A" w:rsidRPr="004D307F">
        <w:rPr>
          <w:rFonts w:ascii="VIC" w:eastAsia="Times New Roman" w:hAnsi="VIC" w:cs="Times New Roman"/>
          <w:color w:val="011A3C"/>
          <w:sz w:val="24"/>
          <w:szCs w:val="24"/>
          <w:lang w:val="en" w:eastAsia="en-AU"/>
        </w:rPr>
        <w:t>ompensation claims that have injury dates prior to 1 July 2000.</w:t>
      </w:r>
    </w:p>
    <w:p w14:paraId="48D28D73" w14:textId="76F9E269" w:rsidR="0076693A" w:rsidRPr="004D307F" w:rsidRDefault="001E12C0" w:rsidP="00ED0863">
      <w:pPr>
        <w:numPr>
          <w:ilvl w:val="0"/>
          <w:numId w:val="4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w:t>
      </w:r>
      <w:r w:rsidR="0076693A" w:rsidRPr="004D307F">
        <w:rPr>
          <w:rFonts w:ascii="VIC" w:eastAsia="Times New Roman" w:hAnsi="VIC" w:cs="Times New Roman"/>
          <w:color w:val="011A3C"/>
          <w:sz w:val="24"/>
          <w:szCs w:val="24"/>
          <w:lang w:val="en" w:eastAsia="en-AU"/>
        </w:rPr>
        <w:t>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c</w:t>
      </w:r>
      <w:r w:rsidR="0076693A" w:rsidRPr="004D307F">
        <w:rPr>
          <w:rFonts w:ascii="VIC" w:eastAsia="Times New Roman" w:hAnsi="VIC" w:cs="Times New Roman"/>
          <w:color w:val="011A3C"/>
          <w:sz w:val="24"/>
          <w:szCs w:val="24"/>
          <w:lang w:val="en" w:eastAsia="en-AU"/>
        </w:rPr>
        <w:t xml:space="preserve">ompensation claims from staff who work across </w:t>
      </w:r>
      <w:proofErr w:type="gramStart"/>
      <w:r w:rsidR="0076693A" w:rsidRPr="004D307F">
        <w:rPr>
          <w:rFonts w:ascii="VIC" w:eastAsia="Times New Roman" w:hAnsi="VIC" w:cs="Times New Roman"/>
          <w:color w:val="011A3C"/>
          <w:sz w:val="24"/>
          <w:szCs w:val="24"/>
          <w:lang w:val="en" w:eastAsia="en-AU"/>
        </w:rPr>
        <w:t>a number of</w:t>
      </w:r>
      <w:proofErr w:type="gramEnd"/>
      <w:r w:rsidR="0076693A" w:rsidRPr="004D307F">
        <w:rPr>
          <w:rFonts w:ascii="VIC" w:eastAsia="Times New Roman" w:hAnsi="VIC" w:cs="Times New Roman"/>
          <w:color w:val="011A3C"/>
          <w:sz w:val="24"/>
          <w:szCs w:val="24"/>
          <w:lang w:val="en" w:eastAsia="en-AU"/>
        </w:rPr>
        <w:t xml:space="preserve"> schools.</w:t>
      </w:r>
    </w:p>
    <w:p w14:paraId="508952F6" w14:textId="3A120204" w:rsidR="0076693A" w:rsidRPr="004D307F" w:rsidRDefault="001E12C0" w:rsidP="00ED0863">
      <w:pPr>
        <w:numPr>
          <w:ilvl w:val="0"/>
          <w:numId w:val="4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w:t>
      </w:r>
      <w:r w:rsidR="0076693A" w:rsidRPr="004D307F">
        <w:rPr>
          <w:rFonts w:ascii="VIC" w:eastAsia="Times New Roman" w:hAnsi="VIC" w:cs="Times New Roman"/>
          <w:color w:val="011A3C"/>
          <w:sz w:val="24"/>
          <w:szCs w:val="24"/>
          <w:lang w:val="en" w:eastAsia="en-AU"/>
        </w:rPr>
        <w:t>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c</w:t>
      </w:r>
      <w:r w:rsidR="0076693A" w:rsidRPr="004D307F">
        <w:rPr>
          <w:rFonts w:ascii="VIC" w:eastAsia="Times New Roman" w:hAnsi="VIC" w:cs="Times New Roman"/>
          <w:color w:val="011A3C"/>
          <w:sz w:val="24"/>
          <w:szCs w:val="24"/>
          <w:lang w:val="en" w:eastAsia="en-AU"/>
        </w:rPr>
        <w:t>ompensation claims accepted in error by the Department</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s WorkSafe agent, Gallagher Bassett Services Pty Ltd.</w:t>
      </w:r>
    </w:p>
    <w:p w14:paraId="3F408D92" w14:textId="4C12914D" w:rsidR="0076693A" w:rsidRPr="004D307F" w:rsidRDefault="001E12C0" w:rsidP="00ED0863">
      <w:pPr>
        <w:numPr>
          <w:ilvl w:val="0"/>
          <w:numId w:val="4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w:t>
      </w:r>
      <w:r w:rsidR="0076693A" w:rsidRPr="004D307F">
        <w:rPr>
          <w:rFonts w:ascii="VIC" w:eastAsia="Times New Roman" w:hAnsi="VIC" w:cs="Times New Roman"/>
          <w:color w:val="011A3C"/>
          <w:sz w:val="24"/>
          <w:szCs w:val="24"/>
          <w:lang w:val="en" w:eastAsia="en-AU"/>
        </w:rPr>
        <w:t>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c</w:t>
      </w:r>
      <w:r w:rsidR="0076693A" w:rsidRPr="004D307F">
        <w:rPr>
          <w:rFonts w:ascii="VIC" w:eastAsia="Times New Roman" w:hAnsi="VIC" w:cs="Times New Roman"/>
          <w:color w:val="011A3C"/>
          <w:sz w:val="24"/>
          <w:szCs w:val="24"/>
          <w:lang w:val="en" w:eastAsia="en-AU"/>
        </w:rPr>
        <w:t>ompensation claims arising from participation in the Teacher Games.</w:t>
      </w:r>
    </w:p>
    <w:p w14:paraId="2A83EA97" w14:textId="77777777" w:rsidR="0076693A" w:rsidRPr="004D307F" w:rsidRDefault="0076693A" w:rsidP="0076693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Consideration will also be given to exempting schools from the costs of claims:</w:t>
      </w:r>
    </w:p>
    <w:p w14:paraId="21CB6073" w14:textId="7F5D1EBF" w:rsidR="0076693A" w:rsidRPr="004D307F" w:rsidRDefault="001E12C0" w:rsidP="00ED0863">
      <w:pPr>
        <w:numPr>
          <w:ilvl w:val="0"/>
          <w:numId w:val="5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f</w:t>
      </w:r>
      <w:r w:rsidR="0076693A" w:rsidRPr="004D307F">
        <w:rPr>
          <w:rFonts w:ascii="VIC" w:eastAsia="Times New Roman" w:hAnsi="VIC" w:cs="Times New Roman"/>
          <w:color w:val="011A3C"/>
          <w:sz w:val="24"/>
          <w:szCs w:val="24"/>
          <w:lang w:val="en" w:eastAsia="en-AU"/>
        </w:rPr>
        <w:t>rom staff who have been the subject of compassionate transfer because of health reasons.</w:t>
      </w:r>
    </w:p>
    <w:p w14:paraId="0519FB46" w14:textId="4B5E7FCE" w:rsidR="008F4825" w:rsidRPr="004D307F" w:rsidRDefault="001E12C0" w:rsidP="00ED0863">
      <w:pPr>
        <w:numPr>
          <w:ilvl w:val="0"/>
          <w:numId w:val="5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w:t>
      </w:r>
      <w:r w:rsidR="0076693A" w:rsidRPr="004D307F">
        <w:rPr>
          <w:rFonts w:ascii="VIC" w:eastAsia="Times New Roman" w:hAnsi="VIC" w:cs="Times New Roman"/>
          <w:color w:val="011A3C"/>
          <w:sz w:val="24"/>
          <w:szCs w:val="24"/>
          <w:lang w:val="en" w:eastAsia="en-AU"/>
        </w:rPr>
        <w:t>rom principals and other staff whose claims are associated with unsatisfactory performance or disciplin</w:t>
      </w:r>
      <w:r w:rsidRPr="004D307F">
        <w:rPr>
          <w:rFonts w:ascii="VIC" w:eastAsia="Times New Roman" w:hAnsi="VIC" w:cs="Times New Roman"/>
          <w:color w:val="011A3C"/>
          <w:sz w:val="24"/>
          <w:szCs w:val="24"/>
          <w:lang w:val="en" w:eastAsia="en-AU"/>
        </w:rPr>
        <w:t>ary</w:t>
      </w:r>
      <w:r w:rsidR="0076693A" w:rsidRPr="004D307F">
        <w:rPr>
          <w:rFonts w:ascii="VIC" w:eastAsia="Times New Roman" w:hAnsi="VIC" w:cs="Times New Roman"/>
          <w:color w:val="011A3C"/>
          <w:sz w:val="24"/>
          <w:szCs w:val="24"/>
          <w:lang w:val="en" w:eastAsia="en-AU"/>
        </w:rPr>
        <w:t xml:space="preserve"> proceedings.</w:t>
      </w:r>
    </w:p>
    <w:p w14:paraId="27FE5A81" w14:textId="15869958" w:rsidR="00B241D3" w:rsidRPr="004D307F" w:rsidRDefault="001E12C0" w:rsidP="00FF25C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w:t>
      </w:r>
      <w:r w:rsidR="0076693A" w:rsidRPr="004D307F">
        <w:rPr>
          <w:rFonts w:ascii="VIC" w:eastAsia="Times New Roman" w:hAnsi="VIC" w:cs="Times New Roman"/>
          <w:color w:val="011A3C"/>
          <w:sz w:val="24"/>
          <w:szCs w:val="24"/>
          <w:lang w:val="en" w:eastAsia="en-AU"/>
        </w:rPr>
        <w:t>chools that have claims in these categories lodged over the period from 01</w:t>
      </w:r>
      <w:r w:rsidR="00990116" w:rsidRPr="004D307F">
        <w:rPr>
          <w:rFonts w:ascii="VIC" w:eastAsia="Times New Roman" w:hAnsi="VIC" w:cs="Times New Roman"/>
          <w:color w:val="011A3C"/>
          <w:sz w:val="24"/>
          <w:szCs w:val="24"/>
          <w:lang w:val="en" w:eastAsia="en-AU"/>
        </w:rPr>
        <w:t xml:space="preserve"> </w:t>
      </w:r>
      <w:r w:rsidR="0076693A" w:rsidRPr="004D307F">
        <w:rPr>
          <w:rFonts w:ascii="VIC" w:eastAsia="Times New Roman" w:hAnsi="VIC" w:cs="Times New Roman"/>
          <w:color w:val="011A3C"/>
          <w:sz w:val="24"/>
          <w:szCs w:val="24"/>
          <w:lang w:val="en" w:eastAsia="en-AU"/>
        </w:rPr>
        <w:t>January 201</w:t>
      </w:r>
      <w:r w:rsidRPr="004D307F">
        <w:rPr>
          <w:rFonts w:ascii="VIC" w:eastAsia="Times New Roman" w:hAnsi="VIC" w:cs="Times New Roman"/>
          <w:color w:val="011A3C"/>
          <w:sz w:val="24"/>
          <w:szCs w:val="24"/>
          <w:lang w:val="en" w:eastAsia="en-AU"/>
        </w:rPr>
        <w:t>9</w:t>
      </w:r>
      <w:r w:rsidR="0076693A" w:rsidRPr="004D307F">
        <w:rPr>
          <w:rFonts w:ascii="VIC" w:eastAsia="Times New Roman" w:hAnsi="VIC" w:cs="Times New Roman"/>
          <w:color w:val="011A3C"/>
          <w:sz w:val="24"/>
          <w:szCs w:val="24"/>
          <w:lang w:val="en" w:eastAsia="en-AU"/>
        </w:rPr>
        <w:t xml:space="preserve"> to 30 June 20</w:t>
      </w:r>
      <w:r w:rsidR="00990116"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1 or who wish to seek an exemption,</w:t>
      </w:r>
      <w:r w:rsidR="0076693A" w:rsidRPr="004D307F">
        <w:rPr>
          <w:rFonts w:ascii="VIC" w:eastAsia="Times New Roman" w:hAnsi="VIC" w:cs="Times New Roman"/>
          <w:color w:val="011A3C"/>
          <w:sz w:val="24"/>
          <w:szCs w:val="24"/>
          <w:lang w:val="en" w:eastAsia="en-AU"/>
        </w:rPr>
        <w:t xml:space="preserve"> should</w:t>
      </w:r>
      <w:r w:rsidR="00B241D3" w:rsidRPr="004D307F">
        <w:rPr>
          <w:rFonts w:ascii="VIC" w:eastAsia="Times New Roman" w:hAnsi="VIC" w:cs="Times New Roman"/>
          <w:color w:val="011A3C"/>
          <w:sz w:val="24"/>
          <w:szCs w:val="24"/>
          <w:lang w:val="en" w:eastAsia="en-AU"/>
        </w:rPr>
        <w:t xml:space="preserve"> notify the</w:t>
      </w:r>
      <w:r w:rsidR="0076693A" w:rsidRPr="004D307F">
        <w:rPr>
          <w:rFonts w:ascii="VIC" w:eastAsia="Times New Roman" w:hAnsi="VIC" w:cs="Times New Roman"/>
          <w:color w:val="011A3C"/>
          <w:sz w:val="24"/>
          <w:szCs w:val="24"/>
          <w:lang w:val="en" w:eastAsia="en-AU"/>
        </w:rPr>
        <w:t xml:space="preserve"> </w:t>
      </w:r>
      <w:r w:rsidR="00B241D3" w:rsidRPr="004D307F">
        <w:rPr>
          <w:rFonts w:ascii="VIC" w:eastAsia="Times New Roman" w:hAnsi="VIC" w:cs="Times New Roman"/>
          <w:color w:val="011A3C"/>
          <w:sz w:val="24"/>
          <w:szCs w:val="24"/>
          <w:lang w:val="en" w:eastAsia="en-AU"/>
        </w:rPr>
        <w:t xml:space="preserve">Return to Work Compensation Team, at </w:t>
      </w:r>
      <w:hyperlink r:id="rId103" w:history="1">
        <w:r w:rsidR="00B241D3" w:rsidRPr="004D307F">
          <w:rPr>
            <w:rStyle w:val="Hyperlink"/>
            <w:rFonts w:ascii="VIC" w:eastAsia="Times New Roman" w:hAnsi="VIC" w:cs="Times New Roman"/>
            <w:sz w:val="24"/>
            <w:szCs w:val="24"/>
            <w:lang w:val="en" w:eastAsia="en-AU"/>
          </w:rPr>
          <w:t>workers.compensation.corporate@education.vic.gov.au</w:t>
        </w:r>
      </w:hyperlink>
      <w:r w:rsidR="00B241D3" w:rsidRPr="004D307F">
        <w:rPr>
          <w:rFonts w:ascii="VIC" w:eastAsia="Times New Roman" w:hAnsi="VIC" w:cs="Times New Roman"/>
          <w:color w:val="011A3C"/>
          <w:sz w:val="24"/>
          <w:szCs w:val="24"/>
          <w:lang w:val="en" w:eastAsia="en-AU"/>
        </w:rPr>
        <w:t xml:space="preserve"> by Friday 31 December 2021. </w:t>
      </w:r>
      <w:r w:rsidRPr="004D307F">
        <w:rPr>
          <w:rFonts w:ascii="VIC" w:eastAsia="Times New Roman" w:hAnsi="VIC" w:cs="Times New Roman"/>
          <w:color w:val="011A3C"/>
          <w:sz w:val="24"/>
          <w:szCs w:val="24"/>
          <w:lang w:val="en" w:eastAsia="en-AU"/>
        </w:rPr>
        <w:t xml:space="preserve"> </w:t>
      </w:r>
    </w:p>
    <w:p w14:paraId="708D36F6" w14:textId="52A7296F" w:rsidR="00116D76" w:rsidRPr="004D307F" w:rsidRDefault="00B241D3" w:rsidP="00FF25C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may request</w:t>
      </w:r>
      <w:r w:rsidR="001E12C0" w:rsidRPr="004D307F">
        <w:rPr>
          <w:rFonts w:ascii="VIC" w:eastAsia="Times New Roman" w:hAnsi="VIC" w:cs="Times New Roman"/>
          <w:color w:val="011A3C"/>
          <w:sz w:val="24"/>
          <w:szCs w:val="24"/>
          <w:lang w:val="en" w:eastAsia="en-AU"/>
        </w:rPr>
        <w:t xml:space="preserve"> the school's workers</w:t>
      </w:r>
      <w:r w:rsidR="001E12C0" w:rsidRPr="004D307F">
        <w:rPr>
          <w:rFonts w:ascii="VIC" w:eastAsia="Times New Roman" w:hAnsi="VIC" w:cs="Times New Roman" w:hint="eastAsia"/>
          <w:color w:val="011A3C"/>
          <w:sz w:val="24"/>
          <w:szCs w:val="24"/>
          <w:lang w:val="en" w:eastAsia="en-AU"/>
        </w:rPr>
        <w:t>’</w:t>
      </w:r>
      <w:r w:rsidR="001E12C0" w:rsidRPr="004D307F">
        <w:rPr>
          <w:rFonts w:ascii="VIC" w:eastAsia="Times New Roman" w:hAnsi="VIC" w:cs="Times New Roman"/>
          <w:color w:val="011A3C"/>
          <w:sz w:val="24"/>
          <w:szCs w:val="24"/>
          <w:lang w:val="en" w:eastAsia="en-AU"/>
        </w:rPr>
        <w:t xml:space="preserve"> compensation cost be reviewed </w:t>
      </w:r>
      <w:r w:rsidRPr="004D307F">
        <w:rPr>
          <w:rFonts w:ascii="VIC" w:eastAsia="Times New Roman" w:hAnsi="VIC" w:cs="Times New Roman"/>
          <w:color w:val="011A3C"/>
          <w:sz w:val="24"/>
          <w:szCs w:val="24"/>
          <w:lang w:val="en" w:eastAsia="en-AU"/>
        </w:rPr>
        <w:t>by</w:t>
      </w:r>
      <w:r w:rsidR="001E12C0" w:rsidRPr="004D307F">
        <w:rPr>
          <w:rFonts w:ascii="VIC" w:eastAsia="Times New Roman" w:hAnsi="VIC" w:cs="Times New Roman"/>
          <w:color w:val="011A3C"/>
          <w:sz w:val="24"/>
          <w:szCs w:val="24"/>
          <w:lang w:val="en" w:eastAsia="en-AU"/>
        </w:rPr>
        <w:t xml:space="preserve"> the</w:t>
      </w:r>
      <w:r w:rsidR="0076693A" w:rsidRPr="004D307F">
        <w:rPr>
          <w:rFonts w:ascii="VIC" w:eastAsia="Times New Roman" w:hAnsi="VIC" w:cs="Times New Roman"/>
          <w:color w:val="011A3C"/>
          <w:sz w:val="24"/>
          <w:szCs w:val="24"/>
          <w:lang w:val="en" w:eastAsia="en-AU"/>
        </w:rPr>
        <w:t xml:space="preserve"> </w:t>
      </w:r>
      <w:hyperlink r:id="rId104" w:history="1">
        <w:r w:rsidR="0076693A" w:rsidRPr="004D307F">
          <w:rPr>
            <w:rFonts w:ascii="VIC" w:eastAsia="Times New Roman" w:hAnsi="VIC" w:cs="Times New Roman"/>
            <w:color w:val="011A3C"/>
            <w:sz w:val="24"/>
            <w:szCs w:val="24"/>
            <w:lang w:val="en" w:eastAsia="en-AU"/>
          </w:rPr>
          <w:t>Workers</w:t>
        </w:r>
        <w:r w:rsidR="0076693A" w:rsidRPr="004D307F">
          <w:rPr>
            <w:rFonts w:ascii="VIC" w:eastAsia="Times New Roman" w:hAnsi="VIC" w:cs="Times New Roman" w:hint="eastAsia"/>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Compensation Claims Advisory Service</w:t>
        </w:r>
        <w:r w:rsidRPr="004D307F">
          <w:rPr>
            <w:rFonts w:ascii="VIC" w:eastAsia="Times New Roman" w:hAnsi="VIC" w:cs="Times New Roman"/>
            <w:color w:val="011A3C"/>
            <w:sz w:val="24"/>
            <w:szCs w:val="24"/>
            <w:lang w:val="en" w:eastAsia="en-AU"/>
          </w:rPr>
          <w:t>.</w:t>
        </w:r>
        <w:r w:rsidR="0076693A" w:rsidRPr="004D307F">
          <w:rPr>
            <w:rFonts w:ascii="VIC" w:eastAsia="Times New Roman" w:hAnsi="VIC" w:cs="Times New Roman"/>
            <w:color w:val="011A3C"/>
            <w:sz w:val="24"/>
            <w:szCs w:val="24"/>
            <w:lang w:val="en" w:eastAsia="en-AU"/>
          </w:rPr>
          <w:t xml:space="preserve"> </w:t>
        </w:r>
      </w:hyperlink>
      <w:r w:rsidR="001E12C0" w:rsidRPr="004D307F">
        <w:rPr>
          <w:rFonts w:ascii="VIC" w:eastAsia="Times New Roman" w:hAnsi="VIC" w:cs="Times New Roman"/>
          <w:color w:val="011A3C"/>
          <w:sz w:val="24"/>
          <w:szCs w:val="24"/>
          <w:lang w:val="en" w:eastAsia="en-AU"/>
        </w:rPr>
        <w:t xml:space="preserve">Schools should provide details of the circumstances to be taken into consideration as part of the request. </w:t>
      </w:r>
      <w:r w:rsidR="0076693A" w:rsidRPr="004D307F">
        <w:rPr>
          <w:rFonts w:ascii="VIC" w:eastAsia="Times New Roman" w:hAnsi="VIC" w:cs="Times New Roman"/>
          <w:color w:val="011A3C"/>
          <w:sz w:val="24"/>
          <w:szCs w:val="24"/>
          <w:lang w:val="en" w:eastAsia="en-AU"/>
        </w:rPr>
        <w:t xml:space="preserve">The </w:t>
      </w:r>
      <w:r w:rsidR="00D90311" w:rsidRPr="004D307F">
        <w:rPr>
          <w:rFonts w:ascii="VIC" w:eastAsia="Times New Roman" w:hAnsi="VIC" w:cs="Times New Roman"/>
          <w:color w:val="011A3C"/>
          <w:sz w:val="24"/>
          <w:szCs w:val="24"/>
          <w:lang w:val="en" w:eastAsia="en-AU"/>
        </w:rPr>
        <w:t>Return to Work and Compensation team</w:t>
      </w:r>
      <w:r w:rsidR="0076693A" w:rsidRPr="004D307F">
        <w:rPr>
          <w:rFonts w:ascii="VIC" w:eastAsia="Times New Roman" w:hAnsi="VIC" w:cs="Times New Roman"/>
          <w:color w:val="011A3C"/>
          <w:sz w:val="24"/>
          <w:szCs w:val="24"/>
          <w:lang w:val="en" w:eastAsia="en-AU"/>
        </w:rPr>
        <w:t xml:space="preserve"> will advise schools of the results of these reviews.</w:t>
      </w:r>
    </w:p>
    <w:p w14:paraId="74825CC5" w14:textId="499E96EA" w:rsidR="00116D76" w:rsidRPr="004D307F" w:rsidRDefault="00116D76" w:rsidP="00116D76">
      <w:pPr>
        <w:rPr>
          <w:rFonts w:ascii="VIC" w:hAnsi="VIC"/>
        </w:rPr>
      </w:pPr>
      <w:r w:rsidRPr="004D307F">
        <w:rPr>
          <w:rFonts w:ascii="VIC" w:hAnsi="VIC"/>
        </w:rPr>
        <w:br w:type="page"/>
      </w:r>
    </w:p>
    <w:p w14:paraId="0040CC87" w14:textId="2B887644" w:rsidR="00C53D64" w:rsidRPr="004D307F" w:rsidRDefault="00C53D64" w:rsidP="000F3581">
      <w:pPr>
        <w:pStyle w:val="Heading1"/>
      </w:pPr>
      <w:bookmarkStart w:id="63" w:name="_Toc99882754"/>
      <w:r w:rsidRPr="004D307F">
        <w:lastRenderedPageBreak/>
        <w:t>School Specific Programs</w:t>
      </w:r>
      <w:bookmarkEnd w:id="63"/>
    </w:p>
    <w:p w14:paraId="4D52C7F3" w14:textId="77777777" w:rsidR="00C53D64" w:rsidRPr="004D307F" w:rsidRDefault="00C53D64" w:rsidP="00144B23">
      <w:pPr>
        <w:spacing w:before="100" w:beforeAutospacing="1" w:after="100" w:afterAutospacing="1" w:line="312" w:lineRule="atLeast"/>
        <w:outlineLvl w:val="1"/>
        <w:rPr>
          <w:rFonts w:ascii="VIC" w:eastAsia="Times New Roman" w:hAnsi="VIC" w:cs="Times New Roman"/>
          <w:b/>
          <w:bCs/>
          <w:sz w:val="36"/>
          <w:szCs w:val="36"/>
          <w:lang w:val="en" w:eastAsia="en-AU"/>
        </w:rPr>
      </w:pPr>
      <w:r w:rsidRPr="004D307F">
        <w:rPr>
          <w:rFonts w:ascii="VIC" w:eastAsia="Times New Roman" w:hAnsi="VIC" w:cs="Times New Roman"/>
          <w:b/>
          <w:bCs/>
          <w:sz w:val="36"/>
          <w:szCs w:val="36"/>
          <w:lang w:val="en" w:eastAsia="en-AU"/>
        </w:rPr>
        <w:t>Policy</w:t>
      </w:r>
    </w:p>
    <w:p w14:paraId="7BCDA18C" w14:textId="39D4B5C3"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This policy provides information about how funding is allocated to schools through the Student Resource </w:t>
      </w:r>
      <w:r w:rsidR="008F4825" w:rsidRPr="004D307F">
        <w:rPr>
          <w:rFonts w:ascii="VIC-Regular" w:hAnsi="VIC-Regular"/>
          <w:color w:val="011A3C"/>
          <w:lang w:val="en"/>
        </w:rPr>
        <w:t>Package (</w:t>
      </w:r>
      <w:r w:rsidR="001B66F8" w:rsidRPr="004D307F">
        <w:rPr>
          <w:rFonts w:ascii="VIC-Regular" w:hAnsi="VIC-Regular"/>
          <w:color w:val="011A3C"/>
          <w:lang w:val="en"/>
        </w:rPr>
        <w:t>SRP)</w:t>
      </w:r>
      <w:r w:rsidRPr="004D307F">
        <w:rPr>
          <w:rFonts w:ascii="VIC-Regular" w:hAnsi="VIC-Regular"/>
          <w:color w:val="011A3C"/>
          <w:lang w:val="en"/>
        </w:rPr>
        <w:t xml:space="preserve"> for school specific programs.</w:t>
      </w:r>
    </w:p>
    <w:p w14:paraId="1ABB63C2" w14:textId="77777777" w:rsidR="00C53D64" w:rsidRPr="004D307F" w:rsidRDefault="00C53D64" w:rsidP="00144B23">
      <w:pPr>
        <w:spacing w:before="100" w:beforeAutospacing="1" w:after="100" w:afterAutospacing="1" w:line="312" w:lineRule="atLeast"/>
        <w:outlineLvl w:val="1"/>
        <w:rPr>
          <w:rFonts w:ascii="VIC-Bold" w:eastAsia="Times New Roman" w:hAnsi="VIC-Bold" w:cs="Times New Roman"/>
          <w:color w:val="323E4F" w:themeColor="text2" w:themeShade="BF"/>
          <w:sz w:val="36"/>
          <w:szCs w:val="36"/>
          <w:lang w:val="en" w:eastAsia="en-AU"/>
        </w:rPr>
      </w:pPr>
      <w:r w:rsidRPr="004D307F">
        <w:rPr>
          <w:rFonts w:ascii="VIC-Bold" w:eastAsia="Times New Roman" w:hAnsi="VIC-Bold" w:cs="Times New Roman"/>
          <w:color w:val="323E4F" w:themeColor="text2" w:themeShade="BF"/>
          <w:sz w:val="36"/>
          <w:szCs w:val="36"/>
          <w:lang w:val="en" w:eastAsia="en-AU"/>
        </w:rPr>
        <w:t>Details</w:t>
      </w:r>
    </w:p>
    <w:p w14:paraId="21EED289" w14:textId="32B4E7DA"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‘School-based funding’ is one of three categories of funding provided for by the </w:t>
      </w:r>
      <w:r w:rsidR="001B66F8" w:rsidRPr="004D307F">
        <w:rPr>
          <w:rFonts w:ascii="VIC-Regular" w:hAnsi="VIC-Regular"/>
          <w:color w:val="011A3C"/>
          <w:lang w:val="en"/>
        </w:rPr>
        <w:t>SRP</w:t>
      </w:r>
      <w:r w:rsidRPr="004D307F">
        <w:rPr>
          <w:rFonts w:ascii="VIC-Regular" w:hAnsi="VIC-Regular"/>
          <w:color w:val="011A3C"/>
          <w:lang w:val="en"/>
        </w:rPr>
        <w:t xml:space="preserve">. Funding for ‘school specific programs’ is one type of school-based funding provided to schools. The other type of school-based funding is </w:t>
      </w:r>
      <w:hyperlink r:id="rId105" w:history="1">
        <w:r w:rsidRPr="004D307F">
          <w:rPr>
            <w:rStyle w:val="rpl-text-label2"/>
            <w:rFonts w:ascii="VIC-Regular" w:hAnsi="VIC-Regular"/>
            <w:lang w:val="en"/>
          </w:rPr>
          <w:t>Funding for School Infrastructure</w:t>
        </w:r>
      </w:hyperlink>
      <w:r w:rsidRPr="004D307F">
        <w:rPr>
          <w:rFonts w:ascii="VIC-Regular" w:hAnsi="VIC-Regular"/>
          <w:color w:val="011A3C"/>
          <w:lang w:val="en"/>
        </w:rPr>
        <w:t>.</w:t>
      </w:r>
    </w:p>
    <w:p w14:paraId="620F8911" w14:textId="77777777"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School-based funding provides for school infrastructure and programs specific to individual schools.</w:t>
      </w:r>
    </w:p>
    <w:p w14:paraId="090A2CF7" w14:textId="2DB75F19"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The </w:t>
      </w:r>
      <w:r w:rsidR="00735FF8" w:rsidRPr="004D307F">
        <w:rPr>
          <w:rFonts w:ascii="VIC-Regular" w:hAnsi="VIC-Regular"/>
          <w:color w:val="011A3C"/>
          <w:lang w:val="en"/>
        </w:rPr>
        <w:t>School Specific section provides</w:t>
      </w:r>
      <w:r w:rsidRPr="004D307F">
        <w:rPr>
          <w:rFonts w:ascii="VIC-Regular" w:hAnsi="VIC-Regular"/>
          <w:color w:val="011A3C"/>
          <w:lang w:val="en"/>
        </w:rPr>
        <w:t xml:space="preserve"> information about each of the following types of funding for school-specific programs:</w:t>
      </w:r>
    </w:p>
    <w:p w14:paraId="666BC6C3" w14:textId="77777777" w:rsidR="00C53D64" w:rsidRPr="004D307F" w:rsidRDefault="00A35420" w:rsidP="00ED0863">
      <w:pPr>
        <w:numPr>
          <w:ilvl w:val="0"/>
          <w:numId w:val="124"/>
        </w:numPr>
        <w:spacing w:before="100" w:beforeAutospacing="1" w:after="100" w:afterAutospacing="1" w:line="360" w:lineRule="atLeast"/>
        <w:rPr>
          <w:rFonts w:ascii="VIC-Regular" w:hAnsi="VIC-Regular"/>
          <w:color w:val="011A3C"/>
          <w:lang w:val="en"/>
        </w:rPr>
      </w:pPr>
      <w:hyperlink r:id="rId106" w:history="1">
        <w:r w:rsidR="00C53D64" w:rsidRPr="004D307F">
          <w:rPr>
            <w:rStyle w:val="rpl-text-label2"/>
            <w:rFonts w:ascii="VIC-Regular" w:hAnsi="VIC-Regular"/>
            <w:lang w:val="en"/>
          </w:rPr>
          <w:t>P12 Complexity Allowance</w:t>
        </w:r>
      </w:hyperlink>
    </w:p>
    <w:p w14:paraId="4FB5082C" w14:textId="77777777" w:rsidR="00C53D64" w:rsidRPr="004D307F" w:rsidRDefault="00A35420" w:rsidP="00ED0863">
      <w:pPr>
        <w:numPr>
          <w:ilvl w:val="0"/>
          <w:numId w:val="124"/>
        </w:numPr>
        <w:spacing w:before="100" w:beforeAutospacing="1" w:after="100" w:afterAutospacing="1" w:line="360" w:lineRule="atLeast"/>
        <w:rPr>
          <w:rFonts w:ascii="VIC-Regular" w:hAnsi="VIC-Regular"/>
          <w:color w:val="011A3C"/>
          <w:lang w:val="en"/>
        </w:rPr>
      </w:pPr>
      <w:hyperlink r:id="rId107" w:history="1">
        <w:r w:rsidR="00C53D64" w:rsidRPr="004D307F">
          <w:rPr>
            <w:rStyle w:val="rpl-text-label2"/>
            <w:rFonts w:ascii="VIC-Regular" w:hAnsi="VIC-Regular"/>
            <w:lang w:val="en"/>
          </w:rPr>
          <w:t>Location Index funding</w:t>
        </w:r>
      </w:hyperlink>
    </w:p>
    <w:p w14:paraId="6F0757F3" w14:textId="77777777" w:rsidR="00C53D64" w:rsidRPr="004D307F" w:rsidRDefault="00A35420" w:rsidP="00ED0863">
      <w:pPr>
        <w:numPr>
          <w:ilvl w:val="0"/>
          <w:numId w:val="124"/>
        </w:numPr>
        <w:spacing w:before="100" w:beforeAutospacing="1" w:after="100" w:afterAutospacing="1" w:line="360" w:lineRule="atLeast"/>
        <w:rPr>
          <w:rFonts w:ascii="VIC-Regular" w:hAnsi="VIC-Regular"/>
          <w:color w:val="011A3C"/>
          <w:lang w:val="en"/>
        </w:rPr>
      </w:pPr>
      <w:hyperlink r:id="rId108" w:history="1">
        <w:r w:rsidR="00C53D64" w:rsidRPr="004D307F">
          <w:rPr>
            <w:rStyle w:val="rpl-text-label2"/>
            <w:rFonts w:ascii="VIC-Regular" w:hAnsi="VIC-Regular"/>
            <w:lang w:val="en"/>
          </w:rPr>
          <w:t>MARC/MACC Teachers, Science and Technology, School Restructure</w:t>
        </w:r>
      </w:hyperlink>
    </w:p>
    <w:p w14:paraId="07C5E890" w14:textId="77777777" w:rsidR="00C53D64" w:rsidRPr="004D307F" w:rsidRDefault="00A35420" w:rsidP="00ED0863">
      <w:pPr>
        <w:numPr>
          <w:ilvl w:val="0"/>
          <w:numId w:val="124"/>
        </w:numPr>
        <w:spacing w:before="100" w:beforeAutospacing="1" w:after="100" w:afterAutospacing="1" w:line="360" w:lineRule="atLeast"/>
        <w:rPr>
          <w:rFonts w:ascii="VIC-Regular" w:hAnsi="VIC-Regular"/>
          <w:color w:val="011A3C"/>
          <w:lang w:val="en"/>
        </w:rPr>
      </w:pPr>
      <w:hyperlink r:id="rId109" w:history="1">
        <w:r w:rsidR="00C53D64" w:rsidRPr="004D307F">
          <w:rPr>
            <w:rStyle w:val="rpl-text-label2"/>
            <w:rFonts w:ascii="VIC-Regular" w:hAnsi="VIC-Regular"/>
            <w:lang w:val="en"/>
          </w:rPr>
          <w:t>Instrumental Music Programs</w:t>
        </w:r>
      </w:hyperlink>
    </w:p>
    <w:p w14:paraId="35E97E6F" w14:textId="59A43B1E" w:rsidR="008F4825" w:rsidRPr="004D307F" w:rsidRDefault="00285B8E" w:rsidP="00ED0863">
      <w:pPr>
        <w:numPr>
          <w:ilvl w:val="0"/>
          <w:numId w:val="124"/>
        </w:numPr>
        <w:spacing w:before="100" w:beforeAutospacing="1" w:after="100" w:afterAutospacing="1" w:line="360" w:lineRule="atLeast"/>
        <w:rPr>
          <w:rStyle w:val="rpl-text-label2"/>
          <w:rFonts w:ascii="VIC-Regular" w:hAnsi="VIC-Regular"/>
          <w:lang w:val="en"/>
        </w:rPr>
      </w:pPr>
      <w:bookmarkStart w:id="64" w:name="_Hlk99874366"/>
      <w:r w:rsidRPr="004D307F">
        <w:rPr>
          <w:rStyle w:val="rpl-text-label2"/>
          <w:rFonts w:ascii="VIC-Regular" w:hAnsi="VIC-Regular"/>
          <w:lang w:val="en"/>
        </w:rPr>
        <w:t>Local Native-speaker Language Assistants Program</w:t>
      </w:r>
    </w:p>
    <w:bookmarkEnd w:id="64"/>
    <w:p w14:paraId="59F6DF86" w14:textId="304DDB79" w:rsidR="00C53D64" w:rsidRPr="004D307F" w:rsidRDefault="007C3D85" w:rsidP="00ED0863">
      <w:pPr>
        <w:numPr>
          <w:ilvl w:val="0"/>
          <w:numId w:val="124"/>
        </w:numPr>
        <w:spacing w:before="100" w:beforeAutospacing="1" w:after="100" w:afterAutospacing="1" w:line="360" w:lineRule="atLeast"/>
        <w:rPr>
          <w:rFonts w:ascii="VIC-Regular" w:hAnsi="VIC-Regular"/>
          <w:color w:val="011A3C"/>
          <w:lang w:val="en"/>
        </w:rPr>
      </w:pPr>
      <w:r w:rsidRPr="004D307F">
        <w:fldChar w:fldCharType="begin"/>
      </w:r>
      <w:r w:rsidRPr="004D307F">
        <w:instrText xml:space="preserve"> HYPERLINK "https://www2.education.vic.gov.au/pal/student-resource-package-srp-school-specific-programs/guidance/bus-coordination-reference-43" </w:instrText>
      </w:r>
      <w:r w:rsidRPr="004D307F">
        <w:fldChar w:fldCharType="separate"/>
      </w:r>
      <w:r w:rsidR="00C53D64" w:rsidRPr="004D307F">
        <w:rPr>
          <w:rStyle w:val="rpl-text-label2"/>
          <w:rFonts w:ascii="VIC-Regular" w:hAnsi="VIC-Regular"/>
          <w:lang w:val="en"/>
        </w:rPr>
        <w:t xml:space="preserve">Bus </w:t>
      </w:r>
      <w:r w:rsidR="00D5064D" w:rsidRPr="004D307F">
        <w:rPr>
          <w:rStyle w:val="rpl-text-label2"/>
          <w:rFonts w:ascii="VIC-Regular" w:hAnsi="VIC-Regular"/>
          <w:lang w:val="en"/>
        </w:rPr>
        <w:t>C</w:t>
      </w:r>
      <w:r w:rsidR="00C53D64" w:rsidRPr="004D307F">
        <w:rPr>
          <w:rStyle w:val="rpl-text-label2"/>
          <w:rFonts w:ascii="VIC-Regular" w:hAnsi="VIC-Regular"/>
          <w:lang w:val="en"/>
        </w:rPr>
        <w:t>oordination</w:t>
      </w:r>
      <w:r w:rsidRPr="004D307F">
        <w:rPr>
          <w:rStyle w:val="rpl-text-label2"/>
          <w:rFonts w:ascii="VIC-Regular" w:hAnsi="VIC-Regular"/>
          <w:lang w:val="en"/>
        </w:rPr>
        <w:fldChar w:fldCharType="end"/>
      </w:r>
    </w:p>
    <w:p w14:paraId="6EE9EA9F" w14:textId="77777777" w:rsidR="00C53D64" w:rsidRPr="004D307F" w:rsidRDefault="00A35420" w:rsidP="00ED0863">
      <w:pPr>
        <w:numPr>
          <w:ilvl w:val="0"/>
          <w:numId w:val="124"/>
        </w:numPr>
        <w:spacing w:before="100" w:beforeAutospacing="1" w:after="100" w:afterAutospacing="1" w:line="360" w:lineRule="atLeast"/>
        <w:rPr>
          <w:rFonts w:ascii="VIC-Regular" w:hAnsi="VIC-Regular"/>
          <w:color w:val="011A3C"/>
          <w:lang w:val="en"/>
        </w:rPr>
      </w:pPr>
      <w:hyperlink r:id="rId110" w:history="1">
        <w:r w:rsidR="00C53D64" w:rsidRPr="004D307F">
          <w:rPr>
            <w:rStyle w:val="rpl-text-label2"/>
            <w:rFonts w:ascii="VIC-Regular" w:hAnsi="VIC-Regular"/>
            <w:lang w:val="en"/>
          </w:rPr>
          <w:t>Country Area Program Grant</w:t>
        </w:r>
      </w:hyperlink>
    </w:p>
    <w:p w14:paraId="1EDAD8E3" w14:textId="77777777" w:rsidR="00C53D64" w:rsidRPr="004D307F" w:rsidRDefault="00A35420" w:rsidP="00ED0863">
      <w:pPr>
        <w:numPr>
          <w:ilvl w:val="0"/>
          <w:numId w:val="124"/>
        </w:numPr>
        <w:spacing w:before="100" w:beforeAutospacing="1" w:after="100" w:afterAutospacing="1" w:line="360" w:lineRule="atLeast"/>
        <w:rPr>
          <w:rFonts w:ascii="VIC-Regular" w:hAnsi="VIC-Regular"/>
          <w:color w:val="011A3C"/>
          <w:lang w:val="en"/>
        </w:rPr>
      </w:pPr>
      <w:hyperlink r:id="rId111" w:history="1">
        <w:r w:rsidR="00C53D64" w:rsidRPr="004D307F">
          <w:rPr>
            <w:rStyle w:val="rpl-text-label2"/>
            <w:rFonts w:ascii="VIC-Regular" w:hAnsi="VIC-Regular"/>
            <w:lang w:val="en"/>
          </w:rPr>
          <w:t>MARC/MACC Grant</w:t>
        </w:r>
      </w:hyperlink>
    </w:p>
    <w:p w14:paraId="4CBF5182" w14:textId="77777777" w:rsidR="00C53D64" w:rsidRPr="004D307F" w:rsidRDefault="00A35420" w:rsidP="00ED0863">
      <w:pPr>
        <w:numPr>
          <w:ilvl w:val="0"/>
          <w:numId w:val="124"/>
        </w:numPr>
        <w:spacing w:before="100" w:beforeAutospacing="1" w:after="100" w:afterAutospacing="1" w:line="360" w:lineRule="atLeast"/>
        <w:rPr>
          <w:rFonts w:ascii="VIC-Regular" w:hAnsi="VIC-Regular"/>
          <w:color w:val="011A3C"/>
          <w:lang w:val="en"/>
        </w:rPr>
      </w:pPr>
      <w:hyperlink r:id="rId112" w:history="1">
        <w:r w:rsidR="00C53D64" w:rsidRPr="004D307F">
          <w:rPr>
            <w:rStyle w:val="rpl-text-label2"/>
            <w:rFonts w:ascii="VIC-Regular" w:hAnsi="VIC-Regular"/>
            <w:lang w:val="en"/>
          </w:rPr>
          <w:t>Alternative Settings Teachers</w:t>
        </w:r>
      </w:hyperlink>
    </w:p>
    <w:p w14:paraId="62A6C848" w14:textId="77777777" w:rsidR="00C53D64" w:rsidRPr="004D307F" w:rsidRDefault="00A35420" w:rsidP="00ED0863">
      <w:pPr>
        <w:numPr>
          <w:ilvl w:val="0"/>
          <w:numId w:val="124"/>
        </w:numPr>
        <w:spacing w:before="100" w:beforeAutospacing="1" w:after="100" w:afterAutospacing="1" w:line="360" w:lineRule="atLeast"/>
        <w:rPr>
          <w:rFonts w:ascii="VIC-Regular" w:hAnsi="VIC-Regular"/>
          <w:color w:val="011A3C"/>
          <w:lang w:val="en"/>
        </w:rPr>
      </w:pPr>
      <w:hyperlink r:id="rId113" w:history="1">
        <w:r w:rsidR="00C53D64" w:rsidRPr="004D307F">
          <w:rPr>
            <w:rStyle w:val="rpl-text-label2"/>
            <w:rFonts w:ascii="VIC-Regular" w:hAnsi="VIC-Regular"/>
            <w:lang w:val="en"/>
          </w:rPr>
          <w:t>Ancillary Settings Teachers</w:t>
        </w:r>
      </w:hyperlink>
    </w:p>
    <w:p w14:paraId="335E6D1D" w14:textId="50F6D298" w:rsidR="00C53D64" w:rsidRPr="004D307F" w:rsidRDefault="00A35420" w:rsidP="00ED0863">
      <w:pPr>
        <w:numPr>
          <w:ilvl w:val="0"/>
          <w:numId w:val="124"/>
        </w:numPr>
        <w:spacing w:before="100" w:beforeAutospacing="1" w:after="100" w:afterAutospacing="1" w:line="360" w:lineRule="atLeast"/>
        <w:rPr>
          <w:rStyle w:val="rpl-text-label2"/>
          <w:rFonts w:ascii="VIC-Regular" w:hAnsi="VIC-Regular"/>
          <w:lang w:val="en"/>
        </w:rPr>
      </w:pPr>
      <w:hyperlink r:id="rId114" w:history="1">
        <w:r w:rsidR="00C53D64" w:rsidRPr="004D307F">
          <w:rPr>
            <w:rStyle w:val="rpl-text-label2"/>
            <w:rFonts w:ascii="VIC-Regular" w:hAnsi="VIC-Regular"/>
            <w:lang w:val="en"/>
          </w:rPr>
          <w:t>Alternative programs — regional grants</w:t>
        </w:r>
      </w:hyperlink>
    </w:p>
    <w:p w14:paraId="27F9FFAA" w14:textId="3ECF3897" w:rsidR="008C0D71" w:rsidRPr="004D307F" w:rsidRDefault="008C0D71" w:rsidP="00ED0863">
      <w:pPr>
        <w:numPr>
          <w:ilvl w:val="0"/>
          <w:numId w:val="124"/>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Joint Community Program</w:t>
      </w:r>
    </w:p>
    <w:p w14:paraId="2EBAC61C" w14:textId="78A837D5" w:rsidR="004F70E5" w:rsidRPr="004D307F" w:rsidRDefault="004F70E5" w:rsidP="00ED0863">
      <w:pPr>
        <w:numPr>
          <w:ilvl w:val="0"/>
          <w:numId w:val="124"/>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Designated Bilingual Programs</w:t>
      </w:r>
    </w:p>
    <w:p w14:paraId="488CCE25" w14:textId="775B0530"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Not all types of funding are available to all schools. Funding is assessed according to school and student need.</w:t>
      </w:r>
      <w:r w:rsidR="00DB1ECE" w:rsidRPr="004D307F">
        <w:rPr>
          <w:rFonts w:ascii="VIC-Regular" w:hAnsi="VIC-Regular"/>
          <w:color w:val="011A3C"/>
          <w:lang w:val="en"/>
        </w:rPr>
        <w:t xml:space="preserve"> </w:t>
      </w:r>
      <w:proofErr w:type="gramStart"/>
      <w:r w:rsidR="00DB1ECE" w:rsidRPr="004D307F">
        <w:rPr>
          <w:rFonts w:ascii="VIC-Regular" w:hAnsi="VIC-Regular"/>
          <w:color w:val="011A3C"/>
          <w:lang w:val="en"/>
        </w:rPr>
        <w:t>The majority of</w:t>
      </w:r>
      <w:proofErr w:type="gramEnd"/>
      <w:r w:rsidR="00DB1ECE" w:rsidRPr="004D307F">
        <w:rPr>
          <w:rFonts w:ascii="VIC-Regular" w:hAnsi="VIC-Regular"/>
          <w:color w:val="011A3C"/>
          <w:lang w:val="en"/>
        </w:rPr>
        <w:t xml:space="preserve"> items allocated </w:t>
      </w:r>
      <w:r w:rsidR="001A4359" w:rsidRPr="004D307F">
        <w:rPr>
          <w:rFonts w:ascii="VIC-Regular" w:hAnsi="VIC-Regular"/>
          <w:color w:val="011A3C"/>
          <w:lang w:val="en"/>
        </w:rPr>
        <w:t>are based on regional office advice.</w:t>
      </w:r>
    </w:p>
    <w:p w14:paraId="5CCD4EC3" w14:textId="77777777"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lastRenderedPageBreak/>
        <w:t>Schools are expected to use SRP funds for the purpose for which it was allocated.</w:t>
      </w:r>
    </w:p>
    <w:p w14:paraId="2155FD7F" w14:textId="77777777" w:rsidR="007B0EF6" w:rsidRPr="004D307F" w:rsidRDefault="007B0EF6">
      <w:pPr>
        <w:rPr>
          <w:rFonts w:asciiTheme="majorHAnsi" w:eastAsia="Calibri" w:hAnsiTheme="majorHAnsi" w:cstheme="majorBidi"/>
          <w:b/>
          <w:color w:val="2F5496" w:themeColor="accent1" w:themeShade="BF"/>
          <w:sz w:val="36"/>
          <w:szCs w:val="26"/>
          <w:lang w:val="en" w:eastAsia="en-AU"/>
        </w:rPr>
      </w:pPr>
      <w:r w:rsidRPr="004D307F">
        <w:br w:type="page"/>
      </w:r>
    </w:p>
    <w:p w14:paraId="12E5D9D0" w14:textId="5BAD45A7" w:rsidR="009753DC" w:rsidRPr="004D307F" w:rsidRDefault="009753DC" w:rsidP="00B566E7">
      <w:pPr>
        <w:pStyle w:val="Heading2"/>
      </w:pPr>
      <w:bookmarkStart w:id="65" w:name="_Toc99882755"/>
      <w:r w:rsidRPr="004D307F">
        <w:lastRenderedPageBreak/>
        <w:t>P-12 Complexity Allowance (Reference 38)</w:t>
      </w:r>
      <w:bookmarkEnd w:id="65"/>
    </w:p>
    <w:p w14:paraId="16E1B970" w14:textId="77777777" w:rsidR="009753DC" w:rsidRPr="004D307F" w:rsidRDefault="009753DC" w:rsidP="009753D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Approved P-12 colleges (with a full cohort) receive an Administration Complexity Allowance, which </w:t>
      </w:r>
      <w:proofErr w:type="spellStart"/>
      <w:r w:rsidRPr="004D307F">
        <w:rPr>
          <w:rFonts w:ascii="VIC" w:eastAsia="Times New Roman" w:hAnsi="VIC" w:cs="Times New Roman"/>
          <w:color w:val="011A3C"/>
          <w:sz w:val="24"/>
          <w:szCs w:val="24"/>
          <w:lang w:val="en" w:eastAsia="en-AU"/>
        </w:rPr>
        <w:t>recognises</w:t>
      </w:r>
      <w:proofErr w:type="spellEnd"/>
      <w:r w:rsidRPr="004D307F">
        <w:rPr>
          <w:rFonts w:ascii="VIC" w:eastAsia="Times New Roman" w:hAnsi="VIC" w:cs="Times New Roman"/>
          <w:color w:val="011A3C"/>
          <w:sz w:val="24"/>
          <w:szCs w:val="24"/>
          <w:lang w:val="en" w:eastAsia="en-AU"/>
        </w:rPr>
        <w:t xml:space="preserve"> the additional complexity involved in managing a P-12 setting.</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The allowance, which is based on the Principal Classification Budget (PCB), is allocated as credit. The P-12 Complexity Allowance is not included for the purpose of determining the PCB.</w:t>
      </w:r>
    </w:p>
    <w:p w14:paraId="49E62F67" w14:textId="77777777" w:rsidR="00735FF8" w:rsidRPr="004D307F" w:rsidRDefault="00735FF8" w:rsidP="00735FF8">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1EB55511" w14:textId="77777777" w:rsidR="00735FF8" w:rsidRPr="004D307F" w:rsidRDefault="00735FF8" w:rsidP="00735FF8">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with the following school types are eligible for </w:t>
      </w:r>
      <w:r w:rsidRPr="004D307F">
        <w:rPr>
          <w:rFonts w:ascii="VIC" w:eastAsia="Times New Roman" w:hAnsi="VIC" w:cs="Arial"/>
          <w:color w:val="011A3C"/>
          <w:sz w:val="24"/>
          <w:szCs w:val="24"/>
          <w:lang w:val="en" w:eastAsia="en-AU"/>
        </w:rPr>
        <w:t xml:space="preserve">P-12 Complexity </w:t>
      </w:r>
      <w:r w:rsidRPr="004D307F">
        <w:rPr>
          <w:rFonts w:ascii="VIC" w:eastAsia="Times New Roman" w:hAnsi="VIC" w:cs="Times New Roman"/>
          <w:color w:val="011A3C"/>
          <w:sz w:val="24"/>
          <w:szCs w:val="24"/>
          <w:lang w:val="en" w:eastAsia="en-AU"/>
        </w:rPr>
        <w:t>funding at school level:</w:t>
      </w:r>
    </w:p>
    <w:p w14:paraId="2D8D2E11" w14:textId="77777777"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1C2D0131" w14:textId="00408370"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Special</w:t>
      </w:r>
      <w:r w:rsidR="00E14875" w:rsidRPr="004D307F">
        <w:rPr>
          <w:rFonts w:ascii="VIC" w:eastAsia="Times New Roman" w:hAnsi="VIC" w:cs="Times New Roman"/>
          <w:color w:val="011A3C"/>
          <w:sz w:val="24"/>
          <w:szCs w:val="24"/>
          <w:lang w:val="en" w:eastAsia="en-AU"/>
        </w:rPr>
        <w:t>*</w:t>
      </w:r>
    </w:p>
    <w:p w14:paraId="2DB2BC90" w14:textId="350DF25E" w:rsidR="00735FF8" w:rsidRPr="004D307F" w:rsidRDefault="00735FF8" w:rsidP="00FF25C9">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is calculated at the Indicative, Confirmed and Revised </w:t>
      </w:r>
      <w:proofErr w:type="gramStart"/>
      <w:r w:rsidRPr="004D307F">
        <w:rPr>
          <w:rFonts w:ascii="VIC" w:eastAsia="Times New Roman" w:hAnsi="VIC" w:cs="Times New Roman"/>
          <w:color w:val="011A3C"/>
          <w:sz w:val="24"/>
          <w:szCs w:val="24"/>
          <w:lang w:val="en" w:eastAsia="en-AU"/>
        </w:rPr>
        <w:t>cycles,</w:t>
      </w:r>
      <w:proofErr w:type="gramEnd"/>
      <w:r w:rsidRPr="004D307F">
        <w:rPr>
          <w:rFonts w:ascii="VIC" w:eastAsia="Times New Roman" w:hAnsi="VIC" w:cs="Times New Roman"/>
          <w:color w:val="011A3C"/>
          <w:sz w:val="24"/>
          <w:szCs w:val="24"/>
          <w:lang w:val="en" w:eastAsia="en-AU"/>
        </w:rPr>
        <w:t xml:space="preserve"> funding is allocated through credit funding.</w:t>
      </w:r>
    </w:p>
    <w:p w14:paraId="5AC0826F" w14:textId="71ED588B" w:rsidR="009753DC" w:rsidRPr="004D307F" w:rsidRDefault="009753DC" w:rsidP="009753DC">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Rates</w:t>
      </w:r>
      <w:r w:rsidRPr="004D307F">
        <w:rPr>
          <w:rFonts w:ascii="Calibri" w:eastAsia="Times New Roman" w:hAnsi="Calibri" w:cs="Calibri" w:hint="eastAsia"/>
          <w:b/>
          <w:bCs/>
          <w:color w:val="011A3C"/>
          <w:sz w:val="27"/>
          <w:szCs w:val="27"/>
          <w:lang w:val="en" w:eastAsia="en-AU"/>
        </w:rPr>
        <w:t> </w:t>
      </w:r>
      <w:r w:rsidRPr="004D307F">
        <w:rPr>
          <w:rFonts w:ascii="VIC" w:eastAsia="Times New Roman" w:hAnsi="VIC" w:cs="Times New Roman"/>
          <w:b/>
          <w:bCs/>
          <w:color w:val="011A3C"/>
          <w:sz w:val="27"/>
          <w:szCs w:val="27"/>
          <w:lang w:val="en" w:eastAsia="en-AU"/>
        </w:rPr>
        <w:t>202</w:t>
      </w:r>
      <w:r w:rsidR="001B2D08" w:rsidRPr="004D307F">
        <w:rPr>
          <w:rFonts w:ascii="VIC" w:eastAsia="Times New Roman" w:hAnsi="VIC"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43"/>
        <w:gridCol w:w="4473"/>
      </w:tblGrid>
      <w:tr w:rsidR="009753DC" w:rsidRPr="004D307F" w14:paraId="369B9A05" w14:textId="77777777" w:rsidTr="00D93949">
        <w:trPr>
          <w:tblHeader/>
        </w:trPr>
        <w:tc>
          <w:tcPr>
            <w:tcW w:w="0" w:type="auto"/>
            <w:hideMark/>
          </w:tcPr>
          <w:p w14:paraId="2658D244" w14:textId="77777777" w:rsidR="009753DC" w:rsidRPr="004D307F" w:rsidRDefault="009753DC" w:rsidP="009753DC">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Administration Complexity Allowance ($)</w:t>
            </w:r>
          </w:p>
        </w:tc>
        <w:tc>
          <w:tcPr>
            <w:tcW w:w="0" w:type="auto"/>
            <w:hideMark/>
          </w:tcPr>
          <w:p w14:paraId="388738D2" w14:textId="77777777" w:rsidR="009753DC" w:rsidRPr="004D307F" w:rsidRDefault="009753DC" w:rsidP="009753DC">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Principal Classification Budget (PCB) ($)</w:t>
            </w:r>
          </w:p>
        </w:tc>
      </w:tr>
      <w:tr w:rsidR="009753DC" w:rsidRPr="004D307F" w14:paraId="043CFAA7" w14:textId="77777777" w:rsidTr="00D93949">
        <w:tc>
          <w:tcPr>
            <w:tcW w:w="0" w:type="auto"/>
            <w:hideMark/>
          </w:tcPr>
          <w:p w14:paraId="0A708178" w14:textId="1BABD702" w:rsidR="009753DC" w:rsidRPr="004D307F" w:rsidRDefault="001A4359"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28,839</w:t>
            </w:r>
          </w:p>
        </w:tc>
        <w:tc>
          <w:tcPr>
            <w:tcW w:w="0" w:type="auto"/>
            <w:hideMark/>
          </w:tcPr>
          <w:p w14:paraId="19238F4B" w14:textId="77777777"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&lt;1,553,113</w:t>
            </w:r>
          </w:p>
        </w:tc>
      </w:tr>
      <w:tr w:rsidR="009753DC" w:rsidRPr="004D307F" w14:paraId="4BF91442" w14:textId="77777777" w:rsidTr="00D93949">
        <w:tc>
          <w:tcPr>
            <w:tcW w:w="0" w:type="auto"/>
            <w:hideMark/>
          </w:tcPr>
          <w:p w14:paraId="32689A4E" w14:textId="2A64361A" w:rsidR="009753DC" w:rsidRPr="004D307F" w:rsidRDefault="001A4359"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57,666</w:t>
            </w:r>
          </w:p>
        </w:tc>
        <w:tc>
          <w:tcPr>
            <w:tcW w:w="0" w:type="auto"/>
            <w:hideMark/>
          </w:tcPr>
          <w:p w14:paraId="71F480AB" w14:textId="617C5D22"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1,553,11</w:t>
            </w:r>
            <w:r w:rsidR="00543B08" w:rsidRPr="004D307F">
              <w:rPr>
                <w:rFonts w:ascii="VIC" w:eastAsia="Times New Roman" w:hAnsi="VIC" w:cs="Times New Roman"/>
                <w:color w:val="323E4F" w:themeColor="text2" w:themeShade="BF"/>
                <w:sz w:val="24"/>
                <w:szCs w:val="24"/>
                <w:lang w:eastAsia="en-AU"/>
              </w:rPr>
              <w:t>4</w:t>
            </w:r>
            <w:r w:rsidRPr="004D307F">
              <w:rPr>
                <w:rFonts w:ascii="VIC" w:eastAsia="Times New Roman" w:hAnsi="VIC" w:cs="Times New Roman"/>
                <w:color w:val="323E4F" w:themeColor="text2" w:themeShade="BF"/>
                <w:sz w:val="24"/>
                <w:szCs w:val="24"/>
                <w:lang w:eastAsia="en-AU"/>
              </w:rPr>
              <w:t xml:space="preserve"> to </w:t>
            </w:r>
            <w:r w:rsidRPr="004D307F">
              <w:rPr>
                <w:rFonts w:ascii="Cambria Math" w:eastAsia="Times New Roman" w:hAnsi="Cambria Math" w:cs="Cambria Math"/>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3,623,933</w:t>
            </w:r>
          </w:p>
        </w:tc>
      </w:tr>
      <w:tr w:rsidR="009753DC" w:rsidRPr="004D307F" w14:paraId="4543185B" w14:textId="77777777" w:rsidTr="00D93949">
        <w:tc>
          <w:tcPr>
            <w:tcW w:w="0" w:type="auto"/>
            <w:hideMark/>
          </w:tcPr>
          <w:p w14:paraId="2D8B16CC" w14:textId="7B0DCB72" w:rsidR="009753DC" w:rsidRPr="004D307F" w:rsidRDefault="001A4359"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86,495</w:t>
            </w:r>
          </w:p>
        </w:tc>
        <w:tc>
          <w:tcPr>
            <w:tcW w:w="0" w:type="auto"/>
            <w:hideMark/>
          </w:tcPr>
          <w:p w14:paraId="4BF65C63" w14:textId="5B42DC68"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3,623,93</w:t>
            </w:r>
            <w:r w:rsidR="00543B08" w:rsidRPr="004D307F">
              <w:rPr>
                <w:rFonts w:ascii="VIC" w:eastAsia="Times New Roman" w:hAnsi="VIC" w:cs="Times New Roman"/>
                <w:color w:val="323E4F" w:themeColor="text2" w:themeShade="BF"/>
                <w:sz w:val="24"/>
                <w:szCs w:val="24"/>
                <w:lang w:eastAsia="en-AU"/>
              </w:rPr>
              <w:t>4</w:t>
            </w:r>
            <w:r w:rsidRPr="004D307F">
              <w:rPr>
                <w:rFonts w:ascii="VIC" w:eastAsia="Times New Roman" w:hAnsi="VIC" w:cs="Times New Roman"/>
                <w:color w:val="323E4F" w:themeColor="text2" w:themeShade="BF"/>
                <w:sz w:val="24"/>
                <w:szCs w:val="24"/>
                <w:lang w:eastAsia="en-AU"/>
              </w:rPr>
              <w:t xml:space="preserve"> to </w:t>
            </w:r>
            <w:r w:rsidRPr="004D307F">
              <w:rPr>
                <w:rFonts w:ascii="Cambria Math" w:eastAsia="Times New Roman" w:hAnsi="Cambria Math" w:cs="Cambria Math"/>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9,020,002</w:t>
            </w:r>
          </w:p>
        </w:tc>
      </w:tr>
      <w:tr w:rsidR="009753DC" w:rsidRPr="004D307F" w14:paraId="19494D4D" w14:textId="77777777" w:rsidTr="00D93949">
        <w:tc>
          <w:tcPr>
            <w:tcW w:w="0" w:type="auto"/>
            <w:hideMark/>
          </w:tcPr>
          <w:p w14:paraId="3A0A4575" w14:textId="2F0E75B2" w:rsidR="009753DC" w:rsidRPr="004D307F" w:rsidRDefault="001A4359"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115,335</w:t>
            </w:r>
          </w:p>
        </w:tc>
        <w:tc>
          <w:tcPr>
            <w:tcW w:w="0" w:type="auto"/>
            <w:hideMark/>
          </w:tcPr>
          <w:p w14:paraId="371770A5" w14:textId="77777777"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&gt;9,020,002</w:t>
            </w:r>
          </w:p>
        </w:tc>
      </w:tr>
    </w:tbl>
    <w:p w14:paraId="768BF504" w14:textId="45FF08CE" w:rsidR="009753DC" w:rsidRPr="004D307F" w:rsidRDefault="009753DC" w:rsidP="00E14875">
      <w:pPr>
        <w:spacing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Note:</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color w:val="011A3C"/>
          <w:sz w:val="24"/>
          <w:szCs w:val="24"/>
          <w:lang w:val="en" w:eastAsia="en-AU"/>
        </w:rPr>
        <w:t>PCB ranges for allocating this allowance will be done during the confirmed and revised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budget cycles. PCB Ranges are outlined at </w:t>
      </w:r>
      <w:hyperlink r:id="rId115" w:history="1">
        <w:r w:rsidRPr="004D307F">
          <w:rPr>
            <w:rFonts w:ascii="VIC" w:eastAsia="Times New Roman" w:hAnsi="VIC" w:cs="Times New Roman"/>
            <w:color w:val="011A3C"/>
            <w:sz w:val="24"/>
            <w:szCs w:val="24"/>
            <w:lang w:val="en" w:eastAsia="en-AU"/>
          </w:rPr>
          <w:t xml:space="preserve">Career Structure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Teaching Service</w:t>
        </w:r>
      </w:hyperlink>
      <w:r w:rsidRPr="004D307F">
        <w:rPr>
          <w:rFonts w:ascii="VIC" w:eastAsia="Times New Roman" w:hAnsi="VIC" w:cs="Times New Roman"/>
          <w:color w:val="011A3C"/>
          <w:sz w:val="24"/>
          <w:szCs w:val="24"/>
          <w:lang w:val="en" w:eastAsia="en-AU"/>
        </w:rPr>
        <w:t>.</w:t>
      </w:r>
    </w:p>
    <w:p w14:paraId="64019DCF" w14:textId="5234DF1C" w:rsidR="00E14875" w:rsidRPr="004D307F" w:rsidRDefault="00E14875" w:rsidP="00E14875">
      <w:pPr>
        <w:spacing w:after="100" w:afterAutospacing="1" w:line="360" w:lineRule="atLeast"/>
        <w:rPr>
          <w:rFonts w:ascii="VIC" w:eastAsia="Times New Roman" w:hAnsi="VIC" w:cs="Times New Roman"/>
          <w:color w:val="011A3C"/>
          <w:sz w:val="18"/>
          <w:szCs w:val="18"/>
          <w:lang w:val="en" w:eastAsia="en-AU"/>
        </w:rPr>
      </w:pPr>
      <w:r w:rsidRPr="004D307F">
        <w:rPr>
          <w:rFonts w:ascii="VIC" w:eastAsia="Times New Roman" w:hAnsi="VIC" w:cs="Times New Roman"/>
          <w:color w:val="011A3C"/>
          <w:lang w:val="en" w:eastAsia="en-AU"/>
        </w:rPr>
        <w:t>*T</w:t>
      </w:r>
      <w:r w:rsidRPr="004D307F">
        <w:rPr>
          <w:rFonts w:ascii="VIC" w:eastAsia="Times New Roman" w:hAnsi="VIC" w:cs="Times New Roman"/>
          <w:color w:val="011A3C"/>
          <w:sz w:val="20"/>
          <w:szCs w:val="20"/>
          <w:lang w:val="en" w:eastAsia="en-AU"/>
        </w:rPr>
        <w:t>he following special schools are eligible for this allowance</w:t>
      </w:r>
      <w:r w:rsidR="00D5064D" w:rsidRPr="004D307F">
        <w:rPr>
          <w:rFonts w:ascii="VIC" w:eastAsia="Times New Roman" w:hAnsi="VIC" w:cs="Times New Roman"/>
          <w:color w:val="011A3C"/>
          <w:sz w:val="20"/>
          <w:szCs w:val="20"/>
          <w:lang w:val="en" w:eastAsia="en-AU"/>
        </w:rPr>
        <w:t>:</w:t>
      </w:r>
      <w:r w:rsidRPr="004D307F">
        <w:rPr>
          <w:rFonts w:ascii="VIC" w:eastAsia="Times New Roman" w:hAnsi="VIC" w:cs="Times New Roman"/>
          <w:color w:val="011A3C"/>
          <w:sz w:val="20"/>
          <w:szCs w:val="20"/>
          <w:lang w:val="en" w:eastAsia="en-AU"/>
        </w:rPr>
        <w:t xml:space="preserve"> </w:t>
      </w:r>
      <w:proofErr w:type="spellStart"/>
      <w:r w:rsidRPr="004D307F">
        <w:rPr>
          <w:rFonts w:ascii="VIC" w:eastAsia="Times New Roman" w:hAnsi="VIC" w:cs="Times New Roman"/>
          <w:color w:val="011A3C"/>
          <w:sz w:val="20"/>
          <w:szCs w:val="20"/>
          <w:lang w:val="en" w:eastAsia="en-AU"/>
        </w:rPr>
        <w:t>Yarra</w:t>
      </w:r>
      <w:proofErr w:type="spellEnd"/>
      <w:r w:rsidRPr="004D307F">
        <w:rPr>
          <w:rFonts w:ascii="VIC" w:eastAsia="Times New Roman" w:hAnsi="VIC" w:cs="Times New Roman"/>
          <w:color w:val="011A3C"/>
          <w:sz w:val="20"/>
          <w:szCs w:val="20"/>
          <w:lang w:val="en" w:eastAsia="en-AU"/>
        </w:rPr>
        <w:t xml:space="preserve"> Me School, The Austin School, Travancore </w:t>
      </w:r>
      <w:proofErr w:type="gramStart"/>
      <w:r w:rsidRPr="004D307F">
        <w:rPr>
          <w:rFonts w:ascii="VIC" w:eastAsia="Times New Roman" w:hAnsi="VIC" w:cs="Times New Roman"/>
          <w:color w:val="011A3C"/>
          <w:sz w:val="20"/>
          <w:szCs w:val="20"/>
          <w:lang w:val="en" w:eastAsia="en-AU"/>
        </w:rPr>
        <w:t>School</w:t>
      </w:r>
      <w:proofErr w:type="gramEnd"/>
      <w:r w:rsidRPr="004D307F">
        <w:rPr>
          <w:rFonts w:ascii="VIC" w:eastAsia="Times New Roman" w:hAnsi="VIC" w:cs="Times New Roman"/>
          <w:color w:val="011A3C"/>
          <w:sz w:val="20"/>
          <w:szCs w:val="20"/>
          <w:lang w:val="en" w:eastAsia="en-AU"/>
        </w:rPr>
        <w:t xml:space="preserve"> and Avenues Education.</w:t>
      </w:r>
    </w:p>
    <w:p w14:paraId="72439841" w14:textId="77777777" w:rsidR="009753DC" w:rsidRPr="004D307F" w:rsidRDefault="009753DC" w:rsidP="009753DC">
      <w:pPr>
        <w:rPr>
          <w:rFonts w:ascii="VIC" w:hAnsi="VIC"/>
        </w:rPr>
      </w:pPr>
      <w:r w:rsidRPr="004D307F">
        <w:rPr>
          <w:rFonts w:ascii="VIC" w:hAnsi="VIC"/>
        </w:rPr>
        <w:br w:type="page"/>
      </w:r>
    </w:p>
    <w:p w14:paraId="2634F4EB" w14:textId="4E7EE90D" w:rsidR="009753DC" w:rsidRPr="004D307F" w:rsidRDefault="009753DC" w:rsidP="00B566E7">
      <w:pPr>
        <w:pStyle w:val="Heading2"/>
      </w:pPr>
      <w:bookmarkStart w:id="66" w:name="_Toc99882756"/>
      <w:r w:rsidRPr="004D307F">
        <w:lastRenderedPageBreak/>
        <w:t>Location Index funding (Reference 39)</w:t>
      </w:r>
      <w:bookmarkEnd w:id="66"/>
    </w:p>
    <w:p w14:paraId="65C30E9A" w14:textId="77777777" w:rsidR="003B4C36" w:rsidRPr="004D307F" w:rsidRDefault="003B4C36" w:rsidP="003B4C3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purpose of this funding line is to offset the costs of non-teaching services in rural schools by supplementing the added costs that rural schools incur for goods and services associated with freight and communications.</w:t>
      </w:r>
    </w:p>
    <w:p w14:paraId="23DB21DA" w14:textId="77777777" w:rsidR="00A12061" w:rsidRPr="004D307F" w:rsidRDefault="003B4C36" w:rsidP="00735FF8">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provided to schools with campuses meeting the eligibility criteria. Allocations comprise a base component and a per student component, which varies based on the campus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Location Index.</w:t>
      </w:r>
    </w:p>
    <w:p w14:paraId="3548090E" w14:textId="239846A6" w:rsidR="00735FF8" w:rsidRPr="004D307F" w:rsidRDefault="00735FF8" w:rsidP="00735FF8">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745A2611" w14:textId="777777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Campuses of the following type and location are eligible for LIF funding: </w:t>
      </w:r>
    </w:p>
    <w:p w14:paraId="70B8AC17" w14:textId="77777777" w:rsidR="00E14875" w:rsidRPr="004D307F" w:rsidRDefault="006A37EC" w:rsidP="00B52991">
      <w:pPr>
        <w:rPr>
          <w:rFonts w:ascii="VIC" w:hAnsi="VIC"/>
          <w:lang w:val="en-US"/>
        </w:rPr>
      </w:pPr>
      <w:r w:rsidRPr="004D307F">
        <w:rPr>
          <w:rFonts w:ascii="VIC" w:eastAsia="Times New Roman" w:hAnsi="VIC" w:cs="Times New Roman"/>
          <w:color w:val="011A3C"/>
          <w:sz w:val="24"/>
          <w:szCs w:val="24"/>
          <w:lang w:val="en" w:eastAsia="en-AU"/>
        </w:rPr>
        <w:t>Campus type:</w:t>
      </w:r>
    </w:p>
    <w:p w14:paraId="5FECD13B" w14:textId="223F47F8" w:rsidR="00735FF8" w:rsidRPr="004D307F" w:rsidRDefault="00735FF8" w:rsidP="00ED0863">
      <w:pPr>
        <w:pStyle w:val="ListParagraph"/>
        <w:numPr>
          <w:ilvl w:val="0"/>
          <w:numId w:val="54"/>
        </w:numPr>
        <w:rPr>
          <w:rFonts w:ascii="VIC" w:hAnsi="VIC"/>
          <w:lang w:val="en-US"/>
        </w:rPr>
      </w:pPr>
      <w:r w:rsidRPr="004D307F">
        <w:rPr>
          <w:rFonts w:ascii="VIC" w:eastAsia="Times New Roman" w:hAnsi="VIC" w:cs="Times New Roman"/>
          <w:color w:val="011A3C"/>
          <w:sz w:val="24"/>
          <w:szCs w:val="24"/>
          <w:lang w:val="en" w:eastAsia="en-AU"/>
        </w:rPr>
        <w:t>Primary</w:t>
      </w:r>
    </w:p>
    <w:p w14:paraId="1B239C67" w14:textId="77777777"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4FAEA2DC" w14:textId="77777777" w:rsidR="006A37EC" w:rsidRPr="004D307F" w:rsidRDefault="006A37EC"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1FFF2892" w14:textId="77777777"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Special</w:t>
      </w:r>
    </w:p>
    <w:p w14:paraId="1AC42DE7" w14:textId="01F1E635" w:rsidR="00735FF8" w:rsidRPr="004D307F" w:rsidRDefault="00735FF8"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Camp</w:t>
      </w:r>
    </w:p>
    <w:p w14:paraId="38192492" w14:textId="26E1F210" w:rsidR="00436054" w:rsidRPr="004D307F" w:rsidRDefault="00436054"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Deaf</w:t>
      </w:r>
    </w:p>
    <w:p w14:paraId="36347E05" w14:textId="77777777" w:rsidR="006A37EC" w:rsidRPr="004D307F" w:rsidRDefault="006A37EC" w:rsidP="00141B7F">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Location</w:t>
      </w:r>
    </w:p>
    <w:p w14:paraId="43D7B7BA" w14:textId="77777777" w:rsidR="00141B7F" w:rsidRPr="004D307F" w:rsidRDefault="006A37EC" w:rsidP="00ED0863">
      <w:pPr>
        <w:pStyle w:val="ListParagraph"/>
        <w:numPr>
          <w:ilvl w:val="0"/>
          <w:numId w:val="13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outside the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Major Cities of Australia</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Remoteness Area category, as defined by the Australian Bureau of Statistics (ABS), with reference to the 2016 Accessibility/Remoteness Index of Australia (ARIA)</w:t>
      </w:r>
    </w:p>
    <w:p w14:paraId="2A215A1B" w14:textId="626E7DA9" w:rsidR="00735FF8" w:rsidRPr="004D307F" w:rsidRDefault="00735FF8" w:rsidP="00735FF8">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is calculated at the Indicative, Confirmed and Revised </w:t>
      </w:r>
      <w:proofErr w:type="gramStart"/>
      <w:r w:rsidRPr="004D307F">
        <w:rPr>
          <w:rFonts w:ascii="VIC" w:eastAsia="Times New Roman" w:hAnsi="VIC" w:cs="Times New Roman"/>
          <w:color w:val="011A3C"/>
          <w:sz w:val="24"/>
          <w:szCs w:val="24"/>
          <w:lang w:val="en" w:eastAsia="en-AU"/>
        </w:rPr>
        <w:t>cycles,</w:t>
      </w:r>
      <w:proofErr w:type="gramEnd"/>
      <w:r w:rsidRPr="004D307F">
        <w:rPr>
          <w:rFonts w:ascii="VIC" w:eastAsia="Times New Roman" w:hAnsi="VIC" w:cs="Times New Roman"/>
          <w:color w:val="011A3C"/>
          <w:sz w:val="24"/>
          <w:szCs w:val="24"/>
          <w:lang w:val="en" w:eastAsia="en-AU"/>
        </w:rPr>
        <w:t xml:space="preserve"> funding is allocated through cash funding.</w:t>
      </w:r>
    </w:p>
    <w:p w14:paraId="2C39E050" w14:textId="5C8A8FB4" w:rsidR="009753DC" w:rsidRPr="004D307F" w:rsidRDefault="009753DC" w:rsidP="009753DC">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Calculation</w:t>
      </w:r>
    </w:p>
    <w:p w14:paraId="4DB60608" w14:textId="777777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are funded according to a Location Index. This is comprised of three components:</w:t>
      </w:r>
    </w:p>
    <w:p w14:paraId="5B123CD8" w14:textId="757F05F2" w:rsidR="006A37EC" w:rsidRPr="004D307F" w:rsidRDefault="006A37EC"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Distance from Melbourne (as measure from GPO)</w:t>
      </w:r>
    </w:p>
    <w:p w14:paraId="65B4FF6F" w14:textId="0EF68C2A" w:rsidR="006A37EC" w:rsidRPr="004D307F" w:rsidRDefault="006A37EC"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Distance from nearest provincial </w:t>
      </w:r>
      <w:proofErr w:type="spellStart"/>
      <w:r w:rsidRPr="004D307F">
        <w:rPr>
          <w:rFonts w:ascii="VIC" w:eastAsia="Times New Roman" w:hAnsi="VIC" w:cs="Times New Roman"/>
          <w:color w:val="011A3C"/>
          <w:sz w:val="24"/>
          <w:szCs w:val="24"/>
          <w:lang w:val="en" w:eastAsia="en-AU"/>
        </w:rPr>
        <w:t>centre</w:t>
      </w:r>
      <w:proofErr w:type="spellEnd"/>
      <w:r w:rsidRPr="004D307F">
        <w:rPr>
          <w:rFonts w:ascii="VIC" w:eastAsia="Times New Roman" w:hAnsi="VIC" w:cs="Times New Roman"/>
          <w:color w:val="011A3C"/>
          <w:sz w:val="24"/>
          <w:szCs w:val="24"/>
          <w:lang w:val="en" w:eastAsia="en-AU"/>
        </w:rPr>
        <w:t xml:space="preserve"> with a population of more than 20,000 people (as measured according to UCL 2016)</w:t>
      </w:r>
    </w:p>
    <w:p w14:paraId="6BB844C6" w14:textId="7A2961AF" w:rsidR="006A37EC" w:rsidRPr="004D307F" w:rsidRDefault="006A37EC" w:rsidP="00ED0863">
      <w:pPr>
        <w:pStyle w:val="ListParagraph"/>
        <w:numPr>
          <w:ilvl w:val="0"/>
          <w:numId w:val="54"/>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The nearest primary or secondary campus, as appropriate, above the rural school size adjustment factor threshold. </w:t>
      </w:r>
    </w:p>
    <w:p w14:paraId="28D0ABF7" w14:textId="777777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Nearest campus required to have some of same enrolment type and have enrolments above RSAF thresholds.</w:t>
      </w:r>
    </w:p>
    <w:p w14:paraId="0FD5F93A" w14:textId="20956B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Each of these three factors are given an equal weighting. The Location Index is then constructed relative to the campus in Victoria with highest total of distances. </w:t>
      </w:r>
    </w:p>
    <w:p w14:paraId="4DA300E2" w14:textId="77777777" w:rsidR="006A37EC" w:rsidRPr="004D307F" w:rsidRDefault="006A37EC"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Each eligible school campus receives a base allocation plus a per student allocation. </w:t>
      </w:r>
    </w:p>
    <w:p w14:paraId="38E66C59" w14:textId="77777777" w:rsidR="006A37EC" w:rsidRPr="004D307F" w:rsidRDefault="006A37EC" w:rsidP="006A37EC">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Primary Enrolment Allocation</w:t>
      </w:r>
    </w:p>
    <w:p w14:paraId="7AD772D6" w14:textId="77777777" w:rsidR="006A37EC" w:rsidRPr="004D307F" w:rsidRDefault="006A37EC" w:rsidP="00141B7F">
      <w:pPr>
        <w:rPr>
          <w:rFonts w:ascii="VIC" w:hAnsi="VIC"/>
          <w:color w:val="323E4F" w:themeColor="text2" w:themeShade="BF"/>
          <w:lang w:val="en" w:eastAsia="en-AU"/>
        </w:rPr>
      </w:pPr>
      <w:r w:rsidRPr="004D307F">
        <w:rPr>
          <w:rFonts w:ascii="VIC" w:hAnsi="VIC"/>
          <w:color w:val="323E4F" w:themeColor="text2" w:themeShade="BF"/>
          <w:lang w:val="en" w:eastAsia="en-AU"/>
        </w:rPr>
        <w:t>Allocation = Base + (Location Index × [Primary Student Enrolment] × [Per student Rate]).</w:t>
      </w:r>
    </w:p>
    <w:p w14:paraId="3CDB93E7" w14:textId="77777777" w:rsidR="006A37EC" w:rsidRPr="004D307F" w:rsidRDefault="006A37EC" w:rsidP="00141B7F">
      <w:pPr>
        <w:rPr>
          <w:rFonts w:ascii="VIC" w:hAnsi="VIC"/>
          <w:color w:val="323E4F" w:themeColor="text2" w:themeShade="BF"/>
          <w:lang w:val="en" w:eastAsia="en-AU"/>
        </w:rPr>
      </w:pPr>
      <w:r w:rsidRPr="004D307F">
        <w:rPr>
          <w:rFonts w:ascii="VIC" w:hAnsi="VIC"/>
          <w:color w:val="323E4F" w:themeColor="text2" w:themeShade="BF"/>
          <w:lang w:val="en" w:eastAsia="en-AU"/>
        </w:rPr>
        <w:t>Note: Enrolments are capped at 300 primary students.</w:t>
      </w:r>
    </w:p>
    <w:p w14:paraId="18C0217C" w14:textId="77777777" w:rsidR="006A37EC" w:rsidRPr="004D307F" w:rsidRDefault="006A37EC" w:rsidP="006A37EC">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Secondary Enrolment Allocation</w:t>
      </w:r>
    </w:p>
    <w:p w14:paraId="1DD163DF" w14:textId="77777777" w:rsidR="006A37EC" w:rsidRPr="004D307F" w:rsidRDefault="006A37EC" w:rsidP="00141B7F">
      <w:pPr>
        <w:rPr>
          <w:rFonts w:ascii="VIC" w:hAnsi="VIC"/>
          <w:color w:val="323E4F" w:themeColor="text2" w:themeShade="BF"/>
          <w:lang w:val="en" w:eastAsia="en-AU"/>
        </w:rPr>
      </w:pPr>
      <w:r w:rsidRPr="004D307F">
        <w:rPr>
          <w:rFonts w:ascii="VIC" w:hAnsi="VIC"/>
          <w:color w:val="323E4F" w:themeColor="text2" w:themeShade="BF"/>
          <w:lang w:val="en" w:eastAsia="en-AU"/>
        </w:rPr>
        <w:t>Allocation = Base + (Location Index × [Secondary Student Enrolment] × [Per student Rate])</w:t>
      </w:r>
    </w:p>
    <w:p w14:paraId="185B0F6A" w14:textId="15DA5E2D" w:rsidR="001E0162" w:rsidRPr="004D307F" w:rsidRDefault="006A37EC" w:rsidP="00141B7F">
      <w:pPr>
        <w:rPr>
          <w:rFonts w:ascii="VIC" w:hAnsi="VIC"/>
          <w:color w:val="323E4F" w:themeColor="text2" w:themeShade="BF"/>
          <w:lang w:val="en" w:eastAsia="en-AU"/>
        </w:rPr>
      </w:pPr>
      <w:r w:rsidRPr="004D307F">
        <w:rPr>
          <w:rFonts w:ascii="VIC" w:hAnsi="VIC"/>
          <w:color w:val="323E4F" w:themeColor="text2" w:themeShade="BF"/>
          <w:lang w:val="en" w:eastAsia="en-AU"/>
        </w:rPr>
        <w:t xml:space="preserve">Note: Enrolments are capped at 500 secondary students. </w:t>
      </w:r>
    </w:p>
    <w:p w14:paraId="755B9127" w14:textId="7D878AA4" w:rsidR="00BF0EE8" w:rsidRPr="004D307F" w:rsidRDefault="00141B7F" w:rsidP="006A37E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Campuses</w:t>
      </w:r>
      <w:r w:rsidR="00BF0EE8" w:rsidRPr="004D307F">
        <w:rPr>
          <w:rFonts w:ascii="VIC" w:eastAsia="Times New Roman" w:hAnsi="VIC" w:cs="Times New Roman"/>
          <w:color w:val="011A3C"/>
          <w:sz w:val="24"/>
          <w:szCs w:val="24"/>
          <w:lang w:val="en" w:eastAsia="en-AU"/>
        </w:rPr>
        <w:t xml:space="preserve"> with Primary and Secondary </w:t>
      </w:r>
      <w:r w:rsidR="00B125AF" w:rsidRPr="004D307F">
        <w:rPr>
          <w:rFonts w:ascii="VIC" w:eastAsia="Times New Roman" w:hAnsi="VIC" w:cs="Times New Roman"/>
          <w:color w:val="011A3C"/>
          <w:sz w:val="24"/>
          <w:szCs w:val="24"/>
          <w:lang w:val="en" w:eastAsia="en-AU"/>
        </w:rPr>
        <w:t>enrolments</w:t>
      </w:r>
      <w:r w:rsidR="00BF0EE8" w:rsidRPr="004D307F">
        <w:rPr>
          <w:rFonts w:ascii="VIC" w:eastAsia="Times New Roman" w:hAnsi="VIC" w:cs="Times New Roman"/>
          <w:color w:val="011A3C"/>
          <w:sz w:val="24"/>
          <w:szCs w:val="24"/>
          <w:lang w:val="en" w:eastAsia="en-AU"/>
        </w:rPr>
        <w:t xml:space="preserve"> receive the Primary and Secondary allocation.</w:t>
      </w:r>
    </w:p>
    <w:p w14:paraId="0352D635" w14:textId="396AC8CE" w:rsidR="009753DC" w:rsidRPr="004D307F" w:rsidRDefault="009753DC" w:rsidP="00141B7F">
      <w:pPr>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Rates 202</w:t>
      </w:r>
      <w:r w:rsidR="00786EBB" w:rsidRPr="004D307F">
        <w:rPr>
          <w:rFonts w:ascii="VIC" w:eastAsia="Times New Roman" w:hAnsi="VIC" w:cs="Times New Roman"/>
          <w:b/>
          <w:bCs/>
          <w:color w:val="011A3C"/>
          <w:sz w:val="24"/>
          <w:szCs w:val="24"/>
          <w:lang w:val="en" w:eastAsia="en-AU"/>
        </w:rPr>
        <w:t>2</w:t>
      </w:r>
    </w:p>
    <w:p w14:paraId="2983D401" w14:textId="1611C9FA" w:rsidR="00141B7F" w:rsidRPr="004D307F" w:rsidRDefault="009753DC" w:rsidP="00ED0863">
      <w:pPr>
        <w:pStyle w:val="ListParagraph"/>
        <w:numPr>
          <w:ilvl w:val="0"/>
          <w:numId w:val="132"/>
        </w:numPr>
        <w:rPr>
          <w:rFonts w:ascii="VIC" w:hAnsi="VIC"/>
          <w:color w:val="323E4F" w:themeColor="text2" w:themeShade="BF"/>
          <w:lang w:val="en" w:eastAsia="en-AU"/>
        </w:rPr>
      </w:pPr>
      <w:r w:rsidRPr="004D307F">
        <w:rPr>
          <w:rFonts w:ascii="VIC" w:hAnsi="VIC"/>
          <w:color w:val="323E4F" w:themeColor="text2" w:themeShade="BF"/>
          <w:lang w:val="en" w:eastAsia="en-AU"/>
        </w:rPr>
        <w:t xml:space="preserve">Base </w:t>
      </w:r>
      <w:r w:rsidRPr="004D307F">
        <w:rPr>
          <w:rFonts w:ascii="VIC" w:hAnsi="VIC" w:hint="eastAsia"/>
          <w:color w:val="323E4F" w:themeColor="text2" w:themeShade="BF"/>
          <w:lang w:val="en" w:eastAsia="en-AU"/>
        </w:rPr>
        <w:t>—</w:t>
      </w:r>
      <w:r w:rsidRPr="004D307F">
        <w:rPr>
          <w:rFonts w:ascii="VIC" w:hAnsi="VIC"/>
          <w:color w:val="323E4F" w:themeColor="text2" w:themeShade="BF"/>
          <w:lang w:val="en" w:eastAsia="en-AU"/>
        </w:rPr>
        <w:t xml:space="preserve"> </w:t>
      </w:r>
      <w:r w:rsidR="00C16EED" w:rsidRPr="004D307F">
        <w:rPr>
          <w:rFonts w:ascii="VIC" w:hAnsi="VIC"/>
          <w:color w:val="323E4F" w:themeColor="text2" w:themeShade="BF"/>
          <w:lang w:val="en" w:eastAsia="en-AU"/>
        </w:rPr>
        <w:t>$</w:t>
      </w:r>
      <w:r w:rsidR="006A37EC" w:rsidRPr="004D307F">
        <w:rPr>
          <w:rFonts w:ascii="VIC" w:hAnsi="VIC"/>
          <w:color w:val="323E4F" w:themeColor="text2" w:themeShade="BF"/>
          <w:lang w:val="en" w:eastAsia="en-AU"/>
        </w:rPr>
        <w:t>6</w:t>
      </w:r>
      <w:r w:rsidR="00786EBB" w:rsidRPr="004D307F">
        <w:rPr>
          <w:rFonts w:ascii="VIC" w:hAnsi="VIC"/>
          <w:color w:val="323E4F" w:themeColor="text2" w:themeShade="BF"/>
          <w:lang w:val="en" w:eastAsia="en-AU"/>
        </w:rPr>
        <w:t>7</w:t>
      </w:r>
      <w:r w:rsidR="006A37EC" w:rsidRPr="004D307F">
        <w:rPr>
          <w:rFonts w:ascii="VIC" w:hAnsi="VIC"/>
          <w:color w:val="323E4F" w:themeColor="text2" w:themeShade="BF"/>
          <w:lang w:val="en" w:eastAsia="en-AU"/>
        </w:rPr>
        <w:t>7.7</w:t>
      </w:r>
      <w:r w:rsidR="00786EBB" w:rsidRPr="004D307F">
        <w:rPr>
          <w:rFonts w:ascii="VIC" w:hAnsi="VIC"/>
          <w:color w:val="323E4F" w:themeColor="text2" w:themeShade="BF"/>
          <w:lang w:val="en" w:eastAsia="en-AU"/>
        </w:rPr>
        <w:t>6</w:t>
      </w:r>
    </w:p>
    <w:p w14:paraId="6E8A22CE" w14:textId="437E3271" w:rsidR="009753DC" w:rsidRPr="004D307F" w:rsidRDefault="009753DC" w:rsidP="00ED0863">
      <w:pPr>
        <w:pStyle w:val="ListParagraph"/>
        <w:numPr>
          <w:ilvl w:val="0"/>
          <w:numId w:val="132"/>
        </w:numPr>
        <w:rPr>
          <w:rFonts w:ascii="VIC" w:hAnsi="VIC"/>
          <w:color w:val="323E4F" w:themeColor="text2" w:themeShade="BF"/>
          <w:lang w:val="en" w:eastAsia="en-AU"/>
        </w:rPr>
      </w:pPr>
      <w:r w:rsidRPr="004D307F">
        <w:rPr>
          <w:rFonts w:ascii="VIC" w:hAnsi="VIC"/>
          <w:color w:val="323E4F" w:themeColor="text2" w:themeShade="BF"/>
          <w:lang w:val="en" w:eastAsia="en-AU"/>
        </w:rPr>
        <w:t xml:space="preserve">Per Student Rate </w:t>
      </w:r>
      <w:r w:rsidRPr="004D307F">
        <w:rPr>
          <w:rFonts w:ascii="VIC" w:hAnsi="VIC" w:hint="eastAsia"/>
          <w:color w:val="323E4F" w:themeColor="text2" w:themeShade="BF"/>
          <w:lang w:val="en" w:eastAsia="en-AU"/>
        </w:rPr>
        <w:t>—</w:t>
      </w:r>
      <w:r w:rsidRPr="004D307F">
        <w:rPr>
          <w:rFonts w:ascii="VIC" w:hAnsi="VIC"/>
          <w:color w:val="323E4F" w:themeColor="text2" w:themeShade="BF"/>
          <w:lang w:val="en" w:eastAsia="en-AU"/>
        </w:rPr>
        <w:t xml:space="preserve"> </w:t>
      </w:r>
      <w:r w:rsidR="00C16EED" w:rsidRPr="004D307F">
        <w:rPr>
          <w:rFonts w:ascii="VIC" w:hAnsi="VIC"/>
          <w:color w:val="323E4F" w:themeColor="text2" w:themeShade="BF"/>
          <w:lang w:val="en" w:eastAsia="en-AU"/>
        </w:rPr>
        <w:t>$</w:t>
      </w:r>
      <w:r w:rsidR="006A37EC" w:rsidRPr="004D307F">
        <w:rPr>
          <w:rFonts w:ascii="VIC" w:hAnsi="VIC"/>
          <w:color w:val="323E4F" w:themeColor="text2" w:themeShade="BF"/>
          <w:lang w:val="en" w:eastAsia="en-AU"/>
        </w:rPr>
        <w:t>10</w:t>
      </w:r>
      <w:r w:rsidR="00786EBB" w:rsidRPr="004D307F">
        <w:rPr>
          <w:rFonts w:ascii="VIC" w:hAnsi="VIC"/>
          <w:color w:val="323E4F" w:themeColor="text2" w:themeShade="BF"/>
          <w:lang w:val="en" w:eastAsia="en-AU"/>
        </w:rPr>
        <w:t>7.26</w:t>
      </w:r>
    </w:p>
    <w:p w14:paraId="407C59FB" w14:textId="78FB35A0" w:rsidR="006A37EC" w:rsidRPr="004D307F" w:rsidRDefault="002A62F7" w:rsidP="002A62F7">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O</w:t>
      </w:r>
      <w:r w:rsidR="006A37EC" w:rsidRPr="004D307F">
        <w:rPr>
          <w:rFonts w:ascii="VIC" w:eastAsia="Times New Roman" w:hAnsi="VIC" w:cs="Times New Roman"/>
          <w:b/>
          <w:bCs/>
          <w:color w:val="011A3C"/>
          <w:sz w:val="24"/>
          <w:szCs w:val="24"/>
          <w:lang w:val="en" w:eastAsia="en-AU"/>
        </w:rPr>
        <w:t>ther relevant information</w:t>
      </w:r>
      <w:r w:rsidRPr="004D307F">
        <w:rPr>
          <w:rFonts w:ascii="VIC" w:eastAsia="Times New Roman" w:hAnsi="VIC" w:cs="Times New Roman"/>
          <w:b/>
          <w:bCs/>
          <w:color w:val="011A3C"/>
          <w:sz w:val="24"/>
          <w:szCs w:val="24"/>
          <w:lang w:val="en" w:eastAsia="en-AU"/>
        </w:rPr>
        <w:t>:</w:t>
      </w:r>
    </w:p>
    <w:p w14:paraId="7D94CDE4" w14:textId="77777777" w:rsidR="006A37EC" w:rsidRPr="004D307F" w:rsidRDefault="006A37EC" w:rsidP="006A37EC">
      <w:pPr>
        <w:rPr>
          <w:rFonts w:ascii="VIC" w:eastAsia="Times New Roman" w:hAnsi="VIC" w:cs="Times New Roman"/>
          <w:color w:val="011A3C"/>
          <w:sz w:val="24"/>
          <w:szCs w:val="24"/>
          <w:lang w:val="en" w:eastAsia="en-AU"/>
        </w:rPr>
      </w:pPr>
      <w:bookmarkStart w:id="67" w:name="_Hlk81832381"/>
      <w:r w:rsidRPr="004D307F">
        <w:rPr>
          <w:rFonts w:ascii="VIC" w:eastAsia="Times New Roman" w:hAnsi="VIC" w:cs="Times New Roman"/>
          <w:color w:val="011A3C"/>
          <w:sz w:val="24"/>
          <w:szCs w:val="24"/>
          <w:lang w:val="en" w:eastAsia="en-AU"/>
        </w:rPr>
        <w:t>It is intended that location measures will be updated with the release of new ABS data every 5 years. The next release is scheduled in 2021.</w:t>
      </w:r>
    </w:p>
    <w:bookmarkEnd w:id="67"/>
    <w:p w14:paraId="65A382ED" w14:textId="77777777" w:rsidR="006A37EC" w:rsidRPr="004D307F" w:rsidRDefault="006A37EC" w:rsidP="006A37EC">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All distances are measured via road.</w:t>
      </w:r>
    </w:p>
    <w:p w14:paraId="2CA0BBB7" w14:textId="77777777" w:rsidR="006A37EC" w:rsidRPr="004D307F" w:rsidRDefault="006A37EC" w:rsidP="006A37EC">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ARIA+ is a continuous index, which the ABS uses to define the Remoteness Area categories, </w:t>
      </w:r>
      <w:proofErr w:type="gramStart"/>
      <w:r w:rsidRPr="004D307F">
        <w:rPr>
          <w:rFonts w:ascii="VIC" w:eastAsia="Times New Roman" w:hAnsi="VIC" w:cs="Times New Roman"/>
          <w:color w:val="011A3C"/>
          <w:sz w:val="24"/>
          <w:szCs w:val="24"/>
          <w:lang w:val="en" w:eastAsia="en-AU"/>
        </w:rPr>
        <w:t>including:</w:t>
      </w:r>
      <w:proofErr w:type="gramEnd"/>
      <w:r w:rsidRPr="004D307F">
        <w:rPr>
          <w:rFonts w:ascii="VIC" w:eastAsia="Times New Roman" w:hAnsi="VIC" w:cs="Times New Roman"/>
          <w:color w:val="011A3C"/>
          <w:sz w:val="24"/>
          <w:szCs w:val="24"/>
          <w:lang w:val="en" w:eastAsia="en-AU"/>
        </w:rPr>
        <w:t xml:space="preserve"> Major Cities of Australia, Inner Regional Australia, Outer Regional Australia, Remote Australia and Very Remote Australia. </w:t>
      </w:r>
      <w:r w:rsidRPr="004D307F">
        <w:rPr>
          <w:rFonts w:ascii="VIC" w:eastAsia="Times New Roman" w:hAnsi="VIC" w:cs="Times New Roman"/>
          <w:color w:val="011A3C"/>
          <w:sz w:val="24"/>
          <w:szCs w:val="24"/>
          <w:lang w:val="en" w:eastAsia="en-AU"/>
        </w:rPr>
        <w:lastRenderedPageBreak/>
        <w:t>These categories of remoteness are based on a measure of relative access to services. Further information can be found here.</w:t>
      </w:r>
    </w:p>
    <w:p w14:paraId="27E57010" w14:textId="3E095185" w:rsidR="006A37EC" w:rsidRPr="004D307F" w:rsidRDefault="006A37EC" w:rsidP="006A37EC">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 determine a campus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Remoteness Area category and UCL boundary, use the ABS map tool located </w:t>
      </w:r>
      <w:hyperlink r:id="rId116" w:history="1">
        <w:r w:rsidRPr="004D307F">
          <w:rPr>
            <w:rFonts w:ascii="VIC" w:eastAsia="Times New Roman" w:hAnsi="VIC" w:cs="Times New Roman"/>
            <w:color w:val="011A3C"/>
            <w:sz w:val="24"/>
            <w:szCs w:val="24"/>
            <w:lang w:val="en" w:eastAsia="en-AU"/>
          </w:rPr>
          <w:t>here</w:t>
        </w:r>
      </w:hyperlink>
      <w:r w:rsidRPr="004D307F">
        <w:rPr>
          <w:rFonts w:ascii="VIC" w:eastAsia="Times New Roman" w:hAnsi="VIC" w:cs="Times New Roman"/>
          <w:color w:val="011A3C"/>
          <w:sz w:val="24"/>
          <w:szCs w:val="24"/>
          <w:lang w:val="en" w:eastAsia="en-AU"/>
        </w:rPr>
        <w:t>.</w:t>
      </w:r>
    </w:p>
    <w:p w14:paraId="06893D1A" w14:textId="3922283E" w:rsidR="00BB1A60" w:rsidRPr="004D307F" w:rsidRDefault="00BB1A60" w:rsidP="006A37EC">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required steps to determine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geographic parameters are located </w:t>
      </w:r>
      <w:hyperlink r:id="rId117" w:history="1">
        <w:r w:rsidRPr="004D307F">
          <w:rPr>
            <w:rFonts w:ascii="VIC" w:hAnsi="VIC" w:cs="Times New Roman"/>
            <w:color w:val="011A3C"/>
            <w:lang w:val="en"/>
          </w:rPr>
          <w:t>here</w:t>
        </w:r>
      </w:hyperlink>
      <w:r w:rsidRPr="004D307F">
        <w:rPr>
          <w:rFonts w:ascii="VIC" w:eastAsia="Times New Roman" w:hAnsi="VIC" w:cs="Times New Roman"/>
          <w:color w:val="011A3C"/>
          <w:sz w:val="24"/>
          <w:szCs w:val="24"/>
          <w:lang w:val="en" w:eastAsia="en-AU"/>
        </w:rPr>
        <w:t>.</w:t>
      </w:r>
    </w:p>
    <w:p w14:paraId="287A0855" w14:textId="3DAD2BB8" w:rsidR="00B25992" w:rsidRPr="004D307F" w:rsidRDefault="00B25992" w:rsidP="00B25992">
      <w:pPr>
        <w:rPr>
          <w:rFonts w:ascii="VIC" w:eastAsia="Times New Roman" w:hAnsi="VIC" w:cs="Times New Roman"/>
          <w:color w:val="011A3C"/>
          <w:sz w:val="24"/>
          <w:szCs w:val="24"/>
          <w:lang w:val="en" w:eastAsia="en-AU"/>
        </w:rPr>
      </w:pPr>
      <w:bookmarkStart w:id="68" w:name="_Hlk50546739"/>
      <w:r w:rsidRPr="004D307F">
        <w:rPr>
          <w:rFonts w:ascii="VIC" w:eastAsia="Times New Roman" w:hAnsi="VIC" w:cs="Times New Roman"/>
          <w:color w:val="011A3C"/>
          <w:sz w:val="24"/>
          <w:szCs w:val="24"/>
          <w:lang w:val="en" w:eastAsia="en-AU"/>
        </w:rPr>
        <w:t>Additionally, schools that may be eligible for transition should refer to:</w:t>
      </w:r>
    </w:p>
    <w:p w14:paraId="1FEF0EA9" w14:textId="1D4B3E22" w:rsidR="009753DC" w:rsidRPr="004D307F" w:rsidRDefault="00B25992" w:rsidP="009753DC">
      <w:r w:rsidRPr="004D307F">
        <w:rPr>
          <w:rFonts w:ascii="VIC" w:eastAsia="Times New Roman" w:hAnsi="VIC" w:cs="Times New Roman"/>
          <w:color w:val="011A3C"/>
          <w:sz w:val="24"/>
          <w:szCs w:val="24"/>
          <w:lang w:val="en" w:eastAsia="en-AU"/>
        </w:rPr>
        <w:t>Transition Funding (Rural) (Ref 126)</w:t>
      </w:r>
      <w:bookmarkEnd w:id="68"/>
      <w:r w:rsidR="009753DC" w:rsidRPr="004D307F">
        <w:br w:type="page"/>
      </w:r>
    </w:p>
    <w:p w14:paraId="31121E98" w14:textId="0BBC9624" w:rsidR="009753DC" w:rsidRPr="004D307F" w:rsidRDefault="009753DC" w:rsidP="00B566E7">
      <w:pPr>
        <w:pStyle w:val="Heading2"/>
      </w:pPr>
      <w:bookmarkStart w:id="69" w:name="_Toc99882757"/>
      <w:r w:rsidRPr="004D307F">
        <w:lastRenderedPageBreak/>
        <w:t>MARC/MACC Teachers</w:t>
      </w:r>
      <w:r w:rsidR="006865F7" w:rsidRPr="004D307F">
        <w:t xml:space="preserve"> </w:t>
      </w:r>
      <w:r w:rsidRPr="004D307F">
        <w:t>(Reference 40)</w:t>
      </w:r>
      <w:bookmarkEnd w:id="69"/>
    </w:p>
    <w:p w14:paraId="1F2C85B6" w14:textId="0C110F0E" w:rsidR="009753DC" w:rsidRPr="004D307F" w:rsidRDefault="009753DC" w:rsidP="009753DC">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r w:rsidR="007A1176" w:rsidRPr="004D307F">
        <w:rPr>
          <w:rFonts w:ascii="VIC" w:eastAsia="Times New Roman" w:hAnsi="VIC" w:cs="Times New Roman"/>
          <w:color w:val="011A3C"/>
          <w:sz w:val="24"/>
          <w:szCs w:val="24"/>
          <w:lang w:val="en" w:eastAsia="en-AU"/>
        </w:rPr>
        <w:t xml:space="preserve">allocation </w:t>
      </w:r>
      <w:r w:rsidRPr="004D307F">
        <w:rPr>
          <w:rFonts w:ascii="VIC" w:eastAsia="Times New Roman" w:hAnsi="VIC" w:cs="Times New Roman"/>
          <w:color w:val="011A3C"/>
          <w:sz w:val="24"/>
          <w:szCs w:val="24"/>
          <w:lang w:val="en" w:eastAsia="en-AU"/>
        </w:rPr>
        <w:t xml:space="preserve">for </w:t>
      </w:r>
      <w:r w:rsidR="007A1176" w:rsidRPr="004D307F">
        <w:rPr>
          <w:rFonts w:ascii="VIC" w:eastAsia="Times New Roman" w:hAnsi="VIC" w:cs="Times New Roman"/>
          <w:color w:val="011A3C"/>
          <w:sz w:val="24"/>
          <w:szCs w:val="24"/>
          <w:lang w:val="en" w:eastAsia="en-AU"/>
        </w:rPr>
        <w:t xml:space="preserve">Mobile Area Resource Centre (MARC) and the Mobile Art Craft Centre (MACC) Program </w:t>
      </w:r>
      <w:r w:rsidRPr="004D307F">
        <w:rPr>
          <w:rFonts w:ascii="VIC" w:eastAsia="Times New Roman" w:hAnsi="VIC" w:cs="Times New Roman"/>
          <w:color w:val="011A3C"/>
          <w:sz w:val="24"/>
          <w:szCs w:val="24"/>
          <w:lang w:val="en" w:eastAsia="en-AU"/>
        </w:rPr>
        <w:t xml:space="preserve">is based on a teacher EFT and the funding rates are all-inclusive for salaries and related </w:t>
      </w:r>
      <w:r w:rsidR="007A1176" w:rsidRPr="004D307F">
        <w:rPr>
          <w:rFonts w:ascii="VIC" w:eastAsia="Times New Roman" w:hAnsi="VIC" w:cs="Times New Roman"/>
          <w:color w:val="011A3C"/>
          <w:sz w:val="24"/>
          <w:szCs w:val="24"/>
          <w:lang w:val="en" w:eastAsia="en-AU"/>
        </w:rPr>
        <w:t>on</w:t>
      </w:r>
      <w:r w:rsidRPr="004D307F">
        <w:rPr>
          <w:rFonts w:ascii="VIC" w:eastAsia="Times New Roman" w:hAnsi="VIC" w:cs="Times New Roman"/>
          <w:color w:val="011A3C"/>
          <w:sz w:val="24"/>
          <w:szCs w:val="24"/>
          <w:lang w:val="en" w:eastAsia="en-AU"/>
        </w:rPr>
        <w:t>costs.</w:t>
      </w:r>
    </w:p>
    <w:p w14:paraId="5EA3235B"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GB" w:eastAsia="en-AU"/>
        </w:rPr>
      </w:pPr>
      <w:r w:rsidRPr="004D307F">
        <w:rPr>
          <w:rFonts w:ascii="VIC" w:eastAsia="Times New Roman" w:hAnsi="VIC" w:cs="Times New Roman"/>
          <w:color w:val="011A3C"/>
          <w:sz w:val="24"/>
          <w:szCs w:val="24"/>
          <w:lang w:val="en-GB" w:eastAsia="en-AU"/>
        </w:rPr>
        <w:t>MARC/MACC services enable small rural and regional schools to provide students with access to a broader range of texts and educational resources. MARC services provide literacy-based programs while MACC services provide art-based programs.</w:t>
      </w:r>
    </w:p>
    <w:p w14:paraId="33904668"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GB" w:eastAsia="en-AU"/>
        </w:rPr>
      </w:pPr>
      <w:r w:rsidRPr="004D307F">
        <w:rPr>
          <w:rFonts w:ascii="VIC" w:eastAsia="Times New Roman" w:hAnsi="VIC" w:cs="Times New Roman"/>
          <w:color w:val="011A3C"/>
          <w:sz w:val="24"/>
          <w:szCs w:val="24"/>
          <w:lang w:val="en-GB" w:eastAsia="en-AU"/>
        </w:rPr>
        <w:t xml:space="preserve">MARC/MACC teachers work collaboratively with serviced schools to increase opportunities for students </w:t>
      </w:r>
      <w:proofErr w:type="gramStart"/>
      <w:r w:rsidRPr="004D307F">
        <w:rPr>
          <w:rFonts w:ascii="VIC" w:eastAsia="Times New Roman" w:hAnsi="VIC" w:cs="Times New Roman"/>
          <w:color w:val="011A3C"/>
          <w:sz w:val="24"/>
          <w:szCs w:val="24"/>
          <w:lang w:val="en-GB" w:eastAsia="en-AU"/>
        </w:rPr>
        <w:t>and,</w:t>
      </w:r>
      <w:proofErr w:type="gramEnd"/>
      <w:r w:rsidRPr="004D307F">
        <w:rPr>
          <w:rFonts w:ascii="VIC" w:eastAsia="Times New Roman" w:hAnsi="VIC" w:cs="Times New Roman"/>
          <w:color w:val="011A3C"/>
          <w:sz w:val="24"/>
          <w:szCs w:val="24"/>
          <w:lang w:val="en-GB" w:eastAsia="en-AU"/>
        </w:rPr>
        <w:t xml:space="preserve"> improve learning outcomes and engagement in relevant curriculum areas. </w:t>
      </w:r>
    </w:p>
    <w:p w14:paraId="40E9D049" w14:textId="77777777" w:rsidR="007A1176" w:rsidRPr="004D307F" w:rsidRDefault="007A1176" w:rsidP="007A1176">
      <w:pPr>
        <w:spacing w:before="100" w:beforeAutospacing="1" w:after="100" w:afterAutospacing="1" w:line="360" w:lineRule="atLeast"/>
        <w:rPr>
          <w:rFonts w:ascii="VIC" w:eastAsia="Times New Roman" w:hAnsi="VIC" w:cs="Times New Roman"/>
          <w:b/>
          <w:bCs/>
          <w:color w:val="011A3C"/>
          <w:sz w:val="24"/>
          <w:szCs w:val="24"/>
          <w:lang w:val="en-GB" w:eastAsia="en-AU"/>
        </w:rPr>
      </w:pPr>
      <w:r w:rsidRPr="004D307F">
        <w:rPr>
          <w:rFonts w:ascii="VIC" w:eastAsia="Times New Roman" w:hAnsi="VIC" w:cs="Times New Roman"/>
          <w:b/>
          <w:bCs/>
          <w:color w:val="011A3C"/>
          <w:sz w:val="24"/>
          <w:szCs w:val="24"/>
          <w:lang w:val="en-GB" w:eastAsia="en-AU"/>
        </w:rPr>
        <w:t>MARC/MACC:</w:t>
      </w:r>
    </w:p>
    <w:p w14:paraId="64E84574" w14:textId="77777777"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provide fair and equitable service coverage</w:t>
      </w:r>
      <w:r w:rsidRPr="004D307F" w:rsidDel="00F67D08">
        <w:rPr>
          <w:rFonts w:ascii="VIC" w:eastAsia="Times New Roman" w:hAnsi="VIC" w:cs="Times New Roman"/>
          <w:color w:val="011A3C"/>
          <w:sz w:val="24"/>
          <w:szCs w:val="24"/>
          <w:lang w:eastAsia="en-AU"/>
        </w:rPr>
        <w:t xml:space="preserve"> </w:t>
      </w:r>
      <w:r w:rsidRPr="004D307F">
        <w:rPr>
          <w:rFonts w:ascii="VIC" w:eastAsia="Times New Roman" w:hAnsi="VIC" w:cs="Times New Roman"/>
          <w:color w:val="011A3C"/>
          <w:sz w:val="24"/>
          <w:szCs w:val="24"/>
          <w:lang w:eastAsia="en-AU"/>
        </w:rPr>
        <w:t xml:space="preserve">to small rural and regional schools </w:t>
      </w:r>
    </w:p>
    <w:p w14:paraId="3DBD512D" w14:textId="77777777"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provide access to high quality resources to support student learning</w:t>
      </w:r>
    </w:p>
    <w:p w14:paraId="22E0039E" w14:textId="77777777"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support and enrich teaching programs aligned to the Victorian Curriculum </w:t>
      </w:r>
    </w:p>
    <w:p w14:paraId="06F776D4" w14:textId="374B3C1E"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deliver high quality programs aligned to the goals and priorities set by the </w:t>
      </w:r>
      <w:r w:rsidR="003F7AF6" w:rsidRPr="004D307F">
        <w:rPr>
          <w:rFonts w:ascii="VIC" w:eastAsia="Times New Roman" w:hAnsi="VIC" w:cs="Times New Roman"/>
          <w:color w:val="011A3C"/>
          <w:sz w:val="24"/>
          <w:szCs w:val="24"/>
          <w:lang w:eastAsia="en-AU"/>
        </w:rPr>
        <w:t xml:space="preserve">Committees of </w:t>
      </w:r>
      <w:r w:rsidRPr="004D307F">
        <w:rPr>
          <w:rFonts w:ascii="VIC" w:eastAsia="Times New Roman" w:hAnsi="VIC" w:cs="Times New Roman"/>
          <w:color w:val="011A3C"/>
          <w:sz w:val="24"/>
          <w:szCs w:val="24"/>
          <w:lang w:eastAsia="en-AU"/>
        </w:rPr>
        <w:t>M</w:t>
      </w:r>
      <w:r w:rsidR="003F7AF6" w:rsidRPr="004D307F">
        <w:rPr>
          <w:rFonts w:ascii="VIC" w:eastAsia="Times New Roman" w:hAnsi="VIC" w:cs="Times New Roman"/>
          <w:color w:val="011A3C"/>
          <w:sz w:val="24"/>
          <w:szCs w:val="24"/>
          <w:lang w:eastAsia="en-AU"/>
        </w:rPr>
        <w:t>anagement</w:t>
      </w:r>
      <w:r w:rsidRPr="004D307F">
        <w:rPr>
          <w:rFonts w:ascii="VIC" w:eastAsia="Times New Roman" w:hAnsi="VIC" w:cs="Times New Roman"/>
          <w:color w:val="011A3C"/>
          <w:sz w:val="24"/>
          <w:szCs w:val="24"/>
          <w:lang w:eastAsia="en-AU"/>
        </w:rPr>
        <w:t xml:space="preserve"> </w:t>
      </w:r>
      <w:r w:rsidR="003F7AF6" w:rsidRPr="004D307F">
        <w:rPr>
          <w:rFonts w:ascii="VIC" w:eastAsia="Times New Roman" w:hAnsi="VIC" w:cs="Times New Roman"/>
          <w:color w:val="011A3C"/>
          <w:sz w:val="24"/>
          <w:szCs w:val="24"/>
          <w:lang w:eastAsia="en-AU"/>
        </w:rPr>
        <w:t>(</w:t>
      </w:r>
      <w:proofErr w:type="spellStart"/>
      <w:r w:rsidR="003F7AF6" w:rsidRPr="004D307F">
        <w:rPr>
          <w:rFonts w:ascii="VIC" w:eastAsia="Times New Roman" w:hAnsi="VIC" w:cs="Times New Roman"/>
          <w:color w:val="011A3C"/>
          <w:sz w:val="24"/>
          <w:szCs w:val="24"/>
          <w:lang w:eastAsia="en-AU"/>
        </w:rPr>
        <w:t>CoM</w:t>
      </w:r>
      <w:proofErr w:type="spellEnd"/>
      <w:r w:rsidR="003F7AF6" w:rsidRPr="004D307F">
        <w:rPr>
          <w:rFonts w:ascii="VIC" w:eastAsia="Times New Roman" w:hAnsi="VIC" w:cs="Times New Roman"/>
          <w:color w:val="011A3C"/>
          <w:sz w:val="24"/>
          <w:szCs w:val="24"/>
          <w:lang w:eastAsia="en-AU"/>
        </w:rPr>
        <w:t>)</w:t>
      </w:r>
    </w:p>
    <w:p w14:paraId="49E84147" w14:textId="524F4BDF" w:rsidR="007A1176" w:rsidRPr="004D307F" w:rsidRDefault="007A1176" w:rsidP="00ED0863">
      <w:pPr>
        <w:numPr>
          <w:ilvl w:val="0"/>
          <w:numId w:val="141"/>
        </w:numPr>
        <w:spacing w:before="100" w:beforeAutospacing="1" w:after="100" w:afterAutospacing="1" w:line="360" w:lineRule="atLeast"/>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participate in collaborative learning communities within and across the MARC/MACC school clusters.</w:t>
      </w:r>
    </w:p>
    <w:p w14:paraId="122E5F58" w14:textId="77777777" w:rsidR="007A1176" w:rsidRPr="004D307F" w:rsidRDefault="007A1176" w:rsidP="007A1176">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Eligibility for MARC/MACC services</w:t>
      </w:r>
    </w:p>
    <w:p w14:paraId="180C5E5B"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MARC/MACC program focus is on small rural and regional schools. MARC/MACC eligibility is generally targeted at schools with fewer than 100 primary level (F-6 or equivalent) enrolments. </w:t>
      </w:r>
    </w:p>
    <w:p w14:paraId="2D8C830E"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It is recommended that serviced schools are within 100km of a base school to </w:t>
      </w:r>
      <w:proofErr w:type="spellStart"/>
      <w:r w:rsidRPr="004D307F">
        <w:rPr>
          <w:rFonts w:ascii="VIC" w:eastAsia="Times New Roman" w:hAnsi="VIC" w:cs="Times New Roman"/>
          <w:color w:val="011A3C"/>
          <w:sz w:val="24"/>
          <w:szCs w:val="24"/>
          <w:lang w:val="en" w:eastAsia="en-AU"/>
        </w:rPr>
        <w:t>maximise</w:t>
      </w:r>
      <w:proofErr w:type="spellEnd"/>
      <w:r w:rsidRPr="004D307F">
        <w:rPr>
          <w:rFonts w:ascii="VIC" w:eastAsia="Times New Roman" w:hAnsi="VIC" w:cs="Times New Roman"/>
          <w:color w:val="011A3C"/>
          <w:sz w:val="24"/>
          <w:szCs w:val="24"/>
          <w:lang w:val="en" w:eastAsia="en-AU"/>
        </w:rPr>
        <w:t xml:space="preserve"> the amount of time MARC/MACC teachers spend at schools and </w:t>
      </w:r>
      <w:proofErr w:type="spellStart"/>
      <w:r w:rsidRPr="004D307F">
        <w:rPr>
          <w:rFonts w:ascii="VIC" w:eastAsia="Times New Roman" w:hAnsi="VIC" w:cs="Times New Roman"/>
          <w:color w:val="011A3C"/>
          <w:sz w:val="24"/>
          <w:szCs w:val="24"/>
          <w:lang w:val="en" w:eastAsia="en-AU"/>
        </w:rPr>
        <w:t>minimise</w:t>
      </w:r>
      <w:proofErr w:type="spellEnd"/>
      <w:r w:rsidRPr="004D307F">
        <w:rPr>
          <w:rFonts w:ascii="VIC" w:eastAsia="Times New Roman" w:hAnsi="VIC" w:cs="Times New Roman"/>
          <w:color w:val="011A3C"/>
          <w:sz w:val="24"/>
          <w:szCs w:val="24"/>
          <w:lang w:val="en" w:eastAsia="en-AU"/>
        </w:rPr>
        <w:t xml:space="preserve"> the time spent travelling between schools.</w:t>
      </w:r>
    </w:p>
    <w:p w14:paraId="4212FE92" w14:textId="2E20A021"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Enquiries related to service eligibility, including the request to commence a new or terminate a MARC/MACC service and provision should be raised by the </w:t>
      </w:r>
      <w:proofErr w:type="spellStart"/>
      <w:r w:rsidRPr="004D307F">
        <w:rPr>
          <w:rFonts w:ascii="VIC" w:eastAsia="Times New Roman" w:hAnsi="VIC" w:cs="Times New Roman"/>
          <w:color w:val="011A3C"/>
          <w:sz w:val="24"/>
          <w:szCs w:val="24"/>
          <w:lang w:val="en" w:eastAsia="en-AU"/>
        </w:rPr>
        <w:t>CoM</w:t>
      </w:r>
      <w:proofErr w:type="spellEnd"/>
      <w:r w:rsidRPr="004D307F">
        <w:rPr>
          <w:rFonts w:ascii="VIC" w:eastAsia="Times New Roman" w:hAnsi="VIC" w:cs="Times New Roman"/>
          <w:color w:val="011A3C"/>
          <w:sz w:val="24"/>
          <w:szCs w:val="24"/>
          <w:lang w:val="en" w:eastAsia="en-AU"/>
        </w:rPr>
        <w:t xml:space="preserve"> with the regional Service Support Manager.</w:t>
      </w:r>
    </w:p>
    <w:p w14:paraId="3A7C7BAE" w14:textId="77777777" w:rsidR="007A1176" w:rsidRPr="004D307F" w:rsidRDefault="007A1176" w:rsidP="007A1176">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Central and Regional Offices</w:t>
      </w:r>
    </w:p>
    <w:p w14:paraId="54A18C77"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Targeted School Services Unit (TSSU) within the School Operations and Statewide Services Division provides oversight of the MARC/MACC program including an annual review of the Guidelines. </w:t>
      </w:r>
    </w:p>
    <w:p w14:paraId="54968B4B"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designated Service Support Manager </w:t>
      </w:r>
      <w:proofErr w:type="gramStart"/>
      <w:r w:rsidRPr="004D307F">
        <w:rPr>
          <w:rFonts w:ascii="VIC" w:eastAsia="Times New Roman" w:hAnsi="VIC" w:cs="Times New Roman"/>
          <w:color w:val="011A3C"/>
          <w:sz w:val="24"/>
          <w:szCs w:val="24"/>
          <w:lang w:val="en" w:eastAsia="en-AU"/>
        </w:rPr>
        <w:t>is located in</w:t>
      </w:r>
      <w:proofErr w:type="gramEnd"/>
      <w:r w:rsidRPr="004D307F">
        <w:rPr>
          <w:rFonts w:ascii="VIC" w:eastAsia="Times New Roman" w:hAnsi="VIC" w:cs="Times New Roman"/>
          <w:color w:val="011A3C"/>
          <w:sz w:val="24"/>
          <w:szCs w:val="24"/>
          <w:lang w:val="en" w:eastAsia="en-AU"/>
        </w:rPr>
        <w:t xml:space="preserve"> each of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four regions to provide operational oversight over the implementation of the Guidelines. </w:t>
      </w:r>
    </w:p>
    <w:p w14:paraId="2E6AA2D3"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key responsibilities of the Service Support Manager include:</w:t>
      </w:r>
    </w:p>
    <w:p w14:paraId="4BF545AE" w14:textId="2C7BD6A8"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being a contact point for </w:t>
      </w:r>
      <w:proofErr w:type="spellStart"/>
      <w:r w:rsidRPr="004D307F">
        <w:rPr>
          <w:rFonts w:ascii="VIC" w:eastAsia="Times New Roman" w:hAnsi="VIC" w:cs="Times New Roman"/>
          <w:color w:val="011A3C"/>
          <w:sz w:val="24"/>
          <w:szCs w:val="24"/>
          <w:lang w:val="en" w:eastAsia="en-AU"/>
        </w:rPr>
        <w:t>CoM</w:t>
      </w:r>
      <w:proofErr w:type="spellEnd"/>
    </w:p>
    <w:p w14:paraId="1B7EF390" w14:textId="08F199E9" w:rsidR="007A1176" w:rsidRPr="004D307F" w:rsidRDefault="007A1176" w:rsidP="00ED0863">
      <w:pPr>
        <w:pStyle w:val="ListParagraph"/>
        <w:numPr>
          <w:ilvl w:val="0"/>
          <w:numId w:val="160"/>
        </w:num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seeking approval for commencing and ceasing MARC/MACC services from the Area </w:t>
      </w:r>
      <w:r w:rsidR="008F4825" w:rsidRPr="004D307F">
        <w:rPr>
          <w:rFonts w:ascii="VIC" w:eastAsia="Times New Roman" w:hAnsi="VIC" w:cs="Times New Roman"/>
          <w:color w:val="011A3C"/>
          <w:sz w:val="24"/>
          <w:szCs w:val="24"/>
          <w:lang w:val="en" w:eastAsia="en-AU"/>
        </w:rPr>
        <w:t>E</w:t>
      </w:r>
      <w:r w:rsidRPr="004D307F">
        <w:rPr>
          <w:rFonts w:ascii="VIC" w:eastAsia="Times New Roman" w:hAnsi="VIC" w:cs="Times New Roman"/>
          <w:color w:val="011A3C"/>
          <w:sz w:val="24"/>
          <w:szCs w:val="24"/>
          <w:lang w:val="en" w:eastAsia="en-AU"/>
        </w:rPr>
        <w:t xml:space="preserve">xecutive Director (AED), at the request of the </w:t>
      </w:r>
      <w:proofErr w:type="spellStart"/>
      <w:r w:rsidRPr="004D307F">
        <w:rPr>
          <w:rFonts w:ascii="VIC" w:eastAsia="Times New Roman" w:hAnsi="VIC" w:cs="Times New Roman"/>
          <w:color w:val="011A3C"/>
          <w:sz w:val="24"/>
          <w:szCs w:val="24"/>
          <w:lang w:val="en" w:eastAsia="en-AU"/>
        </w:rPr>
        <w:t>CoM</w:t>
      </w:r>
      <w:proofErr w:type="spellEnd"/>
      <w:r w:rsidRPr="004D307F">
        <w:rPr>
          <w:rFonts w:ascii="VIC" w:eastAsia="Times New Roman" w:hAnsi="VIC" w:cs="Times New Roman"/>
          <w:color w:val="011A3C"/>
          <w:sz w:val="24"/>
          <w:szCs w:val="24"/>
          <w:lang w:val="en" w:eastAsia="en-AU"/>
        </w:rPr>
        <w:t xml:space="preserve"> </w:t>
      </w:r>
    </w:p>
    <w:p w14:paraId="70529C7F" w14:textId="007F6EC6"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receiving annual reports submitted by each </w:t>
      </w:r>
      <w:proofErr w:type="spellStart"/>
      <w:r w:rsidRPr="004D307F">
        <w:rPr>
          <w:rFonts w:ascii="VIC" w:eastAsia="Times New Roman" w:hAnsi="VIC" w:cs="Times New Roman"/>
          <w:color w:val="011A3C"/>
          <w:sz w:val="24"/>
          <w:szCs w:val="24"/>
          <w:lang w:val="en" w:eastAsia="en-AU"/>
        </w:rPr>
        <w:t>CoM</w:t>
      </w:r>
      <w:proofErr w:type="spellEnd"/>
    </w:p>
    <w:p w14:paraId="2C4AB564" w14:textId="19D42703"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maintaining databases of MARC/MACC base and serviced schools </w:t>
      </w:r>
    </w:p>
    <w:p w14:paraId="491D7D8B" w14:textId="6A9C874D"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obtaining requests for van replacements made by base school principals</w:t>
      </w:r>
    </w:p>
    <w:p w14:paraId="0B660A87" w14:textId="1A1CA79E" w:rsidR="007A1176" w:rsidRPr="004D307F" w:rsidRDefault="007A1176" w:rsidP="004326DE">
      <w:pPr>
        <w:spacing w:after="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hint="eastAsia"/>
          <w:color w:val="011A3C"/>
          <w:sz w:val="24"/>
          <w:szCs w:val="24"/>
          <w:lang w:val="en" w:eastAsia="en-AU"/>
        </w:rPr>
        <w:t>•</w:t>
      </w:r>
      <w:r w:rsidR="008F4825"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identifying networking opportunities for MARC/MACC teachers.</w:t>
      </w:r>
    </w:p>
    <w:p w14:paraId="64AE8607" w14:textId="77777777" w:rsidR="007A1176" w:rsidRPr="004D307F" w:rsidRDefault="007A1176" w:rsidP="007A1176">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Base schools</w:t>
      </w:r>
    </w:p>
    <w:p w14:paraId="1658A219" w14:textId="77777777"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Base schools are responsible for employing MARC/MACC teachers. Base school principals are responsible for MARC/MACC teachers in the same manner as other teachers employed at their school, including approving the MARC/MACC teachers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hours of duty in line with the Victorian Government Schools Agreement 2017 and the allocation of non-teaching/planning time for the year.</w:t>
      </w:r>
    </w:p>
    <w:p w14:paraId="08027BF7" w14:textId="614F4D9B" w:rsidR="007A1176" w:rsidRPr="004D307F" w:rsidRDefault="007A1176" w:rsidP="007A1176">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Base school principals are also responsible for overseeing the delivery of services and are accountable for the service budget.</w:t>
      </w:r>
    </w:p>
    <w:p w14:paraId="04720761" w14:textId="2A7A817F" w:rsidR="002104B8" w:rsidRPr="004D307F" w:rsidRDefault="002104B8" w:rsidP="002104B8">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calculated at the Indicative cycle and may be updated at the Confirmed cycle</w:t>
      </w:r>
      <w:r w:rsidR="006865F7" w:rsidRPr="004D307F">
        <w:rPr>
          <w:rFonts w:ascii="VIC" w:eastAsia="Times New Roman" w:hAnsi="VIC" w:cs="Times New Roman"/>
          <w:color w:val="011A3C"/>
          <w:sz w:val="24"/>
          <w:szCs w:val="24"/>
          <w:lang w:val="en" w:eastAsia="en-AU"/>
        </w:rPr>
        <w:t xml:space="preserve"> if advice is provided by the region</w:t>
      </w:r>
      <w:r w:rsidRPr="004D307F">
        <w:rPr>
          <w:rFonts w:ascii="VIC" w:eastAsia="Times New Roman" w:hAnsi="VIC" w:cs="Times New Roman"/>
          <w:color w:val="011A3C"/>
          <w:sz w:val="24"/>
          <w:szCs w:val="24"/>
          <w:lang w:val="en" w:eastAsia="en-AU"/>
        </w:rPr>
        <w:t>, funding is allocated through credit and cash funding.</w:t>
      </w:r>
    </w:p>
    <w:p w14:paraId="67DFB746" w14:textId="77777777" w:rsidR="00545553" w:rsidRDefault="00545553">
      <w:pPr>
        <w:rPr>
          <w:rFonts w:ascii="VIC" w:eastAsia="Times New Roman" w:hAnsi="VIC" w:cs="Times New Roman"/>
          <w:b/>
          <w:bCs/>
          <w:color w:val="011A3C"/>
          <w:sz w:val="27"/>
          <w:szCs w:val="27"/>
          <w:lang w:val="en" w:eastAsia="en-AU"/>
        </w:rPr>
      </w:pPr>
      <w:r>
        <w:rPr>
          <w:rFonts w:ascii="VIC" w:eastAsia="Times New Roman" w:hAnsi="VIC" w:cs="Times New Roman"/>
          <w:b/>
          <w:bCs/>
          <w:color w:val="011A3C"/>
          <w:sz w:val="27"/>
          <w:szCs w:val="27"/>
          <w:lang w:val="en" w:eastAsia="en-AU"/>
        </w:rPr>
        <w:br w:type="page"/>
      </w:r>
    </w:p>
    <w:p w14:paraId="058EF33F" w14:textId="21C04339" w:rsidR="009753DC" w:rsidRPr="004D307F" w:rsidRDefault="009753DC" w:rsidP="009753DC">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Rates 202</w:t>
      </w:r>
      <w:r w:rsidR="008D5FCB" w:rsidRPr="004D307F">
        <w:rPr>
          <w:rFonts w:ascii="VIC" w:eastAsia="Times New Roman" w:hAnsi="VIC" w:cs="Times New Roman"/>
          <w:b/>
          <w:bCs/>
          <w:color w:val="011A3C"/>
          <w:sz w:val="27"/>
          <w:szCs w:val="27"/>
          <w:lang w:val="en" w:eastAsia="en-AU"/>
        </w:rPr>
        <w:t>2</w:t>
      </w:r>
    </w:p>
    <w:p w14:paraId="58167673" w14:textId="77777777" w:rsidR="009753DC" w:rsidRPr="004D307F" w:rsidRDefault="009753DC" w:rsidP="009753DC">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Rate per EFT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9"/>
        <w:gridCol w:w="2301"/>
        <w:gridCol w:w="2041"/>
        <w:gridCol w:w="2045"/>
      </w:tblGrid>
      <w:tr w:rsidR="009753DC" w:rsidRPr="004D307F" w14:paraId="4090BE25" w14:textId="77777777" w:rsidTr="00D93949">
        <w:trPr>
          <w:tblHeader/>
        </w:trPr>
        <w:tc>
          <w:tcPr>
            <w:tcW w:w="0" w:type="auto"/>
            <w:hideMark/>
          </w:tcPr>
          <w:p w14:paraId="70CB0D50" w14:textId="77777777" w:rsidR="009753DC" w:rsidRPr="004D307F" w:rsidRDefault="009753DC" w:rsidP="009753DC">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Sector</w:t>
            </w:r>
          </w:p>
        </w:tc>
        <w:tc>
          <w:tcPr>
            <w:tcW w:w="0" w:type="auto"/>
            <w:hideMark/>
          </w:tcPr>
          <w:p w14:paraId="38CAB9B6" w14:textId="77777777" w:rsidR="009753DC" w:rsidRPr="004D307F" w:rsidRDefault="009753DC" w:rsidP="006865F7">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Credit ($)</w:t>
            </w:r>
          </w:p>
        </w:tc>
        <w:tc>
          <w:tcPr>
            <w:tcW w:w="0" w:type="auto"/>
            <w:hideMark/>
          </w:tcPr>
          <w:p w14:paraId="54435A80" w14:textId="77777777" w:rsidR="009753DC" w:rsidRPr="004D307F" w:rsidRDefault="009753DC" w:rsidP="006865F7">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Cash ($)</w:t>
            </w:r>
          </w:p>
        </w:tc>
        <w:tc>
          <w:tcPr>
            <w:tcW w:w="0" w:type="auto"/>
            <w:hideMark/>
          </w:tcPr>
          <w:p w14:paraId="36F3C31B" w14:textId="77777777" w:rsidR="009753DC" w:rsidRPr="004D307F" w:rsidRDefault="009753DC" w:rsidP="006865F7">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Total ($)</w:t>
            </w:r>
          </w:p>
        </w:tc>
      </w:tr>
      <w:tr w:rsidR="009753DC" w:rsidRPr="004D307F" w14:paraId="74B5BCCF" w14:textId="77777777" w:rsidTr="00D93949">
        <w:tc>
          <w:tcPr>
            <w:tcW w:w="0" w:type="auto"/>
            <w:hideMark/>
          </w:tcPr>
          <w:p w14:paraId="0BDB7B65" w14:textId="77777777"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Primary</w:t>
            </w:r>
          </w:p>
        </w:tc>
        <w:tc>
          <w:tcPr>
            <w:tcW w:w="0" w:type="auto"/>
            <w:hideMark/>
          </w:tcPr>
          <w:p w14:paraId="7E197F05" w14:textId="5855FE5A" w:rsidR="009753DC" w:rsidRPr="004D307F" w:rsidRDefault="006865F7"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118,496</w:t>
            </w:r>
          </w:p>
        </w:tc>
        <w:tc>
          <w:tcPr>
            <w:tcW w:w="0" w:type="auto"/>
            <w:hideMark/>
          </w:tcPr>
          <w:p w14:paraId="332ADEE6" w14:textId="5A142AF4" w:rsidR="009753DC" w:rsidRPr="004D307F" w:rsidRDefault="006865F7"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3,0</w:t>
            </w:r>
            <w:r w:rsidR="008D5FCB" w:rsidRPr="004D307F">
              <w:rPr>
                <w:rFonts w:ascii="VIC" w:eastAsia="Times New Roman" w:hAnsi="VIC" w:cs="Times New Roman"/>
                <w:color w:val="323E4F" w:themeColor="text2" w:themeShade="BF"/>
                <w:sz w:val="24"/>
                <w:szCs w:val="24"/>
                <w:lang w:eastAsia="en-AU"/>
              </w:rPr>
              <w:t>85</w:t>
            </w:r>
          </w:p>
        </w:tc>
        <w:tc>
          <w:tcPr>
            <w:tcW w:w="0" w:type="auto"/>
            <w:hideMark/>
          </w:tcPr>
          <w:p w14:paraId="0EB5EF9B" w14:textId="52C0B09A" w:rsidR="009753DC" w:rsidRPr="004D307F" w:rsidRDefault="006865F7"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121,5</w:t>
            </w:r>
            <w:r w:rsidR="008D5FCB" w:rsidRPr="004D307F">
              <w:rPr>
                <w:rFonts w:ascii="VIC" w:eastAsia="Times New Roman" w:hAnsi="VIC" w:cs="Times New Roman"/>
                <w:color w:val="323E4F" w:themeColor="text2" w:themeShade="BF"/>
                <w:sz w:val="24"/>
                <w:szCs w:val="24"/>
                <w:lang w:eastAsia="en-AU"/>
              </w:rPr>
              <w:t>81</w:t>
            </w:r>
          </w:p>
        </w:tc>
      </w:tr>
      <w:tr w:rsidR="009753DC" w:rsidRPr="004D307F" w14:paraId="6937EB23" w14:textId="77777777" w:rsidTr="00D93949">
        <w:tc>
          <w:tcPr>
            <w:tcW w:w="0" w:type="auto"/>
            <w:hideMark/>
          </w:tcPr>
          <w:p w14:paraId="7B19578B" w14:textId="77777777" w:rsidR="009753DC" w:rsidRPr="004D307F" w:rsidRDefault="009753DC" w:rsidP="009753DC">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Secondary</w:t>
            </w:r>
          </w:p>
        </w:tc>
        <w:tc>
          <w:tcPr>
            <w:tcW w:w="0" w:type="auto"/>
            <w:hideMark/>
          </w:tcPr>
          <w:p w14:paraId="16406390" w14:textId="673B6B07" w:rsidR="009753DC" w:rsidRPr="004D307F" w:rsidRDefault="00946FE5"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119,535</w:t>
            </w:r>
          </w:p>
        </w:tc>
        <w:tc>
          <w:tcPr>
            <w:tcW w:w="0" w:type="auto"/>
            <w:hideMark/>
          </w:tcPr>
          <w:p w14:paraId="3F384CBA" w14:textId="4543D53E" w:rsidR="009753DC" w:rsidRPr="004D307F" w:rsidRDefault="008D5FCB"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1,614</w:t>
            </w:r>
          </w:p>
        </w:tc>
        <w:tc>
          <w:tcPr>
            <w:tcW w:w="0" w:type="auto"/>
            <w:hideMark/>
          </w:tcPr>
          <w:p w14:paraId="6DE444FF" w14:textId="5658886F" w:rsidR="009753DC" w:rsidRPr="004D307F" w:rsidRDefault="00946FE5" w:rsidP="006865F7">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121,1</w:t>
            </w:r>
            <w:r w:rsidR="008D5FCB" w:rsidRPr="004D307F">
              <w:rPr>
                <w:rFonts w:ascii="VIC" w:eastAsia="Times New Roman" w:hAnsi="VIC" w:cs="Times New Roman"/>
                <w:color w:val="323E4F" w:themeColor="text2" w:themeShade="BF"/>
                <w:sz w:val="24"/>
                <w:szCs w:val="24"/>
                <w:lang w:eastAsia="en-AU"/>
              </w:rPr>
              <w:t>49</w:t>
            </w:r>
          </w:p>
        </w:tc>
      </w:tr>
    </w:tbl>
    <w:p w14:paraId="317342BE" w14:textId="77777777" w:rsidR="007B0EF6" w:rsidRPr="004D307F" w:rsidRDefault="007B0EF6" w:rsidP="00B566E7">
      <w:pPr>
        <w:pStyle w:val="Heading2"/>
      </w:pPr>
    </w:p>
    <w:p w14:paraId="423FA6DB" w14:textId="77777777" w:rsidR="007B0EF6" w:rsidRPr="004D307F" w:rsidRDefault="007B0EF6">
      <w:pPr>
        <w:rPr>
          <w:rFonts w:ascii="VIC" w:eastAsia="Calibri" w:hAnsi="VIC" w:cstheme="majorBidi"/>
          <w:b/>
          <w:color w:val="2F5496" w:themeColor="accent1" w:themeShade="BF"/>
          <w:sz w:val="36"/>
          <w:szCs w:val="26"/>
          <w:lang w:val="en" w:eastAsia="en-AU"/>
        </w:rPr>
      </w:pPr>
      <w:r w:rsidRPr="004D307F">
        <w:rPr>
          <w:rFonts w:ascii="VIC" w:hAnsi="VIC"/>
        </w:rPr>
        <w:br w:type="page"/>
      </w:r>
    </w:p>
    <w:p w14:paraId="6B83EAC3" w14:textId="2DD43D47" w:rsidR="009753DC" w:rsidRPr="004D307F" w:rsidRDefault="009753DC" w:rsidP="00B566E7">
      <w:pPr>
        <w:pStyle w:val="Heading2"/>
      </w:pPr>
      <w:bookmarkStart w:id="70" w:name="_Toc99882758"/>
      <w:r w:rsidRPr="004D307F">
        <w:lastRenderedPageBreak/>
        <w:t>Instrumental Music Programs (Reference 41)</w:t>
      </w:r>
      <w:bookmarkEnd w:id="70"/>
    </w:p>
    <w:p w14:paraId="3ED23DE4" w14:textId="796B3F0A"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Instrumental Music Program provides funding opportunities for new and/or developing secondary schools that were not available previously and regions will now have greater flexibility to target resources to highest priority programs. The level </w:t>
      </w:r>
      <w:r w:rsidR="00B24032" w:rsidRPr="004D307F">
        <w:rPr>
          <w:rFonts w:ascii="VIC-Regular" w:eastAsia="Times New Roman" w:hAnsi="VIC-Regular" w:cs="Times New Roman"/>
          <w:color w:val="011A3C"/>
          <w:sz w:val="24"/>
          <w:szCs w:val="24"/>
          <w:lang w:val="en" w:eastAsia="en-AU"/>
        </w:rPr>
        <w:t>of funding</w:t>
      </w:r>
      <w:r w:rsidR="008D0E24"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is determined by </w:t>
      </w:r>
      <w:r w:rsidR="008D0E24" w:rsidRPr="004D307F">
        <w:rPr>
          <w:rFonts w:ascii="VIC-Regular" w:eastAsia="Times New Roman" w:hAnsi="VIC-Regular" w:cs="Times New Roman"/>
          <w:color w:val="011A3C"/>
          <w:sz w:val="24"/>
          <w:szCs w:val="24"/>
          <w:lang w:val="en" w:eastAsia="en-AU"/>
        </w:rPr>
        <w:t xml:space="preserve">individual </w:t>
      </w:r>
      <w:r w:rsidR="00A97F91" w:rsidRPr="004D307F">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egions.</w:t>
      </w:r>
      <w:r w:rsidR="007A1176" w:rsidRPr="004D307F">
        <w:rPr>
          <w:rFonts w:ascii="VIC-Regular" w:eastAsia="Times New Roman" w:hAnsi="VIC-Regular" w:cs="Times New Roman"/>
          <w:color w:val="011A3C"/>
          <w:sz w:val="24"/>
          <w:szCs w:val="24"/>
          <w:lang w:val="en" w:eastAsia="en-AU"/>
        </w:rPr>
        <w:t xml:space="preserve"> </w:t>
      </w:r>
    </w:p>
    <w:p w14:paraId="68144C69" w14:textId="166AA6E0" w:rsidR="009753DC" w:rsidRPr="004D307F" w:rsidRDefault="002104B8" w:rsidP="00FF25C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cycle and may be updated at the Confirmed </w:t>
      </w:r>
      <w:r w:rsidR="00B24032"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funding is allocated through credit funding.</w:t>
      </w:r>
      <w:r w:rsidR="003F7AF6" w:rsidRPr="004D307F">
        <w:rPr>
          <w:rFonts w:ascii="VIC-Regular" w:eastAsia="Times New Roman" w:hAnsi="VIC-Regular" w:cs="Times New Roman"/>
          <w:color w:val="011A3C"/>
          <w:sz w:val="24"/>
          <w:szCs w:val="24"/>
          <w:lang w:val="en" w:eastAsia="en-AU"/>
        </w:rPr>
        <w:t xml:space="preserve"> Funding also includes oncosts, specifically payroll tax and superannuation.</w:t>
      </w:r>
    </w:p>
    <w:p w14:paraId="6DC437E7" w14:textId="77777777" w:rsidR="009753DC" w:rsidRPr="004D307F" w:rsidRDefault="009753DC" w:rsidP="009753DC">
      <w:r w:rsidRPr="004D307F">
        <w:br w:type="page"/>
      </w:r>
    </w:p>
    <w:p w14:paraId="2396D541" w14:textId="2B6BFF3C" w:rsidR="00642F26" w:rsidRPr="004D307F" w:rsidRDefault="00642F26" w:rsidP="00B566E7">
      <w:pPr>
        <w:pStyle w:val="Heading2"/>
      </w:pPr>
      <w:bookmarkStart w:id="71" w:name="_Toc70935621"/>
      <w:bookmarkStart w:id="72" w:name="_Toc99882759"/>
      <w:r w:rsidRPr="004D307F">
        <w:lastRenderedPageBreak/>
        <w:t xml:space="preserve">Local Native-speaker Language Assistants </w:t>
      </w:r>
      <w:proofErr w:type="gramStart"/>
      <w:r w:rsidRPr="004D307F">
        <w:t>Program</w:t>
      </w:r>
      <w:r w:rsidRPr="004D307F">
        <w:rPr>
          <w:color w:val="000000"/>
          <w:sz w:val="21"/>
          <w:szCs w:val="21"/>
        </w:rPr>
        <w:t xml:space="preserve"> </w:t>
      </w:r>
      <w:r w:rsidRPr="004D307F">
        <w:t> (</w:t>
      </w:r>
      <w:proofErr w:type="gramEnd"/>
      <w:r w:rsidRPr="004D307F">
        <w:t>Reference 42)</w:t>
      </w:r>
      <w:bookmarkEnd w:id="71"/>
      <w:bookmarkEnd w:id="72"/>
    </w:p>
    <w:p w14:paraId="6C7FD336"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Language assistants</w:t>
      </w:r>
      <w:r w:rsidRPr="004D307F">
        <w:rPr>
          <w:color w:val="011A3C"/>
          <w:sz w:val="24"/>
          <w:szCs w:val="24"/>
          <w:lang w:val="en" w:eastAsia="en-AU"/>
        </w:rPr>
        <w:t> </w:t>
      </w:r>
      <w:r w:rsidRPr="004D307F">
        <w:rPr>
          <w:rFonts w:ascii="VIC-Regular" w:hAnsi="VIC-Regular"/>
          <w:color w:val="011A3C"/>
          <w:sz w:val="24"/>
          <w:szCs w:val="24"/>
          <w:lang w:val="en" w:eastAsia="en-AU"/>
        </w:rPr>
        <w:t>are allocated to government schools on an annual basis through the Local Native-speaker Language Assistants Program (LNLAP</w:t>
      </w:r>
      <w:proofErr w:type="gramStart"/>
      <w:r w:rsidRPr="004D307F">
        <w:rPr>
          <w:rFonts w:ascii="VIC-Regular" w:hAnsi="VIC-Regular"/>
          <w:color w:val="011A3C"/>
          <w:sz w:val="24"/>
          <w:szCs w:val="24"/>
          <w:lang w:val="en" w:eastAsia="en-AU"/>
        </w:rPr>
        <w:t>) .</w:t>
      </w:r>
      <w:proofErr w:type="gramEnd"/>
      <w:r w:rsidRPr="004D307F">
        <w:rPr>
          <w:rFonts w:ascii="VIC-Regular" w:hAnsi="VIC-Regular"/>
          <w:color w:val="011A3C"/>
          <w:sz w:val="24"/>
          <w:szCs w:val="24"/>
          <w:lang w:val="en" w:eastAsia="en-AU"/>
        </w:rPr>
        <w:t xml:space="preserve"> The Program is managed by the Learning and Teaching Division.</w:t>
      </w:r>
    </w:p>
    <w:p w14:paraId="7ED6AC15" w14:textId="77777777" w:rsidR="00642F26" w:rsidRPr="004D307F" w:rsidRDefault="00642F26" w:rsidP="00642F26">
      <w:pPr>
        <w:spacing w:before="100" w:beforeAutospacing="1" w:after="100" w:afterAutospacing="1" w:line="288" w:lineRule="atLeast"/>
        <w:rPr>
          <w:rFonts w:ascii="VIC-Bold" w:hAnsi="VIC-Bold"/>
          <w:b/>
          <w:bCs/>
          <w:color w:val="011A3C"/>
          <w:sz w:val="27"/>
          <w:szCs w:val="27"/>
          <w:lang w:val="en" w:eastAsia="en-AU"/>
        </w:rPr>
      </w:pPr>
      <w:r w:rsidRPr="004D307F">
        <w:rPr>
          <w:rFonts w:ascii="VIC-Bold" w:hAnsi="VIC-Bold"/>
          <w:b/>
          <w:bCs/>
          <w:color w:val="011A3C"/>
          <w:sz w:val="27"/>
          <w:szCs w:val="27"/>
          <w:lang w:val="en" w:eastAsia="en-AU"/>
        </w:rPr>
        <w:t>Eligibility</w:t>
      </w:r>
    </w:p>
    <w:p w14:paraId="0C94B05F"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Schools with the following school types are eligible for Language Assistants funding which is allocated to the host school.</w:t>
      </w:r>
    </w:p>
    <w:p w14:paraId="3F3EE109" w14:textId="77777777" w:rsidR="00642F26" w:rsidRPr="004D307F" w:rsidRDefault="00642F26" w:rsidP="00ED0863">
      <w:pPr>
        <w:pStyle w:val="ListParagraph"/>
        <w:numPr>
          <w:ilvl w:val="0"/>
          <w:numId w:val="166"/>
        </w:numPr>
        <w:spacing w:line="252" w:lineRule="auto"/>
        <w:rPr>
          <w:rFonts w:ascii="Calibri" w:hAnsi="Calibri"/>
          <w:lang w:val="en-US"/>
        </w:rPr>
      </w:pPr>
      <w:r w:rsidRPr="004D307F">
        <w:rPr>
          <w:rFonts w:ascii="VIC-Regular" w:hAnsi="VIC-Regular"/>
          <w:color w:val="011A3C"/>
          <w:sz w:val="24"/>
          <w:szCs w:val="24"/>
          <w:lang w:val="en" w:eastAsia="en-AU"/>
        </w:rPr>
        <w:t>Primary</w:t>
      </w:r>
    </w:p>
    <w:p w14:paraId="6A4BFCC5" w14:textId="77777777" w:rsidR="00642F26" w:rsidRPr="004D307F" w:rsidRDefault="00642F26" w:rsidP="00ED0863">
      <w:pPr>
        <w:pStyle w:val="ListParagraph"/>
        <w:numPr>
          <w:ilvl w:val="0"/>
          <w:numId w:val="166"/>
        </w:numPr>
        <w:spacing w:line="252" w:lineRule="auto"/>
        <w:rPr>
          <w:rFonts w:ascii="VIC-Regular" w:hAnsi="VIC-Regular"/>
          <w:color w:val="011A3C"/>
          <w:sz w:val="24"/>
          <w:szCs w:val="24"/>
          <w:lang w:val="en" w:eastAsia="en-AU"/>
        </w:rPr>
      </w:pPr>
      <w:r w:rsidRPr="004D307F">
        <w:rPr>
          <w:rFonts w:ascii="VIC-Regular" w:hAnsi="VIC-Regular"/>
          <w:color w:val="011A3C"/>
          <w:sz w:val="24"/>
          <w:szCs w:val="24"/>
          <w:lang w:val="en" w:eastAsia="en-AU"/>
        </w:rPr>
        <w:t>Secondary</w:t>
      </w:r>
    </w:p>
    <w:p w14:paraId="002CFDFE" w14:textId="77777777" w:rsidR="00642F26" w:rsidRPr="004D307F" w:rsidRDefault="00642F26" w:rsidP="00ED0863">
      <w:pPr>
        <w:pStyle w:val="ListParagraph"/>
        <w:numPr>
          <w:ilvl w:val="0"/>
          <w:numId w:val="166"/>
        </w:numPr>
        <w:spacing w:line="252" w:lineRule="auto"/>
        <w:rPr>
          <w:rFonts w:ascii="VIC-Regular" w:hAnsi="VIC-Regular"/>
          <w:color w:val="011A3C"/>
          <w:sz w:val="24"/>
          <w:szCs w:val="24"/>
          <w:lang w:val="en" w:eastAsia="en-AU"/>
        </w:rPr>
      </w:pPr>
      <w:r w:rsidRPr="004D307F">
        <w:rPr>
          <w:rFonts w:ascii="VIC-Regular" w:hAnsi="VIC-Regular"/>
          <w:color w:val="011A3C"/>
          <w:sz w:val="24"/>
          <w:szCs w:val="24"/>
          <w:lang w:val="en" w:eastAsia="en-AU"/>
        </w:rPr>
        <w:t>Primary / Secondary Combined</w:t>
      </w:r>
    </w:p>
    <w:p w14:paraId="5918A661"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21B3BE6B" w14:textId="77777777" w:rsidR="00642F26" w:rsidRPr="004D307F" w:rsidRDefault="00642F26" w:rsidP="00642F26">
      <w:pPr>
        <w:spacing w:before="100" w:beforeAutospacing="1" w:after="100" w:afterAutospacing="1" w:line="288" w:lineRule="atLeast"/>
        <w:rPr>
          <w:rFonts w:ascii="VIC-Bold" w:hAnsi="VIC-Bold"/>
          <w:b/>
          <w:bCs/>
          <w:color w:val="011A3C"/>
          <w:sz w:val="27"/>
          <w:szCs w:val="27"/>
          <w:lang w:val="en" w:eastAsia="en-AU"/>
        </w:rPr>
      </w:pPr>
      <w:r w:rsidRPr="004D307F">
        <w:rPr>
          <w:rFonts w:ascii="VIC-Bold" w:hAnsi="VIC-Bold"/>
          <w:b/>
          <w:bCs/>
          <w:color w:val="011A3C"/>
          <w:sz w:val="27"/>
          <w:szCs w:val="27"/>
          <w:lang w:val="en" w:eastAsia="en-AU"/>
        </w:rPr>
        <w:t>Calculation</w:t>
      </w:r>
    </w:p>
    <w:p w14:paraId="079CD54F" w14:textId="77777777" w:rsidR="00642F26" w:rsidRPr="004D307F" w:rsidRDefault="00642F26" w:rsidP="00642F26">
      <w:pPr>
        <w:spacing w:before="100" w:beforeAutospacing="1" w:after="100" w:afterAutospacing="1" w:line="288"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Language assistant funding = FTE * ES Salary Rate (</w:t>
      </w:r>
      <w:r w:rsidRPr="004D307F">
        <w:rPr>
          <w:rFonts w:ascii="VIC-Regular" w:hAnsi="VIC-Regular"/>
          <w:color w:val="004EA8"/>
          <w:sz w:val="24"/>
          <w:szCs w:val="24"/>
          <w:lang w:val="en" w:eastAsia="en-AU"/>
        </w:rPr>
        <w:t>Range 1.1.3</w:t>
      </w:r>
      <w:r w:rsidRPr="004D307F">
        <w:rPr>
          <w:rFonts w:ascii="VIC-Regular" w:hAnsi="VIC-Regular"/>
          <w:color w:val="011A3C"/>
          <w:sz w:val="24"/>
          <w:szCs w:val="24"/>
          <w:lang w:val="en" w:eastAsia="en-AU"/>
        </w:rPr>
        <w:t>)</w:t>
      </w:r>
    </w:p>
    <w:p w14:paraId="26AFE149" w14:textId="77777777" w:rsidR="00642F26" w:rsidRPr="004D307F" w:rsidRDefault="00642F26" w:rsidP="00642F26">
      <w:pPr>
        <w:spacing w:before="100" w:beforeAutospacing="1" w:after="100" w:afterAutospacing="1" w:line="288" w:lineRule="atLeast"/>
        <w:rPr>
          <w:rFonts w:ascii="VIC-Bold" w:hAnsi="VIC-Bold"/>
          <w:b/>
          <w:bCs/>
          <w:color w:val="011A3C"/>
          <w:sz w:val="27"/>
          <w:szCs w:val="27"/>
          <w:lang w:val="en" w:eastAsia="en-AU"/>
        </w:rPr>
      </w:pPr>
      <w:r w:rsidRPr="004D307F">
        <w:rPr>
          <w:rFonts w:ascii="VIC-Bold" w:hAnsi="VIC-Bold"/>
          <w:b/>
          <w:bCs/>
          <w:color w:val="011A3C"/>
          <w:sz w:val="27"/>
          <w:szCs w:val="27"/>
          <w:lang w:val="en" w:eastAsia="en-AU"/>
        </w:rPr>
        <w:t>Notes</w:t>
      </w:r>
    </w:p>
    <w:p w14:paraId="44628017"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Language assistants are employed as Education Support Staff at 0.8 FTE.</w:t>
      </w:r>
      <w:r w:rsidRPr="004D307F">
        <w:rPr>
          <w:rFonts w:ascii="VIC-Regular" w:hAnsi="VIC-Regular"/>
          <w:color w:val="011A3C"/>
          <w:sz w:val="24"/>
          <w:szCs w:val="24"/>
          <w:lang w:val="en" w:eastAsia="en-AU"/>
        </w:rPr>
        <w:br/>
        <w:t>Allocations for Language Assistants</w:t>
      </w:r>
      <w:r w:rsidRPr="004D307F">
        <w:rPr>
          <w:color w:val="011A3C"/>
          <w:sz w:val="24"/>
          <w:szCs w:val="24"/>
          <w:lang w:val="en" w:eastAsia="en-AU"/>
        </w:rPr>
        <w:t> </w:t>
      </w:r>
      <w:r w:rsidRPr="004D307F">
        <w:rPr>
          <w:rFonts w:ascii="VIC-Regular" w:hAnsi="VIC-Regular"/>
          <w:color w:val="011A3C"/>
          <w:sz w:val="24"/>
          <w:szCs w:val="24"/>
          <w:lang w:val="en" w:eastAsia="en-AU"/>
        </w:rPr>
        <w:t>cannot be transferred to cash.</w:t>
      </w:r>
    </w:p>
    <w:p w14:paraId="11D8D2A4" w14:textId="77777777" w:rsidR="00642F26" w:rsidRPr="004D307F" w:rsidRDefault="00642F26" w:rsidP="00642F26">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Further Information</w:t>
      </w:r>
    </w:p>
    <w:p w14:paraId="4615A0B7" w14:textId="77777777" w:rsidR="00642F26" w:rsidRPr="004D307F" w:rsidRDefault="00A35420" w:rsidP="00642F26">
      <w:pPr>
        <w:spacing w:before="100" w:beforeAutospacing="1" w:after="100" w:afterAutospacing="1" w:line="360" w:lineRule="atLeast"/>
        <w:rPr>
          <w:rFonts w:ascii="VIC-Regular" w:hAnsi="VIC-Regular"/>
          <w:color w:val="011A3C"/>
          <w:sz w:val="24"/>
          <w:szCs w:val="24"/>
          <w:lang w:val="en" w:eastAsia="en-AU"/>
        </w:rPr>
      </w:pPr>
      <w:hyperlink r:id="rId118" w:history="1">
        <w:r w:rsidR="00642F26" w:rsidRPr="004D307F">
          <w:rPr>
            <w:rStyle w:val="Hyperlink"/>
            <w:rFonts w:ascii="VIC-Regular" w:hAnsi="VIC-Regular"/>
            <w:sz w:val="24"/>
            <w:szCs w:val="24"/>
            <w:lang w:val="en"/>
          </w:rPr>
          <w:t>Local Native-speaker Language Assistant Program</w:t>
        </w:r>
      </w:hyperlink>
    </w:p>
    <w:p w14:paraId="4BA727E6" w14:textId="69C0BB53" w:rsidR="009753DC" w:rsidRPr="004D307F" w:rsidRDefault="009753DC" w:rsidP="009753DC">
      <w:pPr>
        <w:rPr>
          <w:rFonts w:ascii="VIC-Bold" w:eastAsia="Times New Roman" w:hAnsi="VIC-Bold" w:cs="Times New Roman"/>
          <w:color w:val="011A3C"/>
          <w:sz w:val="36"/>
          <w:szCs w:val="36"/>
          <w:lang w:val="en" w:eastAsia="en-AU"/>
        </w:rPr>
      </w:pPr>
    </w:p>
    <w:p w14:paraId="1F8539BE" w14:textId="77777777" w:rsidR="007B0EF6" w:rsidRPr="004D307F" w:rsidRDefault="007B0EF6">
      <w:pPr>
        <w:rPr>
          <w:rFonts w:asciiTheme="majorHAnsi" w:eastAsia="Calibri" w:hAnsiTheme="majorHAnsi" w:cstheme="majorBidi"/>
          <w:b/>
          <w:color w:val="2F5496" w:themeColor="accent1" w:themeShade="BF"/>
          <w:sz w:val="36"/>
          <w:szCs w:val="26"/>
          <w:lang w:val="en" w:eastAsia="en-AU"/>
        </w:rPr>
      </w:pPr>
      <w:r w:rsidRPr="004D307F">
        <w:br w:type="page"/>
      </w:r>
    </w:p>
    <w:p w14:paraId="66B28AA1" w14:textId="1EF10623" w:rsidR="009753DC" w:rsidRPr="004D307F" w:rsidRDefault="009753DC" w:rsidP="00B566E7">
      <w:pPr>
        <w:pStyle w:val="Heading2"/>
      </w:pPr>
      <w:bookmarkStart w:id="73" w:name="_Toc99882760"/>
      <w:r w:rsidRPr="004D307F">
        <w:lastRenderedPageBreak/>
        <w:t>Bus coordination (Reference 43)</w:t>
      </w:r>
      <w:bookmarkEnd w:id="73"/>
    </w:p>
    <w:p w14:paraId="79CE13DC" w14:textId="3774CB43" w:rsidR="002104B8" w:rsidRPr="004D307F" w:rsidRDefault="00BD04CA"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allocations are determined by regional offices</w:t>
      </w:r>
      <w:r w:rsidR="008D0E24" w:rsidRPr="004D307F">
        <w:rPr>
          <w:rFonts w:ascii="VIC-Regular" w:eastAsia="Times New Roman" w:hAnsi="VIC-Regular" w:cs="Times New Roman"/>
          <w:color w:val="011A3C"/>
          <w:sz w:val="24"/>
          <w:szCs w:val="24"/>
          <w:lang w:val="en" w:eastAsia="en-AU"/>
        </w:rPr>
        <w:t>, the</w:t>
      </w:r>
      <w:r w:rsidRPr="004D307F" w:rsidDel="00BD04CA">
        <w:rPr>
          <w:rFonts w:ascii="VIC-Regular" w:eastAsia="Times New Roman" w:hAnsi="VIC-Regular" w:cs="Times New Roman"/>
          <w:color w:val="011A3C"/>
          <w:sz w:val="24"/>
          <w:szCs w:val="24"/>
          <w:lang w:val="en" w:eastAsia="en-AU"/>
        </w:rPr>
        <w:t xml:space="preserve"> </w:t>
      </w:r>
      <w:r w:rsidR="008D0E24" w:rsidRPr="004D307F">
        <w:rPr>
          <w:rFonts w:ascii="VIC-Regular" w:eastAsia="Times New Roman" w:hAnsi="VIC-Regular" w:cs="Times New Roman"/>
          <w:color w:val="011A3C"/>
          <w:sz w:val="24"/>
          <w:szCs w:val="24"/>
          <w:lang w:val="en" w:eastAsia="en-AU"/>
        </w:rPr>
        <w:t>f</w:t>
      </w:r>
      <w:r w:rsidR="002104B8" w:rsidRPr="004D307F">
        <w:rPr>
          <w:rFonts w:ascii="VIC-Regular" w:eastAsia="Times New Roman" w:hAnsi="VIC-Regular" w:cs="Times New Roman"/>
          <w:color w:val="011A3C"/>
          <w:sz w:val="24"/>
          <w:szCs w:val="24"/>
          <w:lang w:val="en" w:eastAsia="en-AU"/>
        </w:rPr>
        <w:t>unding is calculated at the Indicative cycle and may be updated at the Confirmed cycle, funding is allocated through credit funding.</w:t>
      </w:r>
    </w:p>
    <w:p w14:paraId="71DCCEB6" w14:textId="77777777" w:rsidR="002104B8" w:rsidRPr="004D307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3EF31C9F" w14:textId="5CA2394F" w:rsidR="002104B8" w:rsidRPr="004D307F"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Bus coordination funding = School EFT * </w:t>
      </w:r>
      <w:r w:rsidR="00BD04CA" w:rsidRPr="004D307F">
        <w:rPr>
          <w:rFonts w:ascii="VIC-Regular" w:eastAsia="Times New Roman" w:hAnsi="VIC-Regular" w:cs="Times New Roman"/>
          <w:color w:val="011A3C"/>
          <w:sz w:val="24"/>
          <w:szCs w:val="24"/>
          <w:lang w:val="en" w:eastAsia="en-AU"/>
        </w:rPr>
        <w:t xml:space="preserve">ES </w:t>
      </w:r>
      <w:r w:rsidRPr="004D307F">
        <w:rPr>
          <w:rFonts w:ascii="VIC-Regular" w:eastAsia="Times New Roman" w:hAnsi="VIC-Regular" w:cs="Times New Roman"/>
          <w:color w:val="011A3C"/>
          <w:sz w:val="24"/>
          <w:szCs w:val="24"/>
          <w:lang w:val="en" w:eastAsia="en-AU"/>
        </w:rPr>
        <w:t>Rate</w:t>
      </w:r>
    </w:p>
    <w:p w14:paraId="0F9DC706" w14:textId="3CD4338D" w:rsidR="002104B8" w:rsidRPr="004D307F" w:rsidRDefault="002104B8" w:rsidP="002104B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BA5750" w:rsidRPr="004D307F">
        <w:rPr>
          <w:rFonts w:ascii="VIC-Bold" w:eastAsia="Times New Roman" w:hAnsi="VIC-Bold" w:cs="Times New Roman"/>
          <w:b/>
          <w:bCs/>
          <w:color w:val="011A3C"/>
          <w:sz w:val="27"/>
          <w:szCs w:val="27"/>
          <w:lang w:val="en" w:eastAsia="en-AU"/>
        </w:rPr>
        <w:t>2</w:t>
      </w:r>
    </w:p>
    <w:p w14:paraId="5E604DF8" w14:textId="4F1FEE09" w:rsidR="009753DC" w:rsidRPr="004D307F" w:rsidRDefault="002104B8"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Annual Full Time </w:t>
      </w:r>
      <w:r w:rsidR="00BD04CA" w:rsidRPr="004D307F">
        <w:rPr>
          <w:rFonts w:ascii="VIC-Regular" w:eastAsia="Times New Roman" w:hAnsi="VIC-Regular" w:cs="Times New Roman"/>
          <w:color w:val="011A3C"/>
          <w:sz w:val="24"/>
          <w:szCs w:val="24"/>
          <w:lang w:val="en" w:eastAsia="en-AU"/>
        </w:rPr>
        <w:t xml:space="preserve">ES </w:t>
      </w:r>
      <w:r w:rsidRPr="004D307F">
        <w:rPr>
          <w:rFonts w:ascii="VIC-Regular" w:eastAsia="Times New Roman" w:hAnsi="VIC-Regular" w:cs="Times New Roman"/>
          <w:color w:val="011A3C"/>
          <w:sz w:val="24"/>
          <w:szCs w:val="24"/>
          <w:lang w:val="en" w:eastAsia="en-AU"/>
        </w:rPr>
        <w:t>Rate is </w:t>
      </w:r>
      <w:r w:rsidR="00BD04CA" w:rsidRPr="004D307F">
        <w:rPr>
          <w:rFonts w:ascii="VIC-Regular" w:eastAsia="Times New Roman" w:hAnsi="VIC-Regular" w:cs="Times New Roman"/>
          <w:color w:val="011A3C"/>
          <w:sz w:val="24"/>
          <w:szCs w:val="24"/>
          <w:lang w:val="en" w:eastAsia="en-AU"/>
        </w:rPr>
        <w:t>$84,051</w:t>
      </w:r>
      <w:r w:rsidR="00BD04CA" w:rsidRPr="004D307F" w:rsidDel="00BD04CA">
        <w:rPr>
          <w:rFonts w:ascii="VIC-Regular" w:eastAsia="Times New Roman" w:hAnsi="VIC-Regular" w:cs="Times New Roman"/>
          <w:color w:val="011A3C"/>
          <w:sz w:val="24"/>
          <w:szCs w:val="24"/>
          <w:lang w:val="en" w:eastAsia="en-AU"/>
        </w:rPr>
        <w:t xml:space="preserve"> </w:t>
      </w:r>
    </w:p>
    <w:p w14:paraId="2F9C15BC" w14:textId="77777777" w:rsidR="009753DC" w:rsidRPr="004D307F" w:rsidRDefault="009753DC" w:rsidP="009753DC">
      <w:r w:rsidRPr="004D307F">
        <w:br w:type="page"/>
      </w:r>
    </w:p>
    <w:p w14:paraId="11FAA3B1" w14:textId="14BC5EE2" w:rsidR="009753DC" w:rsidRPr="004D307F" w:rsidRDefault="009753DC" w:rsidP="00B566E7">
      <w:pPr>
        <w:pStyle w:val="Heading2"/>
      </w:pPr>
      <w:bookmarkStart w:id="74" w:name="_Toc99882761"/>
      <w:r w:rsidRPr="004D307F">
        <w:lastRenderedPageBreak/>
        <w:t>Country Area Program Grant (Reference 45)</w:t>
      </w:r>
      <w:bookmarkEnd w:id="74"/>
    </w:p>
    <w:p w14:paraId="6787D7F2" w14:textId="77777777" w:rsidR="00DA1745" w:rsidRPr="004D307F" w:rsidRDefault="00DA1745" w:rsidP="00C116FE">
      <w:pPr>
        <w:spacing w:before="100" w:beforeAutospacing="1" w:after="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purpose of this funding line is to improve the capacity of country schools to broaden</w:t>
      </w:r>
    </w:p>
    <w:p w14:paraId="61745AFE" w14:textId="77777777" w:rsidR="00DA1745" w:rsidRPr="004D307F" w:rsidRDefault="00DA1745" w:rsidP="00C116FE">
      <w:pPr>
        <w:spacing w:before="100" w:beforeAutospacing="1" w:after="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curriculum, improve ICT, professional development and promote networking.</w:t>
      </w:r>
    </w:p>
    <w:p w14:paraId="58CCC2E5" w14:textId="77777777" w:rsidR="00DA1745" w:rsidRPr="004D307F"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provided to schools with campuses meeting the eligibility criteria. Allocations comprise base and per student amounts, which increase with distance from Melbourne.</w:t>
      </w:r>
    </w:p>
    <w:p w14:paraId="127C9763" w14:textId="77777777"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 criteria</w:t>
      </w:r>
    </w:p>
    <w:p w14:paraId="20BBF5D4" w14:textId="77777777" w:rsidR="00DA1745" w:rsidRPr="004D307F"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Campuses of any type that meet </w:t>
      </w:r>
      <w:proofErr w:type="gramStart"/>
      <w:r w:rsidRPr="004D307F">
        <w:rPr>
          <w:rFonts w:ascii="VIC-Regular" w:eastAsia="Times New Roman" w:hAnsi="VIC-Regular" w:cs="Times New Roman"/>
          <w:color w:val="011A3C"/>
          <w:sz w:val="24"/>
          <w:szCs w:val="24"/>
          <w:lang w:val="en" w:eastAsia="en-AU"/>
        </w:rPr>
        <w:t>all of</w:t>
      </w:r>
      <w:proofErr w:type="gramEnd"/>
      <w:r w:rsidRPr="004D307F">
        <w:rPr>
          <w:rFonts w:ascii="VIC-Regular" w:eastAsia="Times New Roman" w:hAnsi="VIC-Regular" w:cs="Times New Roman"/>
          <w:color w:val="011A3C"/>
          <w:sz w:val="24"/>
          <w:szCs w:val="24"/>
          <w:lang w:val="en" w:eastAsia="en-AU"/>
        </w:rPr>
        <w:t xml:space="preserve"> the following location criteria are eligible: </w:t>
      </w:r>
    </w:p>
    <w:p w14:paraId="65D28DCC" w14:textId="77777777" w:rsidR="00DA1745" w:rsidRPr="004D307F" w:rsidRDefault="00DA1745"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more than 150km from Melbourne (as measured from GPO), and</w:t>
      </w:r>
    </w:p>
    <w:p w14:paraId="5996A566" w14:textId="77777777" w:rsidR="00DA1745" w:rsidRPr="004D307F" w:rsidRDefault="00DA1745"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more than 25km from the nearest provincial </w:t>
      </w:r>
      <w:proofErr w:type="spellStart"/>
      <w:r w:rsidRPr="004D307F">
        <w:rPr>
          <w:rFonts w:ascii="VIC-Regular" w:eastAsia="Times New Roman" w:hAnsi="VIC-Regular" w:cs="Times New Roman"/>
          <w:color w:val="011A3C"/>
          <w:sz w:val="24"/>
          <w:szCs w:val="24"/>
          <w:lang w:val="en" w:eastAsia="en-AU"/>
        </w:rPr>
        <w:t>centre</w:t>
      </w:r>
      <w:proofErr w:type="spellEnd"/>
      <w:r w:rsidRPr="004D307F">
        <w:rPr>
          <w:rFonts w:ascii="VIC-Regular" w:eastAsia="Times New Roman" w:hAnsi="VIC-Regular" w:cs="Times New Roman"/>
          <w:color w:val="011A3C"/>
          <w:sz w:val="24"/>
          <w:szCs w:val="24"/>
          <w:lang w:val="en" w:eastAsia="en-AU"/>
        </w:rPr>
        <w:t xml:space="preserve"> (town hall or similar used as point of measure, see below) with a population of more than 20,000 as measured according to Australian Bureau of Statistics (ABS) Urban </w:t>
      </w:r>
      <w:proofErr w:type="spellStart"/>
      <w:r w:rsidRPr="004D307F">
        <w:rPr>
          <w:rFonts w:ascii="VIC-Regular" w:eastAsia="Times New Roman" w:hAnsi="VIC-Regular" w:cs="Times New Roman"/>
          <w:color w:val="011A3C"/>
          <w:sz w:val="24"/>
          <w:szCs w:val="24"/>
          <w:lang w:val="en" w:eastAsia="en-AU"/>
        </w:rPr>
        <w:t>Centres</w:t>
      </w:r>
      <w:proofErr w:type="spellEnd"/>
      <w:r w:rsidRPr="004D307F">
        <w:rPr>
          <w:rFonts w:ascii="VIC-Regular" w:eastAsia="Times New Roman" w:hAnsi="VIC-Regular" w:cs="Times New Roman"/>
          <w:color w:val="011A3C"/>
          <w:sz w:val="24"/>
          <w:szCs w:val="24"/>
          <w:lang w:val="en" w:eastAsia="en-AU"/>
        </w:rPr>
        <w:t xml:space="preserve"> and Localities (UCL)2016)</w:t>
      </w:r>
    </w:p>
    <w:p w14:paraId="03540F2D" w14:textId="77777777" w:rsidR="00DA1745" w:rsidRPr="004D307F" w:rsidRDefault="00DA1745"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a community with a population of less than 5000 (as measured according to UCL 2016).</w:t>
      </w:r>
    </w:p>
    <w:p w14:paraId="437BB205" w14:textId="77777777" w:rsidR="00DA1745" w:rsidRPr="004D307F" w:rsidRDefault="00DA1745" w:rsidP="00DA1745">
      <w:pPr>
        <w:spacing w:after="0" w:line="240" w:lineRule="auto"/>
        <w:rPr>
          <w:rFonts w:ascii="VIC" w:hAnsi="VIC"/>
          <w:sz w:val="24"/>
          <w:szCs w:val="24"/>
        </w:rPr>
      </w:pPr>
      <w:r w:rsidRPr="004D307F">
        <w:rPr>
          <w:rFonts w:ascii="VIC" w:hAnsi="VIC"/>
          <w:sz w:val="24"/>
          <w:szCs w:val="24"/>
        </w:rPr>
        <w:t>Table of Provincial Centres with a population of more than 20,000 according to UCL 2016.</w:t>
      </w:r>
    </w:p>
    <w:tbl>
      <w:tblPr>
        <w:tblStyle w:val="TableGrid11"/>
        <w:tblW w:w="8222" w:type="dxa"/>
        <w:tblInd w:w="-5" w:type="dxa"/>
        <w:tblLook w:val="04A0" w:firstRow="1" w:lastRow="0" w:firstColumn="1" w:lastColumn="0" w:noHBand="0" w:noVBand="1"/>
      </w:tblPr>
      <w:tblGrid>
        <w:gridCol w:w="2694"/>
        <w:gridCol w:w="5528"/>
      </w:tblGrid>
      <w:tr w:rsidR="00DA1745" w:rsidRPr="004D307F" w14:paraId="7F9AF903" w14:textId="77777777" w:rsidTr="004D307F">
        <w:trPr>
          <w:trHeight w:val="300"/>
        </w:trPr>
        <w:tc>
          <w:tcPr>
            <w:tcW w:w="2694" w:type="dxa"/>
            <w:noWrap/>
            <w:hideMark/>
          </w:tcPr>
          <w:p w14:paraId="7B692FE0" w14:textId="77777777" w:rsidR="00DA1745" w:rsidRPr="004D307F" w:rsidRDefault="00DA1745" w:rsidP="001F2ECD">
            <w:pPr>
              <w:spacing w:after="0" w:line="240" w:lineRule="auto"/>
              <w:rPr>
                <w:rFonts w:ascii="VIC" w:hAnsi="VIC" w:cs="Calibri"/>
                <w:b/>
                <w:bCs/>
                <w:color w:val="323E4F" w:themeColor="text2" w:themeShade="BF"/>
                <w:sz w:val="24"/>
                <w:szCs w:val="24"/>
                <w:lang w:eastAsia="en-AU"/>
              </w:rPr>
            </w:pPr>
            <w:r w:rsidRPr="004D307F">
              <w:rPr>
                <w:rFonts w:ascii="VIC" w:hAnsi="VIC" w:cs="Calibri"/>
                <w:b/>
                <w:bCs/>
                <w:color w:val="323E4F" w:themeColor="text2" w:themeShade="BF"/>
                <w:sz w:val="24"/>
                <w:szCs w:val="24"/>
              </w:rPr>
              <w:t>Provincial Centre</w:t>
            </w:r>
          </w:p>
        </w:tc>
        <w:tc>
          <w:tcPr>
            <w:tcW w:w="5528" w:type="dxa"/>
            <w:noWrap/>
            <w:hideMark/>
          </w:tcPr>
          <w:p w14:paraId="0D5E8EDA" w14:textId="77777777" w:rsidR="00DA1745" w:rsidRPr="004D307F" w:rsidRDefault="00DA1745" w:rsidP="001F2ECD">
            <w:pPr>
              <w:spacing w:after="0" w:line="240" w:lineRule="auto"/>
              <w:rPr>
                <w:rFonts w:ascii="VIC" w:hAnsi="VIC" w:cs="Calibri"/>
                <w:b/>
                <w:bCs/>
                <w:color w:val="323E4F" w:themeColor="text2" w:themeShade="BF"/>
                <w:sz w:val="24"/>
                <w:szCs w:val="24"/>
                <w:lang w:eastAsia="en-AU"/>
              </w:rPr>
            </w:pPr>
            <w:r w:rsidRPr="004D307F">
              <w:rPr>
                <w:rFonts w:ascii="VIC" w:hAnsi="VIC" w:cs="Calibri"/>
                <w:b/>
                <w:bCs/>
                <w:color w:val="323E4F" w:themeColor="text2" w:themeShade="BF"/>
                <w:sz w:val="24"/>
                <w:szCs w:val="24"/>
              </w:rPr>
              <w:t>Point of measurement</w:t>
            </w:r>
          </w:p>
        </w:tc>
      </w:tr>
      <w:tr w:rsidR="00DA1745" w:rsidRPr="004D307F" w14:paraId="5C688ECB" w14:textId="77777777" w:rsidTr="004D307F">
        <w:trPr>
          <w:trHeight w:val="300"/>
        </w:trPr>
        <w:tc>
          <w:tcPr>
            <w:tcW w:w="2694" w:type="dxa"/>
            <w:noWrap/>
            <w:hideMark/>
          </w:tcPr>
          <w:p w14:paraId="774FF4A7"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Geelong</w:t>
            </w:r>
          </w:p>
        </w:tc>
        <w:tc>
          <w:tcPr>
            <w:tcW w:w="5528" w:type="dxa"/>
            <w:noWrap/>
            <w:hideMark/>
          </w:tcPr>
          <w:p w14:paraId="5169A194"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Geelong City Hall</w:t>
            </w:r>
          </w:p>
        </w:tc>
      </w:tr>
      <w:tr w:rsidR="00DA1745" w:rsidRPr="004D307F" w14:paraId="1C1C8635" w14:textId="77777777" w:rsidTr="004D307F">
        <w:trPr>
          <w:trHeight w:val="300"/>
        </w:trPr>
        <w:tc>
          <w:tcPr>
            <w:tcW w:w="2694" w:type="dxa"/>
            <w:noWrap/>
            <w:hideMark/>
          </w:tcPr>
          <w:p w14:paraId="323AEE65"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Ballarat</w:t>
            </w:r>
          </w:p>
        </w:tc>
        <w:tc>
          <w:tcPr>
            <w:tcW w:w="5528" w:type="dxa"/>
            <w:noWrap/>
            <w:hideMark/>
          </w:tcPr>
          <w:p w14:paraId="19D85AB5"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Ballarat Town Hall</w:t>
            </w:r>
          </w:p>
        </w:tc>
      </w:tr>
      <w:tr w:rsidR="00DA1745" w:rsidRPr="004D307F" w14:paraId="69530063" w14:textId="77777777" w:rsidTr="004D307F">
        <w:trPr>
          <w:trHeight w:val="300"/>
        </w:trPr>
        <w:tc>
          <w:tcPr>
            <w:tcW w:w="2694" w:type="dxa"/>
            <w:noWrap/>
            <w:hideMark/>
          </w:tcPr>
          <w:p w14:paraId="0D55586D"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Bendigo</w:t>
            </w:r>
          </w:p>
        </w:tc>
        <w:tc>
          <w:tcPr>
            <w:tcW w:w="5528" w:type="dxa"/>
            <w:noWrap/>
            <w:hideMark/>
          </w:tcPr>
          <w:p w14:paraId="1E2E17C7"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Bendigo Town Hall</w:t>
            </w:r>
          </w:p>
        </w:tc>
      </w:tr>
      <w:tr w:rsidR="00DA1745" w:rsidRPr="004D307F" w14:paraId="1290BD05" w14:textId="77777777" w:rsidTr="004D307F">
        <w:trPr>
          <w:trHeight w:val="300"/>
        </w:trPr>
        <w:tc>
          <w:tcPr>
            <w:tcW w:w="2694" w:type="dxa"/>
            <w:noWrap/>
            <w:hideMark/>
          </w:tcPr>
          <w:p w14:paraId="3042C0AA"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Shepparton-Mooroopna</w:t>
            </w:r>
          </w:p>
        </w:tc>
        <w:tc>
          <w:tcPr>
            <w:tcW w:w="5528" w:type="dxa"/>
            <w:noWrap/>
            <w:hideMark/>
          </w:tcPr>
          <w:p w14:paraId="0BE6066A"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Greater Shepparton City Council</w:t>
            </w:r>
          </w:p>
        </w:tc>
      </w:tr>
      <w:tr w:rsidR="00DA1745" w:rsidRPr="004D307F" w14:paraId="7218CCA9" w14:textId="77777777" w:rsidTr="004D307F">
        <w:trPr>
          <w:trHeight w:val="300"/>
        </w:trPr>
        <w:tc>
          <w:tcPr>
            <w:tcW w:w="2694" w:type="dxa"/>
            <w:noWrap/>
            <w:hideMark/>
          </w:tcPr>
          <w:p w14:paraId="55B0183F"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Warrnambool</w:t>
            </w:r>
          </w:p>
        </w:tc>
        <w:tc>
          <w:tcPr>
            <w:tcW w:w="5528" w:type="dxa"/>
            <w:noWrap/>
            <w:hideMark/>
          </w:tcPr>
          <w:p w14:paraId="5F9F01E6"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Warrnambool City Council</w:t>
            </w:r>
          </w:p>
        </w:tc>
      </w:tr>
      <w:tr w:rsidR="00DA1745" w:rsidRPr="004D307F" w14:paraId="069ADD3C" w14:textId="77777777" w:rsidTr="004D307F">
        <w:trPr>
          <w:trHeight w:val="300"/>
        </w:trPr>
        <w:tc>
          <w:tcPr>
            <w:tcW w:w="2694" w:type="dxa"/>
            <w:noWrap/>
            <w:hideMark/>
          </w:tcPr>
          <w:p w14:paraId="3C70761E"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Albury-Wodonga</w:t>
            </w:r>
          </w:p>
        </w:tc>
        <w:tc>
          <w:tcPr>
            <w:tcW w:w="5528" w:type="dxa"/>
            <w:noWrap/>
            <w:hideMark/>
          </w:tcPr>
          <w:p w14:paraId="41702727"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Wodonga Council</w:t>
            </w:r>
          </w:p>
        </w:tc>
      </w:tr>
      <w:tr w:rsidR="00DA1745" w:rsidRPr="004D307F" w14:paraId="3E680D3F" w14:textId="77777777" w:rsidTr="004D307F">
        <w:trPr>
          <w:trHeight w:val="300"/>
        </w:trPr>
        <w:tc>
          <w:tcPr>
            <w:tcW w:w="2694" w:type="dxa"/>
            <w:noWrap/>
            <w:hideMark/>
          </w:tcPr>
          <w:p w14:paraId="7E260702"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Mildura</w:t>
            </w:r>
          </w:p>
        </w:tc>
        <w:tc>
          <w:tcPr>
            <w:tcW w:w="5528" w:type="dxa"/>
            <w:noWrap/>
            <w:hideMark/>
          </w:tcPr>
          <w:p w14:paraId="13E7CB1F"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Mildura Rural City Council</w:t>
            </w:r>
          </w:p>
        </w:tc>
      </w:tr>
      <w:tr w:rsidR="00DA1745" w:rsidRPr="004D307F" w14:paraId="7FCC7DE7" w14:textId="77777777" w:rsidTr="004D307F">
        <w:trPr>
          <w:trHeight w:val="300"/>
        </w:trPr>
        <w:tc>
          <w:tcPr>
            <w:tcW w:w="2694" w:type="dxa"/>
            <w:noWrap/>
            <w:hideMark/>
          </w:tcPr>
          <w:p w14:paraId="38D11170"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Traralgon</w:t>
            </w:r>
          </w:p>
        </w:tc>
        <w:tc>
          <w:tcPr>
            <w:tcW w:w="5528" w:type="dxa"/>
            <w:noWrap/>
            <w:hideMark/>
          </w:tcPr>
          <w:p w14:paraId="4796D093"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 xml:space="preserve">Traralgon </w:t>
            </w:r>
            <w:proofErr w:type="spellStart"/>
            <w:r w:rsidRPr="004D307F">
              <w:rPr>
                <w:rFonts w:ascii="VIC" w:hAnsi="VIC" w:cs="Calibri"/>
                <w:color w:val="323E4F" w:themeColor="text2" w:themeShade="BF"/>
                <w:sz w:val="24"/>
                <w:szCs w:val="24"/>
                <w:lang w:eastAsia="en-AU"/>
              </w:rPr>
              <w:t>LaTrobe</w:t>
            </w:r>
            <w:proofErr w:type="spellEnd"/>
            <w:r w:rsidRPr="004D307F">
              <w:rPr>
                <w:rFonts w:ascii="VIC" w:hAnsi="VIC" w:cs="Calibri"/>
                <w:color w:val="323E4F" w:themeColor="text2" w:themeShade="BF"/>
                <w:sz w:val="24"/>
                <w:szCs w:val="24"/>
                <w:lang w:eastAsia="en-AU"/>
              </w:rPr>
              <w:t xml:space="preserve"> City Council Service Centre and Library</w:t>
            </w:r>
          </w:p>
        </w:tc>
      </w:tr>
      <w:tr w:rsidR="00DA1745" w:rsidRPr="004D307F" w14:paraId="7921B3F2" w14:textId="77777777" w:rsidTr="004D307F">
        <w:trPr>
          <w:trHeight w:val="300"/>
        </w:trPr>
        <w:tc>
          <w:tcPr>
            <w:tcW w:w="2694" w:type="dxa"/>
            <w:noWrap/>
            <w:hideMark/>
          </w:tcPr>
          <w:p w14:paraId="6306F356"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Melton</w:t>
            </w:r>
          </w:p>
        </w:tc>
        <w:tc>
          <w:tcPr>
            <w:tcW w:w="5528" w:type="dxa"/>
            <w:noWrap/>
            <w:hideMark/>
          </w:tcPr>
          <w:p w14:paraId="1CB22427"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Melton Community Hall</w:t>
            </w:r>
          </w:p>
        </w:tc>
      </w:tr>
      <w:tr w:rsidR="00DA1745" w:rsidRPr="004D307F" w14:paraId="475908A5" w14:textId="77777777" w:rsidTr="004D307F">
        <w:trPr>
          <w:trHeight w:val="300"/>
        </w:trPr>
        <w:tc>
          <w:tcPr>
            <w:tcW w:w="2694" w:type="dxa"/>
            <w:noWrap/>
            <w:hideMark/>
          </w:tcPr>
          <w:p w14:paraId="1D014B92"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Sunbury</w:t>
            </w:r>
          </w:p>
        </w:tc>
        <w:tc>
          <w:tcPr>
            <w:tcW w:w="5528" w:type="dxa"/>
            <w:noWrap/>
            <w:hideMark/>
          </w:tcPr>
          <w:p w14:paraId="55BCCEDE" w14:textId="77777777" w:rsidR="00DA1745" w:rsidRPr="004D307F" w:rsidRDefault="00DA1745" w:rsidP="001F2ECD">
            <w:pPr>
              <w:spacing w:after="0" w:line="240" w:lineRule="auto"/>
              <w:rPr>
                <w:rFonts w:ascii="VIC" w:hAnsi="VIC" w:cs="Calibri"/>
                <w:color w:val="323E4F" w:themeColor="text2" w:themeShade="BF"/>
                <w:sz w:val="24"/>
                <w:szCs w:val="24"/>
                <w:lang w:eastAsia="en-AU"/>
              </w:rPr>
            </w:pPr>
            <w:r w:rsidRPr="004D307F">
              <w:rPr>
                <w:rFonts w:ascii="VIC" w:hAnsi="VIC" w:cs="Calibri"/>
                <w:color w:val="323E4F" w:themeColor="text2" w:themeShade="BF"/>
                <w:sz w:val="24"/>
                <w:szCs w:val="24"/>
                <w:lang w:eastAsia="en-AU"/>
              </w:rPr>
              <w:t>Sunbury Memorial Hall</w:t>
            </w:r>
          </w:p>
        </w:tc>
      </w:tr>
    </w:tbl>
    <w:p w14:paraId="0CE6C9AC" w14:textId="3962ABF6" w:rsidR="002104B8" w:rsidRPr="004D307F"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Funding is calculated at the Indicative, Confirmed and Revised </w:t>
      </w:r>
      <w:proofErr w:type="gramStart"/>
      <w:r w:rsidRPr="004D307F">
        <w:rPr>
          <w:rFonts w:ascii="VIC-Regular" w:eastAsia="Times New Roman" w:hAnsi="VIC-Regular" w:cs="Times New Roman"/>
          <w:color w:val="011A3C"/>
          <w:sz w:val="24"/>
          <w:szCs w:val="24"/>
          <w:lang w:val="en" w:eastAsia="en-AU"/>
        </w:rPr>
        <w:t>cycles,</w:t>
      </w:r>
      <w:proofErr w:type="gramEnd"/>
      <w:r w:rsidRPr="004D307F">
        <w:rPr>
          <w:rFonts w:ascii="VIC-Regular" w:eastAsia="Times New Roman" w:hAnsi="VIC-Regular" w:cs="Times New Roman"/>
          <w:color w:val="011A3C"/>
          <w:sz w:val="24"/>
          <w:szCs w:val="24"/>
          <w:lang w:val="en" w:eastAsia="en-AU"/>
        </w:rPr>
        <w:t xml:space="preserve"> funding is allocated through cash funding.</w:t>
      </w:r>
    </w:p>
    <w:p w14:paraId="2B00FAE6" w14:textId="5AF6CD62" w:rsidR="009753DC" w:rsidRPr="004D307F" w:rsidRDefault="009753DC" w:rsidP="004D1CF3">
      <w:pPr>
        <w:keepNext/>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4D307F">
        <w:rPr>
          <w:rFonts w:ascii="VIC-Bold" w:eastAsia="Times New Roman" w:hAnsi="VIC-Bold" w:cs="Times New Roman"/>
          <w:b/>
          <w:bCs/>
          <w:color w:val="011A3C"/>
          <w:sz w:val="26"/>
          <w:szCs w:val="28"/>
          <w:lang w:val="en" w:eastAsia="en-AU"/>
        </w:rPr>
        <w:t>Calculation</w:t>
      </w:r>
    </w:p>
    <w:p w14:paraId="3D8AD9A6" w14:textId="77777777" w:rsidR="00DA1745" w:rsidRPr="004D307F"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Allocation = [(Base + Primary Enrolment * Per Primary Student </w:t>
      </w:r>
      <w:proofErr w:type="gramStart"/>
      <w:r w:rsidRPr="004D307F">
        <w:rPr>
          <w:rFonts w:ascii="VIC-Regular" w:eastAsia="Times New Roman" w:hAnsi="VIC-Regular" w:cs="Times New Roman"/>
          <w:color w:val="011A3C"/>
          <w:sz w:val="24"/>
          <w:szCs w:val="24"/>
          <w:lang w:val="en" w:eastAsia="en-AU"/>
        </w:rPr>
        <w:t>Rate)+(</w:t>
      </w:r>
      <w:proofErr w:type="gramEnd"/>
      <w:r w:rsidRPr="004D307F">
        <w:rPr>
          <w:rFonts w:ascii="VIC-Regular" w:eastAsia="Times New Roman" w:hAnsi="VIC-Regular" w:cs="Times New Roman"/>
          <w:color w:val="011A3C"/>
          <w:sz w:val="24"/>
          <w:szCs w:val="24"/>
          <w:lang w:val="en" w:eastAsia="en-AU"/>
        </w:rPr>
        <w:t>Base + Secondary Enrolment * Per Secondary Student Rate)] * [1 + (Distance from Melbourne / 150km)]</w:t>
      </w:r>
    </w:p>
    <w:p w14:paraId="37B8136B" w14:textId="77777777" w:rsidR="00DA1745" w:rsidRPr="004D307F" w:rsidRDefault="00DA1745" w:rsidP="00DA174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The campus receives each Base only when the relevant enrolment is more than zero. Primary enrolments included in calculation are limited to a maximum of 300 students. Secondary enrolments included in calculation are limited to a maximum of 500 students</w:t>
      </w:r>
    </w:p>
    <w:p w14:paraId="343FE83B" w14:textId="4801E39B"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202</w:t>
      </w:r>
      <w:r w:rsidR="00DA1745" w:rsidRPr="004D307F">
        <w:rPr>
          <w:rFonts w:ascii="VIC-Bold" w:eastAsia="Times New Roman" w:hAnsi="VIC-Bold" w:cs="Times New Roman"/>
          <w:b/>
          <w:bCs/>
          <w:color w:val="011A3C"/>
          <w:sz w:val="27"/>
          <w:szCs w:val="27"/>
          <w:lang w:val="en" w:eastAsia="en-AU"/>
        </w:rPr>
        <w:t>1</w:t>
      </w:r>
    </w:p>
    <w:p w14:paraId="149C6B09" w14:textId="57FCB34F" w:rsidR="00A12061" w:rsidRPr="004D307F" w:rsidRDefault="009753DC" w:rsidP="00F74042">
      <w:pPr>
        <w:spacing w:before="100" w:beforeAutospacing="1" w:after="100" w:afterAutospacing="1" w:line="288" w:lineRule="atLeast"/>
        <w:outlineLvl w:val="3"/>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Base amount — </w:t>
      </w:r>
      <w:r w:rsidR="00DA1745" w:rsidRPr="004D307F">
        <w:rPr>
          <w:rFonts w:ascii="VIC-Regular" w:eastAsia="Times New Roman" w:hAnsi="VIC-Regular" w:cs="Times New Roman"/>
          <w:color w:val="011A3C"/>
          <w:sz w:val="24"/>
          <w:szCs w:val="24"/>
          <w:lang w:val="en" w:eastAsia="en-AU"/>
        </w:rPr>
        <w:t>$2,1</w:t>
      </w:r>
      <w:r w:rsidR="009F6D1E" w:rsidRPr="004D307F">
        <w:rPr>
          <w:rFonts w:ascii="VIC-Regular" w:eastAsia="Times New Roman" w:hAnsi="VIC-Regular" w:cs="Times New Roman"/>
          <w:color w:val="011A3C"/>
          <w:sz w:val="24"/>
          <w:szCs w:val="24"/>
          <w:lang w:val="en" w:eastAsia="en-AU"/>
        </w:rPr>
        <w:t>45.89</w:t>
      </w:r>
      <w:r w:rsidR="00F1742D"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Primary — </w:t>
      </w:r>
      <w:r w:rsidR="00CE1887" w:rsidRPr="004D307F">
        <w:rPr>
          <w:rFonts w:ascii="VIC-Regular" w:eastAsia="Times New Roman" w:hAnsi="VIC-Regular" w:cs="Times New Roman"/>
          <w:color w:val="011A3C"/>
          <w:sz w:val="24"/>
          <w:szCs w:val="24"/>
          <w:lang w:val="en" w:eastAsia="en-AU"/>
        </w:rPr>
        <w:t>$1.3</w:t>
      </w:r>
      <w:r w:rsidR="009F6D1E" w:rsidRPr="004D307F">
        <w:rPr>
          <w:rFonts w:ascii="VIC-Regular" w:eastAsia="Times New Roman" w:hAnsi="VIC-Regular" w:cs="Times New Roman"/>
          <w:color w:val="011A3C"/>
          <w:sz w:val="24"/>
          <w:szCs w:val="24"/>
          <w:lang w:val="en" w:eastAsia="en-AU"/>
        </w:rPr>
        <w:t>2</w:t>
      </w:r>
      <w:r w:rsidR="00F1742D"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 xml:space="preserve">Secondary — </w:t>
      </w:r>
      <w:r w:rsidR="00CE1887" w:rsidRPr="004D307F">
        <w:rPr>
          <w:rFonts w:ascii="VIC-Regular" w:eastAsia="Times New Roman" w:hAnsi="VIC-Regular" w:cs="Times New Roman"/>
          <w:color w:val="011A3C"/>
          <w:sz w:val="24"/>
          <w:szCs w:val="24"/>
          <w:lang w:val="en" w:eastAsia="en-AU"/>
        </w:rPr>
        <w:t>$5.</w:t>
      </w:r>
      <w:r w:rsidR="009F6D1E" w:rsidRPr="004D307F">
        <w:rPr>
          <w:rFonts w:ascii="VIC-Regular" w:eastAsia="Times New Roman" w:hAnsi="VIC-Regular" w:cs="Times New Roman"/>
          <w:color w:val="011A3C"/>
          <w:sz w:val="24"/>
          <w:szCs w:val="24"/>
          <w:lang w:val="en" w:eastAsia="en-AU"/>
        </w:rPr>
        <w:t>75</w:t>
      </w:r>
    </w:p>
    <w:p w14:paraId="0F6DD481" w14:textId="57B34CF6" w:rsidR="00F74042" w:rsidRPr="004D307F" w:rsidRDefault="00F74042" w:rsidP="00F74042">
      <w:pPr>
        <w:spacing w:before="100" w:beforeAutospacing="1" w:after="100" w:afterAutospacing="1" w:line="288" w:lineRule="atLeast"/>
        <w:outlineLvl w:val="3"/>
        <w:rPr>
          <w:rFonts w:ascii="VIC-Bold" w:eastAsia="Times New Roman" w:hAnsi="VIC-Bold" w:cs="Times New Roman"/>
          <w:b/>
          <w:bCs/>
          <w:color w:val="011A3C"/>
          <w:sz w:val="26"/>
          <w:szCs w:val="28"/>
          <w:lang w:val="en" w:eastAsia="en-AU"/>
        </w:rPr>
      </w:pPr>
      <w:r w:rsidRPr="004D307F">
        <w:rPr>
          <w:rFonts w:ascii="VIC-Bold" w:eastAsia="Times New Roman" w:hAnsi="VIC-Bold" w:cs="Times New Roman"/>
          <w:b/>
          <w:bCs/>
          <w:color w:val="011A3C"/>
          <w:sz w:val="26"/>
          <w:szCs w:val="28"/>
          <w:lang w:val="en" w:eastAsia="en-AU"/>
        </w:rPr>
        <w:t>Other relevant information</w:t>
      </w:r>
    </w:p>
    <w:p w14:paraId="037E0D64" w14:textId="77777777" w:rsidR="00F74042" w:rsidRPr="004D307F" w:rsidRDefault="00F74042"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intended that location measures will be updated with the release of new ABS data every 5 years. The next release is scheduled in 2021.</w:t>
      </w:r>
    </w:p>
    <w:p w14:paraId="12AB42A8" w14:textId="77777777" w:rsidR="00F74042" w:rsidRPr="004D307F" w:rsidRDefault="00F74042"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 distances from provincial </w:t>
      </w:r>
      <w:proofErr w:type="spellStart"/>
      <w:r w:rsidRPr="004D307F">
        <w:rPr>
          <w:rFonts w:ascii="VIC-Regular" w:eastAsia="Times New Roman" w:hAnsi="VIC-Regular" w:cs="Times New Roman"/>
          <w:color w:val="011A3C"/>
          <w:sz w:val="24"/>
          <w:szCs w:val="24"/>
          <w:lang w:val="en" w:eastAsia="en-AU"/>
        </w:rPr>
        <w:t>centres</w:t>
      </w:r>
      <w:proofErr w:type="spellEnd"/>
      <w:r w:rsidRPr="004D307F">
        <w:rPr>
          <w:rFonts w:ascii="VIC-Regular" w:eastAsia="Times New Roman" w:hAnsi="VIC-Regular" w:cs="Times New Roman"/>
          <w:color w:val="011A3C"/>
          <w:sz w:val="24"/>
          <w:szCs w:val="24"/>
          <w:lang w:val="en" w:eastAsia="en-AU"/>
        </w:rPr>
        <w:t xml:space="preserve"> and Melbourne GPO are measured via road distances.</w:t>
      </w:r>
    </w:p>
    <w:p w14:paraId="657E6EE7" w14:textId="1785CCA7" w:rsidR="00F74042" w:rsidRPr="004D307F" w:rsidRDefault="003F7AF6" w:rsidP="00ED0863">
      <w:pPr>
        <w:numPr>
          <w:ilvl w:val="0"/>
          <w:numId w:val="5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m</w:t>
      </w:r>
      <w:r w:rsidR="00F74042" w:rsidRPr="004D307F">
        <w:rPr>
          <w:rFonts w:ascii="VIC-Regular" w:eastAsia="Times New Roman" w:hAnsi="VIC-Regular" w:cs="Times New Roman"/>
          <w:color w:val="011A3C"/>
          <w:sz w:val="24"/>
          <w:szCs w:val="24"/>
          <w:lang w:val="en" w:eastAsia="en-AU"/>
        </w:rPr>
        <w:t xml:space="preserve">ore information </w:t>
      </w:r>
      <w:r w:rsidRPr="004D307F">
        <w:rPr>
          <w:rFonts w:ascii="VIC-Regular" w:eastAsia="Times New Roman" w:hAnsi="VIC-Regular" w:cs="Times New Roman"/>
          <w:color w:val="011A3C"/>
          <w:sz w:val="24"/>
          <w:szCs w:val="24"/>
          <w:lang w:val="en" w:eastAsia="en-AU"/>
        </w:rPr>
        <w:t xml:space="preserve">about UCL definition and sources, refer to </w:t>
      </w:r>
      <w:r w:rsidR="00B24032" w:rsidRPr="004D307F">
        <w:rPr>
          <w:rFonts w:ascii="VIC-Regular" w:eastAsia="Times New Roman" w:hAnsi="VIC-Regular" w:cs="Times New Roman"/>
          <w:color w:val="011A3C"/>
          <w:sz w:val="24"/>
          <w:szCs w:val="24"/>
          <w:lang w:val="en" w:eastAsia="en-AU"/>
        </w:rPr>
        <w:t>the Australian</w:t>
      </w:r>
      <w:r w:rsidRPr="004D307F">
        <w:rPr>
          <w:rFonts w:ascii="VIC-Regular" w:eastAsia="Times New Roman" w:hAnsi="VIC-Regular" w:cs="Times New Roman"/>
          <w:color w:val="011A3C"/>
          <w:sz w:val="24"/>
          <w:szCs w:val="24"/>
          <w:lang w:val="en" w:eastAsia="en-AU"/>
        </w:rPr>
        <w:t xml:space="preserve"> Bureau of Statistics</w:t>
      </w:r>
      <w:r w:rsidR="00F74042"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website</w:t>
      </w:r>
      <w:r w:rsidR="00F74042" w:rsidRPr="004D307F">
        <w:rPr>
          <w:rFonts w:ascii="VIC-Regular" w:eastAsia="Times New Roman" w:hAnsi="VIC-Regular" w:cs="Times New Roman"/>
          <w:color w:val="011A3C"/>
          <w:sz w:val="24"/>
          <w:szCs w:val="24"/>
          <w:lang w:val="en" w:eastAsia="en-AU"/>
        </w:rPr>
        <w:t>.</w:t>
      </w:r>
    </w:p>
    <w:p w14:paraId="5F4CEAA0" w14:textId="2C058EB5" w:rsidR="003F7AF6" w:rsidRPr="004D307F" w:rsidRDefault="003F7AF6" w:rsidP="00ED0863">
      <w:pPr>
        <w:numPr>
          <w:ilvl w:val="0"/>
          <w:numId w:val="53"/>
        </w:numPr>
        <w:spacing w:before="100" w:beforeAutospacing="1" w:after="100" w:afterAutospacing="1" w:line="360" w:lineRule="atLeast"/>
        <w:rPr>
          <w:color w:val="323E4F" w:themeColor="text2" w:themeShade="BF"/>
          <w:sz w:val="24"/>
          <w:szCs w:val="24"/>
        </w:rPr>
      </w:pPr>
      <w:r w:rsidRPr="004D307F">
        <w:rPr>
          <w:rFonts w:ascii="VIC-Regular" w:eastAsia="Times New Roman" w:hAnsi="VIC-Regular" w:cs="Times New Roman"/>
          <w:color w:val="011A3C"/>
          <w:sz w:val="24"/>
          <w:szCs w:val="24"/>
          <w:lang w:val="en" w:eastAsia="en-AU"/>
        </w:rPr>
        <w:t xml:space="preserve">To determine the UCL that your school is in, refer to the </w:t>
      </w:r>
      <w:hyperlink r:id="rId119" w:history="1">
        <w:r w:rsidRPr="004D307F">
          <w:rPr>
            <w:rFonts w:ascii="VIC-Regular" w:eastAsia="Times New Roman" w:hAnsi="VIC-Regular" w:cs="Times New Roman"/>
            <w:color w:val="011A3C"/>
            <w:lang w:val="en" w:eastAsia="en-AU"/>
          </w:rPr>
          <w:t>map function</w:t>
        </w:r>
      </w:hyperlink>
      <w:r w:rsidRPr="004D307F">
        <w:rPr>
          <w:rFonts w:ascii="VIC-Regular" w:eastAsia="Times New Roman" w:hAnsi="VIC-Regular" w:cs="Times New Roman"/>
          <w:color w:val="011A3C"/>
          <w:sz w:val="24"/>
          <w:szCs w:val="24"/>
          <w:lang w:val="en" w:eastAsia="en-AU"/>
        </w:rPr>
        <w:t xml:space="preserve"> on the Australian Bureau of Statistics website. </w:t>
      </w:r>
    </w:p>
    <w:p w14:paraId="7DA2B9F2" w14:textId="77777777" w:rsidR="00B24032" w:rsidRPr="004D307F" w:rsidRDefault="00B24032" w:rsidP="00B24032">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determine a school’s geographic parameters, refer to </w:t>
      </w:r>
      <w:hyperlink r:id="rId120" w:history="1">
        <w:r w:rsidRPr="004D307F">
          <w:rPr>
            <w:rStyle w:val="Hyperlink"/>
            <w:rFonts w:ascii="VIC-Regular" w:eastAsia="Times New Roman" w:hAnsi="VIC-Regular" w:cs="Times New Roman"/>
            <w:sz w:val="24"/>
            <w:szCs w:val="24"/>
            <w:lang w:val="en" w:eastAsia="en-AU"/>
          </w:rPr>
          <w:t>Steps to determine a school’s geographic parameters</w:t>
        </w:r>
      </w:hyperlink>
      <w:r w:rsidRPr="004D307F">
        <w:rPr>
          <w:rFonts w:ascii="VIC-Regular" w:eastAsia="Times New Roman" w:hAnsi="VIC-Regular" w:cs="Times New Roman"/>
          <w:color w:val="011A3C"/>
          <w:sz w:val="24"/>
          <w:szCs w:val="24"/>
          <w:lang w:val="en" w:eastAsia="en-AU"/>
        </w:rPr>
        <w:t>.</w:t>
      </w:r>
    </w:p>
    <w:p w14:paraId="0FC82BAC" w14:textId="61BDBFDE" w:rsidR="009753DC" w:rsidRPr="004D307F" w:rsidRDefault="00BB1A60" w:rsidP="009753DC">
      <w:r w:rsidRPr="004D307F">
        <w:rPr>
          <w:rFonts w:ascii="VIC-Regular" w:eastAsia="Times New Roman" w:hAnsi="VIC-Regular" w:cs="Times New Roman"/>
          <w:color w:val="011A3C"/>
          <w:sz w:val="24"/>
          <w:szCs w:val="24"/>
          <w:lang w:val="en" w:eastAsia="en-AU"/>
        </w:rPr>
        <w:t>A</w:t>
      </w:r>
      <w:r w:rsidR="00B25992" w:rsidRPr="004D307F">
        <w:rPr>
          <w:rFonts w:ascii="VIC-Regular" w:eastAsia="Times New Roman" w:hAnsi="VIC-Regular" w:cs="Times New Roman"/>
          <w:color w:val="011A3C"/>
          <w:sz w:val="24"/>
          <w:szCs w:val="24"/>
          <w:lang w:val="en" w:eastAsia="en-AU"/>
        </w:rPr>
        <w:t>dditionally, schools that may be eligible for transition should refer to:</w:t>
      </w:r>
      <w:r w:rsidR="00157F3F" w:rsidRPr="004D307F">
        <w:rPr>
          <w:rFonts w:ascii="VIC-Regular" w:eastAsia="Times New Roman" w:hAnsi="VIC-Regular" w:cs="Times New Roman"/>
          <w:color w:val="011A3C"/>
          <w:sz w:val="24"/>
          <w:szCs w:val="24"/>
          <w:lang w:val="en" w:eastAsia="en-AU"/>
        </w:rPr>
        <w:t xml:space="preserve"> </w:t>
      </w:r>
      <w:r w:rsidR="00B25992" w:rsidRPr="004D307F">
        <w:rPr>
          <w:rFonts w:ascii="VIC-Regular" w:eastAsia="Times New Roman" w:hAnsi="VIC-Regular" w:cs="Times New Roman"/>
          <w:color w:val="011A3C"/>
          <w:sz w:val="24"/>
          <w:szCs w:val="24"/>
          <w:lang w:val="en" w:eastAsia="en-AU"/>
        </w:rPr>
        <w:t>Transition Funding (Rural) (Ref 126)</w:t>
      </w:r>
      <w:r w:rsidR="009753DC" w:rsidRPr="004D307F">
        <w:br w:type="page"/>
      </w:r>
    </w:p>
    <w:p w14:paraId="0D401B83" w14:textId="4A6B9201" w:rsidR="009753DC" w:rsidRPr="004D307F" w:rsidRDefault="009753DC" w:rsidP="00B566E7">
      <w:pPr>
        <w:pStyle w:val="Heading2"/>
      </w:pPr>
      <w:bookmarkStart w:id="75" w:name="_Toc99882762"/>
      <w:r w:rsidRPr="004D307F">
        <w:lastRenderedPageBreak/>
        <w:t>MARC/MACC Grant (Reference 46)</w:t>
      </w:r>
      <w:bookmarkEnd w:id="75"/>
    </w:p>
    <w:p w14:paraId="6F6C22A4" w14:textId="0E782415"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total budget for MARC/MACC services includes a credit </w:t>
      </w:r>
      <w:r w:rsidR="00FD588E" w:rsidRPr="004D307F">
        <w:rPr>
          <w:rFonts w:ascii="VIC-Regular" w:eastAsia="Times New Roman" w:hAnsi="VIC-Regular" w:cs="Times New Roman"/>
          <w:color w:val="011A3C"/>
          <w:sz w:val="24"/>
          <w:szCs w:val="24"/>
          <w:lang w:val="en" w:eastAsia="en-AU"/>
        </w:rPr>
        <w:t xml:space="preserve">allocation for the </w:t>
      </w:r>
      <w:r w:rsidRPr="004D307F">
        <w:rPr>
          <w:rFonts w:ascii="VIC-Regular" w:eastAsia="Times New Roman" w:hAnsi="VIC-Regular" w:cs="Times New Roman"/>
          <w:color w:val="011A3C"/>
          <w:sz w:val="24"/>
          <w:szCs w:val="24"/>
          <w:lang w:val="en" w:eastAsia="en-AU"/>
        </w:rPr>
        <w:t>teacher</w:t>
      </w:r>
      <w:r w:rsidR="00FD588E" w:rsidRPr="004D307F">
        <w:rPr>
          <w:rFonts w:ascii="VIC-Regular" w:eastAsia="Times New Roman" w:hAnsi="VIC-Regular" w:cs="Times New Roman"/>
          <w:color w:val="011A3C"/>
          <w:sz w:val="24"/>
          <w:szCs w:val="24"/>
          <w:lang w:val="en" w:eastAsia="en-AU"/>
        </w:rPr>
        <w:t xml:space="preserve"> undertaking MARC/MACC duties</w:t>
      </w:r>
      <w:r w:rsidRPr="004D307F">
        <w:rPr>
          <w:rFonts w:ascii="VIC-Regular" w:eastAsia="Times New Roman" w:hAnsi="VIC-Regular" w:cs="Times New Roman"/>
          <w:color w:val="011A3C"/>
          <w:sz w:val="24"/>
          <w:szCs w:val="24"/>
          <w:lang w:val="en" w:eastAsia="en-AU"/>
        </w:rPr>
        <w:t xml:space="preserve"> (</w:t>
      </w:r>
      <w:r w:rsidR="00DC5ED6" w:rsidRPr="004D307F">
        <w:rPr>
          <w:rFonts w:ascii="VIC-Regular" w:eastAsia="Times New Roman" w:hAnsi="VIC-Regular" w:cs="Times New Roman"/>
          <w:color w:val="011A3C"/>
          <w:sz w:val="24"/>
          <w:szCs w:val="24"/>
          <w:lang w:val="en" w:eastAsia="en-AU"/>
        </w:rPr>
        <w:t xml:space="preserve">refer to </w:t>
      </w:r>
      <w:r w:rsidRPr="004D307F">
        <w:rPr>
          <w:rFonts w:ascii="VIC-Regular" w:eastAsia="Times New Roman" w:hAnsi="VIC-Regular" w:cs="Times New Roman"/>
          <w:color w:val="011A3C"/>
          <w:sz w:val="24"/>
          <w:szCs w:val="24"/>
          <w:lang w:val="en" w:eastAsia="en-AU"/>
        </w:rPr>
        <w:t xml:space="preserve"> </w:t>
      </w:r>
      <w:hyperlink r:id="rId121" w:history="1">
        <w:r w:rsidRPr="004D307F">
          <w:rPr>
            <w:rFonts w:ascii="VIC-Regular" w:eastAsia="Times New Roman" w:hAnsi="VIC-Regular" w:cs="Times New Roman"/>
            <w:color w:val="011A3C"/>
            <w:sz w:val="24"/>
            <w:szCs w:val="24"/>
            <w:lang w:val="en" w:eastAsia="en-AU"/>
          </w:rPr>
          <w:t>Reference 40</w:t>
        </w:r>
      </w:hyperlink>
      <w:r w:rsidRPr="004D307F">
        <w:rPr>
          <w:rFonts w:ascii="VIC-Regular" w:eastAsia="Times New Roman" w:hAnsi="VIC-Regular" w:cs="Times New Roman"/>
          <w:color w:val="011A3C"/>
          <w:sz w:val="24"/>
          <w:szCs w:val="24"/>
          <w:lang w:val="en" w:eastAsia="en-AU"/>
        </w:rPr>
        <w:t xml:space="preserve">) and a cash grant provided to the host school. The cash grant funding incorporates provision for vehicle maintenance, running costs, cab/chassis replacement, </w:t>
      </w:r>
      <w:proofErr w:type="gramStart"/>
      <w:r w:rsidRPr="004D307F">
        <w:rPr>
          <w:rFonts w:ascii="VIC-Regular" w:eastAsia="Times New Roman" w:hAnsi="VIC-Regular" w:cs="Times New Roman"/>
          <w:color w:val="011A3C"/>
          <w:sz w:val="24"/>
          <w:szCs w:val="24"/>
          <w:lang w:val="en" w:eastAsia="en-AU"/>
        </w:rPr>
        <w:t>insurance</w:t>
      </w:r>
      <w:proofErr w:type="gramEnd"/>
      <w:r w:rsidRPr="004D307F">
        <w:rPr>
          <w:rFonts w:ascii="VIC-Regular" w:eastAsia="Times New Roman" w:hAnsi="VIC-Regular" w:cs="Times New Roman"/>
          <w:color w:val="011A3C"/>
          <w:sz w:val="24"/>
          <w:szCs w:val="24"/>
          <w:lang w:val="en" w:eastAsia="en-AU"/>
        </w:rPr>
        <w:t xml:space="preserve"> and registration.</w:t>
      </w:r>
    </w:p>
    <w:p w14:paraId="2E45BB40" w14:textId="184B4C61" w:rsidR="002104B8" w:rsidRPr="004D307F" w:rsidRDefault="009753DC"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MARC ‘box’ replacement program has been introduced and administered by regional offices. Any enquiries concerning ‘box’ replacement should be directed to your regional finance officer.</w:t>
      </w:r>
      <w:bookmarkStart w:id="76" w:name="_Hlk47954049"/>
      <w:r w:rsidR="00502021" w:rsidRPr="004D307F">
        <w:rPr>
          <w:rFonts w:ascii="VIC-Regular" w:eastAsia="Times New Roman" w:hAnsi="VIC-Regular" w:cs="Times New Roman"/>
          <w:color w:val="011A3C"/>
          <w:sz w:val="24"/>
          <w:szCs w:val="24"/>
          <w:lang w:val="en" w:eastAsia="en-AU"/>
        </w:rPr>
        <w:t xml:space="preserve"> </w:t>
      </w:r>
      <w:bookmarkStart w:id="77" w:name="_Hlk47953986"/>
      <w:bookmarkEnd w:id="76"/>
      <w:r w:rsidR="002104B8" w:rsidRPr="004D307F">
        <w:rPr>
          <w:rFonts w:ascii="VIC-Regular" w:eastAsia="Times New Roman" w:hAnsi="VIC-Regular" w:cs="Times New Roman"/>
          <w:color w:val="011A3C"/>
          <w:sz w:val="24"/>
          <w:szCs w:val="24"/>
          <w:lang w:val="en" w:eastAsia="en-AU"/>
        </w:rPr>
        <w:t>All MARC/ MACC allocations are administered through the regions.</w:t>
      </w:r>
    </w:p>
    <w:p w14:paraId="56394843" w14:textId="1BBDEC0C" w:rsidR="002104B8" w:rsidRPr="004D307F"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Indicative cycle and may be updated at the Confirmed cycle.</w:t>
      </w:r>
    </w:p>
    <w:bookmarkEnd w:id="77"/>
    <w:p w14:paraId="46D323F3" w14:textId="1477B764"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 202</w:t>
      </w:r>
      <w:r w:rsidR="009F6D1E" w:rsidRPr="004D307F">
        <w:rPr>
          <w:rFonts w:ascii="VIC-Bold" w:eastAsia="Times New Roman" w:hAnsi="VIC-Bold" w:cs="Times New Roman"/>
          <w:b/>
          <w:bCs/>
          <w:color w:val="011A3C"/>
          <w:sz w:val="27"/>
          <w:szCs w:val="27"/>
          <w:lang w:val="en" w:eastAsia="en-AU"/>
        </w:rPr>
        <w:t>2</w:t>
      </w:r>
    </w:p>
    <w:p w14:paraId="2D170575" w14:textId="77777777" w:rsidR="009753DC" w:rsidRPr="004D307F" w:rsidRDefault="009753DC" w:rsidP="009753DC">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Entitlement for each van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59"/>
        <w:gridCol w:w="2519"/>
        <w:gridCol w:w="2538"/>
      </w:tblGrid>
      <w:tr w:rsidR="009753DC" w:rsidRPr="004D307F" w14:paraId="04947D1E" w14:textId="77777777" w:rsidTr="00D93949">
        <w:trPr>
          <w:tblHeader/>
        </w:trPr>
        <w:tc>
          <w:tcPr>
            <w:tcW w:w="0" w:type="auto"/>
            <w:hideMark/>
          </w:tcPr>
          <w:p w14:paraId="67392DB9" w14:textId="77777777" w:rsidR="009753DC" w:rsidRPr="004D307F" w:rsidRDefault="009753DC" w:rsidP="009753DC">
            <w:pPr>
              <w:spacing w:after="0" w:line="240" w:lineRule="auto"/>
              <w:rPr>
                <w:rFonts w:ascii="Times New Roman" w:eastAsia="Times New Roman" w:hAnsi="Times New Roman" w:cs="Times New Roman"/>
                <w:color w:val="323E4F" w:themeColor="text2" w:themeShade="BF"/>
                <w:sz w:val="24"/>
                <w:szCs w:val="24"/>
                <w:lang w:val="en" w:eastAsia="en-AU"/>
              </w:rPr>
            </w:pPr>
          </w:p>
        </w:tc>
        <w:tc>
          <w:tcPr>
            <w:tcW w:w="0" w:type="auto"/>
            <w:hideMark/>
          </w:tcPr>
          <w:p w14:paraId="179BF258" w14:textId="77777777" w:rsidR="009753DC" w:rsidRPr="004D307F" w:rsidRDefault="009753DC" w:rsidP="00371B75">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MARC</w:t>
            </w:r>
          </w:p>
        </w:tc>
        <w:tc>
          <w:tcPr>
            <w:tcW w:w="0" w:type="auto"/>
            <w:hideMark/>
          </w:tcPr>
          <w:p w14:paraId="54ACCF2B" w14:textId="77777777" w:rsidR="009753DC" w:rsidRPr="004D307F" w:rsidRDefault="009753DC" w:rsidP="00371B75">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MACC</w:t>
            </w:r>
          </w:p>
        </w:tc>
      </w:tr>
      <w:tr w:rsidR="009753DC" w:rsidRPr="004D307F" w14:paraId="3EE1E28B" w14:textId="77777777" w:rsidTr="00D93949">
        <w:tc>
          <w:tcPr>
            <w:tcW w:w="0" w:type="auto"/>
            <w:hideMark/>
          </w:tcPr>
          <w:p w14:paraId="4F9088DE" w14:textId="77777777" w:rsidR="009753DC" w:rsidRPr="004D307F"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Maintenance and Running Costs</w:t>
            </w:r>
          </w:p>
        </w:tc>
        <w:tc>
          <w:tcPr>
            <w:tcW w:w="0" w:type="auto"/>
            <w:hideMark/>
          </w:tcPr>
          <w:p w14:paraId="76DF837D" w14:textId="4FC33B10"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r w:rsidR="009F6D1E" w:rsidRPr="004D307F">
              <w:rPr>
                <w:rFonts w:ascii="VIC-Regular" w:eastAsia="Times New Roman" w:hAnsi="VIC-Regular" w:cs="Times New Roman"/>
                <w:color w:val="323E4F" w:themeColor="text2" w:themeShade="BF"/>
                <w:sz w:val="24"/>
                <w:szCs w:val="24"/>
                <w:lang w:eastAsia="en-AU"/>
              </w:rPr>
              <w:t>4.32</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cents per km</w:t>
            </w:r>
          </w:p>
        </w:tc>
        <w:tc>
          <w:tcPr>
            <w:tcW w:w="0" w:type="auto"/>
            <w:hideMark/>
          </w:tcPr>
          <w:p w14:paraId="77C44041" w14:textId="7C0D00E3"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r w:rsidR="009F6D1E" w:rsidRPr="004D307F">
              <w:rPr>
                <w:rFonts w:ascii="VIC-Regular" w:eastAsia="Times New Roman" w:hAnsi="VIC-Regular" w:cs="Times New Roman"/>
                <w:color w:val="323E4F" w:themeColor="text2" w:themeShade="BF"/>
                <w:sz w:val="24"/>
                <w:szCs w:val="24"/>
                <w:lang w:eastAsia="en-AU"/>
              </w:rPr>
              <w:t>4</w:t>
            </w:r>
            <w:r w:rsidRPr="004D307F">
              <w:rPr>
                <w:rFonts w:ascii="VIC-Regular" w:eastAsia="Times New Roman" w:hAnsi="VIC-Regular" w:cs="Times New Roman"/>
                <w:color w:val="323E4F" w:themeColor="text2" w:themeShade="BF"/>
                <w:sz w:val="24"/>
                <w:szCs w:val="24"/>
                <w:lang w:eastAsia="en-AU"/>
              </w:rPr>
              <w:t>.</w:t>
            </w:r>
            <w:r w:rsidR="009F6D1E" w:rsidRPr="004D307F">
              <w:rPr>
                <w:rFonts w:ascii="VIC-Regular" w:eastAsia="Times New Roman" w:hAnsi="VIC-Regular" w:cs="Times New Roman"/>
                <w:color w:val="323E4F" w:themeColor="text2" w:themeShade="BF"/>
                <w:sz w:val="24"/>
                <w:szCs w:val="24"/>
                <w:lang w:eastAsia="en-AU"/>
              </w:rPr>
              <w:t>32</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cents per km</w:t>
            </w:r>
          </w:p>
        </w:tc>
      </w:tr>
      <w:tr w:rsidR="009753DC" w:rsidRPr="004D307F" w14:paraId="353372F5" w14:textId="77777777" w:rsidTr="00D93949">
        <w:tc>
          <w:tcPr>
            <w:tcW w:w="0" w:type="auto"/>
            <w:hideMark/>
          </w:tcPr>
          <w:p w14:paraId="7ABCBBBE" w14:textId="77777777" w:rsidR="009753DC" w:rsidRPr="004D307F"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Registration and Insurance</w:t>
            </w:r>
          </w:p>
        </w:tc>
        <w:tc>
          <w:tcPr>
            <w:tcW w:w="0" w:type="auto"/>
            <w:hideMark/>
          </w:tcPr>
          <w:p w14:paraId="357B72A4" w14:textId="73F9B206"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w:t>
            </w:r>
            <w:r w:rsidR="009F6D1E" w:rsidRPr="004D307F">
              <w:rPr>
                <w:rFonts w:ascii="VIC-Regular" w:eastAsia="Times New Roman" w:hAnsi="VIC-Regular" w:cs="Times New Roman"/>
                <w:color w:val="323E4F" w:themeColor="text2" w:themeShade="BF"/>
                <w:sz w:val="24"/>
                <w:szCs w:val="24"/>
                <w:lang w:eastAsia="en-AU"/>
              </w:rPr>
              <w:t>73</w:t>
            </w:r>
            <w:r w:rsidRPr="004D307F">
              <w:rPr>
                <w:rFonts w:ascii="VIC-Regular" w:eastAsia="Times New Roman" w:hAnsi="VIC-Regular" w:cs="Times New Roman"/>
                <w:color w:val="323E4F" w:themeColor="text2" w:themeShade="BF"/>
                <w:sz w:val="24"/>
                <w:szCs w:val="24"/>
                <w:lang w:eastAsia="en-AU"/>
              </w:rPr>
              <w:t>.</w:t>
            </w:r>
            <w:r w:rsidR="009F6D1E" w:rsidRPr="004D307F">
              <w:rPr>
                <w:rFonts w:ascii="VIC-Regular" w:eastAsia="Times New Roman" w:hAnsi="VIC-Regular" w:cs="Times New Roman"/>
                <w:color w:val="323E4F" w:themeColor="text2" w:themeShade="BF"/>
                <w:sz w:val="24"/>
                <w:szCs w:val="24"/>
                <w:lang w:eastAsia="en-AU"/>
              </w:rPr>
              <w:t>39</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c>
          <w:tcPr>
            <w:tcW w:w="0" w:type="auto"/>
            <w:hideMark/>
          </w:tcPr>
          <w:p w14:paraId="5BE9D8EA" w14:textId="4D2F7449"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$1,4</w:t>
            </w:r>
            <w:r w:rsidR="009F6D1E" w:rsidRPr="004D307F">
              <w:rPr>
                <w:rFonts w:ascii="VIC-Regular" w:eastAsia="Times New Roman" w:hAnsi="VIC-Regular" w:cs="Times New Roman"/>
                <w:color w:val="323E4F" w:themeColor="text2" w:themeShade="BF"/>
                <w:sz w:val="24"/>
                <w:szCs w:val="24"/>
                <w:lang w:eastAsia="en-AU"/>
              </w:rPr>
              <w:t>73.39</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r>
      <w:tr w:rsidR="009753DC" w:rsidRPr="004D307F" w14:paraId="6CC23131" w14:textId="77777777" w:rsidTr="00D93949">
        <w:tc>
          <w:tcPr>
            <w:tcW w:w="0" w:type="auto"/>
            <w:hideMark/>
          </w:tcPr>
          <w:p w14:paraId="11CDF4B4" w14:textId="77777777" w:rsidR="009753DC" w:rsidRPr="004D307F"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Replacement</w:t>
            </w:r>
          </w:p>
        </w:tc>
        <w:tc>
          <w:tcPr>
            <w:tcW w:w="0" w:type="auto"/>
            <w:hideMark/>
          </w:tcPr>
          <w:p w14:paraId="25314CBF" w14:textId="308CE1C6"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$7,</w:t>
            </w:r>
            <w:r w:rsidR="009F6D1E" w:rsidRPr="004D307F">
              <w:rPr>
                <w:rFonts w:ascii="VIC-Regular" w:eastAsia="Times New Roman" w:hAnsi="VIC-Regular" w:cs="Times New Roman"/>
                <w:color w:val="323E4F" w:themeColor="text2" w:themeShade="BF"/>
                <w:sz w:val="24"/>
                <w:szCs w:val="24"/>
                <w:lang w:eastAsia="en-AU"/>
              </w:rPr>
              <w:t>549.59</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c>
          <w:tcPr>
            <w:tcW w:w="0" w:type="auto"/>
            <w:hideMark/>
          </w:tcPr>
          <w:p w14:paraId="6F5A0D6E" w14:textId="27BE26D3"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r w:rsidR="009F6D1E" w:rsidRPr="004D307F">
              <w:rPr>
                <w:rFonts w:ascii="VIC-Regular" w:eastAsia="Times New Roman" w:hAnsi="VIC-Regular" w:cs="Times New Roman"/>
                <w:color w:val="323E4F" w:themeColor="text2" w:themeShade="BF"/>
                <w:sz w:val="24"/>
                <w:szCs w:val="24"/>
                <w:lang w:eastAsia="en-AU"/>
              </w:rPr>
              <w:t>834.49</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r>
      <w:tr w:rsidR="009753DC" w:rsidRPr="004D307F" w14:paraId="4E1AEF99" w14:textId="77777777" w:rsidTr="00D93949">
        <w:tc>
          <w:tcPr>
            <w:tcW w:w="0" w:type="auto"/>
            <w:hideMark/>
          </w:tcPr>
          <w:p w14:paraId="70E604EE" w14:textId="77777777" w:rsidR="009753DC" w:rsidRPr="004D307F" w:rsidRDefault="009753DC"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Casual Clerical Hours</w:t>
            </w:r>
          </w:p>
        </w:tc>
        <w:tc>
          <w:tcPr>
            <w:tcW w:w="0" w:type="auto"/>
            <w:hideMark/>
          </w:tcPr>
          <w:p w14:paraId="43582076" w14:textId="44E4217A"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r w:rsidR="002C075A" w:rsidRPr="004D307F">
              <w:rPr>
                <w:rFonts w:ascii="VIC-Regular" w:eastAsia="Times New Roman" w:hAnsi="VIC-Regular" w:cs="Times New Roman"/>
                <w:color w:val="323E4F" w:themeColor="text2" w:themeShade="BF"/>
                <w:sz w:val="24"/>
                <w:szCs w:val="24"/>
                <w:lang w:eastAsia="en-AU"/>
              </w:rPr>
              <w:t>081</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c>
          <w:tcPr>
            <w:tcW w:w="0" w:type="auto"/>
            <w:hideMark/>
          </w:tcPr>
          <w:p w14:paraId="26E22E67" w14:textId="7EE52154" w:rsidR="009753DC" w:rsidRPr="004D307F" w:rsidRDefault="00FD588E" w:rsidP="009753DC">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$5,</w:t>
            </w:r>
            <w:r w:rsidR="002C075A" w:rsidRPr="004D307F">
              <w:rPr>
                <w:rFonts w:ascii="VIC-Regular" w:eastAsia="Times New Roman" w:hAnsi="VIC-Regular" w:cs="Times New Roman"/>
                <w:color w:val="323E4F" w:themeColor="text2" w:themeShade="BF"/>
                <w:sz w:val="24"/>
                <w:szCs w:val="24"/>
                <w:lang w:eastAsia="en-AU"/>
              </w:rPr>
              <w:t>081</w:t>
            </w:r>
            <w:r w:rsidR="00F1742D" w:rsidRPr="004D307F">
              <w:rPr>
                <w:rFonts w:ascii="VIC-Regular" w:eastAsia="Times New Roman" w:hAnsi="VIC-Regular" w:cs="Times New Roman"/>
                <w:color w:val="323E4F" w:themeColor="text2" w:themeShade="BF"/>
                <w:sz w:val="24"/>
                <w:szCs w:val="24"/>
                <w:lang w:eastAsia="en-AU"/>
              </w:rPr>
              <w:t xml:space="preserve"> </w:t>
            </w:r>
            <w:r w:rsidR="009753DC" w:rsidRPr="004D307F">
              <w:rPr>
                <w:rFonts w:ascii="VIC-Regular" w:eastAsia="Times New Roman" w:hAnsi="VIC-Regular" w:cs="Times New Roman"/>
                <w:color w:val="323E4F" w:themeColor="text2" w:themeShade="BF"/>
                <w:sz w:val="24"/>
                <w:szCs w:val="24"/>
                <w:lang w:eastAsia="en-AU"/>
              </w:rPr>
              <w:t>per annum</w:t>
            </w:r>
          </w:p>
        </w:tc>
      </w:tr>
    </w:tbl>
    <w:p w14:paraId="7A6693AD" w14:textId="77777777" w:rsidR="009753DC" w:rsidRPr="004D307F" w:rsidRDefault="009753DC" w:rsidP="009753DC"/>
    <w:p w14:paraId="4C3C3E8C" w14:textId="77777777" w:rsidR="009753DC" w:rsidRPr="004D307F" w:rsidRDefault="009753DC" w:rsidP="009753DC">
      <w:r w:rsidRPr="004D307F">
        <w:br w:type="page"/>
      </w:r>
    </w:p>
    <w:p w14:paraId="3E384D83" w14:textId="6AECA15B" w:rsidR="009753DC" w:rsidRPr="004D307F" w:rsidRDefault="009753DC" w:rsidP="00B566E7">
      <w:pPr>
        <w:pStyle w:val="Heading2"/>
      </w:pPr>
      <w:bookmarkStart w:id="78" w:name="_Toc99882763"/>
      <w:r w:rsidRPr="004D307F">
        <w:lastRenderedPageBreak/>
        <w:t>Alternative Settings Teachers (Reference 47)</w:t>
      </w:r>
      <w:bookmarkEnd w:id="78"/>
    </w:p>
    <w:p w14:paraId="11026D77" w14:textId="320CFE90" w:rsidR="009753DC" w:rsidRPr="004D307F" w:rsidRDefault="009753DC" w:rsidP="009753DC">
      <w:pPr>
        <w:spacing w:before="100" w:beforeAutospacing="1" w:after="100" w:afterAutospacing="1" w:line="312" w:lineRule="atLeast"/>
        <w:outlineLvl w:val="1"/>
        <w:rPr>
          <w:rFonts w:ascii="VIC-Bold" w:eastAsia="Times New Roman" w:hAnsi="VIC-Bold" w:cs="Times New Roman"/>
          <w:color w:val="011A3C"/>
          <w:sz w:val="36"/>
          <w:szCs w:val="36"/>
          <w:lang w:val="en" w:eastAsia="en-AU"/>
        </w:rPr>
      </w:pPr>
      <w:r w:rsidRPr="004D307F">
        <w:rPr>
          <w:rFonts w:ascii="VIC-Bold" w:eastAsia="Times New Roman" w:hAnsi="VIC-Bold" w:cs="Times New Roman"/>
          <w:color w:val="011A3C"/>
          <w:sz w:val="36"/>
          <w:szCs w:val="36"/>
          <w:lang w:val="en" w:eastAsia="en-AU"/>
        </w:rPr>
        <w:t>Other/Alternative Programs</w:t>
      </w:r>
    </w:p>
    <w:p w14:paraId="252E1DA9" w14:textId="62F50EBA"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Flexible learning options provide alternative, tailored education and support for children and young people who are disengaged, or have been identified as at risk of disengaging, from mainstream school. They provide an opportunity for disengaged or at-risk children and young people to achieve positive learning outcomes through engagement in a more flexible learning environment, coupled with wellbeing supports.</w:t>
      </w:r>
      <w:r w:rsidR="00DC5ED6" w:rsidRPr="004D307F">
        <w:rPr>
          <w:rFonts w:ascii="VIC-Regular" w:eastAsia="Times New Roman" w:hAnsi="VIC-Regular" w:cs="Times New Roman"/>
          <w:color w:val="011A3C"/>
          <w:sz w:val="24"/>
          <w:szCs w:val="24"/>
          <w:lang w:val="en" w:eastAsia="en-AU"/>
        </w:rPr>
        <w:t xml:space="preserve"> For further information, refer to the Department’s policy on Flexible Learning Options. </w:t>
      </w:r>
    </w:p>
    <w:p w14:paraId="7534B568"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Lower teacher to student ratios </w:t>
      </w:r>
      <w:proofErr w:type="gramStart"/>
      <w:r w:rsidRPr="004D307F">
        <w:rPr>
          <w:rFonts w:ascii="VIC-Regular" w:eastAsia="Times New Roman" w:hAnsi="VIC-Regular" w:cs="Times New Roman"/>
          <w:color w:val="011A3C"/>
          <w:sz w:val="24"/>
          <w:szCs w:val="24"/>
          <w:lang w:val="en" w:eastAsia="en-AU"/>
        </w:rPr>
        <w:t>are</w:t>
      </w:r>
      <w:proofErr w:type="gramEnd"/>
      <w:r w:rsidRPr="004D307F">
        <w:rPr>
          <w:rFonts w:ascii="VIC-Regular" w:eastAsia="Times New Roman" w:hAnsi="VIC-Regular" w:cs="Times New Roman"/>
          <w:color w:val="011A3C"/>
          <w:sz w:val="24"/>
          <w:szCs w:val="24"/>
          <w:lang w:val="en" w:eastAsia="en-AU"/>
        </w:rPr>
        <w:t xml:space="preserve"> allocated to these settings to provide a tailored and supportive learning environment for a small number of students whose needs are not being met through mainstream settings.</w:t>
      </w:r>
    </w:p>
    <w:p w14:paraId="02204EE5"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Alternative Settings Teachers should use the Department’s re-engagement guidelines to develop their programs to support at risk and vulnerable students, refer to </w:t>
      </w:r>
      <w:hyperlink r:id="rId122" w:history="1">
        <w:r w:rsidRPr="004D307F">
          <w:rPr>
            <w:rFonts w:ascii="VIC-Regular" w:eastAsia="Times New Roman" w:hAnsi="VIC-Regular" w:cs="Times New Roman"/>
            <w:color w:val="011A3C"/>
            <w:sz w:val="24"/>
            <w:szCs w:val="24"/>
            <w:lang w:val="en" w:eastAsia="en-AU"/>
          </w:rPr>
          <w:t>​Re-engagement Programs</w:t>
        </w:r>
      </w:hyperlink>
      <w:r w:rsidRPr="004D307F">
        <w:rPr>
          <w:rFonts w:ascii="VIC-Regular" w:eastAsia="Times New Roman" w:hAnsi="VIC-Regular" w:cs="Times New Roman"/>
          <w:color w:val="011A3C"/>
          <w:sz w:val="24"/>
          <w:szCs w:val="24"/>
          <w:lang w:val="en" w:eastAsia="en-AU"/>
        </w:rPr>
        <w:t>.</w:t>
      </w:r>
    </w:p>
    <w:p w14:paraId="2C7F6143"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Teacher salary charges to schools will continue to be based on actual payroll debits for individual staff as reflected on </w:t>
      </w:r>
      <w:proofErr w:type="spellStart"/>
      <w:r w:rsidRPr="004D307F">
        <w:rPr>
          <w:rFonts w:ascii="VIC-Regular" w:eastAsia="Times New Roman" w:hAnsi="VIC-Regular" w:cs="Times New Roman"/>
          <w:color w:val="011A3C"/>
          <w:sz w:val="24"/>
          <w:szCs w:val="24"/>
          <w:lang w:val="en" w:eastAsia="en-AU"/>
        </w:rPr>
        <w:t>eduPay</w:t>
      </w:r>
      <w:proofErr w:type="spellEnd"/>
      <w:r w:rsidRPr="004D307F">
        <w:rPr>
          <w:rFonts w:ascii="VIC-Regular" w:eastAsia="Times New Roman" w:hAnsi="VIC-Regular" w:cs="Times New Roman"/>
          <w:color w:val="011A3C"/>
          <w:sz w:val="24"/>
          <w:szCs w:val="24"/>
          <w:lang w:val="en" w:eastAsia="en-AU"/>
        </w:rPr>
        <w:t>. This includes the actual cost of annual leave loading and all allowances, such as higher duties and special payments. Also included are non-cash benefits for teachers.</w:t>
      </w:r>
    </w:p>
    <w:p w14:paraId="18556992" w14:textId="378EB859" w:rsidR="00314DAA" w:rsidRPr="004D307F" w:rsidRDefault="002104B8" w:rsidP="002104B8">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All Alternative Settings Teacher funding allocations are </w:t>
      </w:r>
      <w:r w:rsidR="00314DAA" w:rsidRPr="004D307F">
        <w:rPr>
          <w:rFonts w:ascii="VIC-Regular" w:eastAsia="Times New Roman" w:hAnsi="VIC-Regular" w:cs="Times New Roman"/>
          <w:color w:val="011A3C"/>
          <w:sz w:val="24"/>
          <w:szCs w:val="24"/>
          <w:lang w:val="en" w:eastAsia="en-AU"/>
        </w:rPr>
        <w:t>determined by</w:t>
      </w:r>
      <w:r w:rsidRPr="004D307F">
        <w:rPr>
          <w:rFonts w:ascii="VIC-Regular" w:eastAsia="Times New Roman" w:hAnsi="VIC-Regular" w:cs="Times New Roman"/>
          <w:color w:val="011A3C"/>
          <w:sz w:val="24"/>
          <w:szCs w:val="24"/>
          <w:lang w:val="en" w:eastAsia="en-AU"/>
        </w:rPr>
        <w:t xml:space="preserve"> region</w:t>
      </w:r>
      <w:r w:rsidR="00314DAA" w:rsidRPr="004D307F">
        <w:rPr>
          <w:rFonts w:ascii="VIC-Regular" w:eastAsia="Times New Roman" w:hAnsi="VIC-Regular" w:cs="Times New Roman"/>
          <w:color w:val="011A3C"/>
          <w:sz w:val="24"/>
          <w:szCs w:val="24"/>
          <w:lang w:val="en" w:eastAsia="en-AU"/>
        </w:rPr>
        <w:t>al offices</w:t>
      </w:r>
      <w:r w:rsidRPr="004D307F">
        <w:rPr>
          <w:rFonts w:ascii="VIC-Regular" w:eastAsia="Times New Roman" w:hAnsi="VIC-Regular" w:cs="Times New Roman"/>
          <w:color w:val="011A3C"/>
          <w:sz w:val="24"/>
          <w:szCs w:val="24"/>
          <w:lang w:val="en" w:eastAsia="en-AU"/>
        </w:rPr>
        <w:t>.</w:t>
      </w:r>
    </w:p>
    <w:p w14:paraId="308C7985" w14:textId="373C95D1" w:rsidR="009753DC" w:rsidRPr="004D307F" w:rsidRDefault="002104B8" w:rsidP="009753DC">
      <w:pPr>
        <w:spacing w:before="100" w:beforeAutospacing="1" w:after="100" w:afterAutospacing="1" w:line="288"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 Funding is calculated at the Indicative cycle and may be updated at the Confirmed </w:t>
      </w:r>
      <w:proofErr w:type="gramStart"/>
      <w:r w:rsidRPr="004D307F">
        <w:rPr>
          <w:rFonts w:ascii="VIC-Regular" w:eastAsia="Times New Roman" w:hAnsi="VIC-Regular" w:cs="Times New Roman"/>
          <w:color w:val="011A3C"/>
          <w:sz w:val="24"/>
          <w:szCs w:val="24"/>
          <w:lang w:val="en" w:eastAsia="en-AU"/>
        </w:rPr>
        <w:t xml:space="preserve">cycle, </w:t>
      </w:r>
      <w:r w:rsidR="00466B4C" w:rsidRPr="004D307F">
        <w:rPr>
          <w:rFonts w:ascii="VIC-Regular" w:eastAsia="Times New Roman" w:hAnsi="VIC-Regular" w:cs="Times New Roman"/>
          <w:color w:val="011A3C"/>
          <w:sz w:val="24"/>
          <w:szCs w:val="24"/>
          <w:lang w:val="en" w:eastAsia="en-AU"/>
        </w:rPr>
        <w:t>and</w:t>
      </w:r>
      <w:proofErr w:type="gramEnd"/>
      <w:r w:rsidRPr="004D307F">
        <w:rPr>
          <w:rFonts w:ascii="VIC-Regular" w:eastAsia="Times New Roman" w:hAnsi="VIC-Regular" w:cs="Times New Roman"/>
          <w:color w:val="011A3C"/>
          <w:sz w:val="24"/>
          <w:szCs w:val="24"/>
          <w:lang w:val="en" w:eastAsia="en-AU"/>
        </w:rPr>
        <w:t xml:space="preserve"> is allocated through credit and cash funding.</w:t>
      </w:r>
    </w:p>
    <w:p w14:paraId="181EA315" w14:textId="2A4C47F9"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202</w:t>
      </w:r>
      <w:r w:rsidR="00466B4C"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9"/>
        <w:gridCol w:w="2323"/>
        <w:gridCol w:w="2033"/>
        <w:gridCol w:w="2071"/>
      </w:tblGrid>
      <w:tr w:rsidR="009753DC" w:rsidRPr="004D307F" w14:paraId="12E77F99" w14:textId="77777777" w:rsidTr="00D93949">
        <w:trPr>
          <w:tblHeader/>
        </w:trPr>
        <w:tc>
          <w:tcPr>
            <w:tcW w:w="0" w:type="auto"/>
            <w:hideMark/>
          </w:tcPr>
          <w:p w14:paraId="6A632635" w14:textId="77777777" w:rsidR="009753DC" w:rsidRPr="004D307F"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Sector</w:t>
            </w:r>
          </w:p>
        </w:tc>
        <w:tc>
          <w:tcPr>
            <w:tcW w:w="0" w:type="auto"/>
            <w:hideMark/>
          </w:tcPr>
          <w:p w14:paraId="78BDA753" w14:textId="77777777" w:rsidR="009753DC" w:rsidRPr="004D307F"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1EC926D2" w14:textId="77777777" w:rsidR="009753DC" w:rsidRPr="004D307F"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25E30FF2" w14:textId="77777777" w:rsidR="009753DC" w:rsidRPr="004D307F" w:rsidRDefault="009753DC" w:rsidP="00314DAA">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314DAA" w:rsidRPr="004D307F" w14:paraId="0CBEDA1C" w14:textId="77777777" w:rsidTr="00D93949">
        <w:tc>
          <w:tcPr>
            <w:tcW w:w="0" w:type="auto"/>
            <w:hideMark/>
          </w:tcPr>
          <w:p w14:paraId="5616CB66" w14:textId="77777777" w:rsidR="00314DAA" w:rsidRPr="004D307F" w:rsidRDefault="00314DAA" w:rsidP="00314DAA">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w:t>
            </w:r>
          </w:p>
        </w:tc>
        <w:tc>
          <w:tcPr>
            <w:tcW w:w="0" w:type="auto"/>
            <w:hideMark/>
          </w:tcPr>
          <w:p w14:paraId="4385F872" w14:textId="6EEB9F04"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118,496</w:t>
            </w:r>
          </w:p>
        </w:tc>
        <w:tc>
          <w:tcPr>
            <w:tcW w:w="0" w:type="auto"/>
            <w:hideMark/>
          </w:tcPr>
          <w:p w14:paraId="059918F1" w14:textId="4B71D527"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r w:rsidR="00466B4C" w:rsidRPr="004D307F">
              <w:rPr>
                <w:rFonts w:ascii="VIC-Regular" w:eastAsia="Times New Roman" w:hAnsi="VIC-Regular" w:cs="Times New Roman"/>
                <w:color w:val="323E4F" w:themeColor="text2" w:themeShade="BF"/>
                <w:sz w:val="24"/>
                <w:szCs w:val="24"/>
                <w:lang w:eastAsia="en-AU"/>
              </w:rPr>
              <w:t>85</w:t>
            </w:r>
          </w:p>
        </w:tc>
        <w:tc>
          <w:tcPr>
            <w:tcW w:w="0" w:type="auto"/>
            <w:hideMark/>
          </w:tcPr>
          <w:p w14:paraId="5D5E7BC3" w14:textId="690B0DC3"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121,5</w:t>
            </w:r>
            <w:r w:rsidR="00466B4C" w:rsidRPr="004D307F">
              <w:rPr>
                <w:rFonts w:ascii="VIC-Regular" w:eastAsia="Times New Roman" w:hAnsi="VIC-Regular" w:cs="Times New Roman"/>
                <w:color w:val="323E4F" w:themeColor="text2" w:themeShade="BF"/>
                <w:sz w:val="24"/>
                <w:szCs w:val="24"/>
                <w:lang w:eastAsia="en-AU"/>
              </w:rPr>
              <w:t>81</w:t>
            </w:r>
          </w:p>
        </w:tc>
      </w:tr>
      <w:tr w:rsidR="00314DAA" w:rsidRPr="004D307F" w14:paraId="44AE4A17" w14:textId="77777777" w:rsidTr="00D93949">
        <w:tc>
          <w:tcPr>
            <w:tcW w:w="0" w:type="auto"/>
            <w:hideMark/>
          </w:tcPr>
          <w:p w14:paraId="10C217BA" w14:textId="77777777" w:rsidR="00314DAA" w:rsidRPr="004D307F" w:rsidRDefault="00314DAA" w:rsidP="00314DAA">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0114ECDA" w14:textId="212ECCAB"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119,535</w:t>
            </w:r>
          </w:p>
        </w:tc>
        <w:tc>
          <w:tcPr>
            <w:tcW w:w="0" w:type="auto"/>
            <w:hideMark/>
          </w:tcPr>
          <w:p w14:paraId="1ACF161A" w14:textId="681BCE73"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r w:rsidR="00466B4C" w:rsidRPr="004D307F">
              <w:rPr>
                <w:rFonts w:ascii="VIC-Regular" w:eastAsia="Times New Roman" w:hAnsi="VIC-Regular" w:cs="Times New Roman"/>
                <w:color w:val="323E4F" w:themeColor="text2" w:themeShade="BF"/>
                <w:sz w:val="24"/>
                <w:szCs w:val="24"/>
                <w:lang w:eastAsia="en-AU"/>
              </w:rPr>
              <w:t>614</w:t>
            </w:r>
          </w:p>
        </w:tc>
        <w:tc>
          <w:tcPr>
            <w:tcW w:w="0" w:type="auto"/>
            <w:hideMark/>
          </w:tcPr>
          <w:p w14:paraId="158FB20D" w14:textId="0DCBFF1A" w:rsidR="00314DAA" w:rsidRPr="004D307F" w:rsidRDefault="00314DAA" w:rsidP="00314DAA">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121,1</w:t>
            </w:r>
            <w:r w:rsidR="00466B4C" w:rsidRPr="004D307F">
              <w:rPr>
                <w:rFonts w:ascii="VIC-Regular" w:eastAsia="Times New Roman" w:hAnsi="VIC-Regular" w:cs="Times New Roman"/>
                <w:color w:val="323E4F" w:themeColor="text2" w:themeShade="BF"/>
                <w:sz w:val="24"/>
                <w:szCs w:val="24"/>
                <w:lang w:eastAsia="en-AU"/>
              </w:rPr>
              <w:t>49</w:t>
            </w:r>
          </w:p>
        </w:tc>
      </w:tr>
    </w:tbl>
    <w:p w14:paraId="6D5D40BD" w14:textId="77777777" w:rsidR="009753DC" w:rsidRPr="004D307F" w:rsidRDefault="009753DC" w:rsidP="009753DC"/>
    <w:p w14:paraId="2D8975DE" w14:textId="77777777" w:rsidR="009753DC" w:rsidRPr="004D307F" w:rsidRDefault="009753DC" w:rsidP="009753DC">
      <w:r w:rsidRPr="004D307F">
        <w:br w:type="page"/>
      </w:r>
    </w:p>
    <w:p w14:paraId="0D7B8C02" w14:textId="0DF9DCE9" w:rsidR="009753DC" w:rsidRPr="004D307F" w:rsidRDefault="009753DC" w:rsidP="00B566E7">
      <w:pPr>
        <w:pStyle w:val="Heading2"/>
      </w:pPr>
      <w:bookmarkStart w:id="79" w:name="_Toc99882764"/>
      <w:r w:rsidRPr="004D307F">
        <w:lastRenderedPageBreak/>
        <w:t>Ancillary Settings Teachers (Reference 48)</w:t>
      </w:r>
      <w:bookmarkEnd w:id="79"/>
    </w:p>
    <w:p w14:paraId="57B6F1B5"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Ancillary settings teachers are allocated to schools formerly having Social Adjustment </w:t>
      </w:r>
      <w:proofErr w:type="spellStart"/>
      <w:r w:rsidRPr="004D307F">
        <w:rPr>
          <w:rFonts w:ascii="VIC-Regular" w:eastAsia="Times New Roman" w:hAnsi="VIC-Regular" w:cs="Times New Roman"/>
          <w:color w:val="011A3C"/>
          <w:sz w:val="24"/>
          <w:szCs w:val="24"/>
          <w:lang w:val="en" w:eastAsia="en-AU"/>
        </w:rPr>
        <w:t>Centres</w:t>
      </w:r>
      <w:proofErr w:type="spellEnd"/>
      <w:r w:rsidRPr="004D307F">
        <w:rPr>
          <w:rFonts w:ascii="VIC-Regular" w:eastAsia="Times New Roman" w:hAnsi="VIC-Regular" w:cs="Times New Roman"/>
          <w:color w:val="011A3C"/>
          <w:sz w:val="24"/>
          <w:szCs w:val="24"/>
          <w:lang w:val="en" w:eastAsia="en-AU"/>
        </w:rPr>
        <w:t xml:space="preserve"> (SACs) and Secondary Teaching Units (STUs).</w:t>
      </w:r>
    </w:p>
    <w:p w14:paraId="20638373" w14:textId="05C2BB36"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Teacher salary charges to schools will continue to be based on actual payroll debits for individual staff as reflected on </w:t>
      </w:r>
      <w:proofErr w:type="spellStart"/>
      <w:r w:rsidRPr="004D307F">
        <w:rPr>
          <w:rFonts w:ascii="VIC-Regular" w:eastAsia="Times New Roman" w:hAnsi="VIC-Regular" w:cs="Times New Roman"/>
          <w:color w:val="011A3C"/>
          <w:sz w:val="24"/>
          <w:szCs w:val="24"/>
          <w:lang w:val="en" w:eastAsia="en-AU"/>
        </w:rPr>
        <w:t>eduPay</w:t>
      </w:r>
      <w:proofErr w:type="spellEnd"/>
      <w:r w:rsidRPr="004D307F">
        <w:rPr>
          <w:rFonts w:ascii="VIC-Regular" w:eastAsia="Times New Roman" w:hAnsi="VIC-Regular" w:cs="Times New Roman"/>
          <w:color w:val="011A3C"/>
          <w:sz w:val="24"/>
          <w:szCs w:val="24"/>
          <w:lang w:val="en" w:eastAsia="en-AU"/>
        </w:rPr>
        <w:t>. This includes the actual cost of annual leave loading and all allowances, such as higher duties and special payments. Also included are non-cash benefits for teachers.</w:t>
      </w:r>
    </w:p>
    <w:p w14:paraId="580FCCBE" w14:textId="1B0BB5E7" w:rsidR="002104B8" w:rsidRPr="004D307F" w:rsidRDefault="002104B8" w:rsidP="002104B8">
      <w:pPr>
        <w:spacing w:before="100" w:beforeAutospacing="1" w:after="100" w:afterAutospacing="1" w:line="360" w:lineRule="atLeast"/>
        <w:rPr>
          <w:rFonts w:ascii="VIC-Regular" w:eastAsia="Times New Roman" w:hAnsi="VIC-Regular" w:cs="Times New Roman"/>
          <w:color w:val="011A3C"/>
          <w:sz w:val="24"/>
          <w:szCs w:val="24"/>
          <w:lang w:val="en" w:eastAsia="en-AU"/>
        </w:rPr>
      </w:pPr>
      <w:bookmarkStart w:id="80" w:name="_Hlk47962119"/>
      <w:r w:rsidRPr="004D307F">
        <w:rPr>
          <w:rFonts w:ascii="VIC-Regular" w:eastAsia="Times New Roman" w:hAnsi="VIC-Regular" w:cs="Times New Roman"/>
          <w:color w:val="011A3C"/>
          <w:sz w:val="24"/>
          <w:szCs w:val="24"/>
          <w:lang w:val="en" w:eastAsia="en-AU"/>
        </w:rPr>
        <w:t xml:space="preserve">Ancillary Settings Teacher funding allocations are </w:t>
      </w:r>
      <w:proofErr w:type="gramStart"/>
      <w:r w:rsidR="00565BC7" w:rsidRPr="004D307F">
        <w:rPr>
          <w:rFonts w:ascii="VIC-Regular" w:eastAsia="Times New Roman" w:hAnsi="VIC-Regular" w:cs="Times New Roman"/>
          <w:color w:val="011A3C"/>
          <w:sz w:val="24"/>
          <w:szCs w:val="24"/>
          <w:lang w:val="en" w:eastAsia="en-AU"/>
        </w:rPr>
        <w:t>determined  by</w:t>
      </w:r>
      <w:proofErr w:type="gramEnd"/>
      <w:r w:rsidRPr="004D307F">
        <w:rPr>
          <w:rFonts w:ascii="VIC-Regular" w:eastAsia="Times New Roman" w:hAnsi="VIC-Regular" w:cs="Times New Roman"/>
          <w:color w:val="011A3C"/>
          <w:sz w:val="24"/>
          <w:szCs w:val="24"/>
          <w:lang w:val="en" w:eastAsia="en-AU"/>
        </w:rPr>
        <w:t xml:space="preserve"> region</w:t>
      </w:r>
      <w:r w:rsidR="00565BC7" w:rsidRPr="004D307F">
        <w:rPr>
          <w:rFonts w:ascii="VIC-Regular" w:eastAsia="Times New Roman" w:hAnsi="VIC-Regular" w:cs="Times New Roman"/>
          <w:color w:val="011A3C"/>
          <w:sz w:val="24"/>
          <w:szCs w:val="24"/>
          <w:lang w:val="en" w:eastAsia="en-AU"/>
        </w:rPr>
        <w:t>al offices</w:t>
      </w:r>
      <w:r w:rsidRPr="004D307F">
        <w:rPr>
          <w:rFonts w:ascii="VIC-Regular" w:eastAsia="Times New Roman" w:hAnsi="VIC-Regular" w:cs="Times New Roman"/>
          <w:color w:val="011A3C"/>
          <w:sz w:val="24"/>
          <w:szCs w:val="24"/>
          <w:lang w:val="en" w:eastAsia="en-AU"/>
        </w:rPr>
        <w:t>.</w:t>
      </w:r>
    </w:p>
    <w:bookmarkEnd w:id="80"/>
    <w:p w14:paraId="1A94C329" w14:textId="66063C72" w:rsidR="002104B8" w:rsidRPr="004D307F"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cycle and may be updated at the Confirmed </w:t>
      </w:r>
      <w:proofErr w:type="gramStart"/>
      <w:r w:rsidRPr="004D307F">
        <w:rPr>
          <w:rFonts w:ascii="VIC-Regular" w:eastAsia="Times New Roman" w:hAnsi="VIC-Regular" w:cs="Times New Roman"/>
          <w:color w:val="011A3C"/>
          <w:sz w:val="24"/>
          <w:szCs w:val="24"/>
          <w:lang w:val="en" w:eastAsia="en-AU"/>
        </w:rPr>
        <w:t xml:space="preserve">cycle, </w:t>
      </w:r>
      <w:r w:rsidR="00466B4C" w:rsidRPr="004D307F">
        <w:rPr>
          <w:rFonts w:ascii="VIC-Regular" w:eastAsia="Times New Roman" w:hAnsi="VIC-Regular" w:cs="Times New Roman"/>
          <w:color w:val="011A3C"/>
          <w:sz w:val="24"/>
          <w:szCs w:val="24"/>
          <w:lang w:val="en" w:eastAsia="en-AU"/>
        </w:rPr>
        <w:t>and</w:t>
      </w:r>
      <w:proofErr w:type="gramEnd"/>
      <w:r w:rsidR="00466B4C" w:rsidRPr="004D307F">
        <w:rPr>
          <w:rFonts w:ascii="VIC-Regular" w:eastAsia="Times New Roman" w:hAnsi="VIC-Regular" w:cs="Times New Roman"/>
          <w:color w:val="011A3C"/>
          <w:sz w:val="24"/>
          <w:szCs w:val="24"/>
          <w:lang w:val="en" w:eastAsia="en-AU"/>
        </w:rPr>
        <w:t xml:space="preserve"> </w:t>
      </w:r>
      <w:r w:rsidRPr="004D307F">
        <w:rPr>
          <w:rFonts w:ascii="VIC-Regular" w:eastAsia="Times New Roman" w:hAnsi="VIC-Regular" w:cs="Times New Roman"/>
          <w:color w:val="011A3C"/>
          <w:sz w:val="24"/>
          <w:szCs w:val="24"/>
          <w:lang w:val="en" w:eastAsia="en-AU"/>
        </w:rPr>
        <w:t>is allocated through credit and cash funding.</w:t>
      </w:r>
    </w:p>
    <w:p w14:paraId="3E08740E" w14:textId="1849BD81" w:rsidR="009753DC" w:rsidRPr="004D307F" w:rsidRDefault="009753DC" w:rsidP="009753DC">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202</w:t>
      </w:r>
      <w:r w:rsidR="00466B4C" w:rsidRPr="004D307F">
        <w:rPr>
          <w:rFonts w:ascii="VIC-Bold" w:eastAsia="Times New Roman" w:hAnsi="VIC-Bold" w:cs="Times New Roman"/>
          <w:b/>
          <w:bCs/>
          <w:color w:val="011A3C"/>
          <w:sz w:val="27"/>
          <w:szCs w:val="27"/>
          <w:lang w:val="en" w:eastAsia="en-A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9"/>
        <w:gridCol w:w="2323"/>
        <w:gridCol w:w="2033"/>
        <w:gridCol w:w="2071"/>
      </w:tblGrid>
      <w:tr w:rsidR="009753DC" w:rsidRPr="004D307F" w14:paraId="79CCF682" w14:textId="77777777" w:rsidTr="00D93949">
        <w:trPr>
          <w:tblHeader/>
        </w:trPr>
        <w:tc>
          <w:tcPr>
            <w:tcW w:w="0" w:type="auto"/>
            <w:hideMark/>
          </w:tcPr>
          <w:p w14:paraId="6559034B" w14:textId="77777777" w:rsidR="009753DC" w:rsidRPr="004D307F" w:rsidRDefault="009753DC" w:rsidP="009753D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Sector</w:t>
            </w:r>
          </w:p>
        </w:tc>
        <w:tc>
          <w:tcPr>
            <w:tcW w:w="0" w:type="auto"/>
            <w:hideMark/>
          </w:tcPr>
          <w:p w14:paraId="22E035A8" w14:textId="77777777" w:rsidR="009753DC" w:rsidRPr="004D307F"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Credit ($)</w:t>
            </w:r>
          </w:p>
        </w:tc>
        <w:tc>
          <w:tcPr>
            <w:tcW w:w="0" w:type="auto"/>
            <w:hideMark/>
          </w:tcPr>
          <w:p w14:paraId="0E77269B" w14:textId="77777777" w:rsidR="009753DC" w:rsidRPr="004D307F"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Cash ($)</w:t>
            </w:r>
          </w:p>
        </w:tc>
        <w:tc>
          <w:tcPr>
            <w:tcW w:w="0" w:type="auto"/>
            <w:hideMark/>
          </w:tcPr>
          <w:p w14:paraId="0C10C11C" w14:textId="77777777" w:rsidR="009753DC" w:rsidRPr="004D307F" w:rsidRDefault="009753DC" w:rsidP="004363C4">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Total ($)</w:t>
            </w:r>
          </w:p>
        </w:tc>
      </w:tr>
      <w:tr w:rsidR="00565BC7" w:rsidRPr="004D307F" w14:paraId="5036F9D7" w14:textId="77777777" w:rsidTr="00D93949">
        <w:tc>
          <w:tcPr>
            <w:tcW w:w="0" w:type="auto"/>
            <w:hideMark/>
          </w:tcPr>
          <w:p w14:paraId="4719C0ED" w14:textId="77777777" w:rsidR="00565BC7" w:rsidRPr="004D307F" w:rsidRDefault="00565BC7" w:rsidP="00565BC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Primary</w:t>
            </w:r>
          </w:p>
        </w:tc>
        <w:tc>
          <w:tcPr>
            <w:tcW w:w="0" w:type="auto"/>
            <w:hideMark/>
          </w:tcPr>
          <w:p w14:paraId="420B2CEC" w14:textId="3F0494B1" w:rsidR="00565BC7" w:rsidRPr="004D307F" w:rsidRDefault="00565BC7" w:rsidP="00AB4323">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118,496</w:t>
            </w:r>
          </w:p>
        </w:tc>
        <w:tc>
          <w:tcPr>
            <w:tcW w:w="0" w:type="auto"/>
            <w:hideMark/>
          </w:tcPr>
          <w:p w14:paraId="41C737FF" w14:textId="5FF7BA67" w:rsidR="00565BC7" w:rsidRPr="004D307F" w:rsidRDefault="00565BC7" w:rsidP="007B0638">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3,0</w:t>
            </w:r>
            <w:r w:rsidR="00466B4C" w:rsidRPr="004D307F">
              <w:rPr>
                <w:rFonts w:ascii="VIC-Regular" w:eastAsia="Times New Roman" w:hAnsi="VIC-Regular" w:cs="Times New Roman"/>
                <w:color w:val="323E4F" w:themeColor="text2" w:themeShade="BF"/>
                <w:sz w:val="24"/>
                <w:szCs w:val="24"/>
                <w:lang w:eastAsia="en-AU"/>
              </w:rPr>
              <w:t>85</w:t>
            </w:r>
          </w:p>
        </w:tc>
        <w:tc>
          <w:tcPr>
            <w:tcW w:w="0" w:type="auto"/>
            <w:hideMark/>
          </w:tcPr>
          <w:p w14:paraId="12BBF872" w14:textId="3DB6F8A1" w:rsidR="00565BC7" w:rsidRPr="004D307F" w:rsidRDefault="00565BC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121,5</w:t>
            </w:r>
            <w:r w:rsidR="00466B4C" w:rsidRPr="004D307F">
              <w:rPr>
                <w:rFonts w:ascii="VIC-Regular" w:eastAsia="Times New Roman" w:hAnsi="VIC-Regular" w:cs="Times New Roman"/>
                <w:color w:val="323E4F" w:themeColor="text2" w:themeShade="BF"/>
                <w:sz w:val="24"/>
                <w:szCs w:val="24"/>
                <w:lang w:eastAsia="en-AU"/>
              </w:rPr>
              <w:t>81</w:t>
            </w:r>
          </w:p>
        </w:tc>
      </w:tr>
      <w:tr w:rsidR="00565BC7" w:rsidRPr="004D307F" w14:paraId="594E9FED" w14:textId="77777777" w:rsidTr="00D93949">
        <w:tc>
          <w:tcPr>
            <w:tcW w:w="0" w:type="auto"/>
            <w:hideMark/>
          </w:tcPr>
          <w:p w14:paraId="681B916F" w14:textId="77777777" w:rsidR="00565BC7" w:rsidRPr="004D307F" w:rsidRDefault="00565BC7" w:rsidP="00565BC7">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Secondary</w:t>
            </w:r>
          </w:p>
        </w:tc>
        <w:tc>
          <w:tcPr>
            <w:tcW w:w="0" w:type="auto"/>
            <w:hideMark/>
          </w:tcPr>
          <w:p w14:paraId="04A7317C" w14:textId="446FFC8A" w:rsidR="00565BC7" w:rsidRPr="004D307F" w:rsidRDefault="00565BC7" w:rsidP="00AB4323">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119,535</w:t>
            </w:r>
          </w:p>
        </w:tc>
        <w:tc>
          <w:tcPr>
            <w:tcW w:w="0" w:type="auto"/>
            <w:hideMark/>
          </w:tcPr>
          <w:p w14:paraId="1D221394" w14:textId="2F6D11F4" w:rsidR="00565BC7" w:rsidRPr="004D307F" w:rsidRDefault="00466B4C" w:rsidP="007B0638">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1,614</w:t>
            </w:r>
          </w:p>
        </w:tc>
        <w:tc>
          <w:tcPr>
            <w:tcW w:w="0" w:type="auto"/>
            <w:hideMark/>
          </w:tcPr>
          <w:p w14:paraId="3F55CAB7" w14:textId="065692D7" w:rsidR="00565BC7" w:rsidRPr="004D307F" w:rsidRDefault="00565BC7">
            <w:pPr>
              <w:spacing w:after="0" w:line="360" w:lineRule="atLeast"/>
              <w:jc w:val="center"/>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121,1</w:t>
            </w:r>
            <w:r w:rsidR="00466B4C" w:rsidRPr="004D307F">
              <w:rPr>
                <w:rFonts w:ascii="VIC-Regular" w:eastAsia="Times New Roman" w:hAnsi="VIC-Regular" w:cs="Times New Roman"/>
                <w:color w:val="323E4F" w:themeColor="text2" w:themeShade="BF"/>
                <w:sz w:val="24"/>
                <w:szCs w:val="24"/>
                <w:lang w:eastAsia="en-AU"/>
              </w:rPr>
              <w:t>49</w:t>
            </w:r>
          </w:p>
        </w:tc>
      </w:tr>
    </w:tbl>
    <w:p w14:paraId="385A31F2" w14:textId="77777777" w:rsidR="009753DC" w:rsidRPr="004D307F" w:rsidRDefault="009753DC" w:rsidP="009753DC"/>
    <w:p w14:paraId="773AEB80" w14:textId="77777777" w:rsidR="009753DC" w:rsidRPr="004D307F" w:rsidRDefault="009753DC" w:rsidP="009753DC">
      <w:r w:rsidRPr="004D307F">
        <w:br w:type="page"/>
      </w:r>
    </w:p>
    <w:p w14:paraId="2A697E7E" w14:textId="1BA4290B" w:rsidR="009753DC" w:rsidRPr="004D307F" w:rsidRDefault="009753DC" w:rsidP="00B566E7">
      <w:pPr>
        <w:pStyle w:val="Heading2"/>
      </w:pPr>
      <w:bookmarkStart w:id="81" w:name="_Toc99882765"/>
      <w:r w:rsidRPr="004D307F">
        <w:lastRenderedPageBreak/>
        <w:t>Alternative programs — regional grants (Reference 49)</w:t>
      </w:r>
      <w:bookmarkEnd w:id="81"/>
    </w:p>
    <w:p w14:paraId="2C267E51" w14:textId="68E0DAB5"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Cambria Math" w:eastAsia="Times New Roman" w:hAnsi="Cambria Math" w:cs="Cambria Math"/>
          <w:color w:val="011A3C"/>
          <w:sz w:val="24"/>
          <w:szCs w:val="24"/>
          <w:lang w:val="en" w:eastAsia="en-AU"/>
        </w:rPr>
        <w:t>​</w:t>
      </w:r>
      <w:r w:rsidR="004D1CF3" w:rsidRPr="004D307F">
        <w:rPr>
          <w:rFonts w:ascii="VIC-Regular" w:eastAsia="Times New Roman" w:hAnsi="VIC-Regular" w:cs="Times New Roman"/>
          <w:color w:val="011A3C"/>
          <w:sz w:val="24"/>
          <w:szCs w:val="24"/>
          <w:lang w:val="en" w:eastAsia="en-AU"/>
        </w:rPr>
        <w:t xml:space="preserve"> </w:t>
      </w:r>
      <w:r w:rsidR="002104B8" w:rsidRPr="004D307F">
        <w:rPr>
          <w:rFonts w:ascii="VIC-Regular" w:eastAsia="Times New Roman" w:hAnsi="VIC-Regular" w:cs="Times New Roman"/>
          <w:color w:val="011A3C"/>
          <w:sz w:val="24"/>
          <w:szCs w:val="24"/>
          <w:lang w:val="en" w:eastAsia="en-AU"/>
        </w:rPr>
        <w:t>This is a</w:t>
      </w:r>
      <w:r w:rsidRPr="004D307F">
        <w:rPr>
          <w:rFonts w:ascii="VIC-Regular" w:eastAsia="Times New Roman" w:hAnsi="VIC-Regular" w:cs="Times New Roman"/>
          <w:color w:val="011A3C"/>
          <w:sz w:val="24"/>
          <w:szCs w:val="24"/>
          <w:lang w:val="en" w:eastAsia="en-AU"/>
        </w:rPr>
        <w:t xml:space="preserve"> </w:t>
      </w:r>
      <w:proofErr w:type="gramStart"/>
      <w:r w:rsidRPr="004D307F">
        <w:rPr>
          <w:rFonts w:ascii="VIC-Regular" w:eastAsia="Times New Roman" w:hAnsi="VIC-Regular" w:cs="Times New Roman"/>
          <w:color w:val="011A3C"/>
          <w:sz w:val="24"/>
          <w:szCs w:val="24"/>
          <w:lang w:val="en" w:eastAsia="en-AU"/>
        </w:rPr>
        <w:t>Regional</w:t>
      </w:r>
      <w:proofErr w:type="gramEnd"/>
      <w:r w:rsidRPr="004D307F">
        <w:rPr>
          <w:rFonts w:ascii="VIC-Regular" w:eastAsia="Times New Roman" w:hAnsi="VIC-Regular" w:cs="Times New Roman"/>
          <w:color w:val="011A3C"/>
          <w:sz w:val="24"/>
          <w:szCs w:val="24"/>
          <w:lang w:val="en" w:eastAsia="en-AU"/>
        </w:rPr>
        <w:t xml:space="preserve"> allocation of funding</w:t>
      </w:r>
      <w:r w:rsidR="00C23301" w:rsidRPr="004D307F">
        <w:rPr>
          <w:rFonts w:ascii="VIC-Regular" w:eastAsia="Times New Roman" w:hAnsi="VIC-Regular" w:cs="Times New Roman"/>
          <w:color w:val="011A3C"/>
          <w:sz w:val="24"/>
          <w:szCs w:val="24"/>
          <w:lang w:val="en" w:eastAsia="en-AU"/>
        </w:rPr>
        <w:t xml:space="preserve">, determined by </w:t>
      </w:r>
      <w:r w:rsidR="0042488F" w:rsidRPr="004D307F">
        <w:rPr>
          <w:rFonts w:ascii="VIC-Regular" w:eastAsia="Times New Roman" w:hAnsi="VIC-Regular" w:cs="Times New Roman"/>
          <w:color w:val="011A3C"/>
          <w:sz w:val="24"/>
          <w:szCs w:val="24"/>
          <w:lang w:val="en" w:eastAsia="en-AU"/>
        </w:rPr>
        <w:t xml:space="preserve">each of the </w:t>
      </w:r>
      <w:r w:rsidR="00F70E7B">
        <w:rPr>
          <w:rFonts w:ascii="VIC-Regular" w:eastAsia="Times New Roman" w:hAnsi="VIC-Regular" w:cs="Times New Roman"/>
          <w:color w:val="011A3C"/>
          <w:sz w:val="24"/>
          <w:szCs w:val="24"/>
          <w:lang w:val="en" w:eastAsia="en-AU"/>
        </w:rPr>
        <w:t>4</w:t>
      </w:r>
      <w:r w:rsidR="0042488F" w:rsidRPr="004D307F">
        <w:rPr>
          <w:rFonts w:ascii="VIC-Regular" w:eastAsia="Times New Roman" w:hAnsi="VIC-Regular" w:cs="Times New Roman"/>
          <w:color w:val="011A3C"/>
          <w:sz w:val="24"/>
          <w:szCs w:val="24"/>
          <w:lang w:val="en" w:eastAsia="en-AU"/>
        </w:rPr>
        <w:t xml:space="preserve"> </w:t>
      </w:r>
      <w:r w:rsidR="00C23301" w:rsidRPr="004D307F">
        <w:rPr>
          <w:rFonts w:ascii="VIC-Regular" w:eastAsia="Times New Roman" w:hAnsi="VIC-Regular" w:cs="Times New Roman"/>
          <w:color w:val="011A3C"/>
          <w:sz w:val="24"/>
          <w:szCs w:val="24"/>
          <w:lang w:val="en" w:eastAsia="en-AU"/>
        </w:rPr>
        <w:t>regional offices,</w:t>
      </w:r>
      <w:r w:rsidRPr="004D307F">
        <w:rPr>
          <w:rFonts w:ascii="VIC-Regular" w:eastAsia="Times New Roman" w:hAnsi="VIC-Regular" w:cs="Times New Roman"/>
          <w:color w:val="011A3C"/>
          <w:sz w:val="24"/>
          <w:szCs w:val="24"/>
          <w:lang w:val="en" w:eastAsia="en-AU"/>
        </w:rPr>
        <w:t xml:space="preserve"> to support alternative programs for students.</w:t>
      </w:r>
    </w:p>
    <w:p w14:paraId="5BC8BB65" w14:textId="77777777" w:rsidR="009753DC" w:rsidRPr="004D307F" w:rsidRDefault="009753DC"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Where these funds are to be used by schools for salaries on </w:t>
      </w:r>
      <w:proofErr w:type="spellStart"/>
      <w:r w:rsidRPr="004D307F">
        <w:rPr>
          <w:rFonts w:ascii="VIC-Regular" w:eastAsia="Times New Roman" w:hAnsi="VIC-Regular" w:cs="Times New Roman"/>
          <w:color w:val="011A3C"/>
          <w:sz w:val="24"/>
          <w:szCs w:val="24"/>
          <w:lang w:val="en" w:eastAsia="en-AU"/>
        </w:rPr>
        <w:t>eduPay</w:t>
      </w:r>
      <w:proofErr w:type="spellEnd"/>
      <w:r w:rsidRPr="004D307F">
        <w:rPr>
          <w:rFonts w:ascii="VIC-Regular" w:eastAsia="Times New Roman" w:hAnsi="VIC-Regular" w:cs="Times New Roman"/>
          <w:color w:val="011A3C"/>
          <w:sz w:val="24"/>
          <w:szCs w:val="24"/>
          <w:lang w:val="en" w:eastAsia="en-AU"/>
        </w:rPr>
        <w:t>, schools may need (depending on their overall budget surplus situation) to undertake a cash-to-credit transfer to offset the payroll charge-out.</w:t>
      </w:r>
    </w:p>
    <w:p w14:paraId="6779A2BE" w14:textId="2A777162" w:rsidR="009753DC" w:rsidRPr="004D307F" w:rsidRDefault="002104B8" w:rsidP="009753D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cycle and may be updated at the Confirmed </w:t>
      </w:r>
      <w:r w:rsidR="0042488F" w:rsidRPr="004D307F">
        <w:rPr>
          <w:rFonts w:ascii="VIC-Regular" w:eastAsia="Times New Roman" w:hAnsi="VIC-Regular" w:cs="Times New Roman"/>
          <w:color w:val="011A3C"/>
          <w:sz w:val="24"/>
          <w:szCs w:val="24"/>
          <w:lang w:val="en" w:eastAsia="en-AU"/>
        </w:rPr>
        <w:t>cycle;</w:t>
      </w:r>
      <w:r w:rsidRPr="004D307F">
        <w:rPr>
          <w:rFonts w:ascii="VIC-Regular" w:eastAsia="Times New Roman" w:hAnsi="VIC-Regular" w:cs="Times New Roman"/>
          <w:color w:val="011A3C"/>
          <w:sz w:val="24"/>
          <w:szCs w:val="24"/>
          <w:lang w:val="en" w:eastAsia="en-AU"/>
        </w:rPr>
        <w:t xml:space="preserve"> funding is allocated through cash funding.</w:t>
      </w:r>
    </w:p>
    <w:p w14:paraId="406546A3" w14:textId="77777777" w:rsidR="009753DC" w:rsidRPr="004D307F" w:rsidRDefault="009753DC" w:rsidP="009753DC">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0878E2F4" w14:textId="34B6D4D5" w:rsidR="008503A1" w:rsidRPr="004D307F" w:rsidRDefault="008503A1" w:rsidP="00B566E7">
      <w:pPr>
        <w:pStyle w:val="Heading2"/>
      </w:pPr>
      <w:bookmarkStart w:id="82" w:name="_Toc99882766"/>
      <w:bookmarkStart w:id="83" w:name="_Hlk49848111"/>
      <w:r w:rsidRPr="004D307F">
        <w:lastRenderedPageBreak/>
        <w:t>Joint Community Program</w:t>
      </w:r>
      <w:r w:rsidR="003611D0" w:rsidRPr="004D307F">
        <w:t xml:space="preserve"> </w:t>
      </w:r>
      <w:r w:rsidR="00891D19" w:rsidRPr="004D307F">
        <w:t>(Reference 123)</w:t>
      </w:r>
      <w:bookmarkEnd w:id="82"/>
    </w:p>
    <w:p w14:paraId="20A75115" w14:textId="50451057" w:rsidR="008503A1" w:rsidRPr="004D307F" w:rsidRDefault="008503A1"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Joint Community Program grants are for Joint use facilities that were transferred from the Regional Offices </w:t>
      </w:r>
      <w:r w:rsidR="003611D0" w:rsidRPr="004D307F">
        <w:rPr>
          <w:rFonts w:ascii="VIC-Regular" w:eastAsia="Times New Roman" w:hAnsi="VIC-Regular" w:cs="Times New Roman"/>
          <w:color w:val="011A3C"/>
          <w:sz w:val="24"/>
          <w:szCs w:val="24"/>
          <w:lang w:val="en" w:eastAsia="en-AU"/>
        </w:rPr>
        <w:t xml:space="preserve">in 2010 </w:t>
      </w:r>
      <w:r w:rsidRPr="004D307F">
        <w:rPr>
          <w:rFonts w:ascii="VIC-Regular" w:eastAsia="Times New Roman" w:hAnsi="VIC-Regular" w:cs="Times New Roman"/>
          <w:color w:val="011A3C"/>
          <w:sz w:val="24"/>
          <w:szCs w:val="24"/>
          <w:lang w:val="en" w:eastAsia="en-AU"/>
        </w:rPr>
        <w:t>and incorporated into the Student Resource Package.</w:t>
      </w:r>
    </w:p>
    <w:p w14:paraId="4DDE4D13" w14:textId="79430698" w:rsidR="008503A1" w:rsidRPr="004D307F" w:rsidRDefault="008503A1" w:rsidP="008503A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dependent on individual service agreement (administered by regional offices) between the Department and an external provider.</w:t>
      </w:r>
    </w:p>
    <w:p w14:paraId="643F9F74" w14:textId="77777777" w:rsidR="008503A1" w:rsidRPr="004D307F" w:rsidRDefault="008503A1" w:rsidP="008503A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agreements are generally established under a committee of management with representation from schools and other parties, such as municipal offices, and allocated on advice from regions. </w:t>
      </w:r>
    </w:p>
    <w:p w14:paraId="77D4FEE7" w14:textId="424BE360" w:rsidR="008503A1" w:rsidRPr="004D307F" w:rsidRDefault="008503A1" w:rsidP="008503A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cycle and may be updated at the Confirmed </w:t>
      </w:r>
      <w:proofErr w:type="gramStart"/>
      <w:r w:rsidRPr="004D307F">
        <w:rPr>
          <w:rFonts w:ascii="VIC-Regular" w:eastAsia="Times New Roman" w:hAnsi="VIC-Regular" w:cs="Times New Roman"/>
          <w:color w:val="011A3C"/>
          <w:sz w:val="24"/>
          <w:szCs w:val="24"/>
          <w:lang w:val="en" w:eastAsia="en-AU"/>
        </w:rPr>
        <w:t xml:space="preserve">cycle, </w:t>
      </w:r>
      <w:r w:rsidR="007357F3" w:rsidRPr="004D307F">
        <w:rPr>
          <w:rFonts w:ascii="VIC-Regular" w:eastAsia="Times New Roman" w:hAnsi="VIC-Regular" w:cs="Times New Roman"/>
          <w:color w:val="011A3C"/>
          <w:sz w:val="24"/>
          <w:szCs w:val="24"/>
          <w:lang w:val="en" w:eastAsia="en-AU"/>
        </w:rPr>
        <w:t>and</w:t>
      </w:r>
      <w:proofErr w:type="gramEnd"/>
      <w:r w:rsidRPr="004D307F">
        <w:rPr>
          <w:rFonts w:ascii="VIC-Regular" w:eastAsia="Times New Roman" w:hAnsi="VIC-Regular" w:cs="Times New Roman"/>
          <w:color w:val="011A3C"/>
          <w:sz w:val="24"/>
          <w:szCs w:val="24"/>
          <w:lang w:val="en" w:eastAsia="en-AU"/>
        </w:rPr>
        <w:t xml:space="preserve"> is allocated through cash funding.</w:t>
      </w:r>
    </w:p>
    <w:bookmarkEnd w:id="83"/>
    <w:p w14:paraId="3054F04B" w14:textId="77777777" w:rsidR="009C7551" w:rsidRPr="004D307F" w:rsidRDefault="009C7551">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3BC86176" w14:textId="3C9DC4C4" w:rsidR="00570DE3" w:rsidRPr="004D307F" w:rsidRDefault="009C7551" w:rsidP="00B566E7">
      <w:pPr>
        <w:pStyle w:val="Heading2"/>
      </w:pPr>
      <w:bookmarkStart w:id="84" w:name="_Toc99882767"/>
      <w:r w:rsidRPr="004D307F">
        <w:lastRenderedPageBreak/>
        <w:t>Designated Bilingual Programs</w:t>
      </w:r>
      <w:r w:rsidR="00B52991" w:rsidRPr="004D307F">
        <w:t xml:space="preserve"> (Reference 124)</w:t>
      </w:r>
      <w:bookmarkEnd w:id="84"/>
    </w:p>
    <w:p w14:paraId="22D76EC5" w14:textId="5021CBF6" w:rsidR="00570DE3" w:rsidRPr="004D307F" w:rsidRDefault="00570DE3" w:rsidP="006D6E02">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 xml:space="preserve">The Designated Bilingual Program (DBP) provides annual funding to support the delivery of bilingual education across a select number of government bilingual schools, through face-to-face teaching in the target language to 100% of students for a minimum of </w:t>
      </w:r>
      <w:r w:rsidR="006F2DF7" w:rsidRPr="004D307F">
        <w:rPr>
          <w:rFonts w:ascii="VIC-Regular" w:hAnsi="VIC-Regular"/>
          <w:color w:val="011A3C"/>
          <w:sz w:val="24"/>
          <w:szCs w:val="24"/>
          <w:lang w:val="en" w:eastAsia="en-AU"/>
        </w:rPr>
        <w:t>30% (</w:t>
      </w:r>
      <w:r w:rsidRPr="004D307F">
        <w:rPr>
          <w:rFonts w:ascii="VIC-Regular" w:hAnsi="VIC-Regular"/>
          <w:color w:val="011A3C"/>
          <w:sz w:val="24"/>
          <w:szCs w:val="24"/>
          <w:lang w:val="en" w:eastAsia="en-AU"/>
        </w:rPr>
        <w:t>7.5 hours</w:t>
      </w:r>
      <w:r w:rsidR="006F2DF7" w:rsidRPr="004D307F">
        <w:rPr>
          <w:rFonts w:ascii="VIC-Regular" w:hAnsi="VIC-Regular"/>
          <w:color w:val="011A3C"/>
          <w:sz w:val="24"/>
          <w:szCs w:val="24"/>
          <w:lang w:val="en" w:eastAsia="en-AU"/>
        </w:rPr>
        <w:t>) and</w:t>
      </w:r>
      <w:r w:rsidRPr="004D307F">
        <w:rPr>
          <w:rFonts w:ascii="VIC-Regular" w:hAnsi="VIC-Regular"/>
          <w:color w:val="011A3C"/>
          <w:sz w:val="24"/>
          <w:szCs w:val="24"/>
          <w:lang w:val="en" w:eastAsia="en-AU"/>
        </w:rPr>
        <w:t xml:space="preserve"> up to </w:t>
      </w:r>
      <w:r w:rsidR="006F2DF7" w:rsidRPr="004D307F">
        <w:rPr>
          <w:rFonts w:ascii="VIC-Regular" w:hAnsi="VIC-Regular"/>
          <w:color w:val="011A3C"/>
          <w:sz w:val="24"/>
          <w:szCs w:val="24"/>
          <w:lang w:val="en" w:eastAsia="en-AU"/>
        </w:rPr>
        <w:t>50% (</w:t>
      </w:r>
      <w:r w:rsidRPr="004D307F">
        <w:rPr>
          <w:rFonts w:ascii="VIC-Regular" w:hAnsi="VIC-Regular"/>
          <w:color w:val="011A3C"/>
          <w:sz w:val="24"/>
          <w:szCs w:val="24"/>
          <w:lang w:val="en" w:eastAsia="en-AU"/>
        </w:rPr>
        <w:t>12.5 hours</w:t>
      </w:r>
      <w:r w:rsidR="006F2DF7" w:rsidRPr="004D307F">
        <w:rPr>
          <w:rFonts w:ascii="VIC-Regular" w:hAnsi="VIC-Regular"/>
          <w:color w:val="011A3C"/>
          <w:sz w:val="24"/>
          <w:szCs w:val="24"/>
          <w:lang w:val="en" w:eastAsia="en-AU"/>
        </w:rPr>
        <w:t>)</w:t>
      </w:r>
      <w:r w:rsidRPr="004D307F">
        <w:rPr>
          <w:rFonts w:ascii="VIC-Regular" w:hAnsi="VIC-Regular"/>
          <w:color w:val="011A3C"/>
          <w:sz w:val="24"/>
          <w:szCs w:val="24"/>
          <w:lang w:val="en" w:eastAsia="en-AU"/>
        </w:rPr>
        <w:t xml:space="preserve"> per week.</w:t>
      </w:r>
      <w:r w:rsidR="00545553">
        <w:rPr>
          <w:rFonts w:ascii="VIC-Regular" w:hAnsi="VIC-Regular"/>
          <w:color w:val="011A3C"/>
          <w:sz w:val="24"/>
          <w:szCs w:val="24"/>
          <w:lang w:val="en" w:eastAsia="en-AU"/>
        </w:rPr>
        <w:t xml:space="preserve"> </w:t>
      </w:r>
      <w:r w:rsidRPr="004D307F">
        <w:rPr>
          <w:rFonts w:ascii="VIC-Regular" w:hAnsi="VIC-Regular"/>
          <w:color w:val="011A3C"/>
          <w:sz w:val="24"/>
          <w:szCs w:val="24"/>
          <w:lang w:val="en" w:eastAsia="en-AU"/>
        </w:rPr>
        <w:t>The DBP is managed by the Learning</w:t>
      </w:r>
      <w:r w:rsidR="00A56EA7" w:rsidRPr="004D307F">
        <w:rPr>
          <w:rFonts w:ascii="VIC-Regular" w:hAnsi="VIC-Regular"/>
          <w:color w:val="011A3C"/>
          <w:sz w:val="24"/>
          <w:szCs w:val="24"/>
          <w:lang w:val="en" w:eastAsia="en-AU"/>
        </w:rPr>
        <w:t xml:space="preserve"> and </w:t>
      </w:r>
      <w:r w:rsidRPr="004D307F">
        <w:rPr>
          <w:rFonts w:ascii="VIC-Regular" w:hAnsi="VIC-Regular"/>
          <w:color w:val="011A3C"/>
          <w:sz w:val="24"/>
          <w:szCs w:val="24"/>
          <w:lang w:val="en" w:eastAsia="en-AU"/>
        </w:rPr>
        <w:t>Teaching Division.</w:t>
      </w:r>
    </w:p>
    <w:p w14:paraId="3DC14226" w14:textId="77777777" w:rsidR="00570DE3" w:rsidRPr="004D307F" w:rsidRDefault="00570DE3" w:rsidP="004D307F">
      <w:pPr>
        <w:spacing w:before="100" w:beforeAutospacing="1" w:after="100" w:afterAutospacing="1"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3A1389B1" w14:textId="77777777" w:rsidR="00570DE3" w:rsidRPr="004D307F" w:rsidRDefault="00570DE3" w:rsidP="005A7E0A">
      <w:pPr>
        <w:spacing w:before="100" w:beforeAutospacing="1" w:after="100" w:afterAutospacing="1"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Schools with the following school types are included in the Designated Bilingual Program.</w:t>
      </w:r>
    </w:p>
    <w:p w14:paraId="1A9615A2" w14:textId="58D3438D" w:rsidR="00570DE3" w:rsidRPr="004D307F" w:rsidRDefault="00570DE3" w:rsidP="00ED0863">
      <w:pPr>
        <w:pStyle w:val="ListParagraph"/>
        <w:numPr>
          <w:ilvl w:val="0"/>
          <w:numId w:val="137"/>
        </w:numPr>
        <w:spacing w:line="360" w:lineRule="atLeast"/>
        <w:rPr>
          <w:rFonts w:ascii="Calibri" w:eastAsia="Times New Roman" w:hAnsi="Calibri"/>
          <w:lang w:val="en-US"/>
        </w:rPr>
      </w:pPr>
      <w:r w:rsidRPr="004D307F">
        <w:rPr>
          <w:rFonts w:ascii="VIC-Regular" w:eastAsia="Times New Roman" w:hAnsi="VIC-Regular"/>
          <w:color w:val="011A3C"/>
          <w:sz w:val="24"/>
          <w:szCs w:val="24"/>
          <w:lang w:val="en" w:eastAsia="en-AU"/>
        </w:rPr>
        <w:t>Primary</w:t>
      </w:r>
    </w:p>
    <w:p w14:paraId="32A0B1D6" w14:textId="769EFF38" w:rsidR="000B237C" w:rsidRPr="004D307F" w:rsidRDefault="00A56EA7" w:rsidP="004D307F">
      <w:pPr>
        <w:spacing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Subject to Ministerial approval and the availability of resources, the Department may provide an opportunity for a new school to enter the Designated Bilingual Program. This involves a targeted Expression of Interest (EOI) process to a small number of schools w</w:t>
      </w:r>
      <w:r w:rsidR="006717C9" w:rsidRPr="004D307F">
        <w:rPr>
          <w:rFonts w:ascii="VIC-Regular" w:hAnsi="VIC-Regular"/>
          <w:color w:val="011A3C"/>
          <w:sz w:val="24"/>
          <w:szCs w:val="24"/>
          <w:lang w:val="en" w:eastAsia="en-AU"/>
        </w:rPr>
        <w:t>ho</w:t>
      </w:r>
      <w:r w:rsidRPr="004D307F">
        <w:rPr>
          <w:rFonts w:ascii="VIC-Regular" w:hAnsi="VIC-Regular"/>
          <w:color w:val="011A3C"/>
          <w:sz w:val="24"/>
          <w:szCs w:val="24"/>
          <w:lang w:val="en" w:eastAsia="en-AU"/>
        </w:rPr>
        <w:t xml:space="preserve"> can demonstrate existing, strong language programs, such as highly successful Content and </w:t>
      </w:r>
      <w:r w:rsidR="006717C9" w:rsidRPr="004D307F">
        <w:rPr>
          <w:rFonts w:ascii="VIC-Regular" w:hAnsi="VIC-Regular"/>
          <w:color w:val="011A3C"/>
          <w:sz w:val="24"/>
          <w:szCs w:val="24"/>
          <w:lang w:val="en" w:eastAsia="en-AU"/>
        </w:rPr>
        <w:t>L</w:t>
      </w:r>
      <w:r w:rsidRPr="004D307F">
        <w:rPr>
          <w:rFonts w:ascii="VIC-Regular" w:hAnsi="VIC-Regular"/>
          <w:color w:val="011A3C"/>
          <w:sz w:val="24"/>
          <w:szCs w:val="24"/>
          <w:lang w:val="en" w:eastAsia="en-AU"/>
        </w:rPr>
        <w:t xml:space="preserve">anguage </w:t>
      </w:r>
      <w:r w:rsidR="006717C9" w:rsidRPr="004D307F">
        <w:rPr>
          <w:rFonts w:ascii="VIC-Regular" w:hAnsi="VIC-Regular"/>
          <w:color w:val="011A3C"/>
          <w:sz w:val="24"/>
          <w:szCs w:val="24"/>
          <w:lang w:val="en" w:eastAsia="en-AU"/>
        </w:rPr>
        <w:t>I</w:t>
      </w:r>
      <w:r w:rsidRPr="004D307F">
        <w:rPr>
          <w:rFonts w:ascii="VIC-Regular" w:hAnsi="VIC-Regular"/>
          <w:color w:val="011A3C"/>
          <w:sz w:val="24"/>
          <w:szCs w:val="24"/>
          <w:lang w:val="en" w:eastAsia="en-AU"/>
        </w:rPr>
        <w:t xml:space="preserve">ntegrated </w:t>
      </w:r>
      <w:r w:rsidR="006717C9" w:rsidRPr="004D307F">
        <w:rPr>
          <w:rFonts w:ascii="VIC-Regular" w:hAnsi="VIC-Regular"/>
          <w:color w:val="011A3C"/>
          <w:sz w:val="24"/>
          <w:szCs w:val="24"/>
          <w:lang w:val="en" w:eastAsia="en-AU"/>
        </w:rPr>
        <w:t>L</w:t>
      </w:r>
      <w:r w:rsidRPr="004D307F">
        <w:rPr>
          <w:rFonts w:ascii="VIC-Regular" w:hAnsi="VIC-Regular"/>
          <w:color w:val="011A3C"/>
          <w:sz w:val="24"/>
          <w:szCs w:val="24"/>
          <w:lang w:val="en" w:eastAsia="en-AU"/>
        </w:rPr>
        <w:t xml:space="preserve">earning (CLIL) programs, and </w:t>
      </w:r>
      <w:r w:rsidR="006717C9" w:rsidRPr="004D307F">
        <w:rPr>
          <w:rFonts w:ascii="VIC-Regular" w:hAnsi="VIC-Regular"/>
          <w:color w:val="011A3C"/>
          <w:sz w:val="24"/>
          <w:szCs w:val="24"/>
          <w:lang w:val="en" w:eastAsia="en-AU"/>
        </w:rPr>
        <w:t>that</w:t>
      </w:r>
      <w:r w:rsidRPr="004D307F">
        <w:rPr>
          <w:rFonts w:ascii="VIC-Regular" w:hAnsi="VIC-Regular"/>
          <w:color w:val="011A3C"/>
          <w:sz w:val="24"/>
          <w:szCs w:val="24"/>
          <w:lang w:val="en" w:eastAsia="en-AU"/>
        </w:rPr>
        <w:t xml:space="preserve"> have strong community support. </w:t>
      </w:r>
    </w:p>
    <w:p w14:paraId="356D3C92" w14:textId="1FC062F2" w:rsidR="00A56EA7" w:rsidRPr="004D307F" w:rsidRDefault="00A56EA7" w:rsidP="004D307F">
      <w:pPr>
        <w:spacing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Applicant schools need to articulate an evidence-based pathway toward achieving 100% student participation in a bilingual program, with instruction time in the target language to be offered for a minimum of 30% (7.5 hours) per week and ranging through to an aspirational target of 50% (12.5 hours).</w:t>
      </w:r>
    </w:p>
    <w:p w14:paraId="4E0FAAC6" w14:textId="77777777" w:rsidR="00570DE3" w:rsidRPr="004D307F" w:rsidRDefault="00570DE3" w:rsidP="004D307F">
      <w:pPr>
        <w:spacing w:before="100" w:beforeAutospacing="1" w:after="100" w:afterAutospacing="1"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266B79E9" w14:textId="77777777" w:rsidR="00A56EA7" w:rsidRPr="004D307F" w:rsidRDefault="00A56EA7" w:rsidP="002C74B8">
      <w:pPr>
        <w:spacing w:before="100" w:beforeAutospacing="1" w:after="80"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Funding is calculated at the Confirmed budget cycle, and further updates at the Revised cycle if required. Funding is allocated through credit funding.</w:t>
      </w:r>
    </w:p>
    <w:p w14:paraId="4A173B55" w14:textId="7A1D6E58" w:rsidR="00570DE3" w:rsidRPr="004D307F" w:rsidRDefault="00570DE3" w:rsidP="002C74B8">
      <w:pPr>
        <w:spacing w:before="100" w:beforeAutospacing="1" w:after="80" w:line="360" w:lineRule="atLeast"/>
        <w:rPr>
          <w:rFonts w:ascii="VIC-Regular" w:hAnsi="VIC-Regular"/>
          <w:color w:val="011A3C"/>
          <w:sz w:val="24"/>
          <w:szCs w:val="24"/>
          <w:lang w:val="en" w:eastAsia="en-AU"/>
        </w:rPr>
      </w:pPr>
      <w:r w:rsidRPr="004D307F">
        <w:rPr>
          <w:rFonts w:ascii="VIC-Regular" w:hAnsi="VIC-Regular"/>
          <w:color w:val="011A3C"/>
          <w:sz w:val="24"/>
          <w:szCs w:val="24"/>
          <w:lang w:val="en" w:eastAsia="en-AU"/>
        </w:rPr>
        <w:t>Funding is per capita and based on all students being offered a bilingual education for a minimum of 30</w:t>
      </w:r>
      <w:r w:rsidR="00DC5ED6" w:rsidRPr="004D307F">
        <w:rPr>
          <w:rFonts w:ascii="VIC-Regular" w:hAnsi="VIC-Regular"/>
          <w:color w:val="011A3C"/>
          <w:sz w:val="24"/>
          <w:szCs w:val="24"/>
          <w:lang w:val="en" w:eastAsia="en-AU"/>
        </w:rPr>
        <w:t>%</w:t>
      </w:r>
      <w:r w:rsidRPr="004D307F">
        <w:rPr>
          <w:rFonts w:ascii="VIC-Regular" w:hAnsi="VIC-Regular"/>
          <w:color w:val="011A3C"/>
          <w:sz w:val="24"/>
          <w:szCs w:val="24"/>
          <w:lang w:val="en" w:eastAsia="en-AU"/>
        </w:rPr>
        <w:t xml:space="preserve"> (</w:t>
      </w:r>
      <w:proofErr w:type="gramStart"/>
      <w:r w:rsidRPr="004D307F">
        <w:rPr>
          <w:rFonts w:ascii="VIC-Regular" w:hAnsi="VIC-Regular"/>
          <w:color w:val="011A3C"/>
          <w:sz w:val="24"/>
          <w:szCs w:val="24"/>
          <w:lang w:val="en" w:eastAsia="en-AU"/>
        </w:rPr>
        <w:t>i.e.</w:t>
      </w:r>
      <w:proofErr w:type="gramEnd"/>
      <w:r w:rsidRPr="004D307F">
        <w:rPr>
          <w:rFonts w:ascii="VIC-Regular" w:hAnsi="VIC-Regular"/>
          <w:color w:val="011A3C"/>
          <w:sz w:val="24"/>
          <w:szCs w:val="24"/>
          <w:lang w:val="en" w:eastAsia="en-AU"/>
        </w:rPr>
        <w:t xml:space="preserve"> 7.5 hours) and up to 50</w:t>
      </w:r>
      <w:r w:rsidR="00DC5ED6" w:rsidRPr="004D307F">
        <w:rPr>
          <w:rFonts w:ascii="VIC-Regular" w:hAnsi="VIC-Regular"/>
          <w:color w:val="011A3C"/>
          <w:sz w:val="24"/>
          <w:szCs w:val="24"/>
          <w:lang w:val="en" w:eastAsia="en-AU"/>
        </w:rPr>
        <w:t>%</w:t>
      </w:r>
      <w:r w:rsidRPr="004D307F">
        <w:rPr>
          <w:rFonts w:ascii="VIC-Regular" w:hAnsi="VIC-Regular"/>
          <w:color w:val="011A3C"/>
          <w:sz w:val="24"/>
          <w:szCs w:val="24"/>
          <w:lang w:val="en" w:eastAsia="en-AU"/>
        </w:rPr>
        <w:t xml:space="preserve"> (i.e. 12.5 hours) of bilingual instruction in the target language per week, with funding scaled accordingly based on the DBP funding and operating model.  </w:t>
      </w:r>
    </w:p>
    <w:p w14:paraId="156AADB4" w14:textId="49892F01" w:rsidR="00570DE3" w:rsidRPr="004D307F" w:rsidRDefault="00570DE3" w:rsidP="002C74B8">
      <w:pPr>
        <w:spacing w:before="100" w:beforeAutospacing="1" w:after="100" w:afterAutospacing="1" w:line="360" w:lineRule="atLeast"/>
        <w:outlineLvl w:val="2"/>
        <w:rPr>
          <w:rFonts w:ascii="VIC-Regular" w:hAnsi="VIC-Regular"/>
          <w:color w:val="011A3C"/>
          <w:sz w:val="24"/>
          <w:szCs w:val="24"/>
          <w:lang w:val="en" w:eastAsia="en-AU"/>
        </w:rPr>
      </w:pPr>
      <w:r w:rsidRPr="00CC1F05">
        <w:rPr>
          <w:rFonts w:ascii="VIC" w:eastAsia="Times New Roman" w:hAnsi="VIC" w:cs="Times New Roman"/>
          <w:color w:val="011A3C"/>
          <w:sz w:val="27"/>
          <w:szCs w:val="27"/>
          <w:lang w:val="en" w:eastAsia="en-AU"/>
        </w:rPr>
        <w:t>Note</w:t>
      </w:r>
      <w:r w:rsidR="00CC1F05" w:rsidRPr="00CC1F05">
        <w:rPr>
          <w:rFonts w:ascii="VIC" w:eastAsia="Times New Roman" w:hAnsi="VIC" w:cs="Times New Roman"/>
          <w:color w:val="011A3C"/>
          <w:sz w:val="27"/>
          <w:szCs w:val="27"/>
          <w:lang w:val="en" w:eastAsia="en-AU"/>
        </w:rPr>
        <w:t>:</w:t>
      </w:r>
      <w:r w:rsidR="002C74B8" w:rsidRPr="00CC1F05">
        <w:rPr>
          <w:rFonts w:ascii="VIC" w:eastAsia="Times New Roman" w:hAnsi="VIC" w:cs="Times New Roman"/>
          <w:color w:val="011A3C"/>
          <w:sz w:val="27"/>
          <w:szCs w:val="27"/>
          <w:lang w:val="en" w:eastAsia="en-AU"/>
        </w:rPr>
        <w:t xml:space="preserve"> </w:t>
      </w:r>
      <w:r w:rsidRPr="00CC1F05">
        <w:rPr>
          <w:rFonts w:ascii="VIC" w:hAnsi="VIC"/>
          <w:color w:val="011A3C"/>
          <w:sz w:val="24"/>
          <w:szCs w:val="24"/>
          <w:lang w:val="en" w:eastAsia="en-AU"/>
        </w:rPr>
        <w:t>Allocations</w:t>
      </w:r>
      <w:r w:rsidRPr="004D307F">
        <w:rPr>
          <w:rFonts w:ascii="VIC-Regular" w:hAnsi="VIC-Regular"/>
          <w:color w:val="011A3C"/>
          <w:sz w:val="24"/>
          <w:szCs w:val="24"/>
          <w:lang w:val="en" w:eastAsia="en-AU"/>
        </w:rPr>
        <w:t xml:space="preserve"> to Designated Bilingual Program schools include a 30</w:t>
      </w:r>
      <w:r w:rsidR="00DC5ED6" w:rsidRPr="004D307F">
        <w:rPr>
          <w:rFonts w:ascii="VIC-Regular" w:hAnsi="VIC-Regular"/>
          <w:color w:val="011A3C"/>
          <w:sz w:val="24"/>
          <w:szCs w:val="24"/>
          <w:lang w:val="en" w:eastAsia="en-AU"/>
        </w:rPr>
        <w:t>%</w:t>
      </w:r>
      <w:r w:rsidRPr="004D307F">
        <w:rPr>
          <w:rFonts w:ascii="VIC-Regular" w:hAnsi="VIC-Regular"/>
          <w:color w:val="011A3C"/>
          <w:sz w:val="24"/>
          <w:szCs w:val="24"/>
          <w:lang w:val="en" w:eastAsia="en-AU"/>
        </w:rPr>
        <w:t xml:space="preserve"> cash component.</w:t>
      </w:r>
      <w:r w:rsidR="009B2D25" w:rsidRPr="004D307F" w:rsidDel="009B2D25">
        <w:rPr>
          <w:rStyle w:val="CommentReference"/>
        </w:rPr>
        <w:t xml:space="preserve"> </w:t>
      </w:r>
    </w:p>
    <w:p w14:paraId="7D8A1435" w14:textId="26079AF5" w:rsidR="00C53D64" w:rsidRPr="004D307F" w:rsidRDefault="00C53D64" w:rsidP="000F3581">
      <w:pPr>
        <w:pStyle w:val="Heading1"/>
      </w:pPr>
      <w:bookmarkStart w:id="85" w:name="_Toc99882768"/>
      <w:r w:rsidRPr="004D307F">
        <w:lastRenderedPageBreak/>
        <w:t>Targeted Initiatives</w:t>
      </w:r>
      <w:bookmarkEnd w:id="85"/>
    </w:p>
    <w:p w14:paraId="081A6111" w14:textId="77777777" w:rsidR="00C53D64" w:rsidRPr="004D307F" w:rsidRDefault="00C53D64" w:rsidP="002F2A24">
      <w:pPr>
        <w:pStyle w:val="Heading3"/>
        <w:rPr>
          <w:rFonts w:ascii="VIC-Bold" w:eastAsia="Times New Roman" w:hAnsi="VIC-Bold" w:cs="Times New Roman"/>
          <w:color w:val="323E4F" w:themeColor="text2" w:themeShade="BF"/>
          <w:sz w:val="36"/>
          <w:szCs w:val="36"/>
          <w:lang w:val="en" w:eastAsia="en-AU"/>
        </w:rPr>
      </w:pPr>
      <w:r w:rsidRPr="004D307F">
        <w:rPr>
          <w:rFonts w:ascii="VIC-Bold" w:eastAsia="Times New Roman" w:hAnsi="VIC-Bold" w:cs="Times New Roman"/>
          <w:color w:val="323E4F" w:themeColor="text2" w:themeShade="BF"/>
          <w:sz w:val="36"/>
          <w:szCs w:val="36"/>
          <w:lang w:val="en" w:eastAsia="en-AU"/>
        </w:rPr>
        <w:t>Policy</w:t>
      </w:r>
    </w:p>
    <w:p w14:paraId="770A88C9" w14:textId="529CE05D"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This policy provides information about how funding is allocated to schools through the Student Resource </w:t>
      </w:r>
      <w:r w:rsidR="00B24032" w:rsidRPr="004D307F">
        <w:rPr>
          <w:rFonts w:ascii="VIC-Regular" w:hAnsi="VIC-Regular"/>
          <w:color w:val="011A3C"/>
          <w:lang w:val="en"/>
        </w:rPr>
        <w:t>Package (</w:t>
      </w:r>
      <w:r w:rsidR="009A130D" w:rsidRPr="004D307F">
        <w:rPr>
          <w:rFonts w:ascii="VIC-Regular" w:hAnsi="VIC-Regular"/>
          <w:color w:val="011A3C"/>
          <w:lang w:val="en"/>
        </w:rPr>
        <w:t>SRP)</w:t>
      </w:r>
      <w:r w:rsidRPr="004D307F">
        <w:rPr>
          <w:rFonts w:ascii="VIC-Regular" w:hAnsi="VIC-Regular"/>
          <w:color w:val="011A3C"/>
          <w:lang w:val="en"/>
        </w:rPr>
        <w:t xml:space="preserve"> for targeted initiatives.</w:t>
      </w:r>
    </w:p>
    <w:p w14:paraId="6A2E8F63" w14:textId="77777777" w:rsidR="00C53D64" w:rsidRPr="004D307F" w:rsidRDefault="00C53D64" w:rsidP="002F2A24">
      <w:pPr>
        <w:pStyle w:val="Heading3"/>
        <w:rPr>
          <w:rFonts w:ascii="VIC-Bold" w:eastAsia="Times New Roman" w:hAnsi="VIC-Bold" w:cs="Times New Roman"/>
          <w:color w:val="323E4F" w:themeColor="text2" w:themeShade="BF"/>
          <w:sz w:val="36"/>
          <w:szCs w:val="36"/>
          <w:lang w:val="en" w:eastAsia="en-AU"/>
        </w:rPr>
      </w:pPr>
      <w:r w:rsidRPr="004D307F">
        <w:rPr>
          <w:rFonts w:ascii="VIC-Bold" w:eastAsia="Times New Roman" w:hAnsi="VIC-Bold" w:cs="Times New Roman"/>
          <w:color w:val="323E4F" w:themeColor="text2" w:themeShade="BF"/>
          <w:sz w:val="36"/>
          <w:szCs w:val="36"/>
          <w:lang w:val="en" w:eastAsia="en-AU"/>
        </w:rPr>
        <w:t>Details</w:t>
      </w:r>
    </w:p>
    <w:p w14:paraId="173FB949" w14:textId="7665EB0B"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Funding for ‘targeted initiatives’ is one of three categories of funding provided for by the SRP.</w:t>
      </w:r>
    </w:p>
    <w:p w14:paraId="02B3E3B7" w14:textId="77777777" w:rsidR="00C53D64" w:rsidRPr="004D307F" w:rsidRDefault="00C53D64" w:rsidP="00C53D64">
      <w:pPr>
        <w:pStyle w:val="NormalWeb"/>
        <w:spacing w:line="360" w:lineRule="atLeast"/>
        <w:rPr>
          <w:rFonts w:ascii="VIC-Regular" w:hAnsi="VIC-Regular"/>
          <w:color w:val="011A3C"/>
          <w:lang w:val="en"/>
        </w:rPr>
      </w:pPr>
      <w:r w:rsidRPr="004D307F">
        <w:rPr>
          <w:rFonts w:ascii="VIC-Regular" w:hAnsi="VIC-Regular"/>
          <w:color w:val="011A3C"/>
          <w:lang w:val="en"/>
        </w:rPr>
        <w:t xml:space="preserve">The </w:t>
      </w:r>
      <w:r w:rsidRPr="004D307F">
        <w:rPr>
          <w:rStyle w:val="Strong"/>
          <w:rFonts w:ascii="VIC-Regular" w:hAnsi="VIC-Regular"/>
          <w:b w:val="0"/>
          <w:bCs w:val="0"/>
          <w:color w:val="011A3C"/>
          <w:lang w:val="en"/>
        </w:rPr>
        <w:t>targeted initiatives</w:t>
      </w:r>
      <w:r w:rsidRPr="004D307F">
        <w:rPr>
          <w:rFonts w:ascii="VIC-Regular" w:hAnsi="VIC-Regular"/>
          <w:color w:val="011A3C"/>
          <w:lang w:val="en"/>
        </w:rPr>
        <w:t xml:space="preserve"> component provides funding for programs with specific targeting criteria and/or defined life spans. The </w:t>
      </w:r>
      <w:hyperlink r:id="rId123" w:history="1">
        <w:r w:rsidRPr="004D307F">
          <w:rPr>
            <w:rStyle w:val="rpl-text-label2"/>
            <w:rFonts w:ascii="VIC-Regular" w:hAnsi="VIC-Regular"/>
            <w:lang w:val="en"/>
          </w:rPr>
          <w:t>Guidance tab</w:t>
        </w:r>
      </w:hyperlink>
      <w:r w:rsidRPr="004D307F">
        <w:rPr>
          <w:rFonts w:ascii="VIC-Regular" w:hAnsi="VIC-Regular"/>
          <w:color w:val="011A3C"/>
          <w:lang w:val="en"/>
        </w:rPr>
        <w:t xml:space="preserve"> provides information about the following specific types of targeted initiative funding:</w:t>
      </w:r>
    </w:p>
    <w:p w14:paraId="6A578E34" w14:textId="581743FC" w:rsidR="00A8797A" w:rsidRPr="004D307F" w:rsidRDefault="00A35420" w:rsidP="00ED0863">
      <w:pPr>
        <w:numPr>
          <w:ilvl w:val="0"/>
          <w:numId w:val="128"/>
        </w:numPr>
        <w:spacing w:before="100" w:beforeAutospacing="1" w:after="100" w:afterAutospacing="1" w:line="360" w:lineRule="atLeast"/>
        <w:rPr>
          <w:rStyle w:val="rpl-text-label2"/>
          <w:rFonts w:ascii="VIC" w:hAnsi="VIC"/>
          <w:lang w:val="en"/>
        </w:rPr>
      </w:pPr>
      <w:hyperlink r:id="rId124" w:history="1">
        <w:r w:rsidR="00C53D64" w:rsidRPr="004D307F">
          <w:rPr>
            <w:rStyle w:val="rpl-text-label2"/>
            <w:rFonts w:ascii="VIC" w:hAnsi="VIC"/>
            <w:lang w:val="en"/>
          </w:rPr>
          <w:t>Primary Welfare</w:t>
        </w:r>
      </w:hyperlink>
    </w:p>
    <w:p w14:paraId="0F9801E0" w14:textId="5A897CD5" w:rsidR="005145AE" w:rsidRPr="004D307F" w:rsidRDefault="005145AE" w:rsidP="00ED0863">
      <w:pPr>
        <w:numPr>
          <w:ilvl w:val="0"/>
          <w:numId w:val="128"/>
        </w:numPr>
        <w:spacing w:before="100" w:beforeAutospacing="1" w:after="100" w:afterAutospacing="1" w:line="360" w:lineRule="atLeast"/>
        <w:rPr>
          <w:rStyle w:val="rpl-text-label2"/>
          <w:rFonts w:ascii="VIC" w:hAnsi="VIC"/>
          <w:lang w:val="en"/>
        </w:rPr>
      </w:pPr>
      <w:bookmarkStart w:id="86" w:name="_Hlk99873378"/>
      <w:r w:rsidRPr="004D307F">
        <w:rPr>
          <w:rStyle w:val="rpl-text-label2"/>
          <w:rFonts w:ascii="VIC" w:hAnsi="VIC"/>
          <w:lang w:val="en"/>
        </w:rPr>
        <w:t>Late Enrolment</w:t>
      </w:r>
      <w:r w:rsidR="00592FBD" w:rsidRPr="004D307F">
        <w:rPr>
          <w:rStyle w:val="rpl-text-label2"/>
          <w:rFonts w:ascii="VIC" w:hAnsi="VIC"/>
          <w:lang w:val="en"/>
        </w:rPr>
        <w:t xml:space="preserve"> and </w:t>
      </w:r>
      <w:r w:rsidRPr="004D307F">
        <w:rPr>
          <w:rStyle w:val="rpl-text-label2"/>
          <w:rFonts w:ascii="VIC" w:hAnsi="VIC"/>
          <w:lang w:val="en"/>
        </w:rPr>
        <w:t>Senior Secondary Reengagement</w:t>
      </w:r>
    </w:p>
    <w:bookmarkEnd w:id="86"/>
    <w:p w14:paraId="7021D5F1" w14:textId="77777777" w:rsidR="00C53D64" w:rsidRPr="004D307F" w:rsidRDefault="007C3D85" w:rsidP="00ED0863">
      <w:pPr>
        <w:numPr>
          <w:ilvl w:val="0"/>
          <w:numId w:val="128"/>
        </w:numPr>
        <w:spacing w:before="100" w:beforeAutospacing="1" w:after="100" w:afterAutospacing="1" w:line="360" w:lineRule="atLeast"/>
        <w:rPr>
          <w:rFonts w:ascii="VIC" w:hAnsi="VIC"/>
          <w:color w:val="011A3C"/>
          <w:lang w:val="en"/>
        </w:rPr>
      </w:pPr>
      <w:r w:rsidRPr="004D307F">
        <w:fldChar w:fldCharType="begin"/>
      </w:r>
      <w:r w:rsidRPr="004D307F">
        <w:rPr>
          <w:rFonts w:ascii="VIC" w:hAnsi="VIC"/>
        </w:rPr>
        <w:instrText xml:space="preserve"> HYPERLINK "https://www2.education.vic.gov.au/pal/student-resource-package-srp-targeted-initiatives/guidance/vocational-education-and-training" </w:instrText>
      </w:r>
      <w:r w:rsidRPr="004D307F">
        <w:fldChar w:fldCharType="separate"/>
      </w:r>
      <w:r w:rsidR="00C53D64" w:rsidRPr="004D307F">
        <w:rPr>
          <w:rStyle w:val="rpl-text-label2"/>
          <w:rFonts w:ascii="VIC" w:hAnsi="VIC"/>
          <w:lang w:val="en"/>
        </w:rPr>
        <w:t>Vocational Education and Training Delivered to Secondary School Students</w:t>
      </w:r>
      <w:r w:rsidRPr="004D307F">
        <w:rPr>
          <w:rStyle w:val="rpl-text-label2"/>
          <w:rFonts w:ascii="VIC" w:hAnsi="VIC"/>
          <w:lang w:val="en"/>
        </w:rPr>
        <w:fldChar w:fldCharType="end"/>
      </w:r>
    </w:p>
    <w:p w14:paraId="5D197922" w14:textId="082D422B" w:rsidR="00C53D64" w:rsidRPr="004D307F" w:rsidRDefault="00A35420" w:rsidP="00ED0863">
      <w:pPr>
        <w:numPr>
          <w:ilvl w:val="0"/>
          <w:numId w:val="128"/>
        </w:numPr>
        <w:spacing w:before="100" w:beforeAutospacing="1" w:after="100" w:afterAutospacing="1" w:line="360" w:lineRule="atLeast"/>
        <w:rPr>
          <w:rStyle w:val="rpl-text-label2"/>
          <w:rFonts w:ascii="VIC" w:hAnsi="VIC"/>
          <w:lang w:val="en"/>
        </w:rPr>
      </w:pPr>
      <w:hyperlink r:id="rId125" w:history="1">
        <w:r w:rsidR="00C53D64" w:rsidRPr="004D307F">
          <w:rPr>
            <w:rStyle w:val="rpl-text-label2"/>
            <w:rFonts w:ascii="VIC" w:hAnsi="VIC"/>
            <w:lang w:val="en"/>
          </w:rPr>
          <w:t xml:space="preserve">Doctors in Secondary Schools </w:t>
        </w:r>
        <w:r w:rsidR="00C53D64" w:rsidRPr="004D307F">
          <w:rPr>
            <w:rStyle w:val="rpl-text-label2"/>
            <w:rFonts w:ascii="VIC" w:hAnsi="VIC" w:hint="eastAsia"/>
            <w:lang w:val="en"/>
          </w:rPr>
          <w:t>—</w:t>
        </w:r>
        <w:r w:rsidR="00C53D64" w:rsidRPr="004D307F">
          <w:rPr>
            <w:rStyle w:val="rpl-text-label2"/>
            <w:rFonts w:ascii="Calibri" w:hAnsi="Calibri" w:cs="Calibri" w:hint="eastAsia"/>
            <w:lang w:val="en"/>
          </w:rPr>
          <w:t> </w:t>
        </w:r>
        <w:r w:rsidR="00C53D64" w:rsidRPr="004D307F">
          <w:rPr>
            <w:rStyle w:val="rpl-text-label2"/>
            <w:rFonts w:ascii="VIC" w:hAnsi="VIC"/>
            <w:lang w:val="en"/>
          </w:rPr>
          <w:t>School program lead funding</w:t>
        </w:r>
      </w:hyperlink>
    </w:p>
    <w:p w14:paraId="4B5030DB" w14:textId="4B6A4742" w:rsidR="00A8797A" w:rsidRPr="004D307F" w:rsidRDefault="00A8797A" w:rsidP="00ED0863">
      <w:pPr>
        <w:numPr>
          <w:ilvl w:val="0"/>
          <w:numId w:val="128"/>
        </w:numPr>
        <w:spacing w:before="100" w:beforeAutospacing="1" w:after="100" w:afterAutospacing="1" w:line="360" w:lineRule="atLeast"/>
        <w:rPr>
          <w:rStyle w:val="rpl-text-label2"/>
          <w:rFonts w:ascii="VIC" w:hAnsi="VIC"/>
          <w:lang w:val="en"/>
        </w:rPr>
      </w:pPr>
      <w:r w:rsidRPr="004D307F">
        <w:rPr>
          <w:rStyle w:val="rpl-text-label2"/>
          <w:rFonts w:ascii="VIC" w:hAnsi="VIC"/>
          <w:lang w:val="en"/>
        </w:rPr>
        <w:t>Respectful Relationships</w:t>
      </w:r>
    </w:p>
    <w:p w14:paraId="473C9F85" w14:textId="16DBDD1C" w:rsidR="005145AE" w:rsidRPr="004D307F" w:rsidRDefault="005145AE" w:rsidP="00ED0863">
      <w:pPr>
        <w:numPr>
          <w:ilvl w:val="0"/>
          <w:numId w:val="128"/>
        </w:numPr>
        <w:spacing w:before="100" w:beforeAutospacing="1" w:after="100" w:afterAutospacing="1" w:line="360" w:lineRule="atLeast"/>
        <w:rPr>
          <w:rStyle w:val="rpl-text-label2"/>
          <w:rFonts w:ascii="VIC" w:hAnsi="VIC"/>
          <w:lang w:val="en"/>
        </w:rPr>
      </w:pPr>
      <w:bookmarkStart w:id="87" w:name="_Hlk99873403"/>
      <w:r w:rsidRPr="004D307F">
        <w:rPr>
          <w:rStyle w:val="rpl-text-label2"/>
          <w:rFonts w:ascii="VIC" w:hAnsi="VIC"/>
          <w:lang w:val="en"/>
        </w:rPr>
        <w:t xml:space="preserve">Extended Year </w:t>
      </w:r>
      <w:proofErr w:type="spellStart"/>
      <w:r w:rsidRPr="004D307F">
        <w:rPr>
          <w:rStyle w:val="rpl-text-label2"/>
          <w:rFonts w:ascii="VIC" w:hAnsi="VIC"/>
          <w:lang w:val="en"/>
        </w:rPr>
        <w:t>Koorie</w:t>
      </w:r>
      <w:proofErr w:type="spellEnd"/>
      <w:r w:rsidRPr="004D307F">
        <w:rPr>
          <w:rStyle w:val="rpl-text-label2"/>
          <w:rFonts w:ascii="VIC" w:hAnsi="VIC"/>
          <w:lang w:val="en"/>
        </w:rPr>
        <w:t xml:space="preserve"> Literacy and Numeracy Program</w:t>
      </w:r>
    </w:p>
    <w:p w14:paraId="0BBE2788" w14:textId="4632D5BD" w:rsidR="0042488F" w:rsidRPr="004D307F" w:rsidRDefault="0042488F" w:rsidP="00ED0863">
      <w:pPr>
        <w:numPr>
          <w:ilvl w:val="0"/>
          <w:numId w:val="128"/>
        </w:numPr>
        <w:spacing w:before="100" w:beforeAutospacing="1" w:after="100" w:afterAutospacing="1" w:line="360" w:lineRule="atLeast"/>
        <w:rPr>
          <w:rStyle w:val="rpl-text-label2"/>
          <w:rFonts w:ascii="VIC" w:hAnsi="VIC"/>
          <w:lang w:val="en"/>
        </w:rPr>
      </w:pPr>
      <w:r w:rsidRPr="004D307F">
        <w:rPr>
          <w:rFonts w:ascii="VIC" w:hAnsi="VIC"/>
        </w:rPr>
        <w:t xml:space="preserve">Early Years </w:t>
      </w:r>
      <w:proofErr w:type="spellStart"/>
      <w:r w:rsidRPr="004D307F">
        <w:rPr>
          <w:rFonts w:ascii="VIC" w:hAnsi="VIC"/>
        </w:rPr>
        <w:t>Koorie</w:t>
      </w:r>
      <w:proofErr w:type="spellEnd"/>
      <w:r w:rsidRPr="004D307F">
        <w:rPr>
          <w:rFonts w:ascii="VIC" w:hAnsi="VIC"/>
        </w:rPr>
        <w:t xml:space="preserve"> Literacy and Numeracy Program</w:t>
      </w:r>
    </w:p>
    <w:bookmarkEnd w:id="87"/>
    <w:p w14:paraId="1DD20D39" w14:textId="64062CE1" w:rsidR="000F368D" w:rsidRPr="004D307F" w:rsidRDefault="000F368D" w:rsidP="00ED0863">
      <w:pPr>
        <w:numPr>
          <w:ilvl w:val="0"/>
          <w:numId w:val="128"/>
        </w:numPr>
        <w:spacing w:before="100" w:beforeAutospacing="1" w:after="100" w:afterAutospacing="1" w:line="360" w:lineRule="atLeast"/>
        <w:rPr>
          <w:rStyle w:val="rpl-text-label2"/>
          <w:rFonts w:ascii="VIC" w:hAnsi="VIC"/>
          <w:lang w:val="en"/>
        </w:rPr>
      </w:pPr>
      <w:r w:rsidRPr="004D307F">
        <w:rPr>
          <w:rStyle w:val="rpl-text-label2"/>
          <w:rFonts w:ascii="VIC" w:hAnsi="VIC"/>
          <w:lang w:val="en"/>
        </w:rPr>
        <w:t>Career Education Funding</w:t>
      </w:r>
    </w:p>
    <w:p w14:paraId="1E187EA0" w14:textId="7A6BFE2C" w:rsidR="00A8797A" w:rsidRPr="004D307F" w:rsidRDefault="00A8797A" w:rsidP="00ED0863">
      <w:pPr>
        <w:numPr>
          <w:ilvl w:val="0"/>
          <w:numId w:val="128"/>
        </w:numPr>
        <w:spacing w:before="100" w:beforeAutospacing="1" w:after="100" w:afterAutospacing="1" w:line="360" w:lineRule="atLeast"/>
        <w:rPr>
          <w:rFonts w:ascii="VIC" w:hAnsi="VIC"/>
          <w:color w:val="011A3C"/>
          <w:lang w:val="en"/>
        </w:rPr>
      </w:pPr>
      <w:r w:rsidRPr="004D307F">
        <w:rPr>
          <w:rStyle w:val="rpl-text-label2"/>
          <w:rFonts w:ascii="VIC" w:hAnsi="VIC"/>
          <w:lang w:val="en"/>
        </w:rPr>
        <w:t>Swimming in Schools</w:t>
      </w:r>
    </w:p>
    <w:p w14:paraId="117DED83" w14:textId="1C02C8C2" w:rsidR="00C53D64" w:rsidRPr="004D307F" w:rsidRDefault="00A35420" w:rsidP="00ED0863">
      <w:pPr>
        <w:numPr>
          <w:ilvl w:val="0"/>
          <w:numId w:val="128"/>
        </w:numPr>
        <w:spacing w:before="100" w:beforeAutospacing="1" w:after="100" w:afterAutospacing="1" w:line="360" w:lineRule="atLeast"/>
        <w:rPr>
          <w:rStyle w:val="rpl-text-label2"/>
          <w:rFonts w:ascii="VIC" w:hAnsi="VIC"/>
          <w:lang w:val="en"/>
        </w:rPr>
      </w:pPr>
      <w:hyperlink r:id="rId126" w:history="1">
        <w:r w:rsidR="00C53D64" w:rsidRPr="004D307F">
          <w:rPr>
            <w:rStyle w:val="rpl-text-label2"/>
            <w:rFonts w:ascii="VIC" w:hAnsi="VIC"/>
            <w:lang w:val="en"/>
          </w:rPr>
          <w:t>Head Start</w:t>
        </w:r>
      </w:hyperlink>
    </w:p>
    <w:p w14:paraId="31DC8E2C" w14:textId="418465FB" w:rsidR="00A8797A" w:rsidRPr="004D307F" w:rsidRDefault="006D7561" w:rsidP="00ED0863">
      <w:pPr>
        <w:numPr>
          <w:ilvl w:val="0"/>
          <w:numId w:val="128"/>
        </w:numPr>
        <w:spacing w:before="100" w:beforeAutospacing="1" w:after="100" w:afterAutospacing="1" w:line="360" w:lineRule="atLeast"/>
        <w:rPr>
          <w:rFonts w:ascii="VIC" w:hAnsi="VIC"/>
          <w:color w:val="011A3C"/>
          <w:lang w:val="en"/>
        </w:rPr>
      </w:pPr>
      <w:r w:rsidRPr="004D307F">
        <w:rPr>
          <w:rStyle w:val="rpl-text-label2"/>
          <w:rFonts w:ascii="VIC" w:hAnsi="VIC"/>
          <w:lang w:val="en"/>
        </w:rPr>
        <w:t xml:space="preserve">National School </w:t>
      </w:r>
      <w:r w:rsidR="00A8797A" w:rsidRPr="004D307F">
        <w:rPr>
          <w:rStyle w:val="rpl-text-label2"/>
          <w:rFonts w:ascii="VIC" w:hAnsi="VIC"/>
          <w:lang w:val="en"/>
        </w:rPr>
        <w:t>Chaplaincy</w:t>
      </w:r>
      <w:r w:rsidRPr="004D307F">
        <w:rPr>
          <w:rStyle w:val="rpl-text-label2"/>
          <w:rFonts w:ascii="VIC" w:hAnsi="VIC"/>
          <w:lang w:val="en"/>
        </w:rPr>
        <w:t xml:space="preserve"> Program (NSCP)</w:t>
      </w:r>
    </w:p>
    <w:p w14:paraId="4AE800F7" w14:textId="77777777" w:rsidR="00C53D64" w:rsidRPr="004D307F" w:rsidRDefault="00A35420" w:rsidP="00ED0863">
      <w:pPr>
        <w:numPr>
          <w:ilvl w:val="0"/>
          <w:numId w:val="128"/>
        </w:numPr>
        <w:spacing w:before="100" w:beforeAutospacing="1" w:after="100" w:afterAutospacing="1" w:line="360" w:lineRule="atLeast"/>
        <w:rPr>
          <w:rFonts w:ascii="VIC" w:hAnsi="VIC"/>
          <w:color w:val="011A3C"/>
          <w:lang w:val="en"/>
        </w:rPr>
      </w:pPr>
      <w:hyperlink r:id="rId127" w:history="1">
        <w:r w:rsidR="00C53D64" w:rsidRPr="004D307F">
          <w:rPr>
            <w:rStyle w:val="rpl-text-label2"/>
            <w:rFonts w:ascii="VIC" w:hAnsi="VIC"/>
            <w:lang w:val="en"/>
          </w:rPr>
          <w:t>Middle Years Literacy &amp; Numeracy Support (MYLNS) Initiative</w:t>
        </w:r>
      </w:hyperlink>
    </w:p>
    <w:p w14:paraId="4179E942" w14:textId="77777777" w:rsidR="00C53D64" w:rsidRPr="004D307F" w:rsidRDefault="00A35420" w:rsidP="00ED0863">
      <w:pPr>
        <w:numPr>
          <w:ilvl w:val="0"/>
          <w:numId w:val="128"/>
        </w:numPr>
        <w:spacing w:before="100" w:beforeAutospacing="1" w:after="100" w:afterAutospacing="1" w:line="360" w:lineRule="atLeast"/>
        <w:rPr>
          <w:rFonts w:ascii="VIC-Regular" w:hAnsi="VIC-Regular"/>
          <w:color w:val="011A3C"/>
          <w:lang w:val="en"/>
        </w:rPr>
      </w:pPr>
      <w:hyperlink r:id="rId128" w:history="1">
        <w:r w:rsidR="00C53D64" w:rsidRPr="004D307F">
          <w:rPr>
            <w:rStyle w:val="rpl-text-label2"/>
            <w:rFonts w:ascii="VIC-Regular" w:hAnsi="VIC-Regular"/>
            <w:lang w:val="en"/>
          </w:rPr>
          <w:t>Student Excellence Program Funding</w:t>
        </w:r>
      </w:hyperlink>
    </w:p>
    <w:p w14:paraId="7CF66788" w14:textId="77777777" w:rsidR="00C53D64" w:rsidRPr="004D307F" w:rsidRDefault="00A35420" w:rsidP="00ED0863">
      <w:pPr>
        <w:numPr>
          <w:ilvl w:val="0"/>
          <w:numId w:val="128"/>
        </w:numPr>
        <w:spacing w:before="100" w:beforeAutospacing="1" w:after="100" w:afterAutospacing="1" w:line="360" w:lineRule="atLeast"/>
        <w:rPr>
          <w:rFonts w:ascii="VIC-Regular" w:hAnsi="VIC-Regular"/>
          <w:color w:val="011A3C"/>
          <w:lang w:val="en"/>
        </w:rPr>
      </w:pPr>
      <w:hyperlink r:id="rId129" w:history="1">
        <w:r w:rsidR="00C53D64" w:rsidRPr="004D307F">
          <w:rPr>
            <w:rStyle w:val="rpl-text-label2"/>
            <w:rFonts w:ascii="VIC-Regular" w:hAnsi="VIC-Regular"/>
            <w:lang w:val="en"/>
          </w:rPr>
          <w:t>VCE Revision Lectures</w:t>
        </w:r>
      </w:hyperlink>
    </w:p>
    <w:p w14:paraId="13EED574" w14:textId="1C5A8BFF" w:rsidR="00C53D64" w:rsidRPr="004D307F" w:rsidRDefault="00A35420" w:rsidP="00ED0863">
      <w:pPr>
        <w:numPr>
          <w:ilvl w:val="0"/>
          <w:numId w:val="128"/>
        </w:numPr>
        <w:spacing w:before="100" w:beforeAutospacing="1" w:after="100" w:afterAutospacing="1" w:line="360" w:lineRule="atLeast"/>
        <w:rPr>
          <w:rStyle w:val="rpl-text-label2"/>
          <w:rFonts w:ascii="VIC-Regular" w:hAnsi="VIC-Regular"/>
          <w:lang w:val="en"/>
        </w:rPr>
      </w:pPr>
      <w:hyperlink r:id="rId130" w:history="1">
        <w:r w:rsidR="00C53D64" w:rsidRPr="004D307F">
          <w:rPr>
            <w:rStyle w:val="rpl-text-label2"/>
            <w:rFonts w:ascii="VIC-Regular" w:hAnsi="VIC-Regular"/>
            <w:lang w:val="en"/>
          </w:rPr>
          <w:t>Professional Learning Communities (PLC) Link Schools</w:t>
        </w:r>
      </w:hyperlink>
    </w:p>
    <w:p w14:paraId="58B967B0" w14:textId="24706872" w:rsidR="005145AE" w:rsidRPr="004D307F" w:rsidRDefault="005145AE" w:rsidP="00ED0863">
      <w:pPr>
        <w:numPr>
          <w:ilvl w:val="0"/>
          <w:numId w:val="128"/>
        </w:numPr>
        <w:spacing w:before="100" w:beforeAutospacing="1" w:after="100" w:afterAutospacing="1" w:line="360" w:lineRule="atLeast"/>
        <w:rPr>
          <w:rStyle w:val="rpl-text-label2"/>
          <w:rFonts w:ascii="VIC-Regular" w:hAnsi="VIC-Regular"/>
          <w:lang w:val="en"/>
        </w:rPr>
      </w:pPr>
      <w:bookmarkStart w:id="88" w:name="_Hlk99873506"/>
      <w:r w:rsidRPr="004D307F">
        <w:rPr>
          <w:rStyle w:val="rpl-text-label2"/>
          <w:rFonts w:ascii="VIC-Regular" w:hAnsi="VIC-Regular"/>
          <w:lang w:val="en"/>
        </w:rPr>
        <w:t>Primary Mathematics and Science Specialists Initiative</w:t>
      </w:r>
    </w:p>
    <w:p w14:paraId="2DB10F4E" w14:textId="1EDE16EE" w:rsidR="005145AE" w:rsidRPr="004D307F" w:rsidRDefault="005145AE"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 xml:space="preserve">Secondary </w:t>
      </w:r>
      <w:r w:rsidR="00BA2190" w:rsidRPr="004D307F">
        <w:rPr>
          <w:rStyle w:val="rpl-text-label2"/>
          <w:rFonts w:ascii="VIC-Regular" w:hAnsi="VIC-Regular"/>
          <w:lang w:val="en"/>
        </w:rPr>
        <w:t>Mathematics and Science</w:t>
      </w:r>
      <w:r w:rsidRPr="004D307F">
        <w:rPr>
          <w:rStyle w:val="rpl-text-label2"/>
          <w:rFonts w:ascii="VIC-Regular" w:hAnsi="VIC-Regular"/>
          <w:lang w:val="en"/>
        </w:rPr>
        <w:t xml:space="preserve"> Initiative</w:t>
      </w:r>
    </w:p>
    <w:bookmarkEnd w:id="88"/>
    <w:p w14:paraId="320DB25B" w14:textId="77777777" w:rsidR="00A8797A"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Transition Funding (Rural)</w:t>
      </w:r>
    </w:p>
    <w:p w14:paraId="0600C461" w14:textId="3EDCAE53" w:rsidR="00A8797A"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 xml:space="preserve">Jobs, </w:t>
      </w:r>
      <w:proofErr w:type="gramStart"/>
      <w:r w:rsidRPr="004D307F">
        <w:rPr>
          <w:rStyle w:val="rpl-text-label2"/>
          <w:rFonts w:ascii="VIC-Regular" w:hAnsi="VIC-Regular"/>
          <w:lang w:val="en"/>
        </w:rPr>
        <w:t>skills</w:t>
      </w:r>
      <w:proofErr w:type="gramEnd"/>
      <w:r w:rsidRPr="004D307F">
        <w:rPr>
          <w:rStyle w:val="rpl-text-label2"/>
          <w:rFonts w:ascii="VIC-Regular" w:hAnsi="VIC-Regular"/>
          <w:lang w:val="en"/>
        </w:rPr>
        <w:t xml:space="preserve"> and </w:t>
      </w:r>
      <w:r w:rsidR="00413518" w:rsidRPr="004D307F">
        <w:rPr>
          <w:rStyle w:val="rpl-text-label2"/>
          <w:rFonts w:ascii="VIC-Regular" w:hAnsi="VIC-Regular"/>
          <w:lang w:val="en"/>
        </w:rPr>
        <w:t>P</w:t>
      </w:r>
      <w:r w:rsidRPr="004D307F">
        <w:rPr>
          <w:rStyle w:val="rpl-text-label2"/>
          <w:rFonts w:ascii="VIC-Regular" w:hAnsi="VIC-Regular"/>
          <w:lang w:val="en"/>
        </w:rPr>
        <w:t>athways (</w:t>
      </w:r>
      <w:r w:rsidR="005145AE" w:rsidRPr="004D307F">
        <w:rPr>
          <w:rStyle w:val="rpl-text-label2"/>
          <w:rFonts w:ascii="VIC-Regular" w:hAnsi="VIC-Regular"/>
          <w:lang w:val="en"/>
        </w:rPr>
        <w:t>JSP</w:t>
      </w:r>
      <w:r w:rsidRPr="004D307F">
        <w:rPr>
          <w:rStyle w:val="rpl-text-label2"/>
          <w:rFonts w:ascii="VIC-Regular" w:hAnsi="VIC-Regular"/>
          <w:lang w:val="en"/>
        </w:rPr>
        <w:t>) Coordination</w:t>
      </w:r>
    </w:p>
    <w:p w14:paraId="12CE2DE2" w14:textId="2EAEA6BD" w:rsidR="00A8797A"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Tutor Learning Initiative</w:t>
      </w:r>
    </w:p>
    <w:p w14:paraId="5A6201CC" w14:textId="77777777" w:rsidR="00A8797A"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Mental Health in Primary Schools</w:t>
      </w:r>
    </w:p>
    <w:p w14:paraId="64428C61" w14:textId="77777777" w:rsidR="00870E1E" w:rsidRPr="004D307F" w:rsidRDefault="00A8797A"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 xml:space="preserve">Mental Health in Specialist Schools </w:t>
      </w:r>
    </w:p>
    <w:p w14:paraId="5539BBB8" w14:textId="75E5E222" w:rsidR="00870E1E" w:rsidRPr="004D307F" w:rsidRDefault="00BA2190"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lastRenderedPageBreak/>
        <w:t xml:space="preserve">Career Start - </w:t>
      </w:r>
      <w:r w:rsidR="00B31C84" w:rsidRPr="004D307F">
        <w:rPr>
          <w:rStyle w:val="rpl-text-label2"/>
          <w:rFonts w:ascii="VIC-Regular" w:hAnsi="VIC-Regular"/>
          <w:lang w:val="en"/>
        </w:rPr>
        <w:t xml:space="preserve">Transforming the First Years of the Teaching </w:t>
      </w:r>
      <w:r w:rsidR="005145AE" w:rsidRPr="004D307F">
        <w:rPr>
          <w:rStyle w:val="rpl-text-label2"/>
          <w:rFonts w:ascii="VIC-Regular" w:hAnsi="VIC-Regular"/>
          <w:lang w:val="en"/>
        </w:rPr>
        <w:t>Career</w:t>
      </w:r>
    </w:p>
    <w:p w14:paraId="0F211C74" w14:textId="7584BB3D" w:rsidR="006D7561" w:rsidRPr="004D307F" w:rsidRDefault="006D7561" w:rsidP="00ED0863">
      <w:pPr>
        <w:numPr>
          <w:ilvl w:val="0"/>
          <w:numId w:val="128"/>
        </w:numPr>
        <w:spacing w:before="100" w:beforeAutospacing="1" w:after="100" w:afterAutospacing="1" w:line="360" w:lineRule="atLeast"/>
        <w:rPr>
          <w:rStyle w:val="rpl-text-label2"/>
          <w:rFonts w:ascii="VIC-Regular" w:hAnsi="VIC-Regular"/>
          <w:lang w:val="en"/>
        </w:rPr>
      </w:pPr>
      <w:r w:rsidRPr="004D307F">
        <w:rPr>
          <w:rStyle w:val="rpl-text-label2"/>
          <w:rFonts w:ascii="VIC-Regular" w:hAnsi="VIC-Regular"/>
          <w:lang w:val="en"/>
        </w:rPr>
        <w:t>Inclusion Outreach Coaching (IOC) initiative</w:t>
      </w:r>
    </w:p>
    <w:p w14:paraId="7FB8D716" w14:textId="4EB9722F" w:rsidR="00F82BE0" w:rsidRPr="004D307F" w:rsidRDefault="00F82BE0" w:rsidP="00ED0863">
      <w:pPr>
        <w:numPr>
          <w:ilvl w:val="0"/>
          <w:numId w:val="128"/>
        </w:numPr>
        <w:spacing w:before="100" w:beforeAutospacing="1" w:after="100" w:afterAutospacing="1" w:line="360" w:lineRule="atLeast"/>
        <w:rPr>
          <w:rStyle w:val="rpl-text-label2"/>
          <w:rFonts w:ascii="VIC-Regular" w:hAnsi="VIC-Regular"/>
        </w:rPr>
      </w:pPr>
      <w:bookmarkStart w:id="89" w:name="_Hlk99875462"/>
      <w:r w:rsidRPr="004D307F">
        <w:rPr>
          <w:rStyle w:val="rpl-text-label2"/>
          <w:rFonts w:ascii="VIC-Regular" w:hAnsi="VIC-Regular"/>
        </w:rPr>
        <w:t>Outside School Hours Care (OSHC) Establishment Grant Initiative)</w:t>
      </w:r>
    </w:p>
    <w:p w14:paraId="000FF864" w14:textId="51AE9E1F" w:rsidR="00F82BE0" w:rsidRPr="004D307F" w:rsidRDefault="00F82BE0" w:rsidP="00ED0863">
      <w:pPr>
        <w:numPr>
          <w:ilvl w:val="0"/>
          <w:numId w:val="128"/>
        </w:numPr>
        <w:spacing w:before="100" w:beforeAutospacing="1" w:after="100" w:afterAutospacing="1" w:line="360" w:lineRule="atLeast"/>
        <w:rPr>
          <w:rStyle w:val="rpl-text-label2"/>
          <w:rFonts w:ascii="VIC-Regular" w:hAnsi="VIC-Regular"/>
        </w:rPr>
      </w:pPr>
      <w:r w:rsidRPr="004D307F">
        <w:rPr>
          <w:rStyle w:val="rpl-text-label2"/>
          <w:rFonts w:ascii="VIC-Regular" w:hAnsi="VIC-Regular"/>
        </w:rPr>
        <w:t xml:space="preserve">Innovative Initial Teacher Education (ITE) Programs </w:t>
      </w:r>
      <w:bookmarkEnd w:id="89"/>
    </w:p>
    <w:p w14:paraId="4B014F82" w14:textId="6B2067C4" w:rsidR="00C53D64" w:rsidRPr="004D307F" w:rsidRDefault="00C53D64" w:rsidP="00870E1E">
      <w:pPr>
        <w:spacing w:before="100" w:beforeAutospacing="1" w:after="100" w:afterAutospacing="1" w:line="360" w:lineRule="atLeast"/>
        <w:ind w:left="284"/>
        <w:rPr>
          <w:rFonts w:ascii="VIC-Regular" w:hAnsi="VIC-Regular"/>
          <w:color w:val="011A3C"/>
          <w:lang w:val="en"/>
        </w:rPr>
      </w:pPr>
      <w:r w:rsidRPr="004D307F">
        <w:rPr>
          <w:rFonts w:ascii="VIC-Regular" w:hAnsi="VIC-Regular"/>
          <w:color w:val="011A3C"/>
          <w:lang w:val="en"/>
        </w:rPr>
        <w:t>Schools are expected to use SRP funds for the purpose for which it was allocated.</w:t>
      </w:r>
    </w:p>
    <w:p w14:paraId="4E018E67" w14:textId="3F84415F" w:rsidR="00EA34C0" w:rsidRPr="004D307F" w:rsidRDefault="00A12061" w:rsidP="00B566E7">
      <w:pPr>
        <w:pStyle w:val="Heading2"/>
      </w:pPr>
      <w:r w:rsidRPr="004D307F">
        <w:br w:type="page"/>
      </w:r>
      <w:bookmarkStart w:id="90" w:name="_Toc99882769"/>
      <w:r w:rsidR="00EA34C0" w:rsidRPr="004D307F">
        <w:lastRenderedPageBreak/>
        <w:t>Primary Welfare (Reference 50)</w:t>
      </w:r>
      <w:bookmarkEnd w:id="90"/>
    </w:p>
    <w:p w14:paraId="2CC0E866" w14:textId="77777777"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The Primary Welfare Officer Initiative is designed to enhance the capacity of schools to develop positive school cultures and to support students who are at risk of disengagement and not achieving their educational potential. The primary welfare officer initiative extends work undertaken in government primary, P-</w:t>
      </w:r>
      <w:proofErr w:type="gramStart"/>
      <w:r w:rsidRPr="004D307F">
        <w:rPr>
          <w:rFonts w:ascii="VIC-Regular" w:eastAsia="Times New Roman" w:hAnsi="VIC-Regular" w:cs="Arial"/>
          <w:color w:val="011A3C"/>
          <w:sz w:val="24"/>
          <w:szCs w:val="24"/>
          <w:lang w:val="en" w:eastAsia="en-AU"/>
        </w:rPr>
        <w:t>12</w:t>
      </w:r>
      <w:proofErr w:type="gramEnd"/>
      <w:r w:rsidRPr="004D307F">
        <w:rPr>
          <w:rFonts w:ascii="VIC-Regular" w:eastAsia="Times New Roman" w:hAnsi="VIC-Regular" w:cs="Arial"/>
          <w:color w:val="011A3C"/>
          <w:sz w:val="24"/>
          <w:szCs w:val="24"/>
          <w:lang w:val="en" w:eastAsia="en-AU"/>
        </w:rPr>
        <w:t xml:space="preserve"> and special schools with the greatest need in Victoria to promote a safe and supportive environment and enhance student outcomes.</w:t>
      </w:r>
    </w:p>
    <w:p w14:paraId="7FA068DE" w14:textId="6B754FBB"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Primary Welfare Officer allocations in the </w:t>
      </w:r>
      <w:r w:rsidR="009A130D" w:rsidRPr="004D307F">
        <w:rPr>
          <w:rFonts w:ascii="VIC-Regular" w:eastAsia="Times New Roman" w:hAnsi="VIC-Regular" w:cs="Arial"/>
          <w:color w:val="011A3C"/>
          <w:sz w:val="24"/>
          <w:szCs w:val="24"/>
          <w:lang w:val="en" w:eastAsia="en-AU"/>
        </w:rPr>
        <w:t>Student Resource Package (</w:t>
      </w:r>
      <w:r w:rsidRPr="004D307F">
        <w:rPr>
          <w:rFonts w:ascii="VIC-Regular" w:eastAsia="Times New Roman" w:hAnsi="VIC-Regular" w:cs="Arial"/>
          <w:color w:val="011A3C"/>
          <w:sz w:val="24"/>
          <w:szCs w:val="24"/>
          <w:lang w:val="en" w:eastAsia="en-AU"/>
        </w:rPr>
        <w:t>SRP</w:t>
      </w:r>
      <w:r w:rsidR="009A130D" w:rsidRPr="004D307F">
        <w:rPr>
          <w:rFonts w:ascii="VIC-Regular" w:eastAsia="Times New Roman" w:hAnsi="VIC-Regular" w:cs="Arial"/>
          <w:color w:val="011A3C"/>
          <w:sz w:val="24"/>
          <w:szCs w:val="24"/>
          <w:lang w:val="en" w:eastAsia="en-AU"/>
        </w:rPr>
        <w:t>)</w:t>
      </w:r>
      <w:r w:rsidRPr="004D307F">
        <w:rPr>
          <w:rFonts w:ascii="VIC-Regular" w:eastAsia="Times New Roman" w:hAnsi="VIC-Regular" w:cs="Arial"/>
          <w:color w:val="011A3C"/>
          <w:sz w:val="24"/>
          <w:szCs w:val="24"/>
          <w:lang w:val="en" w:eastAsia="en-AU"/>
        </w:rPr>
        <w:t xml:space="preserve"> have been set for 202</w:t>
      </w:r>
      <w:r w:rsidR="000B237C" w:rsidRPr="004D307F">
        <w:rPr>
          <w:rFonts w:ascii="VIC-Regular" w:eastAsia="Times New Roman" w:hAnsi="VIC-Regular" w:cs="Arial"/>
          <w:color w:val="011A3C"/>
          <w:sz w:val="24"/>
          <w:szCs w:val="24"/>
          <w:lang w:val="en" w:eastAsia="en-AU"/>
        </w:rPr>
        <w:t>2</w:t>
      </w:r>
      <w:r w:rsidRPr="004D307F">
        <w:rPr>
          <w:rFonts w:ascii="VIC-Regular" w:eastAsia="Times New Roman" w:hAnsi="VIC-Regular" w:cs="Arial"/>
          <w:color w:val="011A3C"/>
          <w:sz w:val="24"/>
          <w:szCs w:val="24"/>
          <w:lang w:val="en" w:eastAsia="en-AU"/>
        </w:rPr>
        <w:t>.   Schools do not have to apply for funding.  Funding is provided to schools that have primary enrolments at the campus level provided the 2011 Student Family Occupation density for the campus is equal to or greater than 0.4559. </w:t>
      </w:r>
    </w:p>
    <w:p w14:paraId="47E4085B" w14:textId="77777777"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Where a school’s campus enrolments increase additional per student funding will be provided. However, where enrolments decline no adjustment will be made.  </w:t>
      </w:r>
      <w:r w:rsidRPr="004D307F">
        <w:rPr>
          <w:rFonts w:ascii="VIC-Regular" w:eastAsia="Times New Roman" w:hAnsi="VIC-Regular" w:cs="Arial"/>
          <w:b/>
          <w:bCs/>
          <w:color w:val="011A3C"/>
          <w:sz w:val="24"/>
          <w:szCs w:val="24"/>
          <w:lang w:val="en" w:eastAsia="en-AU"/>
        </w:rPr>
        <w:t>No adjustments are made for changes to Student Family Occupation density</w:t>
      </w:r>
      <w:r w:rsidRPr="004D307F">
        <w:rPr>
          <w:rFonts w:ascii="VIC-Regular" w:eastAsia="Times New Roman" w:hAnsi="VIC-Regular" w:cs="Arial"/>
          <w:color w:val="011A3C"/>
          <w:sz w:val="24"/>
          <w:szCs w:val="24"/>
          <w:lang w:val="en" w:eastAsia="en-AU"/>
        </w:rPr>
        <w:t>. </w:t>
      </w:r>
    </w:p>
    <w:p w14:paraId="172F4518" w14:textId="77777777" w:rsidR="002E6A59" w:rsidRPr="004D307F" w:rsidRDefault="002E6A59" w:rsidP="002E6A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bookmarkStart w:id="91" w:name="_Hlk46922537"/>
      <w:r w:rsidRPr="004D307F">
        <w:rPr>
          <w:rFonts w:ascii="VIC-Bold" w:eastAsia="Times New Roman" w:hAnsi="VIC-Bold" w:cs="Times New Roman"/>
          <w:b/>
          <w:bCs/>
          <w:color w:val="011A3C"/>
          <w:sz w:val="27"/>
          <w:szCs w:val="27"/>
          <w:lang w:val="en" w:eastAsia="en-AU"/>
        </w:rPr>
        <w:t>Eligibility</w:t>
      </w:r>
    </w:p>
    <w:p w14:paraId="0B7A76AC" w14:textId="77777777" w:rsidR="002E6A59" w:rsidRPr="004D307F" w:rsidRDefault="002E6A59" w:rsidP="002E6A5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for the Primary Welfare Funding at campus level.</w:t>
      </w:r>
    </w:p>
    <w:p w14:paraId="74276CDD" w14:textId="77777777" w:rsidR="002E6A59" w:rsidRPr="004D307F" w:rsidRDefault="002E6A59" w:rsidP="00ED0863">
      <w:pPr>
        <w:pStyle w:val="ListParagraph"/>
        <w:numPr>
          <w:ilvl w:val="0"/>
          <w:numId w:val="54"/>
        </w:numPr>
        <w:rPr>
          <w:rFonts w:ascii="VIC-Regular" w:eastAsia="Times New Roman" w:hAnsi="VIC-Regular" w:cs="Times New Roman"/>
          <w:color w:val="323E4F" w:themeColor="text2" w:themeShade="BF"/>
          <w:sz w:val="24"/>
          <w:szCs w:val="24"/>
          <w:lang w:val="en" w:eastAsia="en-AU"/>
        </w:rPr>
      </w:pPr>
      <w:r w:rsidRPr="004D307F">
        <w:rPr>
          <w:color w:val="323E4F" w:themeColor="text2" w:themeShade="BF"/>
          <w:lang w:val="en-US"/>
        </w:rPr>
        <w:t>Primary</w:t>
      </w:r>
    </w:p>
    <w:p w14:paraId="278845F5" w14:textId="6179F97C" w:rsidR="002E6A59" w:rsidRPr="004D307F" w:rsidRDefault="002E6A59" w:rsidP="00ED0863">
      <w:pPr>
        <w:pStyle w:val="ListParagraph"/>
        <w:numPr>
          <w:ilvl w:val="0"/>
          <w:numId w:val="54"/>
        </w:numPr>
        <w:rPr>
          <w:rFonts w:ascii="VIC-Regular" w:eastAsia="Times New Roman" w:hAnsi="VIC-Regular" w:cs="Times New Roman"/>
          <w:color w:val="323E4F" w:themeColor="text2" w:themeShade="BF"/>
          <w:sz w:val="24"/>
          <w:szCs w:val="24"/>
          <w:lang w:val="en" w:eastAsia="en-AU"/>
        </w:rPr>
      </w:pPr>
      <w:r w:rsidRPr="004D307F">
        <w:rPr>
          <w:color w:val="323E4F" w:themeColor="text2" w:themeShade="BF"/>
          <w:lang w:val="en-US"/>
        </w:rPr>
        <w:t>Pri</w:t>
      </w:r>
      <w:r w:rsidR="00E44A5A" w:rsidRPr="004D307F">
        <w:rPr>
          <w:color w:val="323E4F" w:themeColor="text2" w:themeShade="BF"/>
          <w:lang w:val="en-US"/>
        </w:rPr>
        <w:t>mary</w:t>
      </w:r>
      <w:r w:rsidRPr="004D307F">
        <w:rPr>
          <w:color w:val="323E4F" w:themeColor="text2" w:themeShade="BF"/>
          <w:lang w:val="en-US"/>
        </w:rPr>
        <w:t>/</w:t>
      </w:r>
      <w:r w:rsidR="00E44A5A" w:rsidRPr="004D307F">
        <w:rPr>
          <w:color w:val="323E4F" w:themeColor="text2" w:themeShade="BF"/>
          <w:lang w:val="en-US"/>
        </w:rPr>
        <w:t>S</w:t>
      </w:r>
      <w:r w:rsidRPr="004D307F">
        <w:rPr>
          <w:color w:val="323E4F" w:themeColor="text2" w:themeShade="BF"/>
          <w:lang w:val="en-US"/>
        </w:rPr>
        <w:t>ec</w:t>
      </w:r>
      <w:r w:rsidR="00E44A5A" w:rsidRPr="004D307F">
        <w:rPr>
          <w:color w:val="323E4F" w:themeColor="text2" w:themeShade="BF"/>
          <w:lang w:val="en-US"/>
        </w:rPr>
        <w:t>ondary Combined</w:t>
      </w:r>
    </w:p>
    <w:p w14:paraId="31F0A298" w14:textId="77777777" w:rsidR="002E6A59" w:rsidRPr="004D307F" w:rsidRDefault="002E6A59" w:rsidP="00ED0863">
      <w:pPr>
        <w:pStyle w:val="ListParagraph"/>
        <w:numPr>
          <w:ilvl w:val="0"/>
          <w:numId w:val="54"/>
        </w:numPr>
        <w:rPr>
          <w:rFonts w:ascii="VIC-Regular" w:eastAsia="Times New Roman" w:hAnsi="VIC-Regular" w:cs="Times New Roman"/>
          <w:color w:val="323E4F" w:themeColor="text2" w:themeShade="BF"/>
          <w:sz w:val="24"/>
          <w:szCs w:val="24"/>
          <w:lang w:val="en" w:eastAsia="en-AU"/>
        </w:rPr>
      </w:pPr>
      <w:r w:rsidRPr="004D307F">
        <w:rPr>
          <w:color w:val="323E4F" w:themeColor="text2" w:themeShade="BF"/>
          <w:lang w:val="en-US"/>
        </w:rPr>
        <w:t>Special</w:t>
      </w:r>
    </w:p>
    <w:p w14:paraId="779A6BD8" w14:textId="3950F96C" w:rsidR="002E6A59" w:rsidRPr="004D307F" w:rsidRDefault="002E6A59" w:rsidP="00ED0863">
      <w:pPr>
        <w:pStyle w:val="ListParagraph"/>
        <w:numPr>
          <w:ilvl w:val="0"/>
          <w:numId w:val="54"/>
        </w:numPr>
        <w:rPr>
          <w:color w:val="323E4F" w:themeColor="text2" w:themeShade="BF"/>
          <w:lang w:val="en-US"/>
        </w:rPr>
      </w:pPr>
      <w:r w:rsidRPr="004D307F">
        <w:rPr>
          <w:color w:val="323E4F" w:themeColor="text2" w:themeShade="BF"/>
          <w:lang w:val="en-US"/>
        </w:rPr>
        <w:t>Language</w:t>
      </w:r>
    </w:p>
    <w:p w14:paraId="33188388" w14:textId="34A5EF96" w:rsidR="001A6E8C" w:rsidRPr="004D307F" w:rsidRDefault="001A6E8C" w:rsidP="00ED0863">
      <w:pPr>
        <w:pStyle w:val="ListParagraph"/>
        <w:numPr>
          <w:ilvl w:val="0"/>
          <w:numId w:val="54"/>
        </w:numPr>
        <w:rPr>
          <w:color w:val="323E4F" w:themeColor="text2" w:themeShade="BF"/>
          <w:lang w:val="en-US"/>
        </w:rPr>
      </w:pPr>
      <w:r w:rsidRPr="004D307F">
        <w:rPr>
          <w:color w:val="323E4F" w:themeColor="text2" w:themeShade="BF"/>
          <w:lang w:val="en-US"/>
        </w:rPr>
        <w:t>Day Spec</w:t>
      </w:r>
    </w:p>
    <w:p w14:paraId="4E7ABB9E" w14:textId="5AE6DECC" w:rsidR="001A6E8C" w:rsidRPr="004D307F" w:rsidRDefault="001A6E8C" w:rsidP="00ED0863">
      <w:pPr>
        <w:pStyle w:val="ListParagraph"/>
        <w:numPr>
          <w:ilvl w:val="0"/>
          <w:numId w:val="54"/>
        </w:numPr>
        <w:rPr>
          <w:color w:val="323E4F" w:themeColor="text2" w:themeShade="BF"/>
          <w:lang w:val="en-US"/>
        </w:rPr>
      </w:pPr>
      <w:r w:rsidRPr="004D307F">
        <w:rPr>
          <w:color w:val="323E4F" w:themeColor="text2" w:themeShade="BF"/>
          <w:lang w:val="en-US"/>
        </w:rPr>
        <w:t>Disability</w:t>
      </w:r>
    </w:p>
    <w:p w14:paraId="727D7621" w14:textId="5E962DDD" w:rsidR="001A6E8C" w:rsidRPr="004D307F" w:rsidRDefault="001A6E8C" w:rsidP="00ED0863">
      <w:pPr>
        <w:pStyle w:val="ListParagraph"/>
        <w:numPr>
          <w:ilvl w:val="0"/>
          <w:numId w:val="54"/>
        </w:numPr>
        <w:rPr>
          <w:color w:val="323E4F" w:themeColor="text2" w:themeShade="BF"/>
          <w:lang w:val="en-US"/>
        </w:rPr>
      </w:pPr>
      <w:r w:rsidRPr="004D307F">
        <w:rPr>
          <w:color w:val="323E4F" w:themeColor="text2" w:themeShade="BF"/>
          <w:lang w:val="en-US"/>
        </w:rPr>
        <w:t>Spec Dev</w:t>
      </w:r>
    </w:p>
    <w:p w14:paraId="7D99152B" w14:textId="77777777" w:rsidR="001A6E8C" w:rsidRPr="004D307F" w:rsidRDefault="001A6E8C" w:rsidP="004363C4">
      <w:pPr>
        <w:spacing w:before="100" w:beforeAutospacing="1" w:after="100" w:afterAutospacing="1" w:line="360" w:lineRule="atLeast"/>
        <w:contextualSpacing/>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Campuses of secondary schools are not eligible</w:t>
      </w:r>
    </w:p>
    <w:p w14:paraId="041E85A5" w14:textId="74CE051C" w:rsidR="001A6E8C" w:rsidRPr="004D307F" w:rsidRDefault="001A6E8C" w:rsidP="001A6E8C">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Camp/Outdoor schools are ineligible irrespective of their entity register classification</w:t>
      </w:r>
    </w:p>
    <w:p w14:paraId="7A283A5F" w14:textId="507877D2" w:rsidR="002E6A59" w:rsidRPr="004D307F" w:rsidRDefault="002E6A59" w:rsidP="002E6A59">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w:t>
      </w:r>
      <w:r w:rsidR="008A6CE0" w:rsidRPr="004D307F">
        <w:rPr>
          <w:rFonts w:ascii="VIC-Regular" w:eastAsia="Times New Roman" w:hAnsi="VIC-Regular" w:cs="Times New Roman"/>
          <w:color w:val="011A3C"/>
          <w:sz w:val="24"/>
          <w:szCs w:val="24"/>
          <w:lang w:val="en" w:eastAsia="en-AU"/>
        </w:rPr>
        <w:t>cycles;</w:t>
      </w:r>
      <w:r w:rsidRPr="004D307F">
        <w:rPr>
          <w:rFonts w:ascii="VIC-Regular" w:eastAsia="Times New Roman" w:hAnsi="VIC-Regular" w:cs="Times New Roman"/>
          <w:color w:val="011A3C"/>
          <w:sz w:val="24"/>
          <w:szCs w:val="24"/>
          <w:lang w:val="en" w:eastAsia="en-AU"/>
        </w:rPr>
        <w:t xml:space="preserve"> funding is allocated through credit funding</w:t>
      </w:r>
      <w:bookmarkEnd w:id="91"/>
      <w:r w:rsidRPr="004D307F">
        <w:rPr>
          <w:rFonts w:ascii="VIC-Regular" w:eastAsia="Times New Roman" w:hAnsi="VIC-Regular" w:cs="Times New Roman"/>
          <w:color w:val="011A3C"/>
          <w:sz w:val="24"/>
          <w:szCs w:val="24"/>
          <w:lang w:val="en" w:eastAsia="en-AU"/>
        </w:rPr>
        <w:t>.</w:t>
      </w:r>
    </w:p>
    <w:p w14:paraId="041BD6C5" w14:textId="2B7A8E0C" w:rsidR="00EA34C0" w:rsidRPr="004D307F" w:rsidRDefault="00EA34C0" w:rsidP="00EA34C0">
      <w:pPr>
        <w:spacing w:before="100" w:beforeAutospacing="1" w:after="100" w:afterAutospacing="1" w:line="288" w:lineRule="atLeast"/>
        <w:outlineLvl w:val="3"/>
        <w:rPr>
          <w:rFonts w:ascii="VIC-Bold" w:eastAsia="Times New Roman" w:hAnsi="VIC-Bold" w:cs="Arial"/>
          <w:b/>
          <w:bCs/>
          <w:color w:val="011A3C"/>
          <w:sz w:val="26"/>
          <w:szCs w:val="28"/>
          <w:lang w:val="en" w:eastAsia="en-AU"/>
        </w:rPr>
      </w:pPr>
      <w:r w:rsidRPr="004D307F">
        <w:rPr>
          <w:rFonts w:ascii="VIC-Bold" w:eastAsia="Times New Roman" w:hAnsi="VIC-Bold" w:cs="Arial"/>
          <w:b/>
          <w:bCs/>
          <w:color w:val="011A3C"/>
          <w:sz w:val="26"/>
          <w:szCs w:val="28"/>
          <w:lang w:val="en" w:eastAsia="en-AU"/>
        </w:rPr>
        <w:t>Calculation</w:t>
      </w:r>
    </w:p>
    <w:p w14:paraId="3B0AF28C" w14:textId="77777777"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lastRenderedPageBreak/>
        <w:t>Primary Welfare Officer funding model in the SRP from 2012 consists of base funding and per student funding with a cap on the total funding available at each campus. The formula is as follows</w:t>
      </w:r>
    </w:p>
    <w:p w14:paraId="2E07BA6E" w14:textId="77777777" w:rsidR="00EA34C0" w:rsidRPr="004D307F" w:rsidRDefault="00EA34C0"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Base + </w:t>
      </w:r>
      <w:proofErr w:type="gramStart"/>
      <w:r w:rsidRPr="004D307F">
        <w:rPr>
          <w:rFonts w:ascii="VIC-Regular" w:eastAsia="Times New Roman" w:hAnsi="VIC-Regular" w:cs="Arial"/>
          <w:color w:val="011A3C"/>
          <w:sz w:val="24"/>
          <w:szCs w:val="24"/>
          <w:lang w:val="en" w:eastAsia="en-AU"/>
        </w:rPr>
        <w:t>( [</w:t>
      </w:r>
      <w:proofErr w:type="gramEnd"/>
      <w:r w:rsidRPr="004D307F">
        <w:rPr>
          <w:rFonts w:ascii="VIC-Regular" w:eastAsia="Times New Roman" w:hAnsi="VIC-Regular" w:cs="Arial"/>
          <w:color w:val="011A3C"/>
          <w:sz w:val="24"/>
          <w:szCs w:val="24"/>
          <w:lang w:val="en" w:eastAsia="en-AU"/>
        </w:rPr>
        <w:t>School Campus SFO – State-wide SFO Threshold] x Student Rate x Enrolments)</w:t>
      </w:r>
    </w:p>
    <w:p w14:paraId="7987D211" w14:textId="0E80AB21" w:rsidR="00EA34C0" w:rsidRPr="004D307F" w:rsidRDefault="00EA34C0" w:rsidP="00EA34C0">
      <w:p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4D307F">
        <w:rPr>
          <w:rFonts w:ascii="VIC-Bold" w:eastAsia="Times New Roman" w:hAnsi="VIC-Bold" w:cs="Arial"/>
          <w:b/>
          <w:bCs/>
          <w:color w:val="011A3C"/>
          <w:sz w:val="24"/>
          <w:szCs w:val="24"/>
          <w:lang w:val="en" w:eastAsia="en-AU"/>
        </w:rPr>
        <w:t xml:space="preserve">Rates </w:t>
      </w:r>
      <w:r w:rsidRPr="004D307F">
        <w:rPr>
          <w:rFonts w:ascii="VIC-Bold" w:eastAsia="Times New Roman" w:hAnsi="VIC-Bold" w:cs="Arial" w:hint="eastAsia"/>
          <w:b/>
          <w:bCs/>
          <w:color w:val="011A3C"/>
          <w:sz w:val="24"/>
          <w:szCs w:val="24"/>
          <w:lang w:val="en" w:eastAsia="en-AU"/>
        </w:rPr>
        <w:t>—</w:t>
      </w:r>
      <w:r w:rsidRPr="004D307F">
        <w:rPr>
          <w:rFonts w:ascii="VIC-Bold" w:eastAsia="Times New Roman" w:hAnsi="VIC-Bold" w:cs="Arial"/>
          <w:b/>
          <w:bCs/>
          <w:color w:val="011A3C"/>
          <w:sz w:val="24"/>
          <w:szCs w:val="24"/>
          <w:lang w:val="en" w:eastAsia="en-AU"/>
        </w:rPr>
        <w:t xml:space="preserve"> 202</w:t>
      </w:r>
      <w:r w:rsidR="000B237C" w:rsidRPr="004D307F">
        <w:rPr>
          <w:rFonts w:ascii="VIC-Bold" w:eastAsia="Times New Roman" w:hAnsi="VIC-Bold" w:cs="Arial"/>
          <w:b/>
          <w:bCs/>
          <w:color w:val="011A3C"/>
          <w:sz w:val="24"/>
          <w:szCs w:val="24"/>
          <w:lang w:val="en" w:eastAsia="en-AU"/>
        </w:rPr>
        <w:t>2</w:t>
      </w:r>
    </w:p>
    <w:p w14:paraId="6A92DAA6" w14:textId="77777777" w:rsidR="00EA34C0" w:rsidRPr="004D307F" w:rsidRDefault="00EA34C0" w:rsidP="00ED0863">
      <w:pPr>
        <w:numPr>
          <w:ilvl w:val="0"/>
          <w:numId w:val="55"/>
        </w:num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SFO Threshold — 0.4559</w:t>
      </w:r>
    </w:p>
    <w:p w14:paraId="50710FCD" w14:textId="3E25007F" w:rsidR="00EA34C0" w:rsidRPr="004D307F" w:rsidRDefault="00EA34C0" w:rsidP="00ED0863">
      <w:pPr>
        <w:numPr>
          <w:ilvl w:val="0"/>
          <w:numId w:val="55"/>
        </w:num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Base — </w:t>
      </w:r>
      <w:r w:rsidR="00E44A5A" w:rsidRPr="004D307F">
        <w:rPr>
          <w:rFonts w:ascii="VIC-Regular" w:eastAsia="Times New Roman" w:hAnsi="VIC-Regular" w:cs="Arial"/>
          <w:color w:val="011A3C"/>
          <w:sz w:val="24"/>
          <w:szCs w:val="24"/>
          <w:lang w:val="en" w:eastAsia="en-AU"/>
        </w:rPr>
        <w:t>$18,524</w:t>
      </w:r>
      <w:r w:rsidR="000B237C" w:rsidRPr="004D307F">
        <w:rPr>
          <w:rFonts w:ascii="VIC-Regular" w:eastAsia="Times New Roman" w:hAnsi="VIC-Regular" w:cs="Arial"/>
          <w:color w:val="011A3C"/>
          <w:sz w:val="24"/>
          <w:szCs w:val="24"/>
          <w:lang w:val="en" w:eastAsia="en-AU"/>
        </w:rPr>
        <w:t xml:space="preserve"> </w:t>
      </w:r>
      <w:r w:rsidRPr="004D307F">
        <w:rPr>
          <w:rFonts w:ascii="VIC-Regular" w:eastAsia="Times New Roman" w:hAnsi="VIC-Regular" w:cs="Arial"/>
          <w:color w:val="011A3C"/>
          <w:sz w:val="24"/>
          <w:szCs w:val="24"/>
          <w:lang w:val="en" w:eastAsia="en-AU"/>
        </w:rPr>
        <w:t xml:space="preserve">Per Student Rate — </w:t>
      </w:r>
      <w:r w:rsidR="00E44A5A" w:rsidRPr="004D307F">
        <w:rPr>
          <w:rFonts w:ascii="VIC-Regular" w:eastAsia="Times New Roman" w:hAnsi="VIC-Regular" w:cs="Arial"/>
          <w:color w:val="011A3C"/>
          <w:sz w:val="24"/>
          <w:szCs w:val="24"/>
          <w:lang w:val="en" w:eastAsia="en-AU"/>
        </w:rPr>
        <w:t>$1,181.07</w:t>
      </w:r>
    </w:p>
    <w:p w14:paraId="45EA7E26" w14:textId="77777777" w:rsidR="003E6B76" w:rsidRPr="004D307F" w:rsidRDefault="00EA34C0" w:rsidP="00ED0863">
      <w:pPr>
        <w:numPr>
          <w:ilvl w:val="0"/>
          <w:numId w:val="55"/>
        </w:numPr>
        <w:spacing w:before="100" w:beforeAutospacing="1" w:after="100" w:afterAutospacing="1" w:line="288" w:lineRule="atLeast"/>
        <w:outlineLvl w:val="3"/>
        <w:rPr>
          <w:rFonts w:ascii="VIC-Bold" w:eastAsia="Times New Roman" w:hAnsi="VIC-Bold" w:cs="Arial"/>
          <w:b/>
          <w:bCs/>
          <w:color w:val="011A3C"/>
          <w:sz w:val="24"/>
          <w:szCs w:val="24"/>
          <w:lang w:val="en" w:eastAsia="en-AU"/>
        </w:rPr>
      </w:pPr>
      <w:r w:rsidRPr="004D307F">
        <w:rPr>
          <w:rFonts w:ascii="VIC-Regular" w:eastAsia="Times New Roman" w:hAnsi="VIC-Regular" w:cs="Arial"/>
          <w:color w:val="011A3C"/>
          <w:sz w:val="24"/>
          <w:szCs w:val="24"/>
          <w:lang w:val="en" w:eastAsia="en-AU"/>
        </w:rPr>
        <w:t xml:space="preserve">Total Funding Per Campus Cap — </w:t>
      </w:r>
      <w:r w:rsidR="00E44A5A" w:rsidRPr="004D307F">
        <w:rPr>
          <w:rFonts w:ascii="VIC-Regular" w:eastAsia="Times New Roman" w:hAnsi="VIC-Regular" w:cs="Arial"/>
          <w:color w:val="011A3C"/>
          <w:sz w:val="24"/>
          <w:szCs w:val="24"/>
          <w:lang w:val="en" w:eastAsia="en-AU"/>
        </w:rPr>
        <w:t>$88,360</w:t>
      </w:r>
      <w:r w:rsidR="003E6B76" w:rsidRPr="004D307F">
        <w:rPr>
          <w:rFonts w:ascii="VIC-Bold" w:eastAsia="Times New Roman" w:hAnsi="VIC-Bold" w:cs="Arial"/>
          <w:b/>
          <w:bCs/>
          <w:color w:val="011A3C"/>
          <w:sz w:val="24"/>
          <w:szCs w:val="24"/>
          <w:lang w:val="en" w:eastAsia="en-AU"/>
        </w:rPr>
        <w:t xml:space="preserve"> </w:t>
      </w:r>
    </w:p>
    <w:p w14:paraId="44E64EEC" w14:textId="6D1125F8" w:rsidR="00EA34C0" w:rsidRPr="004D307F" w:rsidRDefault="00EA34C0" w:rsidP="003E6B76">
      <w:pPr>
        <w:spacing w:before="100" w:beforeAutospacing="1" w:after="100" w:afterAutospacing="1" w:line="288" w:lineRule="atLeast"/>
        <w:ind w:left="360"/>
        <w:outlineLvl w:val="3"/>
        <w:rPr>
          <w:rFonts w:ascii="VIC-Bold" w:eastAsia="Times New Roman" w:hAnsi="VIC-Bold" w:cs="Arial"/>
          <w:b/>
          <w:bCs/>
          <w:color w:val="011A3C"/>
          <w:sz w:val="24"/>
          <w:szCs w:val="24"/>
          <w:lang w:val="en" w:eastAsia="en-AU"/>
        </w:rPr>
      </w:pPr>
      <w:r w:rsidRPr="004D307F">
        <w:rPr>
          <w:rFonts w:ascii="VIC-Bold" w:eastAsia="Times New Roman" w:hAnsi="VIC-Bold" w:cs="Arial"/>
          <w:b/>
          <w:bCs/>
          <w:color w:val="011A3C"/>
          <w:sz w:val="24"/>
          <w:szCs w:val="24"/>
          <w:lang w:val="en" w:eastAsia="en-AU"/>
        </w:rPr>
        <w:t>Further Information</w:t>
      </w:r>
    </w:p>
    <w:p w14:paraId="526E8E79" w14:textId="77777777" w:rsidR="00EA34C0" w:rsidRPr="004D307F" w:rsidRDefault="00EA34C0" w:rsidP="00ED0863">
      <w:pPr>
        <w:numPr>
          <w:ilvl w:val="0"/>
          <w:numId w:val="56"/>
        </w:num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 Welfare Officer Initiative — provides general information about the Primary Welfare Officer Initiative</w:t>
      </w:r>
    </w:p>
    <w:p w14:paraId="765C9085" w14:textId="22C96791" w:rsidR="00EA34C0" w:rsidRPr="004D307F" w:rsidRDefault="00EA34C0" w:rsidP="00ED0863">
      <w:pPr>
        <w:numPr>
          <w:ilvl w:val="0"/>
          <w:numId w:val="56"/>
        </w:num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The </w:t>
      </w:r>
      <w:hyperlink r:id="rId131" w:history="1">
        <w:r w:rsidRPr="004D307F">
          <w:rPr>
            <w:rFonts w:ascii="VIC-Regular" w:eastAsia="Times New Roman" w:hAnsi="VIC-Regular" w:cs="Arial"/>
            <w:color w:val="011A3C"/>
            <w:sz w:val="24"/>
            <w:szCs w:val="24"/>
            <w:lang w:val="en" w:eastAsia="en-AU"/>
          </w:rPr>
          <w:t>Student Engagement Policy</w:t>
        </w:r>
      </w:hyperlink>
      <w:r w:rsidRPr="004D307F">
        <w:rPr>
          <w:rFonts w:ascii="VIC-Regular" w:eastAsia="Times New Roman" w:hAnsi="VIC-Regular" w:cs="Arial"/>
          <w:color w:val="011A3C"/>
          <w:sz w:val="24"/>
          <w:szCs w:val="24"/>
          <w:lang w:val="en" w:eastAsia="en-AU"/>
        </w:rPr>
        <w:t xml:space="preserve"> provides advice, </w:t>
      </w:r>
      <w:proofErr w:type="gramStart"/>
      <w:r w:rsidRPr="004D307F">
        <w:rPr>
          <w:rFonts w:ascii="VIC-Regular" w:eastAsia="Times New Roman" w:hAnsi="VIC-Regular" w:cs="Arial"/>
          <w:color w:val="011A3C"/>
          <w:sz w:val="24"/>
          <w:szCs w:val="24"/>
          <w:lang w:val="en" w:eastAsia="en-AU"/>
        </w:rPr>
        <w:t>resources</w:t>
      </w:r>
      <w:proofErr w:type="gramEnd"/>
      <w:r w:rsidRPr="004D307F">
        <w:rPr>
          <w:rFonts w:ascii="VIC-Regular" w:eastAsia="Times New Roman" w:hAnsi="VIC-Regular" w:cs="Arial"/>
          <w:color w:val="011A3C"/>
          <w:sz w:val="24"/>
          <w:szCs w:val="24"/>
          <w:lang w:val="en" w:eastAsia="en-AU"/>
        </w:rPr>
        <w:t xml:space="preserve"> and strategies for schools on developing a Student Engagement Policy; promoting positive student </w:t>
      </w:r>
      <w:r w:rsidR="008A6CE0" w:rsidRPr="004D307F">
        <w:rPr>
          <w:rFonts w:ascii="VIC-Regular" w:eastAsia="Times New Roman" w:hAnsi="VIC-Regular" w:cs="Arial"/>
          <w:color w:val="011A3C"/>
          <w:sz w:val="24"/>
          <w:szCs w:val="24"/>
          <w:lang w:val="en" w:eastAsia="en-AU"/>
        </w:rPr>
        <w:t>behavior</w:t>
      </w:r>
      <w:r w:rsidRPr="004D307F">
        <w:rPr>
          <w:rFonts w:ascii="VIC-Regular" w:eastAsia="Times New Roman" w:hAnsi="VIC-Regular" w:cs="Arial"/>
          <w:color w:val="011A3C"/>
          <w:sz w:val="24"/>
          <w:szCs w:val="24"/>
          <w:lang w:val="en" w:eastAsia="en-AU"/>
        </w:rPr>
        <w:t xml:space="preserve">; and responding to challenging </w:t>
      </w:r>
      <w:r w:rsidR="008A6CE0" w:rsidRPr="004D307F">
        <w:rPr>
          <w:rFonts w:ascii="VIC-Regular" w:eastAsia="Times New Roman" w:hAnsi="VIC-Regular" w:cs="Arial"/>
          <w:color w:val="011A3C"/>
          <w:sz w:val="24"/>
          <w:szCs w:val="24"/>
          <w:lang w:val="en" w:eastAsia="en-AU"/>
        </w:rPr>
        <w:t>behavior</w:t>
      </w:r>
      <w:r w:rsidRPr="004D307F">
        <w:rPr>
          <w:rFonts w:ascii="VIC-Regular" w:eastAsia="Times New Roman" w:hAnsi="VIC-Regular" w:cs="Arial"/>
          <w:color w:val="011A3C"/>
          <w:sz w:val="24"/>
          <w:szCs w:val="24"/>
          <w:lang w:val="en" w:eastAsia="en-AU"/>
        </w:rPr>
        <w:t>. It provides resources schools can access to support and improve student engagement.</w:t>
      </w:r>
      <w:r w:rsidRPr="004D307F">
        <w:rPr>
          <w:rFonts w:ascii="VIC-Regular" w:eastAsia="Times New Roman" w:hAnsi="VIC-Regular" w:cs="Arial"/>
          <w:color w:val="011A3C"/>
          <w:sz w:val="24"/>
          <w:szCs w:val="24"/>
          <w:lang w:val="en" w:eastAsia="en-AU"/>
        </w:rPr>
        <w:br w:type="page"/>
      </w:r>
    </w:p>
    <w:p w14:paraId="65FDBE49" w14:textId="77777777" w:rsidR="00BB6150" w:rsidRPr="004D307F" w:rsidRDefault="00BB6150" w:rsidP="00B566E7">
      <w:pPr>
        <w:pStyle w:val="Heading2"/>
      </w:pPr>
      <w:bookmarkStart w:id="92" w:name="_Toc99882770"/>
      <w:bookmarkStart w:id="93" w:name="_Hlk50302747"/>
      <w:bookmarkStart w:id="94" w:name="_Hlk50456587"/>
      <w:bookmarkStart w:id="95" w:name="_Hlk50304235"/>
      <w:r w:rsidRPr="004D307F">
        <w:lastRenderedPageBreak/>
        <w:t>Late Enrolment and Senior Secondary Re-engagement (Reference 53)</w:t>
      </w:r>
      <w:bookmarkEnd w:id="92"/>
    </w:p>
    <w:bookmarkEnd w:id="93"/>
    <w:p w14:paraId="5279DDFF"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Late Enrolment and Senior Secondary Re-engagement Funding</w:t>
      </w:r>
    </w:p>
    <w:p w14:paraId="2846538F"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Late Enrolment Funding is available to support young people experiencing vulnerability re-engaging in education following the February census. The Senior Secondary Re-</w:t>
      </w:r>
      <w:proofErr w:type="gramStart"/>
      <w:r w:rsidRPr="004D307F">
        <w:rPr>
          <w:rFonts w:ascii="VIC-Regular" w:eastAsia="Times New Roman" w:hAnsi="VIC-Regular" w:cs="Times New Roman"/>
          <w:color w:val="011A3C"/>
          <w:sz w:val="24"/>
          <w:szCs w:val="24"/>
          <w:lang w:val="en" w:eastAsia="en-AU"/>
        </w:rPr>
        <w:t>engagement</w:t>
      </w:r>
      <w:proofErr w:type="gramEnd"/>
      <w:r w:rsidRPr="004D307F">
        <w:rPr>
          <w:rFonts w:ascii="VIC-Regular" w:eastAsia="Times New Roman" w:hAnsi="VIC-Regular" w:cs="Times New Roman"/>
          <w:color w:val="011A3C"/>
          <w:sz w:val="24"/>
          <w:szCs w:val="24"/>
          <w:lang w:val="en" w:eastAsia="en-AU"/>
        </w:rPr>
        <w:t xml:space="preserve"> Funding aims to target senior secondary students re-engaging into education via community or satellite programs.</w:t>
      </w:r>
    </w:p>
    <w:p w14:paraId="2D005936"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If a young person is eligible, funds will be allocated directly to the school where the young person is enrolled, paid pro-rate from the date of the young person’s enrolment.</w:t>
      </w:r>
    </w:p>
    <w:p w14:paraId="016B324E"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Payments</w:t>
      </w:r>
    </w:p>
    <w:p w14:paraId="08758AF8"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Late Enrolment and Senior Secondary Re-engagement Program provide targeted funding through the Student Resource Package (SRP) to schools for individual young people who </w:t>
      </w:r>
      <w:proofErr w:type="spellStart"/>
      <w:r w:rsidRPr="004D307F">
        <w:rPr>
          <w:rFonts w:ascii="VIC-Regular" w:eastAsia="Times New Roman" w:hAnsi="VIC-Regular" w:cs="Times New Roman"/>
          <w:color w:val="011A3C"/>
          <w:sz w:val="24"/>
          <w:szCs w:val="24"/>
          <w:lang w:val="en" w:eastAsia="en-AU"/>
        </w:rPr>
        <w:t>enrol</w:t>
      </w:r>
      <w:proofErr w:type="spellEnd"/>
      <w:r w:rsidRPr="004D307F">
        <w:rPr>
          <w:rFonts w:ascii="VIC-Regular" w:eastAsia="Times New Roman" w:hAnsi="VIC-Regular" w:cs="Times New Roman"/>
          <w:color w:val="011A3C"/>
          <w:sz w:val="24"/>
          <w:szCs w:val="24"/>
          <w:lang w:val="en" w:eastAsia="en-AU"/>
        </w:rPr>
        <w:t xml:space="preserve"> after the February census is completed and who meet the eligibility criteria.</w:t>
      </w:r>
    </w:p>
    <w:p w14:paraId="2060FB27"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Application deadlines</w:t>
      </w:r>
    </w:p>
    <w:p w14:paraId="438FC8D8"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Round 1</w:t>
      </w:r>
    </w:p>
    <w:p w14:paraId="7E18D51A"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Applications open on Tuesday 26 April 2022 and close on Friday 20 May 2022.</w:t>
      </w:r>
    </w:p>
    <w:p w14:paraId="19B44BAC" w14:textId="7740A460"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will be allocated their payment from the first round of funding as part of the revised SRP in June 202</w:t>
      </w:r>
      <w:r w:rsidR="00B421F2">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w:t>
      </w:r>
    </w:p>
    <w:p w14:paraId="34C7B776"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Round 2</w:t>
      </w:r>
    </w:p>
    <w:p w14:paraId="6CD609A0"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Applications open on Monday 11 July 2022 and close on Friday 26 August 2022.</w:t>
      </w:r>
    </w:p>
    <w:p w14:paraId="6A3C1E35"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will be allocated their payment from the final round of funding at school level as an adjustment to the revised SRP in September 2022.</w:t>
      </w:r>
    </w:p>
    <w:p w14:paraId="1F5FC46D"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Individual rate</w:t>
      </w:r>
    </w:p>
    <w:p w14:paraId="37FF5606" w14:textId="3FAB96BC"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The 202</w:t>
      </w:r>
      <w:r w:rsidR="00C32B87">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individual rate is a targeted payment of $10,000, which will be paid out pro-rata (100% or 75%) based on the enrolment date of the young person. There will be additional funding of $2,000 available to schools on top of the Late Enrolment Funding payment if they </w:t>
      </w:r>
      <w:proofErr w:type="spellStart"/>
      <w:r w:rsidRPr="004D307F">
        <w:rPr>
          <w:rFonts w:ascii="VIC-Regular" w:eastAsia="Times New Roman" w:hAnsi="VIC-Regular" w:cs="Times New Roman"/>
          <w:color w:val="011A3C"/>
          <w:sz w:val="24"/>
          <w:szCs w:val="24"/>
          <w:lang w:val="en" w:eastAsia="en-AU"/>
        </w:rPr>
        <w:t>enrol</w:t>
      </w:r>
      <w:proofErr w:type="spellEnd"/>
      <w:r w:rsidRPr="004D307F">
        <w:rPr>
          <w:rFonts w:ascii="VIC-Regular" w:eastAsia="Times New Roman" w:hAnsi="VIC-Regular" w:cs="Times New Roman"/>
          <w:color w:val="011A3C"/>
          <w:sz w:val="24"/>
          <w:szCs w:val="24"/>
          <w:lang w:val="en" w:eastAsia="en-AU"/>
        </w:rPr>
        <w:t xml:space="preserve"> a young person who has been involved in youth justice – either in custody or appearing before the Children’s Courts, in recognition of the often more </w:t>
      </w:r>
      <w:proofErr w:type="spellStart"/>
      <w:r w:rsidRPr="004D307F">
        <w:rPr>
          <w:rFonts w:ascii="VIC-Regular" w:eastAsia="Times New Roman" w:hAnsi="VIC-Regular" w:cs="Times New Roman"/>
          <w:color w:val="011A3C"/>
          <w:sz w:val="24"/>
          <w:szCs w:val="24"/>
          <w:lang w:val="en" w:eastAsia="en-AU"/>
        </w:rPr>
        <w:t>personalised</w:t>
      </w:r>
      <w:proofErr w:type="spellEnd"/>
      <w:r w:rsidRPr="004D307F">
        <w:rPr>
          <w:rFonts w:ascii="VIC-Regular" w:eastAsia="Times New Roman" w:hAnsi="VIC-Regular" w:cs="Times New Roman"/>
          <w:color w:val="011A3C"/>
          <w:sz w:val="24"/>
          <w:szCs w:val="24"/>
          <w:lang w:val="en" w:eastAsia="en-AU"/>
        </w:rPr>
        <w:t xml:space="preserve"> approach required to ensure ongoing engagement in education for this cohort.</w:t>
      </w:r>
    </w:p>
    <w:p w14:paraId="59940882"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be paid pro-rata based on the date of enrolment: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8"/>
        <w:gridCol w:w="1728"/>
        <w:gridCol w:w="1499"/>
        <w:gridCol w:w="2931"/>
      </w:tblGrid>
      <w:tr w:rsidR="00BB6150" w:rsidRPr="004D307F" w14:paraId="5ACD987E" w14:textId="77777777" w:rsidTr="00EE1153">
        <w:trPr>
          <w:tblHeader/>
        </w:trPr>
        <w:tc>
          <w:tcPr>
            <w:tcW w:w="0" w:type="auto"/>
            <w:gridSpan w:val="4"/>
            <w:vAlign w:val="center"/>
            <w:hideMark/>
          </w:tcPr>
          <w:p w14:paraId="1F174563" w14:textId="77777777" w:rsidR="00BB6150" w:rsidRPr="004D307F" w:rsidRDefault="00BB6150" w:rsidP="00EE1153">
            <w:pPr>
              <w:spacing w:before="100" w:beforeAutospacing="1" w:after="100" w:afterAutospacing="1" w:line="288" w:lineRule="atLeast"/>
              <w:textAlignment w:val="top"/>
              <w:outlineLvl w:val="3"/>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Funding will be paid pro-rata based on the date of enrolment:</w:t>
            </w:r>
          </w:p>
        </w:tc>
      </w:tr>
      <w:tr w:rsidR="00E40973" w:rsidRPr="004D307F" w14:paraId="15D437EA" w14:textId="77777777" w:rsidTr="00EE1153">
        <w:trPr>
          <w:tblHeader/>
        </w:trPr>
        <w:tc>
          <w:tcPr>
            <w:tcW w:w="0" w:type="auto"/>
            <w:hideMark/>
          </w:tcPr>
          <w:p w14:paraId="1C5FF616" w14:textId="77777777" w:rsidR="00BB6150" w:rsidRPr="004D307F" w:rsidRDefault="00BB6150" w:rsidP="00EE1153">
            <w:pPr>
              <w:spacing w:after="0" w:line="240" w:lineRule="atLeast"/>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Enrolment Period</w:t>
            </w:r>
          </w:p>
        </w:tc>
        <w:tc>
          <w:tcPr>
            <w:tcW w:w="0" w:type="auto"/>
            <w:hideMark/>
          </w:tcPr>
          <w:p w14:paraId="28707B71" w14:textId="77777777" w:rsidR="00BB6150" w:rsidRPr="004D307F" w:rsidRDefault="00BB6150" w:rsidP="00EE1153">
            <w:pPr>
              <w:spacing w:after="0" w:line="240" w:lineRule="atLeast"/>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Proportion of amount</w:t>
            </w:r>
          </w:p>
        </w:tc>
        <w:tc>
          <w:tcPr>
            <w:tcW w:w="0" w:type="auto"/>
            <w:hideMark/>
          </w:tcPr>
          <w:p w14:paraId="7E3C6288" w14:textId="77777777" w:rsidR="00BB6150" w:rsidRPr="004D307F" w:rsidRDefault="00BB6150" w:rsidP="00EE1153">
            <w:pPr>
              <w:spacing w:after="0" w:line="240" w:lineRule="atLeast"/>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Targeted payment</w:t>
            </w:r>
          </w:p>
        </w:tc>
        <w:tc>
          <w:tcPr>
            <w:tcW w:w="0" w:type="auto"/>
            <w:hideMark/>
          </w:tcPr>
          <w:p w14:paraId="6D9CFC5B" w14:textId="77777777" w:rsidR="00BB6150" w:rsidRPr="004D307F" w:rsidRDefault="00BB6150" w:rsidP="00EE1153">
            <w:pPr>
              <w:spacing w:after="0" w:line="240" w:lineRule="atLeast"/>
              <w:rPr>
                <w:rFonts w:ascii="VIC-Bold" w:eastAsia="Times New Roman" w:hAnsi="VIC-Bold" w:cs="Times New Roman"/>
                <w:sz w:val="24"/>
                <w:szCs w:val="24"/>
                <w:lang w:eastAsia="en-AU"/>
              </w:rPr>
            </w:pPr>
            <w:r w:rsidRPr="004D307F">
              <w:rPr>
                <w:rFonts w:ascii="VIC-Bold" w:eastAsia="Times New Roman" w:hAnsi="VIC-Bold" w:cs="Times New Roman"/>
                <w:sz w:val="24"/>
                <w:szCs w:val="24"/>
                <w:lang w:eastAsia="en-AU"/>
              </w:rPr>
              <w:t>Payment with additional youth justice facility loading</w:t>
            </w:r>
          </w:p>
        </w:tc>
      </w:tr>
      <w:tr w:rsidR="00E40973" w:rsidRPr="004D307F" w14:paraId="53DFC091" w14:textId="77777777" w:rsidTr="00EE1153">
        <w:tc>
          <w:tcPr>
            <w:tcW w:w="0" w:type="auto"/>
            <w:hideMark/>
          </w:tcPr>
          <w:p w14:paraId="5FFF4935"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 xml:space="preserve">Between Friday 25 </w:t>
            </w:r>
            <w:proofErr w:type="gramStart"/>
            <w:r w:rsidRPr="004D307F">
              <w:rPr>
                <w:rFonts w:ascii="VIC-Regular" w:eastAsia="Times New Roman" w:hAnsi="VIC-Regular" w:cs="Times New Roman"/>
                <w:sz w:val="24"/>
                <w:szCs w:val="24"/>
                <w:lang w:eastAsia="en-AU"/>
              </w:rPr>
              <w:t>February  and</w:t>
            </w:r>
            <w:proofErr w:type="gramEnd"/>
            <w:r w:rsidRPr="004D307F">
              <w:rPr>
                <w:rFonts w:ascii="VIC-Regular" w:eastAsia="Times New Roman" w:hAnsi="VIC-Regular" w:cs="Times New Roman"/>
                <w:sz w:val="24"/>
                <w:szCs w:val="24"/>
                <w:lang w:eastAsia="en-AU"/>
              </w:rPr>
              <w:t xml:space="preserve"> Friday 27 May 2022</w:t>
            </w:r>
          </w:p>
        </w:tc>
        <w:tc>
          <w:tcPr>
            <w:tcW w:w="0" w:type="auto"/>
            <w:hideMark/>
          </w:tcPr>
          <w:p w14:paraId="5FA8716F"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100% of full-time SRP</w:t>
            </w:r>
          </w:p>
        </w:tc>
        <w:tc>
          <w:tcPr>
            <w:tcW w:w="0" w:type="auto"/>
            <w:hideMark/>
          </w:tcPr>
          <w:p w14:paraId="5C14A0D7"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$10,000</w:t>
            </w:r>
          </w:p>
        </w:tc>
        <w:tc>
          <w:tcPr>
            <w:tcW w:w="0" w:type="auto"/>
            <w:hideMark/>
          </w:tcPr>
          <w:p w14:paraId="1E6B3911"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$12,000</w:t>
            </w:r>
          </w:p>
        </w:tc>
      </w:tr>
      <w:tr w:rsidR="00E40973" w:rsidRPr="004D307F" w14:paraId="5F863DD7" w14:textId="77777777" w:rsidTr="00EE1153">
        <w:tc>
          <w:tcPr>
            <w:tcW w:w="0" w:type="auto"/>
            <w:hideMark/>
          </w:tcPr>
          <w:p w14:paraId="458DB97F"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Between Monday 30 May and Friday 12 August 2022</w:t>
            </w:r>
          </w:p>
        </w:tc>
        <w:tc>
          <w:tcPr>
            <w:tcW w:w="0" w:type="auto"/>
            <w:hideMark/>
          </w:tcPr>
          <w:p w14:paraId="69120896"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75% of full-time SRP</w:t>
            </w:r>
          </w:p>
        </w:tc>
        <w:tc>
          <w:tcPr>
            <w:tcW w:w="0" w:type="auto"/>
            <w:hideMark/>
          </w:tcPr>
          <w:p w14:paraId="73E05F52"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$7500</w:t>
            </w:r>
          </w:p>
        </w:tc>
        <w:tc>
          <w:tcPr>
            <w:tcW w:w="0" w:type="auto"/>
            <w:hideMark/>
          </w:tcPr>
          <w:p w14:paraId="01B5BE29" w14:textId="77777777" w:rsidR="00BB6150" w:rsidRPr="004D307F" w:rsidRDefault="00BB6150" w:rsidP="00EE1153">
            <w:pPr>
              <w:spacing w:after="0" w:line="360" w:lineRule="atLeast"/>
              <w:rPr>
                <w:rFonts w:ascii="VIC-Regular" w:eastAsia="Times New Roman" w:hAnsi="VIC-Regular" w:cs="Times New Roman"/>
                <w:sz w:val="24"/>
                <w:szCs w:val="24"/>
                <w:lang w:eastAsia="en-AU"/>
              </w:rPr>
            </w:pPr>
            <w:r w:rsidRPr="004D307F">
              <w:rPr>
                <w:rFonts w:ascii="VIC-Regular" w:eastAsia="Times New Roman" w:hAnsi="VIC-Regular" w:cs="Times New Roman"/>
                <w:sz w:val="24"/>
                <w:szCs w:val="24"/>
                <w:lang w:eastAsia="en-AU"/>
              </w:rPr>
              <w:t>$9500</w:t>
            </w:r>
          </w:p>
        </w:tc>
      </w:tr>
    </w:tbl>
    <w:p w14:paraId="02F8FFD4"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 Criteria</w:t>
      </w:r>
    </w:p>
    <w:p w14:paraId="257B254F"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schools to apply for Late Enrolment Funding, the young person must be re-engaging with education after the February census and meet the following criteria:</w:t>
      </w:r>
    </w:p>
    <w:p w14:paraId="00531183" w14:textId="77777777" w:rsidR="00BB6150" w:rsidRPr="004D307F" w:rsidRDefault="00BB6150" w:rsidP="00ED0863">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not been counted (funded) in a Department of Education and Training school census in the same year and must meet at least one of the following criteria: </w:t>
      </w:r>
    </w:p>
    <w:p w14:paraId="0DD36F7D" w14:textId="6AB21125" w:rsidR="00BB6150" w:rsidRPr="004D307F" w:rsidRDefault="00BB6150" w:rsidP="00ED0863">
      <w:pPr>
        <w:numPr>
          <w:ilvl w:val="1"/>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disengaged from school (defined as </w:t>
      </w:r>
      <w:r w:rsidR="00400713">
        <w:rPr>
          <w:rFonts w:ascii="VIC-Regular" w:eastAsia="Times New Roman" w:hAnsi="VIC-Regular" w:cs="Times New Roman"/>
          <w:color w:val="011A3C"/>
          <w:sz w:val="24"/>
          <w:szCs w:val="24"/>
          <w:lang w:val="en" w:eastAsia="en-AU"/>
        </w:rPr>
        <w:t xml:space="preserve">less than </w:t>
      </w:r>
      <w:r w:rsidRPr="004D307F">
        <w:rPr>
          <w:rFonts w:ascii="VIC-Regular" w:eastAsia="Times New Roman" w:hAnsi="VIC-Regular" w:cs="Times New Roman"/>
          <w:color w:val="011A3C"/>
          <w:sz w:val="24"/>
          <w:szCs w:val="24"/>
          <w:lang w:val="en" w:eastAsia="en-AU"/>
        </w:rPr>
        <w:t>30% attendance)</w:t>
      </w:r>
    </w:p>
    <w:p w14:paraId="0368B7ED" w14:textId="77777777" w:rsidR="00BB6150" w:rsidRPr="004D307F" w:rsidRDefault="00BB6150" w:rsidP="00ED0863">
      <w:pPr>
        <w:numPr>
          <w:ilvl w:val="1"/>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residing in statutory Out of Home Care (defined as young people who cannot live in their family home and are residing in a temporary, </w:t>
      </w:r>
      <w:proofErr w:type="gramStart"/>
      <w:r w:rsidRPr="004D307F">
        <w:rPr>
          <w:rFonts w:ascii="VIC-Regular" w:eastAsia="Times New Roman" w:hAnsi="VIC-Regular" w:cs="Times New Roman"/>
          <w:color w:val="011A3C"/>
          <w:sz w:val="24"/>
          <w:szCs w:val="24"/>
          <w:lang w:val="en" w:eastAsia="en-AU"/>
        </w:rPr>
        <w:t>medium</w:t>
      </w:r>
      <w:proofErr w:type="gramEnd"/>
      <w:r w:rsidRPr="004D307F">
        <w:rPr>
          <w:rFonts w:ascii="VIC-Regular" w:eastAsia="Times New Roman" w:hAnsi="VIC-Regular" w:cs="Times New Roman"/>
          <w:color w:val="011A3C"/>
          <w:sz w:val="24"/>
          <w:szCs w:val="24"/>
          <w:lang w:val="en" w:eastAsia="en-AU"/>
        </w:rPr>
        <w:t xml:space="preserve"> or long-term living arrangement)</w:t>
      </w:r>
    </w:p>
    <w:p w14:paraId="6364B2B4" w14:textId="77777777" w:rsidR="00BB6150" w:rsidRPr="004D307F" w:rsidRDefault="00BB6150" w:rsidP="00ED0863">
      <w:pPr>
        <w:numPr>
          <w:ilvl w:val="1"/>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involved with the youth justice system, including a young person with a youth control order and intensive bail conditions (identified by Education Justice Initiative staff, Parkville College staff or court liaison officers)</w:t>
      </w:r>
    </w:p>
    <w:p w14:paraId="29288AD9" w14:textId="77777777" w:rsidR="00BB6150" w:rsidRPr="004D307F" w:rsidRDefault="00BB6150" w:rsidP="00ED0863">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have a confirmed school enrolment (or equivalent) at a government school with an Individual Education Plan (IEP) in place (please note there is no age limit for applications)</w:t>
      </w:r>
    </w:p>
    <w:p w14:paraId="1363829F" w14:textId="77777777" w:rsidR="00BB6150" w:rsidRPr="004D307F" w:rsidRDefault="00BB6150" w:rsidP="00ED0863">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 have received Late Enrolment Funding within the current financial year</w:t>
      </w:r>
    </w:p>
    <w:p w14:paraId="6B96D4CB" w14:textId="77777777" w:rsidR="00BB6150" w:rsidRPr="004D307F" w:rsidRDefault="00BB6150" w:rsidP="00ED0863">
      <w:pPr>
        <w:numPr>
          <w:ilvl w:val="0"/>
          <w:numId w:val="57"/>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 be participating in an approved senior secondary re-engagement program</w:t>
      </w:r>
    </w:p>
    <w:p w14:paraId="146E5115"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schools to be eligible for Senior Secondary Re-engagement Funding, the following criteria must be met:</w:t>
      </w:r>
    </w:p>
    <w:p w14:paraId="6729444E" w14:textId="77777777" w:rsidR="00BB6150" w:rsidRPr="004D307F" w:rsidRDefault="00BB6150" w:rsidP="00ED0863">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young person must be re-engaging with education after the February census</w:t>
      </w:r>
    </w:p>
    <w:p w14:paraId="352E4E96" w14:textId="77777777" w:rsidR="00BB6150" w:rsidRPr="004D307F" w:rsidRDefault="00BB6150" w:rsidP="00ED0863">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young person must not have been counted (funded) in a Department of Education and Training school census in the same year</w:t>
      </w:r>
    </w:p>
    <w:p w14:paraId="4C8999B2" w14:textId="1880FFE8" w:rsidR="00BB6150" w:rsidRPr="004D307F" w:rsidRDefault="00BB6150" w:rsidP="00ED0863">
      <w:pPr>
        <w:numPr>
          <w:ilvl w:val="0"/>
          <w:numId w:val="5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young person must be participating in an approved senior secondary re-engagement program</w:t>
      </w:r>
      <w:r w:rsidR="00B421F2">
        <w:rPr>
          <w:rFonts w:ascii="VIC-Regular" w:eastAsia="Times New Roman" w:hAnsi="VIC-Regular" w:cs="Times New Roman"/>
          <w:color w:val="011A3C"/>
          <w:sz w:val="24"/>
          <w:szCs w:val="24"/>
          <w:lang w:val="en" w:eastAsia="en-AU"/>
        </w:rPr>
        <w:t xml:space="preserve"> </w:t>
      </w:r>
      <w:r w:rsidR="00B421F2" w:rsidRPr="006808B4">
        <w:rPr>
          <w:rFonts w:ascii="VIC-Regular" w:eastAsia="Times New Roman" w:hAnsi="VIC-Regular" w:cs="Times New Roman"/>
          <w:color w:val="011A3C"/>
          <w:sz w:val="24"/>
          <w:szCs w:val="24"/>
          <w:lang w:val="en"/>
        </w:rPr>
        <w:t>with an Individual Learning Plan (IEP) in place.</w:t>
      </w:r>
    </w:p>
    <w:p w14:paraId="55DA2D43"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Applying for funding</w:t>
      </w:r>
    </w:p>
    <w:p w14:paraId="2E0736E3"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Once a young person is identified as eligible for funding:</w:t>
      </w:r>
    </w:p>
    <w:p w14:paraId="65D16A3F"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Step 1</w:t>
      </w:r>
    </w:p>
    <w:p w14:paraId="7444BADA" w14:textId="4EE66447" w:rsidR="00B421F2" w:rsidRPr="006808B4" w:rsidRDefault="00B421F2" w:rsidP="00B421F2">
      <w:pPr>
        <w:pStyle w:val="xmsonormal"/>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 xml:space="preserve">The school develops an Individual Education Plan (IEP) for the young person. An IEP is required for both Late Enrolment Funding and Senior Secondary Re-engagement Funding applications. Schools must use the IEP template developed by the Department which is available </w:t>
      </w:r>
      <w:bookmarkStart w:id="96" w:name="_Hlk65691116"/>
      <w:r w:rsidR="003F7A0B">
        <w:rPr>
          <w:rFonts w:ascii="VIC-Regular" w:eastAsia="Times New Roman" w:hAnsi="VIC-Regular" w:cs="Times New Roman"/>
          <w:color w:val="011A3C"/>
          <w:sz w:val="24"/>
          <w:szCs w:val="24"/>
          <w:lang w:val="en"/>
        </w:rPr>
        <w:t>at</w:t>
      </w:r>
      <w:r w:rsidRPr="006808B4">
        <w:rPr>
          <w:rFonts w:ascii="VIC-Regular" w:eastAsia="Times New Roman" w:hAnsi="VIC-Regular" w:cs="Times New Roman"/>
          <w:color w:val="011A3C"/>
          <w:sz w:val="24"/>
          <w:szCs w:val="24"/>
          <w:lang w:val="en"/>
        </w:rPr>
        <w:t xml:space="preserve"> </w:t>
      </w:r>
      <w:hyperlink r:id="rId132" w:history="1">
        <w:r w:rsidRPr="006808B4">
          <w:rPr>
            <w:rFonts w:ascii="VIC-Regular" w:eastAsia="Times New Roman" w:hAnsi="VIC-Regular" w:cs="Times New Roman"/>
            <w:color w:val="011A3C"/>
            <w:sz w:val="24"/>
            <w:szCs w:val="24"/>
            <w:lang w:val="en"/>
          </w:rPr>
          <w:t>Individual Education Plans</w:t>
        </w:r>
        <w:r w:rsidR="003F7A0B">
          <w:rPr>
            <w:rFonts w:ascii="VIC-Regular" w:eastAsia="Times New Roman" w:hAnsi="VIC-Regular" w:cs="Times New Roman"/>
            <w:color w:val="011A3C"/>
            <w:sz w:val="24"/>
            <w:szCs w:val="24"/>
            <w:lang w:val="en"/>
          </w:rPr>
          <w:t xml:space="preserve"> – Resources</w:t>
        </w:r>
        <w:r w:rsidRPr="006808B4">
          <w:rPr>
            <w:rFonts w:ascii="VIC-Regular" w:eastAsia="Times New Roman" w:hAnsi="VIC-Regular" w:cs="Times New Roman"/>
            <w:color w:val="011A3C"/>
            <w:sz w:val="24"/>
            <w:szCs w:val="24"/>
            <w:lang w:val="en"/>
          </w:rPr>
          <w:t>.</w:t>
        </w:r>
      </w:hyperlink>
      <w:bookmarkEnd w:id="96"/>
    </w:p>
    <w:p w14:paraId="0BC12AF8" w14:textId="77777777" w:rsidR="00B421F2" w:rsidRPr="006808B4" w:rsidRDefault="00B421F2" w:rsidP="00B421F2">
      <w:pPr>
        <w:pStyle w:val="xmsonormal"/>
        <w:shd w:val="clear" w:color="auto" w:fill="FFFFFF"/>
        <w:spacing w:after="360"/>
        <w:rPr>
          <w:rFonts w:ascii="VIC-Regular" w:eastAsia="Times New Roman" w:hAnsi="VIC-Regular" w:cs="Times New Roman"/>
          <w:color w:val="011A3C"/>
          <w:sz w:val="24"/>
          <w:szCs w:val="24"/>
          <w:lang w:val="en"/>
        </w:rPr>
      </w:pPr>
    </w:p>
    <w:p w14:paraId="0C9A239E" w14:textId="77777777" w:rsidR="00B421F2" w:rsidRPr="006808B4" w:rsidRDefault="00B421F2" w:rsidP="00B421F2">
      <w:pPr>
        <w:pStyle w:val="xmsonormal"/>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It is recommended that school staff take the following steps when developing an IEP:</w:t>
      </w:r>
    </w:p>
    <w:p w14:paraId="10552EBB" w14:textId="2E5BDABC" w:rsidR="00B421F2" w:rsidRPr="006808B4" w:rsidRDefault="00B421F2" w:rsidP="00B421F2">
      <w:pPr>
        <w:pStyle w:val="xmsonormal"/>
        <w:numPr>
          <w:ilvl w:val="0"/>
          <w:numId w:val="181"/>
        </w:numPr>
        <w:shd w:val="clear" w:color="auto" w:fill="FFFFFF"/>
        <w:spacing w:after="360"/>
        <w:rPr>
          <w:rFonts w:ascii="VIC-Regular" w:eastAsia="Times New Roman" w:hAnsi="VIC-Regular" w:cs="Times New Roman"/>
          <w:color w:val="011A3C"/>
          <w:sz w:val="24"/>
          <w:szCs w:val="24"/>
          <w:lang w:val="en"/>
        </w:rPr>
      </w:pPr>
      <w:proofErr w:type="spellStart"/>
      <w:r w:rsidRPr="006808B4">
        <w:rPr>
          <w:rFonts w:ascii="VIC-Regular" w:eastAsia="Times New Roman" w:hAnsi="VIC-Regular" w:cs="Times New Roman"/>
          <w:color w:val="011A3C"/>
          <w:sz w:val="24"/>
          <w:szCs w:val="24"/>
          <w:lang w:val="en"/>
        </w:rPr>
        <w:t>Utilise</w:t>
      </w:r>
      <w:proofErr w:type="spellEnd"/>
      <w:r w:rsidRPr="006808B4">
        <w:rPr>
          <w:rFonts w:ascii="VIC-Regular" w:eastAsia="Times New Roman" w:hAnsi="VIC-Regular" w:cs="Times New Roman"/>
          <w:color w:val="011A3C"/>
          <w:sz w:val="24"/>
          <w:szCs w:val="24"/>
          <w:lang w:val="en"/>
        </w:rPr>
        <w:t xml:space="preserve"> the </w:t>
      </w:r>
      <w:r w:rsidR="003F7A0B">
        <w:rPr>
          <w:rFonts w:ascii="VIC-Regular" w:eastAsia="Times New Roman" w:hAnsi="VIC-Regular" w:cs="Times New Roman"/>
          <w:color w:val="011A3C"/>
          <w:sz w:val="24"/>
          <w:szCs w:val="24"/>
          <w:lang w:val="en"/>
        </w:rPr>
        <w:t>d</w:t>
      </w:r>
      <w:r w:rsidRPr="006808B4">
        <w:rPr>
          <w:rFonts w:ascii="VIC-Regular" w:eastAsia="Times New Roman" w:hAnsi="VIC-Regular" w:cs="Times New Roman"/>
          <w:color w:val="011A3C"/>
          <w:sz w:val="24"/>
          <w:szCs w:val="24"/>
          <w:lang w:val="en"/>
        </w:rPr>
        <w:t xml:space="preserve">epartment’s </w:t>
      </w:r>
      <w:hyperlink r:id="rId133" w:history="1">
        <w:r w:rsidRPr="006808B4">
          <w:rPr>
            <w:rFonts w:ascii="VIC-Regular" w:hAnsi="VIC-Regular" w:cs="Times New Roman"/>
            <w:color w:val="011A3C"/>
            <w:sz w:val="24"/>
            <w:szCs w:val="24"/>
            <w:lang w:val="en"/>
          </w:rPr>
          <w:t>IEP templat</w:t>
        </w:r>
        <w:r w:rsidR="003F7A0B">
          <w:rPr>
            <w:rFonts w:ascii="VIC-Regular" w:hAnsi="VIC-Regular" w:cs="Times New Roman"/>
            <w:color w:val="011A3C"/>
            <w:sz w:val="24"/>
            <w:szCs w:val="24"/>
            <w:lang w:val="en"/>
          </w:rPr>
          <w:t>e (PDF)</w:t>
        </w:r>
      </w:hyperlink>
    </w:p>
    <w:p w14:paraId="2EEE769B" w14:textId="77777777" w:rsidR="00B421F2" w:rsidRPr="006808B4" w:rsidRDefault="00B421F2" w:rsidP="00B421F2">
      <w:pPr>
        <w:pStyle w:val="xmsonormal"/>
        <w:numPr>
          <w:ilvl w:val="0"/>
          <w:numId w:val="181"/>
        </w:numPr>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 xml:space="preserve">Complete the IEP eLearning module on </w:t>
      </w:r>
      <w:proofErr w:type="spellStart"/>
      <w:r w:rsidRPr="006808B4">
        <w:rPr>
          <w:rFonts w:ascii="VIC-Regular" w:eastAsia="Times New Roman" w:hAnsi="VIC-Regular" w:cs="Times New Roman"/>
          <w:color w:val="011A3C"/>
          <w:sz w:val="24"/>
          <w:szCs w:val="24"/>
          <w:lang w:val="en"/>
        </w:rPr>
        <w:t>LearnED</w:t>
      </w:r>
      <w:proofErr w:type="spellEnd"/>
      <w:r w:rsidRPr="006808B4">
        <w:rPr>
          <w:rFonts w:ascii="VIC-Regular" w:eastAsia="Times New Roman" w:hAnsi="VIC-Regular" w:cs="Times New Roman"/>
          <w:color w:val="011A3C"/>
          <w:sz w:val="24"/>
          <w:szCs w:val="24"/>
          <w:lang w:val="en"/>
        </w:rPr>
        <w:t xml:space="preserve"> (available via </w:t>
      </w:r>
      <w:proofErr w:type="spellStart"/>
      <w:r w:rsidR="00D429CE">
        <w:fldChar w:fldCharType="begin"/>
      </w:r>
      <w:r w:rsidR="00D429CE">
        <w:instrText xml:space="preserve"> HYPERLINK "https://edupay.eduweb.vic.gov.au/" \t "_blank" </w:instrText>
      </w:r>
      <w:r w:rsidR="00D429CE">
        <w:fldChar w:fldCharType="separate"/>
      </w:r>
      <w:r w:rsidRPr="006808B4">
        <w:rPr>
          <w:rFonts w:ascii="VIC-Regular" w:hAnsi="VIC-Regular" w:cs="Times New Roman"/>
          <w:color w:val="011A3C"/>
          <w:sz w:val="24"/>
          <w:szCs w:val="24"/>
          <w:lang w:val="en"/>
        </w:rPr>
        <w:t>eduPay</w:t>
      </w:r>
      <w:proofErr w:type="spellEnd"/>
      <w:r w:rsidR="00D429CE">
        <w:rPr>
          <w:rFonts w:ascii="VIC-Regular" w:hAnsi="VIC-Regular" w:cs="Times New Roman"/>
          <w:color w:val="011A3C"/>
          <w:sz w:val="24"/>
          <w:szCs w:val="24"/>
          <w:lang w:val="en"/>
        </w:rPr>
        <w:fldChar w:fldCharType="end"/>
      </w:r>
      <w:r w:rsidRPr="006808B4">
        <w:rPr>
          <w:rFonts w:ascii="VIC-Regular" w:eastAsia="Times New Roman" w:hAnsi="VIC-Regular" w:cs="Times New Roman"/>
          <w:color w:val="011A3C"/>
          <w:sz w:val="24"/>
          <w:szCs w:val="24"/>
          <w:lang w:val="en"/>
        </w:rPr>
        <w:t>) and attend an IEP webinar (available via </w:t>
      </w:r>
      <w:hyperlink r:id="rId134" w:tgtFrame="_blank" w:history="1">
        <w:r w:rsidRPr="006808B4">
          <w:rPr>
            <w:rFonts w:ascii="VIC-Regular" w:hAnsi="VIC-Regular" w:cs="Times New Roman"/>
            <w:color w:val="011A3C"/>
            <w:sz w:val="24"/>
            <w:szCs w:val="24"/>
            <w:lang w:val="en"/>
          </w:rPr>
          <w:t>Arc – Individual Education Planning</w:t>
        </w:r>
      </w:hyperlink>
      <w:r w:rsidRPr="006808B4">
        <w:rPr>
          <w:rFonts w:ascii="VIC-Regular" w:eastAsia="Times New Roman" w:hAnsi="VIC-Regular" w:cs="Times New Roman"/>
          <w:color w:val="011A3C"/>
          <w:sz w:val="24"/>
          <w:szCs w:val="24"/>
          <w:lang w:val="en"/>
        </w:rPr>
        <w:t>)</w:t>
      </w:r>
    </w:p>
    <w:p w14:paraId="0D48D468" w14:textId="77777777" w:rsidR="00B421F2" w:rsidRPr="006808B4" w:rsidRDefault="00B421F2" w:rsidP="00B421F2">
      <w:pPr>
        <w:pStyle w:val="xmsonormal"/>
        <w:numPr>
          <w:ilvl w:val="0"/>
          <w:numId w:val="181"/>
        </w:numPr>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lastRenderedPageBreak/>
        <w:t>Schedule an SSG meeting with the student (where appropriate), their parent/</w:t>
      </w:r>
      <w:proofErr w:type="spellStart"/>
      <w:r w:rsidRPr="006808B4">
        <w:rPr>
          <w:rFonts w:ascii="VIC-Regular" w:eastAsia="Times New Roman" w:hAnsi="VIC-Regular" w:cs="Times New Roman"/>
          <w:color w:val="011A3C"/>
          <w:sz w:val="24"/>
          <w:szCs w:val="24"/>
          <w:lang w:val="en"/>
        </w:rPr>
        <w:t>carer</w:t>
      </w:r>
      <w:proofErr w:type="spellEnd"/>
      <w:r w:rsidRPr="006808B4">
        <w:rPr>
          <w:rFonts w:ascii="VIC-Regular" w:eastAsia="Times New Roman" w:hAnsi="VIC-Regular" w:cs="Times New Roman"/>
          <w:color w:val="011A3C"/>
          <w:sz w:val="24"/>
          <w:szCs w:val="24"/>
          <w:lang w:val="en"/>
        </w:rPr>
        <w:t xml:space="preserve">, </w:t>
      </w:r>
      <w:proofErr w:type="gramStart"/>
      <w:r w:rsidRPr="006808B4">
        <w:rPr>
          <w:rFonts w:ascii="VIC-Regular" w:eastAsia="Times New Roman" w:hAnsi="VIC-Regular" w:cs="Times New Roman"/>
          <w:color w:val="011A3C"/>
          <w:sz w:val="24"/>
          <w:szCs w:val="24"/>
          <w:lang w:val="en"/>
        </w:rPr>
        <w:t>teacher</w:t>
      </w:r>
      <w:proofErr w:type="gramEnd"/>
      <w:r w:rsidRPr="006808B4">
        <w:rPr>
          <w:rFonts w:ascii="VIC-Regular" w:eastAsia="Times New Roman" w:hAnsi="VIC-Regular" w:cs="Times New Roman"/>
          <w:color w:val="011A3C"/>
          <w:sz w:val="24"/>
          <w:szCs w:val="24"/>
          <w:lang w:val="en"/>
        </w:rPr>
        <w:t xml:space="preserve"> and education support staff. The SSG is an opportunity to get to know the student and how they learn. The meeting will assist school staff in understanding the student’s strengths and interests and any challenges or barriers to learning and will assist in developing student-</w:t>
      </w:r>
      <w:proofErr w:type="spellStart"/>
      <w:r w:rsidRPr="006808B4">
        <w:rPr>
          <w:rFonts w:ascii="VIC-Regular" w:eastAsia="Times New Roman" w:hAnsi="VIC-Regular" w:cs="Times New Roman"/>
          <w:color w:val="011A3C"/>
          <w:sz w:val="24"/>
          <w:szCs w:val="24"/>
          <w:lang w:val="en"/>
        </w:rPr>
        <w:t>centred</w:t>
      </w:r>
      <w:proofErr w:type="spellEnd"/>
      <w:r w:rsidRPr="006808B4">
        <w:rPr>
          <w:rFonts w:ascii="VIC-Regular" w:eastAsia="Times New Roman" w:hAnsi="VIC-Regular" w:cs="Times New Roman"/>
          <w:color w:val="011A3C"/>
          <w:sz w:val="24"/>
          <w:szCs w:val="24"/>
          <w:lang w:val="en"/>
        </w:rPr>
        <w:t xml:space="preserve"> approaches. </w:t>
      </w:r>
    </w:p>
    <w:p w14:paraId="3E0940D2" w14:textId="77777777" w:rsidR="00B421F2" w:rsidRPr="006808B4" w:rsidRDefault="00B421F2" w:rsidP="00B421F2">
      <w:pPr>
        <w:pStyle w:val="xmsonormal"/>
        <w:numPr>
          <w:ilvl w:val="0"/>
          <w:numId w:val="181"/>
        </w:numPr>
        <w:shd w:val="clear" w:color="auto" w:fill="FFFFFF"/>
        <w:spacing w:after="360"/>
        <w:rPr>
          <w:rFonts w:ascii="VIC-Regular" w:eastAsia="Times New Roman" w:hAnsi="VIC-Regular" w:cs="Times New Roman"/>
          <w:color w:val="011A3C"/>
          <w:sz w:val="24"/>
          <w:szCs w:val="24"/>
          <w:lang w:val="en"/>
        </w:rPr>
      </w:pPr>
      <w:r w:rsidRPr="006808B4">
        <w:rPr>
          <w:rFonts w:ascii="VIC-Regular" w:eastAsia="Times New Roman" w:hAnsi="VIC-Regular" w:cs="Times New Roman"/>
          <w:color w:val="011A3C"/>
          <w:sz w:val="24"/>
          <w:szCs w:val="24"/>
          <w:lang w:val="en"/>
        </w:rPr>
        <w:t xml:space="preserve">After the IEP has been developed, use the IEP </w:t>
      </w:r>
      <w:hyperlink r:id="rId135" w:history="1">
        <w:r w:rsidRPr="006808B4">
          <w:rPr>
            <w:rStyle w:val="Hyperlink"/>
            <w:rFonts w:ascii="VIC-Regular" w:eastAsia="Times New Roman" w:hAnsi="VIC-Regular" w:cs="Times New Roman"/>
            <w:sz w:val="24"/>
            <w:szCs w:val="24"/>
            <w:lang w:val="en"/>
          </w:rPr>
          <w:t>quality checklist rubric</w:t>
        </w:r>
      </w:hyperlink>
      <w:r w:rsidRPr="006808B4">
        <w:rPr>
          <w:rFonts w:ascii="VIC-Regular" w:eastAsia="Times New Roman" w:hAnsi="VIC-Regular" w:cs="Times New Roman"/>
          <w:color w:val="011A3C"/>
          <w:sz w:val="24"/>
          <w:szCs w:val="24"/>
          <w:lang w:val="en"/>
        </w:rPr>
        <w:t xml:space="preserve"> to check that it includes the essential components. </w:t>
      </w:r>
    </w:p>
    <w:p w14:paraId="63FD0C77" w14:textId="1833552A"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p>
    <w:p w14:paraId="7DD41841"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Step 2</w:t>
      </w:r>
    </w:p>
    <w:p w14:paraId="4CB36C73" w14:textId="2B0EDFAB"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school completes the </w:t>
      </w:r>
      <w:hyperlink r:id="rId136" w:history="1">
        <w:r w:rsidRPr="004D307F">
          <w:rPr>
            <w:rFonts w:ascii="VIC-Regular" w:eastAsia="Times New Roman" w:hAnsi="VIC-Regular" w:cs="Times New Roman"/>
            <w:color w:val="011A3C"/>
            <w:sz w:val="24"/>
            <w:szCs w:val="24"/>
            <w:lang w:val="en" w:eastAsia="en-AU"/>
          </w:rPr>
          <w:t>online application form</w:t>
        </w:r>
      </w:hyperlink>
      <w:r w:rsidRPr="004D307F">
        <w:rPr>
          <w:rFonts w:ascii="VIC-Regular" w:eastAsia="Times New Roman" w:hAnsi="VIC-Regular" w:cs="Times New Roman"/>
          <w:color w:val="011A3C"/>
          <w:sz w:val="24"/>
          <w:szCs w:val="24"/>
          <w:lang w:val="en" w:eastAsia="en-AU"/>
        </w:rPr>
        <w:t xml:space="preserve"> </w:t>
      </w:r>
      <w:r w:rsidR="0012291B">
        <w:rPr>
          <w:rFonts w:ascii="VIC-Regular" w:eastAsia="Times New Roman" w:hAnsi="VIC-Regular" w:cs="Times New Roman"/>
          <w:color w:val="011A3C"/>
          <w:sz w:val="24"/>
          <w:szCs w:val="24"/>
          <w:lang w:val="en" w:eastAsia="en-AU"/>
        </w:rPr>
        <w:t xml:space="preserve">(staff login required) </w:t>
      </w:r>
      <w:r w:rsidRPr="004D307F">
        <w:rPr>
          <w:rFonts w:ascii="VIC-Regular" w:eastAsia="Times New Roman" w:hAnsi="VIC-Regular" w:cs="Times New Roman"/>
          <w:color w:val="011A3C"/>
          <w:sz w:val="24"/>
          <w:szCs w:val="24"/>
          <w:lang w:val="en" w:eastAsia="en-AU"/>
        </w:rPr>
        <w:t>and attaches the completed IEP.</w:t>
      </w:r>
    </w:p>
    <w:p w14:paraId="1A5454EA"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Step 3</w:t>
      </w:r>
    </w:p>
    <w:p w14:paraId="304A6662"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application is initially sent to the Performance and Evaluation Division to determine whether the young person was funded during the February census. If a young person was not funded, the application will then go through a series of approvals. If the young person was funded, the principal will be notified immediately, and the application will be deemed ineligible.  </w:t>
      </w:r>
    </w:p>
    <w:p w14:paraId="31467B1E" w14:textId="77777777" w:rsidR="00BB6150" w:rsidRPr="004D307F" w:rsidRDefault="00BB6150" w:rsidP="00BB6150">
      <w:pPr>
        <w:spacing w:before="100" w:beforeAutospacing="1" w:after="100" w:afterAutospacing="1" w:line="288" w:lineRule="atLeast"/>
        <w:outlineLvl w:val="3"/>
        <w:rPr>
          <w:rFonts w:ascii="VIC-Bold" w:eastAsia="Times New Roman" w:hAnsi="VIC-Bold" w:cs="Times New Roman"/>
          <w:b/>
          <w:bCs/>
          <w:color w:val="011A3C"/>
          <w:sz w:val="24"/>
          <w:szCs w:val="24"/>
          <w:lang w:val="en" w:eastAsia="en-AU"/>
        </w:rPr>
      </w:pPr>
      <w:r w:rsidRPr="004D307F">
        <w:rPr>
          <w:rFonts w:ascii="VIC-Bold" w:eastAsia="Times New Roman" w:hAnsi="VIC-Bold" w:cs="Times New Roman"/>
          <w:b/>
          <w:bCs/>
          <w:color w:val="011A3C"/>
          <w:sz w:val="24"/>
          <w:szCs w:val="24"/>
          <w:lang w:val="en" w:eastAsia="en-AU"/>
        </w:rPr>
        <w:t>Step 4</w:t>
      </w:r>
    </w:p>
    <w:p w14:paraId="77EE0C9B"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will receive advice via email confirming the application's approval and the direct payment of approved funds to the school which takes place via the SRP update.</w:t>
      </w:r>
    </w:p>
    <w:p w14:paraId="026686EE"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Links</w:t>
      </w:r>
    </w:p>
    <w:p w14:paraId="32530C3D"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information on re-engagement programs refer to </w:t>
      </w:r>
      <w:hyperlink r:id="rId137" w:history="1">
        <w:r w:rsidRPr="004D307F">
          <w:rPr>
            <w:rFonts w:ascii="VIC-Regular" w:eastAsia="Times New Roman" w:hAnsi="VIC-Regular" w:cs="Times New Roman"/>
            <w:color w:val="011A3C"/>
            <w:sz w:val="24"/>
            <w:szCs w:val="24"/>
            <w:lang w:val="en" w:eastAsia="en-AU"/>
          </w:rPr>
          <w:t>Re-engagement Programs</w:t>
        </w:r>
      </w:hyperlink>
    </w:p>
    <w:p w14:paraId="37094758"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information on VET delivered to secondary school students refer to </w:t>
      </w:r>
      <w:hyperlink r:id="rId138" w:history="1">
        <w:r w:rsidRPr="004D307F">
          <w:rPr>
            <w:rFonts w:ascii="VIC-Regular" w:eastAsia="Times New Roman" w:hAnsi="VIC-Regular" w:cs="Times New Roman"/>
            <w:color w:val="011A3C"/>
            <w:sz w:val="24"/>
            <w:szCs w:val="24"/>
            <w:lang w:val="en" w:eastAsia="en-AU"/>
          </w:rPr>
          <w:t>Vocational Education and Training Delivered to Secondary School Students</w:t>
        </w:r>
      </w:hyperlink>
      <w:r w:rsidRPr="004D307F">
        <w:rPr>
          <w:rFonts w:ascii="VIC-Regular" w:eastAsia="Times New Roman" w:hAnsi="VIC-Regular" w:cs="Times New Roman"/>
          <w:color w:val="011A3C"/>
          <w:sz w:val="24"/>
          <w:szCs w:val="24"/>
          <w:lang w:val="en" w:eastAsia="en-AU"/>
        </w:rPr>
        <w:t>.</w:t>
      </w:r>
    </w:p>
    <w:p w14:paraId="7A02DAE0" w14:textId="77777777" w:rsidR="00BB6150" w:rsidRPr="004D307F" w:rsidRDefault="00BB6150" w:rsidP="00BB615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Contacts</w:t>
      </w:r>
    </w:p>
    <w:p w14:paraId="5A93B065" w14:textId="77777777"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Schools should contact the Manager of Youth Pathways and Transition in their region to discuss applications and determine time frames to ensure the timely submission of applications.</w:t>
      </w:r>
    </w:p>
    <w:bookmarkEnd w:id="94"/>
    <w:p w14:paraId="6EE2F79E" w14:textId="1662AE18" w:rsidR="00BB6150" w:rsidRPr="004D307F" w:rsidRDefault="00BB6150" w:rsidP="00BB615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If you require further </w:t>
      </w:r>
      <w:r w:rsidR="0042488F" w:rsidRPr="004D307F">
        <w:rPr>
          <w:rFonts w:ascii="VIC-Regular" w:eastAsia="Times New Roman" w:hAnsi="VIC-Regular" w:cs="Times New Roman"/>
          <w:color w:val="011A3C"/>
          <w:sz w:val="24"/>
          <w:szCs w:val="24"/>
          <w:lang w:val="en" w:eastAsia="en-AU"/>
        </w:rPr>
        <w:t>information,</w:t>
      </w:r>
      <w:r w:rsidRPr="004D307F">
        <w:rPr>
          <w:rFonts w:ascii="VIC-Regular" w:eastAsia="Times New Roman" w:hAnsi="VIC-Regular" w:cs="Times New Roman"/>
          <w:color w:val="011A3C"/>
          <w:sz w:val="24"/>
          <w:szCs w:val="24"/>
          <w:lang w:val="en" w:eastAsia="en-AU"/>
        </w:rPr>
        <w:t xml:space="preserve"> please email: </w:t>
      </w:r>
      <w:hyperlink r:id="rId139" w:history="1">
        <w:r w:rsidRPr="004D307F">
          <w:rPr>
            <w:rStyle w:val="Hyperlink"/>
            <w:rFonts w:ascii="VIC-Regular" w:eastAsia="Times New Roman" w:hAnsi="VIC-Regular" w:cs="Times New Roman"/>
            <w:sz w:val="24"/>
            <w:szCs w:val="24"/>
            <w:lang w:val="en" w:eastAsia="en-AU"/>
          </w:rPr>
          <w:t>youth.participation@education.vic.gov.au</w:t>
        </w:r>
      </w:hyperlink>
    </w:p>
    <w:p w14:paraId="14425BF1" w14:textId="77777777" w:rsidR="00BB6150" w:rsidRPr="004D307F" w:rsidRDefault="00BB6150" w:rsidP="00BB6150">
      <w:r w:rsidRPr="004D307F">
        <w:br w:type="page"/>
      </w:r>
    </w:p>
    <w:p w14:paraId="28C3D01E" w14:textId="67DFE104" w:rsidR="00EA34C0" w:rsidRPr="004D307F" w:rsidRDefault="00EA34C0" w:rsidP="00B566E7">
      <w:pPr>
        <w:pStyle w:val="Heading2"/>
      </w:pPr>
      <w:bookmarkStart w:id="97" w:name="_Toc99882771"/>
      <w:r w:rsidRPr="004D307F">
        <w:lastRenderedPageBreak/>
        <w:t>Vocational Education and Training Delivered to Secondary School Students (Reference 56)</w:t>
      </w:r>
      <w:bookmarkEnd w:id="97"/>
    </w:p>
    <w:p w14:paraId="7B13E30A"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Program description</w:t>
      </w:r>
    </w:p>
    <w:p w14:paraId="44F9F629"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Vocational Education and Training (VET) delivered to secondary school students is a key component of the Victorian Government's strategy to support high quality vocational pathways, increase student retention, and improve Year 12 or equivalent completion rates by providing options for all students.</w:t>
      </w:r>
    </w:p>
    <w:p w14:paraId="446562BA"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VET studies can contribute towards the completion of senior secondary certificates, either the Victorian Certificate of Education (VCE) or the Victorian Certificate of Applied Learning (VCAL).</w:t>
      </w:r>
    </w:p>
    <w:p w14:paraId="00895FA0"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core learning allocation in the Student Resource Package (SRP) provided to schools for each student is the primary source of funding for VET programs. Government schools are also provided with targeted VET funding to support the higher cost of provision in this area.</w:t>
      </w:r>
    </w:p>
    <w:p w14:paraId="31263FBD" w14:textId="396093B8"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2018–19 </w:t>
      </w:r>
      <w:r w:rsidR="00B605AD" w:rsidRPr="004D307F">
        <w:rPr>
          <w:rFonts w:ascii="VIC-Regular" w:eastAsia="Times New Roman" w:hAnsi="VIC-Regular" w:cs="Times New Roman"/>
          <w:color w:val="011A3C"/>
          <w:sz w:val="24"/>
          <w:szCs w:val="24"/>
          <w:lang w:val="en" w:eastAsia="en-AU"/>
        </w:rPr>
        <w:t xml:space="preserve">and 2020-21 </w:t>
      </w:r>
      <w:r w:rsidRPr="004D307F">
        <w:rPr>
          <w:rFonts w:ascii="VIC-Regular" w:eastAsia="Times New Roman" w:hAnsi="VIC-Regular" w:cs="Times New Roman"/>
          <w:color w:val="011A3C"/>
          <w:sz w:val="24"/>
          <w:szCs w:val="24"/>
          <w:lang w:val="en" w:eastAsia="en-AU"/>
        </w:rPr>
        <w:t>Budget</w:t>
      </w:r>
      <w:r w:rsidR="00B605AD" w:rsidRPr="004D307F">
        <w:rPr>
          <w:rFonts w:ascii="VIC-Regular" w:eastAsia="Times New Roman" w:hAnsi="VIC-Regular" w:cs="Times New Roman"/>
          <w:color w:val="011A3C"/>
          <w:sz w:val="24"/>
          <w:szCs w:val="24"/>
          <w:lang w:val="en" w:eastAsia="en-AU"/>
        </w:rPr>
        <w:t>s</w:t>
      </w:r>
      <w:r w:rsidRPr="004D307F">
        <w:rPr>
          <w:rFonts w:ascii="VIC-Regular" w:eastAsia="Times New Roman" w:hAnsi="VIC-Regular" w:cs="Times New Roman"/>
          <w:color w:val="011A3C"/>
          <w:sz w:val="24"/>
          <w:szCs w:val="24"/>
          <w:lang w:val="en" w:eastAsia="en-AU"/>
        </w:rPr>
        <w:t xml:space="preserve"> provided more funding to increase the quality and availability of VET programs in government schools. This funding </w:t>
      </w:r>
      <w:r w:rsidR="00B605AD" w:rsidRPr="004D307F">
        <w:rPr>
          <w:rFonts w:ascii="VIC-Regular" w:eastAsia="Times New Roman" w:hAnsi="VIC-Regular" w:cs="Times New Roman"/>
          <w:color w:val="011A3C"/>
          <w:sz w:val="24"/>
          <w:szCs w:val="24"/>
          <w:lang w:val="en" w:eastAsia="en-AU"/>
        </w:rPr>
        <w:t xml:space="preserve">concludes at the end of the 2022 school year, and </w:t>
      </w:r>
      <w:r w:rsidRPr="004D307F">
        <w:rPr>
          <w:rFonts w:ascii="VIC-Regular" w:eastAsia="Times New Roman" w:hAnsi="VIC-Regular" w:cs="Times New Roman"/>
          <w:color w:val="011A3C"/>
          <w:sz w:val="24"/>
          <w:szCs w:val="24"/>
          <w:lang w:val="en" w:eastAsia="en-AU"/>
        </w:rPr>
        <w:t>includes:</w:t>
      </w:r>
    </w:p>
    <w:p w14:paraId="2367FB7F" w14:textId="12025F61" w:rsidR="00EA34C0" w:rsidRPr="004D307F" w:rsidRDefault="00EA34C0" w:rsidP="00ED0863">
      <w:pPr>
        <w:numPr>
          <w:ilvl w:val="0"/>
          <w:numId w:val="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B605AD" w:rsidRPr="004D307F">
        <w:rPr>
          <w:rFonts w:ascii="VIC-Regular" w:eastAsia="Times New Roman" w:hAnsi="VIC-Regular" w:cs="Times New Roman"/>
          <w:color w:val="011A3C"/>
          <w:sz w:val="24"/>
          <w:szCs w:val="24"/>
          <w:lang w:val="en" w:eastAsia="en-AU"/>
        </w:rPr>
        <w:t>10.3</w:t>
      </w:r>
      <w:r w:rsidRPr="004D307F">
        <w:rPr>
          <w:rFonts w:ascii="VIC-Regular" w:eastAsia="Times New Roman" w:hAnsi="VIC-Regular" w:cs="Times New Roman"/>
          <w:color w:val="011A3C"/>
          <w:sz w:val="24"/>
          <w:szCs w:val="24"/>
          <w:lang w:val="en" w:eastAsia="en-AU"/>
        </w:rPr>
        <w:t>m in additional targeted VET funding to meet the continued growth in demand for VET programs</w:t>
      </w:r>
    </w:p>
    <w:p w14:paraId="67280134" w14:textId="45842F2D" w:rsidR="00EA34C0" w:rsidRPr="004D307F" w:rsidRDefault="00EA34C0" w:rsidP="00ED0863">
      <w:pPr>
        <w:numPr>
          <w:ilvl w:val="0"/>
          <w:numId w:val="5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B605AD" w:rsidRPr="004D307F">
        <w:rPr>
          <w:rFonts w:ascii="VIC-Regular" w:eastAsia="Times New Roman" w:hAnsi="VIC-Regular" w:cs="Times New Roman"/>
          <w:color w:val="011A3C"/>
          <w:sz w:val="24"/>
          <w:szCs w:val="24"/>
          <w:lang w:val="en" w:eastAsia="en-AU"/>
        </w:rPr>
        <w:t>16.4</w:t>
      </w:r>
      <w:r w:rsidRPr="004D307F">
        <w:rPr>
          <w:rFonts w:ascii="VIC-Regular" w:eastAsia="Times New Roman" w:hAnsi="VIC-Regular" w:cs="Times New Roman"/>
          <w:color w:val="011A3C"/>
          <w:sz w:val="24"/>
          <w:szCs w:val="24"/>
          <w:lang w:val="en" w:eastAsia="en-AU"/>
        </w:rPr>
        <w:t xml:space="preserve">m for government schools that purchase VET programs on the Skills First course list from the TAFE network. The amount paid by government would be equal to the gap between current total funding (core SRP for VET and targeted VET funding) and the Skills First subsidy and maximum exemption rate. A 10% rural loading will be applied where relevant. TAFE Supplement funds will be paid against a separate budget line in the Term 3 quarterly cash grant through the </w:t>
      </w:r>
      <w:r w:rsidR="00133037" w:rsidRPr="004D307F">
        <w:rPr>
          <w:rFonts w:ascii="VIC-Regular" w:eastAsia="Times New Roman" w:hAnsi="VIC-Regular" w:cs="Times New Roman"/>
          <w:color w:val="011A3C"/>
          <w:sz w:val="24"/>
          <w:szCs w:val="24"/>
          <w:lang w:val="en" w:eastAsia="en-AU"/>
        </w:rPr>
        <w:t xml:space="preserve">SRP </w:t>
      </w:r>
      <w:r w:rsidRPr="004D307F">
        <w:rPr>
          <w:rFonts w:ascii="VIC-Regular" w:eastAsia="Times New Roman" w:hAnsi="VIC-Regular" w:cs="Times New Roman"/>
          <w:color w:val="011A3C"/>
          <w:sz w:val="24"/>
          <w:szCs w:val="24"/>
          <w:lang w:val="en" w:eastAsia="en-AU"/>
        </w:rPr>
        <w:t>once actual eligible VET enrolments are known.</w:t>
      </w:r>
    </w:p>
    <w:p w14:paraId="64FFD729" w14:textId="3637DE8F" w:rsidR="00B605AD" w:rsidRPr="004D307F" w:rsidRDefault="00B605AD" w:rsidP="00C116FE">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2021-22 Budget has provided ongoing funding from the start of the 2022 school year to reimburse government schools for VET material fees. Government schools will no longer request payments from parents for essential learning materials for VET studies. The funding will ensure that government schools can support VET selection based on a student’s </w:t>
      </w:r>
      <w:r w:rsidRPr="004D307F">
        <w:rPr>
          <w:rFonts w:ascii="VIC-Regular" w:eastAsia="Times New Roman" w:hAnsi="VIC-Regular" w:cs="Times New Roman"/>
          <w:color w:val="011A3C"/>
          <w:sz w:val="24"/>
          <w:szCs w:val="24"/>
          <w:lang w:val="en" w:eastAsia="en-AU"/>
        </w:rPr>
        <w:lastRenderedPageBreak/>
        <w:t>strengths and interests, without the barrier of financial constraints. Schools will be able to make claims for reimbursement for VET material fees via the Schools Targeted Funding Governance Portal.  For further information on the VET material fees policy and how to apply, refer to the Department website at: VET Delivered to Secondary School Students</w:t>
      </w:r>
    </w:p>
    <w:p w14:paraId="04C303B8"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Components of VET funding</w:t>
      </w:r>
    </w:p>
    <w:p w14:paraId="48726124" w14:textId="7B12AD5C"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There are </w:t>
      </w:r>
      <w:r w:rsidR="00B605AD" w:rsidRPr="004D307F">
        <w:rPr>
          <w:rFonts w:ascii="VIC-Regular" w:eastAsia="Times New Roman" w:hAnsi="VIC-Regular" w:cs="Times New Roman"/>
          <w:color w:val="011A3C"/>
          <w:sz w:val="24"/>
          <w:szCs w:val="24"/>
          <w:lang w:val="en" w:eastAsia="en-AU"/>
        </w:rPr>
        <w:t>four</w:t>
      </w:r>
      <w:r w:rsidRPr="004D307F">
        <w:rPr>
          <w:rFonts w:ascii="VIC-Regular" w:eastAsia="Times New Roman" w:hAnsi="VIC-Regular" w:cs="Times New Roman"/>
          <w:color w:val="011A3C"/>
          <w:sz w:val="24"/>
          <w:szCs w:val="24"/>
          <w:lang w:val="en" w:eastAsia="en-AU"/>
        </w:rPr>
        <w:t xml:space="preserve"> components of VET funding. The two existing and universally available components of VET funding are the core student learning component of the SRP, and Targeted VET Funding. The third component (TAFE Supplement) is available </w:t>
      </w:r>
      <w:r w:rsidR="00C37A79" w:rsidRPr="004D307F">
        <w:rPr>
          <w:rFonts w:ascii="VIC-Regular" w:eastAsia="Times New Roman" w:hAnsi="VIC-Regular" w:cs="Times New Roman"/>
          <w:color w:val="011A3C"/>
          <w:sz w:val="24"/>
          <w:szCs w:val="24"/>
          <w:lang w:val="en" w:eastAsia="en-AU"/>
        </w:rPr>
        <w:t xml:space="preserve">for four years </w:t>
      </w:r>
      <w:r w:rsidRPr="004D307F">
        <w:rPr>
          <w:rFonts w:ascii="VIC-Regular" w:eastAsia="Times New Roman" w:hAnsi="VIC-Regular" w:cs="Times New Roman"/>
          <w:color w:val="011A3C"/>
          <w:sz w:val="24"/>
          <w:szCs w:val="24"/>
          <w:lang w:val="en" w:eastAsia="en-AU"/>
        </w:rPr>
        <w:t>from 2019 for government schools that purchase VET programs on the Skills First course list from the TAFE network, where there is a gap between current VET funding and the Skills First rate.</w:t>
      </w:r>
      <w:r w:rsidR="00B605AD" w:rsidRPr="004D307F">
        <w:rPr>
          <w:rFonts w:ascii="VIC-Regular" w:eastAsia="Times New Roman" w:hAnsi="VIC-Regular" w:cs="Times New Roman"/>
          <w:color w:val="011A3C"/>
          <w:sz w:val="24"/>
          <w:szCs w:val="24"/>
          <w:lang w:val="en" w:eastAsia="en-AU"/>
        </w:rPr>
        <w:t xml:space="preserve"> The fourth component which is also universally available from 2022 and ongoing is the reimbursement to government schools of VET material fees.</w:t>
      </w:r>
    </w:p>
    <w:p w14:paraId="67057DDD"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SRP </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core student learning component</w:t>
      </w:r>
    </w:p>
    <w:p w14:paraId="58BA74AE"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To estimate the program delivery component of core SRP that would help cover the provision of VET programs, costs are separated into three categories: (1) classroom teaching, (2) non-classroom costs, and (3) </w:t>
      </w:r>
      <w:proofErr w:type="spellStart"/>
      <w:r w:rsidRPr="004D307F">
        <w:rPr>
          <w:rFonts w:ascii="VIC-Regular" w:eastAsia="Times New Roman" w:hAnsi="VIC-Regular" w:cs="Times New Roman"/>
          <w:color w:val="011A3C"/>
          <w:sz w:val="24"/>
          <w:szCs w:val="24"/>
          <w:lang w:val="en" w:eastAsia="en-AU"/>
        </w:rPr>
        <w:t>Computerised</w:t>
      </w:r>
      <w:proofErr w:type="spellEnd"/>
      <w:r w:rsidRPr="004D307F">
        <w:rPr>
          <w:rFonts w:ascii="VIC-Regular" w:eastAsia="Times New Roman" w:hAnsi="VIC-Regular" w:cs="Times New Roman"/>
          <w:color w:val="011A3C"/>
          <w:sz w:val="24"/>
          <w:szCs w:val="24"/>
          <w:lang w:val="en" w:eastAsia="en-AU"/>
        </w:rPr>
        <w:t xml:space="preserve"> Administrative System Environment in Schools (CASES21) recorded expenditure. The costs, as a percentage of all costs at Years 11 and 12, are estimated as follows:</w:t>
      </w:r>
    </w:p>
    <w:p w14:paraId="041B188C" w14:textId="77777777" w:rsidR="00EA34C0" w:rsidRPr="004D307F" w:rsidRDefault="00EA34C0" w:rsidP="00ED0863">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classroom teaching: 57%</w:t>
      </w:r>
    </w:p>
    <w:p w14:paraId="1E896477" w14:textId="77777777" w:rsidR="00EA34C0" w:rsidRPr="004D307F" w:rsidRDefault="00EA34C0" w:rsidP="00ED0863">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non-classroom costs: 26%</w:t>
      </w:r>
    </w:p>
    <w:p w14:paraId="17DFE626" w14:textId="77777777" w:rsidR="00EA34C0" w:rsidRPr="004D307F" w:rsidRDefault="00EA34C0" w:rsidP="00ED0863">
      <w:pPr>
        <w:numPr>
          <w:ilvl w:val="0"/>
          <w:numId w:val="60"/>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CASES expenditure items: 17%</w:t>
      </w:r>
    </w:p>
    <w:p w14:paraId="038D0D22"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Total of all cost items: 100%</w:t>
      </w:r>
    </w:p>
    <w:p w14:paraId="553D9636"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assumed that:</w:t>
      </w:r>
    </w:p>
    <w:p w14:paraId="36B86CAF" w14:textId="77777777" w:rsidR="00EA34C0" w:rsidRPr="004D307F" w:rsidRDefault="00EA34C0" w:rsidP="00ED0863">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100% of the classroom teaching duties should be included in the calculation of the core SRP available for program delivery, as they all relate to the direct delivery of courses</w:t>
      </w:r>
    </w:p>
    <w:p w14:paraId="5C2E51F6" w14:textId="77777777" w:rsidR="00EA34C0" w:rsidRPr="004D307F" w:rsidRDefault="00EA34C0" w:rsidP="00ED0863">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of the non-classroom costs, only a portion is related directly to course delivery. It was estimated that 50% of these costs were applicable to course delivery, and</w:t>
      </w:r>
    </w:p>
    <w:p w14:paraId="780B22C8" w14:textId="77777777" w:rsidR="00EA34C0" w:rsidRPr="004D307F" w:rsidRDefault="00EA34C0" w:rsidP="00ED0863">
      <w:pPr>
        <w:numPr>
          <w:ilvl w:val="0"/>
          <w:numId w:val="61"/>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it is suggested that approximately 30% of CASES expenditure items are directly related to program delivery and should be included in the calculation of the SRP core delivery</w:t>
      </w:r>
    </w:p>
    <w:p w14:paraId="5E423962"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combination of these elements is used to provide an estimate of the notional proportion of core SRP available for program delivery:</w:t>
      </w:r>
    </w:p>
    <w:p w14:paraId="2DA03FA4" w14:textId="77777777" w:rsidR="00EA34C0" w:rsidRPr="004D307F" w:rsidRDefault="00EA34C0" w:rsidP="00ED0863">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Classroom teaching (CT)</w:t>
      </w:r>
      <w:r w:rsidRPr="004D307F">
        <w:rPr>
          <w:rFonts w:ascii="VIC-Regular" w:eastAsia="Times New Roman" w:hAnsi="VIC-Regular" w:cs="Times New Roman"/>
          <w:color w:val="011A3C"/>
          <w:sz w:val="24"/>
          <w:szCs w:val="24"/>
          <w:lang w:val="en" w:eastAsia="en-AU"/>
        </w:rPr>
        <w:t xml:space="preserve"> — 100% of 57% = 57% of SRP</w:t>
      </w:r>
    </w:p>
    <w:p w14:paraId="77B644A6" w14:textId="77777777" w:rsidR="00EA34C0" w:rsidRPr="004D307F" w:rsidRDefault="00EA34C0" w:rsidP="00ED0863">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Non-classroom costs (NCC) </w:t>
      </w:r>
      <w:r w:rsidRPr="004D307F">
        <w:rPr>
          <w:rFonts w:ascii="VIC-Regular" w:eastAsia="Times New Roman" w:hAnsi="VIC-Regular" w:cs="Times New Roman"/>
          <w:color w:val="011A3C"/>
          <w:sz w:val="24"/>
          <w:szCs w:val="24"/>
          <w:lang w:val="en" w:eastAsia="en-AU"/>
        </w:rPr>
        <w:t>— 50% of 26% = 13% of SRP</w:t>
      </w:r>
    </w:p>
    <w:p w14:paraId="26749ED9" w14:textId="77777777" w:rsidR="00EA34C0" w:rsidRPr="004D307F" w:rsidRDefault="00EA34C0" w:rsidP="00ED0863">
      <w:pPr>
        <w:numPr>
          <w:ilvl w:val="0"/>
          <w:numId w:val="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CASES expenditure items (CAS) </w:t>
      </w:r>
      <w:r w:rsidRPr="004D307F">
        <w:rPr>
          <w:rFonts w:ascii="VIC-Regular" w:eastAsia="Times New Roman" w:hAnsi="VIC-Regular" w:cs="Times New Roman"/>
          <w:color w:val="011A3C"/>
          <w:sz w:val="24"/>
          <w:szCs w:val="24"/>
          <w:lang w:val="en" w:eastAsia="en-AU"/>
        </w:rPr>
        <w:t>— 30% of 17% = 5% of SRP</w:t>
      </w:r>
    </w:p>
    <w:p w14:paraId="62FEBF20"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Therefore, the SRP available for program (including VET) delivery = 57% + 13% + 5% = 75% of core SRP.</w:t>
      </w:r>
    </w:p>
    <w:p w14:paraId="61F715B9" w14:textId="16918C00"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example applies the proportion calculated above to Indicative 202</w:t>
      </w:r>
      <w:r w:rsidR="00B605AD"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core SRP to identify the amount of SRP that might be available to support funding for each VET certificate as follows:</w:t>
      </w:r>
    </w:p>
    <w:p w14:paraId="5F095803" w14:textId="4FCFE87A" w:rsidR="00EA34C0" w:rsidRPr="004D307F" w:rsidRDefault="00EA34C0" w:rsidP="00ED0863">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Indicative gross SRP (years 11 and 12) — $</w:t>
      </w:r>
      <w:r w:rsidR="006B4B01" w:rsidRPr="004D307F">
        <w:rPr>
          <w:rFonts w:ascii="VIC-Regular" w:eastAsia="Times New Roman" w:hAnsi="VIC-Regular" w:cs="Times New Roman"/>
          <w:color w:val="011A3C"/>
          <w:sz w:val="24"/>
          <w:szCs w:val="24"/>
          <w:lang w:val="en" w:eastAsia="en-AU"/>
        </w:rPr>
        <w:t>9,328</w:t>
      </w:r>
      <w:r w:rsidRPr="004D307F">
        <w:rPr>
          <w:rFonts w:ascii="VIC-Regular" w:eastAsia="Times New Roman" w:hAnsi="VIC-Regular" w:cs="Times New Roman"/>
          <w:color w:val="011A3C"/>
          <w:sz w:val="24"/>
          <w:szCs w:val="24"/>
          <w:lang w:val="en" w:eastAsia="en-AU"/>
        </w:rPr>
        <w:t>X 91.5% = $</w:t>
      </w:r>
      <w:r w:rsidR="006B4B01" w:rsidRPr="004D307F">
        <w:rPr>
          <w:rFonts w:ascii="VIC-Regular" w:eastAsia="Times New Roman" w:hAnsi="VIC-Regular" w:cs="Times New Roman"/>
          <w:color w:val="011A3C"/>
          <w:sz w:val="24"/>
          <w:szCs w:val="24"/>
          <w:lang w:val="en" w:eastAsia="en-AU"/>
        </w:rPr>
        <w:t>8,535</w:t>
      </w:r>
      <w:r w:rsidRPr="004D307F">
        <w:rPr>
          <w:rFonts w:ascii="VIC-Regular" w:eastAsia="Times New Roman" w:hAnsi="VIC-Regular" w:cs="Times New Roman"/>
          <w:color w:val="011A3C"/>
          <w:sz w:val="24"/>
          <w:szCs w:val="24"/>
          <w:lang w:val="en" w:eastAsia="en-AU"/>
        </w:rPr>
        <w:br/>
        <w:t>Note 1: Only 91.5% of the gross SRP is used as 8.5% will be billed back by the Department from schools for superannuation costs.</w:t>
      </w:r>
    </w:p>
    <w:p w14:paraId="1475D1D1" w14:textId="4D80811A" w:rsidR="00EA34C0" w:rsidRPr="004D307F" w:rsidRDefault="00EA34C0" w:rsidP="00ED0863">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Indicative Net SRP — $</w:t>
      </w:r>
      <w:r w:rsidR="006B4B01" w:rsidRPr="004D307F">
        <w:rPr>
          <w:rFonts w:ascii="VIC-Regular" w:eastAsia="Times New Roman" w:hAnsi="VIC-Regular" w:cs="Times New Roman"/>
          <w:color w:val="011A3C"/>
          <w:sz w:val="24"/>
          <w:szCs w:val="24"/>
          <w:lang w:val="en" w:eastAsia="en-AU"/>
        </w:rPr>
        <w:t>9,328</w:t>
      </w:r>
      <w:r w:rsidRPr="004D307F">
        <w:rPr>
          <w:rFonts w:ascii="VIC-Regular" w:eastAsia="Times New Roman" w:hAnsi="VIC-Regular" w:cs="Times New Roman"/>
          <w:color w:val="011A3C"/>
          <w:sz w:val="24"/>
          <w:szCs w:val="24"/>
          <w:lang w:val="en" w:eastAsia="en-AU"/>
        </w:rPr>
        <w:t xml:space="preserve"> X 91.5% = $</w:t>
      </w:r>
      <w:r w:rsidR="006B4B01" w:rsidRPr="004D307F">
        <w:rPr>
          <w:rFonts w:ascii="VIC-Regular" w:eastAsia="Times New Roman" w:hAnsi="VIC-Regular" w:cs="Times New Roman"/>
          <w:color w:val="011A3C"/>
          <w:sz w:val="24"/>
          <w:szCs w:val="24"/>
          <w:lang w:val="en" w:eastAsia="en-AU"/>
        </w:rPr>
        <w:t>8,535</w:t>
      </w:r>
      <w:r w:rsidRPr="004D307F">
        <w:rPr>
          <w:rFonts w:ascii="VIC-Regular" w:eastAsia="Times New Roman" w:hAnsi="VIC-Regular" w:cs="Times New Roman"/>
          <w:color w:val="011A3C"/>
          <w:sz w:val="24"/>
          <w:szCs w:val="24"/>
          <w:lang w:val="en" w:eastAsia="en-AU"/>
        </w:rPr>
        <w:t>Proportion of SRP for program delivery — $</w:t>
      </w:r>
      <w:r w:rsidR="006B4B01" w:rsidRPr="004D307F">
        <w:rPr>
          <w:rFonts w:ascii="VIC-Regular" w:eastAsia="Times New Roman" w:hAnsi="VIC-Regular" w:cs="Times New Roman"/>
          <w:color w:val="011A3C"/>
          <w:sz w:val="24"/>
          <w:szCs w:val="24"/>
          <w:lang w:val="en" w:eastAsia="en-AU"/>
        </w:rPr>
        <w:t>8,535</w:t>
      </w:r>
      <w:r w:rsidRPr="004D307F">
        <w:rPr>
          <w:rFonts w:ascii="VIC-Regular" w:eastAsia="Times New Roman" w:hAnsi="VIC-Regular" w:cs="Times New Roman"/>
          <w:color w:val="011A3C"/>
          <w:sz w:val="24"/>
          <w:szCs w:val="24"/>
          <w:lang w:val="en" w:eastAsia="en-AU"/>
        </w:rPr>
        <w:t xml:space="preserve"> X 75% = $</w:t>
      </w:r>
      <w:r w:rsidR="006B4B01" w:rsidRPr="004D307F">
        <w:rPr>
          <w:rFonts w:ascii="VIC-Regular" w:eastAsia="Times New Roman" w:hAnsi="VIC-Regular" w:cs="Times New Roman"/>
          <w:color w:val="011A3C"/>
          <w:sz w:val="24"/>
          <w:szCs w:val="24"/>
          <w:lang w:val="en" w:eastAsia="en-AU"/>
        </w:rPr>
        <w:t>6,401</w:t>
      </w:r>
      <w:r w:rsidRPr="004D307F">
        <w:rPr>
          <w:rFonts w:ascii="VIC-Regular" w:eastAsia="Times New Roman" w:hAnsi="VIC-Regular" w:cs="Times New Roman"/>
          <w:color w:val="011A3C"/>
          <w:sz w:val="24"/>
          <w:szCs w:val="24"/>
          <w:lang w:val="en" w:eastAsia="en-AU"/>
        </w:rPr>
        <w:br/>
        <w:t>Note 2: Average number of subject enrolments assumes an annual student program of 900 hours with a Full Time Equivalent (FTE) VET certificate enrolment of 180 hours. That is, 900/180 = 5</w:t>
      </w:r>
    </w:p>
    <w:p w14:paraId="06FF012B" w14:textId="66333C79" w:rsidR="00EA34C0" w:rsidRPr="004D307F" w:rsidRDefault="00EA34C0" w:rsidP="00ED0863">
      <w:pPr>
        <w:numPr>
          <w:ilvl w:val="0"/>
          <w:numId w:val="6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 per subject enrolment — $</w:t>
      </w:r>
      <w:r w:rsidR="006B4B01" w:rsidRPr="004D307F">
        <w:rPr>
          <w:rFonts w:ascii="VIC-Regular" w:eastAsia="Times New Roman" w:hAnsi="VIC-Regular" w:cs="Times New Roman"/>
          <w:color w:val="011A3C"/>
          <w:sz w:val="24"/>
          <w:szCs w:val="24"/>
          <w:lang w:val="en" w:eastAsia="en-AU"/>
        </w:rPr>
        <w:t>6,401</w:t>
      </w:r>
      <w:r w:rsidRPr="004D307F">
        <w:rPr>
          <w:rFonts w:ascii="VIC-Regular" w:eastAsia="Times New Roman" w:hAnsi="VIC-Regular" w:cs="Times New Roman"/>
          <w:color w:val="011A3C"/>
          <w:sz w:val="24"/>
          <w:szCs w:val="24"/>
          <w:lang w:val="en" w:eastAsia="en-AU"/>
        </w:rPr>
        <w:t>/ 5 = $</w:t>
      </w:r>
      <w:r w:rsidR="006B4B01" w:rsidRPr="004D307F">
        <w:rPr>
          <w:rFonts w:ascii="VIC-Regular" w:eastAsia="Times New Roman" w:hAnsi="VIC-Regular" w:cs="Times New Roman"/>
          <w:color w:val="011A3C"/>
          <w:sz w:val="24"/>
          <w:szCs w:val="24"/>
          <w:lang w:val="en" w:eastAsia="en-AU"/>
        </w:rPr>
        <w:t>1,280</w:t>
      </w:r>
    </w:p>
    <w:p w14:paraId="7FDC719C" w14:textId="56A3D236" w:rsidR="00EA34C0" w:rsidRPr="004D307F" w:rsidRDefault="00EA34C0" w:rsidP="00EA34C0">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Core SRP per full-time equivalent VET certificate enrolment = $</w:t>
      </w:r>
      <w:r w:rsidR="006B4B01" w:rsidRPr="004D307F">
        <w:rPr>
          <w:rFonts w:ascii="VIC-Bold" w:eastAsia="Times New Roman" w:hAnsi="VIC-Bold" w:cs="Times New Roman"/>
          <w:color w:val="011A3C"/>
          <w:sz w:val="24"/>
          <w:szCs w:val="24"/>
          <w:lang w:val="en" w:eastAsia="en-AU"/>
        </w:rPr>
        <w:t>1,280</w:t>
      </w:r>
    </w:p>
    <w:p w14:paraId="46FF6735" w14:textId="65C43CCE"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If VET is one of 6 subjects undertaken by a </w:t>
      </w:r>
      <w:proofErr w:type="gramStart"/>
      <w:r w:rsidRPr="004D307F">
        <w:rPr>
          <w:rFonts w:ascii="VIC-Regular" w:eastAsia="Times New Roman" w:hAnsi="VIC-Regular" w:cs="Times New Roman"/>
          <w:color w:val="011A3C"/>
          <w:sz w:val="24"/>
          <w:szCs w:val="24"/>
          <w:lang w:val="en" w:eastAsia="en-AU"/>
        </w:rPr>
        <w:t>student</w:t>
      </w:r>
      <w:proofErr w:type="gramEnd"/>
      <w:r w:rsidRPr="004D307F">
        <w:rPr>
          <w:rFonts w:ascii="VIC-Regular" w:eastAsia="Times New Roman" w:hAnsi="VIC-Regular" w:cs="Times New Roman"/>
          <w:color w:val="011A3C"/>
          <w:sz w:val="24"/>
          <w:szCs w:val="24"/>
          <w:lang w:val="en" w:eastAsia="en-AU"/>
        </w:rPr>
        <w:t xml:space="preserve"> then the notional available SRP would fall to $</w:t>
      </w:r>
      <w:r w:rsidR="006B4B01" w:rsidRPr="004D307F">
        <w:rPr>
          <w:rFonts w:ascii="VIC-Regular" w:eastAsia="Times New Roman" w:hAnsi="VIC-Regular" w:cs="Times New Roman"/>
          <w:color w:val="011A3C"/>
          <w:sz w:val="24"/>
          <w:szCs w:val="24"/>
          <w:lang w:val="en" w:eastAsia="en-AU"/>
        </w:rPr>
        <w:t>1,067</w:t>
      </w:r>
      <w:r w:rsidRPr="004D307F">
        <w:rPr>
          <w:rFonts w:ascii="VIC-Regular" w:eastAsia="Times New Roman" w:hAnsi="VIC-Regular" w:cs="Times New Roman"/>
          <w:color w:val="011A3C"/>
          <w:sz w:val="24"/>
          <w:szCs w:val="24"/>
          <w:lang w:val="en" w:eastAsia="en-AU"/>
        </w:rPr>
        <w:t xml:space="preserve"> per FTE certificate of enrolment.</w:t>
      </w:r>
    </w:p>
    <w:p w14:paraId="4F2727B5"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If a student is enrolled in more than one VET qualification (which is often the case with a VCAL program) then it is expected that the school should be able to release a proportionally higher amount of core SRP to purchase those certificates.</w:t>
      </w:r>
    </w:p>
    <w:p w14:paraId="2C2B2139"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Targeted VET funding</w:t>
      </w:r>
    </w:p>
    <w:p w14:paraId="0DA652B7" w14:textId="126242C5"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Targeted VET funding is based on an </w:t>
      </w:r>
      <w:r w:rsidR="00127A2D" w:rsidRPr="004D307F">
        <w:rPr>
          <w:rFonts w:ascii="VIC-Regular" w:eastAsia="Times New Roman" w:hAnsi="VIC-Regular" w:cs="Times New Roman"/>
          <w:color w:val="011A3C"/>
          <w:sz w:val="24"/>
          <w:szCs w:val="24"/>
          <w:lang w:val="en" w:eastAsia="en-AU"/>
        </w:rPr>
        <w:t>eight-band</w:t>
      </w:r>
      <w:r w:rsidRPr="004D307F">
        <w:rPr>
          <w:rFonts w:ascii="VIC-Regular" w:eastAsia="Times New Roman" w:hAnsi="VIC-Regular" w:cs="Times New Roman"/>
          <w:color w:val="011A3C"/>
          <w:sz w:val="24"/>
          <w:szCs w:val="24"/>
          <w:lang w:val="en" w:eastAsia="en-AU"/>
        </w:rPr>
        <w:t xml:space="preserve"> model and is allocated pro-rata for enrolments up to 180 hours per VET certificate per year. Targeted VET funding also includes a rural weighting for students enrolled in schools with a location index of 0.2 and above.</w:t>
      </w:r>
    </w:p>
    <w:p w14:paraId="40BFE323" w14:textId="718F5163"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To attract targeted VET funding, schools must enter accurate details of all VET enrolments on the Victorian Assessment Software System (VASS) by the annual funding deadline</w:t>
      </w:r>
      <w:r w:rsidR="00334ADD" w:rsidRPr="004D307F">
        <w:rPr>
          <w:rFonts w:ascii="VIC-Regular" w:eastAsia="Times New Roman" w:hAnsi="VIC-Regular" w:cs="Times New Roman"/>
          <w:color w:val="011A3C"/>
          <w:sz w:val="24"/>
          <w:szCs w:val="24"/>
          <w:lang w:val="en" w:eastAsia="en-AU"/>
        </w:rPr>
        <w:t xml:space="preserve"> which for 202</w:t>
      </w:r>
      <w:r w:rsidR="00B605AD" w:rsidRPr="004D307F">
        <w:rPr>
          <w:rFonts w:ascii="VIC-Regular" w:eastAsia="Times New Roman" w:hAnsi="VIC-Regular" w:cs="Times New Roman"/>
          <w:color w:val="011A3C"/>
          <w:sz w:val="24"/>
          <w:szCs w:val="24"/>
          <w:lang w:val="en" w:eastAsia="en-AU"/>
        </w:rPr>
        <w:t>2</w:t>
      </w:r>
      <w:r w:rsidR="00334ADD" w:rsidRPr="004D307F">
        <w:rPr>
          <w:rFonts w:ascii="VIC-Regular" w:eastAsia="Times New Roman" w:hAnsi="VIC-Regular" w:cs="Times New Roman"/>
          <w:color w:val="011A3C"/>
          <w:sz w:val="24"/>
          <w:szCs w:val="24"/>
          <w:lang w:val="en" w:eastAsia="en-AU"/>
        </w:rPr>
        <w:t xml:space="preserve"> is </w:t>
      </w:r>
      <w:r w:rsidR="00B605AD" w:rsidRPr="004D307F">
        <w:rPr>
          <w:rFonts w:ascii="VIC-Regular" w:eastAsia="Times New Roman" w:hAnsi="VIC-Regular" w:cs="Times New Roman"/>
          <w:color w:val="011A3C"/>
          <w:sz w:val="24"/>
          <w:szCs w:val="24"/>
          <w:lang w:val="en" w:eastAsia="en-AU"/>
        </w:rPr>
        <w:t>9</w:t>
      </w:r>
      <w:r w:rsidR="00334ADD" w:rsidRPr="004D307F">
        <w:rPr>
          <w:rFonts w:ascii="VIC-Regular" w:eastAsia="Times New Roman" w:hAnsi="VIC-Regular" w:cs="Times New Roman"/>
          <w:color w:val="011A3C"/>
          <w:sz w:val="24"/>
          <w:szCs w:val="24"/>
          <w:lang w:val="en" w:eastAsia="en-AU"/>
        </w:rPr>
        <w:t xml:space="preserve"> May</w:t>
      </w:r>
      <w:r w:rsidRPr="004D307F">
        <w:rPr>
          <w:rFonts w:ascii="VIC-Regular" w:eastAsia="Times New Roman" w:hAnsi="VIC-Regular" w:cs="Times New Roman"/>
          <w:color w:val="011A3C"/>
          <w:sz w:val="24"/>
          <w:szCs w:val="24"/>
          <w:lang w:val="en" w:eastAsia="en-AU"/>
        </w:rPr>
        <w:t>.</w:t>
      </w:r>
    </w:p>
    <w:p w14:paraId="1C799972"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Students between 15 to 20 years of age at the annual funding deadline who are enrolled in eligible VET certificates will be eligible for targeted VET funding.</w:t>
      </w:r>
    </w:p>
    <w:p w14:paraId="00007B31" w14:textId="73E76FC8"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Certificate II and Certificate III level qualifications (excluding school-based apprenticeships and traineeships</w:t>
      </w:r>
      <w:r w:rsidR="00B605AD" w:rsidRPr="004D307F">
        <w:t xml:space="preserve"> </w:t>
      </w:r>
      <w:r w:rsidR="00B605AD" w:rsidRPr="004D307F">
        <w:rPr>
          <w:rFonts w:ascii="VIC-Regular" w:eastAsia="Times New Roman" w:hAnsi="VIC-Regular" w:cs="Times New Roman"/>
          <w:color w:val="011A3C"/>
          <w:sz w:val="24"/>
          <w:szCs w:val="24"/>
          <w:lang w:val="en" w:eastAsia="en-AU"/>
        </w:rPr>
        <w:t>and Head Start apprenticeships and traineeships</w:t>
      </w:r>
      <w:r w:rsidRPr="004D307F">
        <w:rPr>
          <w:rFonts w:ascii="VIC-Regular" w:eastAsia="Times New Roman" w:hAnsi="VIC-Regular" w:cs="Times New Roman"/>
          <w:color w:val="011A3C"/>
          <w:sz w:val="24"/>
          <w:szCs w:val="24"/>
          <w:lang w:val="en" w:eastAsia="en-AU"/>
        </w:rPr>
        <w:t>) undertaken as part of a senior secondary certificate (VCE or VCAL) are eligible for targeted VET funding.</w:t>
      </w:r>
    </w:p>
    <w:p w14:paraId="2D82B2EF"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Certificate IV qualifications may be funded, provided the school has first gained approval from the Victorian Curriculum and Assessment Authority (VCAA) to offer the </w:t>
      </w:r>
      <w:proofErr w:type="gramStart"/>
      <w:r w:rsidRPr="004D307F">
        <w:rPr>
          <w:rFonts w:ascii="VIC-Regular" w:eastAsia="Times New Roman" w:hAnsi="VIC-Regular" w:cs="Times New Roman"/>
          <w:color w:val="011A3C"/>
          <w:sz w:val="24"/>
          <w:szCs w:val="24"/>
          <w:lang w:val="en" w:eastAsia="en-AU"/>
        </w:rPr>
        <w:t>higher level</w:t>
      </w:r>
      <w:proofErr w:type="gramEnd"/>
      <w:r w:rsidRPr="004D307F">
        <w:rPr>
          <w:rFonts w:ascii="VIC-Regular" w:eastAsia="Times New Roman" w:hAnsi="VIC-Regular" w:cs="Times New Roman"/>
          <w:color w:val="011A3C"/>
          <w:sz w:val="24"/>
          <w:szCs w:val="24"/>
          <w:lang w:val="en" w:eastAsia="en-AU"/>
        </w:rPr>
        <w:t xml:space="preserve"> qualification to VCE or VCAL students.</w:t>
      </w:r>
    </w:p>
    <w:p w14:paraId="0A175425" w14:textId="7B36B229"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Further information and an indicative list of VET qualifications eligible for targeted VET funding is available at: </w:t>
      </w:r>
      <w:bookmarkStart w:id="98" w:name="_Hlk78469083"/>
      <w:r w:rsidR="00B605AD" w:rsidRPr="004D307F">
        <w:fldChar w:fldCharType="begin"/>
      </w:r>
      <w:r w:rsidR="00B605AD" w:rsidRPr="004D307F">
        <w:instrText>HYPERLINK "https://www2.education.vic.gov.au/pal/vocational-education-and-training-vet-delivered-secondary-students/resources"</w:instrText>
      </w:r>
      <w:r w:rsidR="00B605AD" w:rsidRPr="004D307F">
        <w:fldChar w:fldCharType="separate"/>
      </w:r>
      <w:r w:rsidR="00B605AD" w:rsidRPr="004D307F">
        <w:rPr>
          <w:rStyle w:val="Hyperlink"/>
        </w:rPr>
        <w:t>VET Delivered to Secondary Students: Resources</w:t>
      </w:r>
      <w:r w:rsidR="00B605AD" w:rsidRPr="004D307F">
        <w:fldChar w:fldCharType="end"/>
      </w:r>
      <w:bookmarkEnd w:id="98"/>
    </w:p>
    <w:p w14:paraId="3C03BE1F"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Targeted VET funding is NOT available for enrolments in:</w:t>
      </w:r>
    </w:p>
    <w:p w14:paraId="76A18B51" w14:textId="77777777" w:rsidR="00EA34C0" w:rsidRPr="004D307F" w:rsidRDefault="00EA34C0" w:rsidP="00ED0863">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Certificate I qualifications</w:t>
      </w:r>
    </w:p>
    <w:p w14:paraId="2E6A9D62" w14:textId="77777777" w:rsidR="00EA34C0" w:rsidRPr="004D307F" w:rsidRDefault="00EA34C0" w:rsidP="00ED0863">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Certificates in General Education for Adults and generalist programs such as Certificate II in EAL (Employment) and Certificate II in EAL (Access)</w:t>
      </w:r>
    </w:p>
    <w:p w14:paraId="4B24954A" w14:textId="77777777" w:rsidR="00EA34C0" w:rsidRPr="004D307F" w:rsidRDefault="00EA34C0" w:rsidP="00ED0863">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Diploma level qualifications. Schools wishing to provide Diplomas may fund this delivery from the core SRP allocation</w:t>
      </w:r>
    </w:p>
    <w:p w14:paraId="558005CF" w14:textId="77777777" w:rsidR="00EA34C0" w:rsidRPr="004D307F" w:rsidRDefault="00EA34C0" w:rsidP="00ED0863">
      <w:pPr>
        <w:numPr>
          <w:ilvl w:val="0"/>
          <w:numId w:val="6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School-based apprenticeships and traineeships, or Head Start apprenticeships and traineeships</w:t>
      </w:r>
    </w:p>
    <w:p w14:paraId="2B6BAC71"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 student who is enrolled in a school, either full-time or part-time </w:t>
      </w:r>
      <w:proofErr w:type="gramStart"/>
      <w:r w:rsidRPr="004D307F">
        <w:rPr>
          <w:rFonts w:ascii="VIC-Regular" w:eastAsia="Times New Roman" w:hAnsi="VIC-Regular" w:cs="Times New Roman"/>
          <w:color w:val="011A3C"/>
          <w:sz w:val="24"/>
          <w:szCs w:val="24"/>
          <w:lang w:val="en" w:eastAsia="en-AU"/>
        </w:rPr>
        <w:t>and also</w:t>
      </w:r>
      <w:proofErr w:type="gramEnd"/>
      <w:r w:rsidRPr="004D307F">
        <w:rPr>
          <w:rFonts w:ascii="VIC-Regular" w:eastAsia="Times New Roman" w:hAnsi="VIC-Regular" w:cs="Times New Roman"/>
          <w:color w:val="011A3C"/>
          <w:sz w:val="24"/>
          <w:szCs w:val="24"/>
          <w:lang w:val="en" w:eastAsia="en-AU"/>
        </w:rPr>
        <w:t xml:space="preserve"> enrolled independently of their school in a VET program at a TAFE or </w:t>
      </w:r>
      <w:r w:rsidRPr="004D307F">
        <w:rPr>
          <w:rFonts w:ascii="VIC-Regular" w:eastAsia="Times New Roman" w:hAnsi="VIC-Regular" w:cs="Times New Roman"/>
          <w:color w:val="011A3C"/>
          <w:sz w:val="24"/>
          <w:szCs w:val="24"/>
          <w:lang w:val="en" w:eastAsia="en-AU"/>
        </w:rPr>
        <w:lastRenderedPageBreak/>
        <w:t xml:space="preserve">Registered Training </w:t>
      </w:r>
      <w:proofErr w:type="spellStart"/>
      <w:r w:rsidRPr="004D307F">
        <w:rPr>
          <w:rFonts w:ascii="VIC-Regular" w:eastAsia="Times New Roman" w:hAnsi="VIC-Regular" w:cs="Times New Roman"/>
          <w:color w:val="011A3C"/>
          <w:sz w:val="24"/>
          <w:szCs w:val="24"/>
          <w:lang w:val="en" w:eastAsia="en-AU"/>
        </w:rPr>
        <w:t>Organisation</w:t>
      </w:r>
      <w:proofErr w:type="spellEnd"/>
      <w:r w:rsidRPr="004D307F">
        <w:rPr>
          <w:rFonts w:ascii="VIC-Regular" w:eastAsia="Times New Roman" w:hAnsi="VIC-Regular" w:cs="Times New Roman"/>
          <w:color w:val="011A3C"/>
          <w:sz w:val="24"/>
          <w:szCs w:val="24"/>
          <w:lang w:val="en" w:eastAsia="en-AU"/>
        </w:rPr>
        <w:t xml:space="preserve"> (RTO), is not eligible to have their VET studies </w:t>
      </w:r>
      <w:proofErr w:type="spellStart"/>
      <w:r w:rsidRPr="004D307F">
        <w:rPr>
          <w:rFonts w:ascii="VIC-Regular" w:eastAsia="Times New Roman" w:hAnsi="VIC-Regular" w:cs="Times New Roman"/>
          <w:color w:val="011A3C"/>
          <w:sz w:val="24"/>
          <w:szCs w:val="24"/>
          <w:lang w:val="en" w:eastAsia="en-AU"/>
        </w:rPr>
        <w:t>subsidised</w:t>
      </w:r>
      <w:proofErr w:type="spellEnd"/>
      <w:r w:rsidRPr="004D307F">
        <w:rPr>
          <w:rFonts w:ascii="VIC-Regular" w:eastAsia="Times New Roman" w:hAnsi="VIC-Regular" w:cs="Times New Roman"/>
          <w:color w:val="011A3C"/>
          <w:sz w:val="24"/>
          <w:szCs w:val="24"/>
          <w:lang w:val="en" w:eastAsia="en-AU"/>
        </w:rPr>
        <w:t xml:space="preserve"> through targeted VET funding.</w:t>
      </w:r>
    </w:p>
    <w:p w14:paraId="5CC34783"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Criteria for determining targeted VET funding</w:t>
      </w:r>
    </w:p>
    <w:p w14:paraId="4A9B4BF9"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Full Time Equivalent (FTE) enrolment in an eligible VET course is defined as a minimum of 180 hours of training per year. This will attract the full per certificate amount. Enrolments of less than 180 hours of training in a year will attract pro-rata funding.</w:t>
      </w:r>
    </w:p>
    <w:p w14:paraId="42BE7210"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 Schools should refer to Band 5a and the Rates table below for additional information regarding CUA30915 Certificate III in Music Industry, for which </w:t>
      </w:r>
      <w:proofErr w:type="gramStart"/>
      <w:r w:rsidRPr="004D307F">
        <w:rPr>
          <w:rFonts w:ascii="VIC-Regular" w:eastAsia="Times New Roman" w:hAnsi="VIC-Regular" w:cs="Times New Roman"/>
          <w:color w:val="011A3C"/>
          <w:sz w:val="24"/>
          <w:szCs w:val="24"/>
          <w:lang w:val="en" w:eastAsia="en-AU"/>
        </w:rPr>
        <w:t>a</w:t>
      </w:r>
      <w:proofErr w:type="gramEnd"/>
      <w:r w:rsidRPr="004D307F">
        <w:rPr>
          <w:rFonts w:ascii="VIC-Regular" w:eastAsia="Times New Roman" w:hAnsi="VIC-Regular" w:cs="Times New Roman"/>
          <w:color w:val="011A3C"/>
          <w:sz w:val="24"/>
          <w:szCs w:val="24"/>
          <w:lang w:val="en" w:eastAsia="en-AU"/>
        </w:rPr>
        <w:t xml:space="preserve"> FTE enrolment is a minimum of 360 hours.</w:t>
      </w:r>
    </w:p>
    <w:p w14:paraId="1F2AAB27"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formula</w:t>
      </w:r>
      <w:r w:rsidRPr="004D307F">
        <w:rPr>
          <w:rFonts w:ascii="VIC-Bold" w:eastAsia="Times New Roman" w:hAnsi="VIC-Bold" w:cs="Times New Roman" w:hint="eastAsia"/>
          <w:b/>
          <w:bCs/>
          <w:color w:val="011A3C"/>
          <w:sz w:val="27"/>
          <w:szCs w:val="27"/>
          <w:lang w:val="en" w:eastAsia="en-AU"/>
        </w:rPr>
        <w:t> </w:t>
      </w:r>
    </w:p>
    <w:p w14:paraId="42F4BAC1"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 to support VET is comprised of:</w:t>
      </w:r>
    </w:p>
    <w:p w14:paraId="41AD51CF"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 xml:space="preserve">Eligible FTE certificate enrolments X Funding Level </w:t>
      </w:r>
      <w:r w:rsidRPr="004D307F">
        <w:rPr>
          <w:rFonts w:ascii="VIC-Regular" w:eastAsia="Times New Roman" w:hAnsi="VIC-Regular" w:cs="Times New Roman"/>
          <w:color w:val="011A3C"/>
          <w:sz w:val="24"/>
          <w:szCs w:val="24"/>
          <w:lang w:val="en" w:eastAsia="en-AU"/>
        </w:rPr>
        <w:t>(for students aged from 15 years to 20 years inclusive at annual VET enrolment deadline on VASS)</w:t>
      </w:r>
    </w:p>
    <w:p w14:paraId="312847EB"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Plus</w:t>
      </w:r>
    </w:p>
    <w:p w14:paraId="3BCFB014" w14:textId="50062533" w:rsidR="00F85311"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b/>
          <w:bCs/>
          <w:color w:val="011A3C"/>
          <w:sz w:val="24"/>
          <w:szCs w:val="24"/>
          <w:lang w:val="en" w:eastAsia="en-AU"/>
        </w:rPr>
        <w:t>FTE X Location Index X Rural Rate</w:t>
      </w:r>
      <w:r w:rsidRPr="004D307F">
        <w:rPr>
          <w:rFonts w:ascii="VIC-Regular" w:eastAsia="Times New Roman" w:hAnsi="VIC-Regular" w:cs="Times New Roman"/>
          <w:color w:val="011A3C"/>
          <w:sz w:val="24"/>
          <w:szCs w:val="24"/>
          <w:lang w:val="en" w:eastAsia="en-AU"/>
        </w:rPr>
        <w:t xml:space="preserve"> (Where Location Index ≥0.2)</w:t>
      </w:r>
    </w:p>
    <w:p w14:paraId="6AF0E2BD"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p>
    <w:p w14:paraId="36374CCB" w14:textId="357FE82C"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Indicative band rates </w:t>
      </w:r>
      <w:r w:rsidR="00B605AD" w:rsidRPr="004D307F">
        <w:rPr>
          <w:rFonts w:ascii="VIC-Regular" w:eastAsia="Times New Roman" w:hAnsi="VIC-Regular" w:cs="Times New Roman"/>
          <w:color w:val="011A3C"/>
          <w:sz w:val="24"/>
          <w:szCs w:val="24"/>
          <w:lang w:val="en" w:eastAsia="en-AU"/>
        </w:rPr>
        <w:t>have been</w:t>
      </w:r>
      <w:r w:rsidRPr="004D307F">
        <w:rPr>
          <w:rFonts w:ascii="VIC-Regular" w:eastAsia="Times New Roman" w:hAnsi="VIC-Regular" w:cs="Times New Roman"/>
          <w:color w:val="011A3C"/>
          <w:sz w:val="24"/>
          <w:szCs w:val="24"/>
          <w:lang w:val="en" w:eastAsia="en-AU"/>
        </w:rPr>
        <w:t xml:space="preserve"> used to determine indicative band rates for funding allocations in Terms 1 and 2 of 202</w:t>
      </w:r>
      <w:r w:rsidR="00B605AD"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Rates </w:t>
      </w:r>
      <w:r w:rsidR="006B4B01" w:rsidRPr="004D307F">
        <w:rPr>
          <w:rFonts w:ascii="VIC-Regular" w:eastAsia="Times New Roman" w:hAnsi="VIC-Regular" w:cs="Times New Roman"/>
          <w:color w:val="011A3C"/>
          <w:sz w:val="24"/>
          <w:szCs w:val="24"/>
          <w:lang w:val="en" w:eastAsia="en-AU"/>
        </w:rPr>
        <w:t>may be</w:t>
      </w:r>
      <w:r w:rsidRPr="004D307F">
        <w:rPr>
          <w:rFonts w:ascii="VIC-Regular" w:eastAsia="Times New Roman" w:hAnsi="VIC-Regular" w:cs="Times New Roman"/>
          <w:color w:val="011A3C"/>
          <w:sz w:val="24"/>
          <w:szCs w:val="24"/>
          <w:lang w:val="en" w:eastAsia="en-AU"/>
        </w:rPr>
        <w:t> updated for Terms 3 and 4 as per confirmed enrolments on VASS.</w:t>
      </w:r>
    </w:p>
    <w:p w14:paraId="38423BB9" w14:textId="5FFA063E" w:rsidR="00F173EC" w:rsidRPr="004D307F" w:rsidRDefault="00F173EC"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6"/>
        <w:gridCol w:w="1843"/>
        <w:gridCol w:w="1845"/>
        <w:gridCol w:w="2782"/>
      </w:tblGrid>
      <w:tr w:rsidR="00F173EC" w:rsidRPr="004D307F" w14:paraId="7ECB00C0"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28B5FA63"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lastRenderedPageBreak/>
              <w:t>VET Band Funding Level and Weighting Level (WL)</w:t>
            </w:r>
          </w:p>
        </w:tc>
        <w:tc>
          <w:tcPr>
            <w:tcW w:w="1022" w:type="pct"/>
            <w:tcBorders>
              <w:top w:val="single" w:sz="4" w:space="0" w:color="auto"/>
              <w:left w:val="single" w:sz="4" w:space="0" w:color="auto"/>
              <w:bottom w:val="single" w:sz="4" w:space="0" w:color="auto"/>
              <w:right w:val="single" w:sz="4" w:space="0" w:color="auto"/>
            </w:tcBorders>
          </w:tcPr>
          <w:p w14:paraId="68537A75" w14:textId="16CDF224" w:rsidR="00F173EC" w:rsidRPr="004D307F"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Targeted Funding (Indicative)</w:t>
            </w:r>
          </w:p>
        </w:tc>
        <w:tc>
          <w:tcPr>
            <w:tcW w:w="1023" w:type="pct"/>
            <w:tcBorders>
              <w:top w:val="single" w:sz="4" w:space="0" w:color="auto"/>
              <w:left w:val="single" w:sz="4" w:space="0" w:color="auto"/>
              <w:bottom w:val="single" w:sz="4" w:space="0" w:color="auto"/>
              <w:right w:val="single" w:sz="4" w:space="0" w:color="auto"/>
            </w:tcBorders>
          </w:tcPr>
          <w:p w14:paraId="658DDA2E" w14:textId="77777777" w:rsidR="00F173EC" w:rsidRPr="004D307F"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SRP (VET is 1 of 5 subjects)</w:t>
            </w:r>
          </w:p>
        </w:tc>
        <w:tc>
          <w:tcPr>
            <w:tcW w:w="1543" w:type="pct"/>
            <w:tcBorders>
              <w:top w:val="single" w:sz="4" w:space="0" w:color="auto"/>
              <w:left w:val="single" w:sz="4" w:space="0" w:color="auto"/>
              <w:bottom w:val="single" w:sz="4" w:space="0" w:color="auto"/>
              <w:right w:val="single" w:sz="4" w:space="0" w:color="auto"/>
            </w:tcBorders>
          </w:tcPr>
          <w:p w14:paraId="0DF80456" w14:textId="77777777" w:rsidR="00F173EC" w:rsidRPr="004D307F" w:rsidRDefault="00F173EC" w:rsidP="00F173EC">
            <w:pPr>
              <w:spacing w:after="0" w:line="240" w:lineRule="atLeast"/>
              <w:jc w:val="center"/>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Funds provided for VET Programs (without Rural Rate or TAFE Supplement)</w:t>
            </w:r>
          </w:p>
        </w:tc>
      </w:tr>
      <w:tr w:rsidR="00F173EC" w:rsidRPr="004D307F" w14:paraId="426F8EFF"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4CE8B7B7"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1 (WL 3.347)</w:t>
            </w:r>
          </w:p>
        </w:tc>
        <w:tc>
          <w:tcPr>
            <w:tcW w:w="1022" w:type="pct"/>
            <w:tcBorders>
              <w:top w:val="single" w:sz="4" w:space="0" w:color="auto"/>
              <w:left w:val="single" w:sz="4" w:space="0" w:color="auto"/>
              <w:bottom w:val="single" w:sz="4" w:space="0" w:color="auto"/>
              <w:right w:val="single" w:sz="4" w:space="0" w:color="auto"/>
            </w:tcBorders>
          </w:tcPr>
          <w:p w14:paraId="16DCCBF6"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$1,153.20 </w:t>
            </w:r>
          </w:p>
        </w:tc>
        <w:tc>
          <w:tcPr>
            <w:tcW w:w="1023" w:type="pct"/>
            <w:tcBorders>
              <w:top w:val="single" w:sz="4" w:space="0" w:color="auto"/>
              <w:left w:val="single" w:sz="4" w:space="0" w:color="auto"/>
              <w:bottom w:val="single" w:sz="4" w:space="0" w:color="auto"/>
              <w:right w:val="single" w:sz="4" w:space="0" w:color="auto"/>
            </w:tcBorders>
          </w:tcPr>
          <w:p w14:paraId="2F896619"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451E9CBB"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$ 2,433.20 </w:t>
            </w:r>
          </w:p>
        </w:tc>
      </w:tr>
      <w:tr w:rsidR="00F173EC" w:rsidRPr="004D307F" w14:paraId="39070049"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4CCD970A"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2 (WL 2.988)</w:t>
            </w:r>
          </w:p>
        </w:tc>
        <w:tc>
          <w:tcPr>
            <w:tcW w:w="1022" w:type="pct"/>
            <w:tcBorders>
              <w:top w:val="single" w:sz="4" w:space="0" w:color="auto"/>
              <w:left w:val="single" w:sz="4" w:space="0" w:color="auto"/>
              <w:bottom w:val="single" w:sz="4" w:space="0" w:color="auto"/>
              <w:right w:val="single" w:sz="4" w:space="0" w:color="auto"/>
            </w:tcBorders>
          </w:tcPr>
          <w:p w14:paraId="062842A3"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$1,029.50 </w:t>
            </w:r>
          </w:p>
        </w:tc>
        <w:tc>
          <w:tcPr>
            <w:tcW w:w="1023" w:type="pct"/>
            <w:tcBorders>
              <w:top w:val="single" w:sz="4" w:space="0" w:color="auto"/>
              <w:left w:val="single" w:sz="4" w:space="0" w:color="auto"/>
              <w:bottom w:val="single" w:sz="4" w:space="0" w:color="auto"/>
              <w:right w:val="single" w:sz="4" w:space="0" w:color="auto"/>
            </w:tcBorders>
          </w:tcPr>
          <w:p w14:paraId="51911F2F"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47664237"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$ 2,309.50 </w:t>
            </w:r>
          </w:p>
        </w:tc>
      </w:tr>
      <w:tr w:rsidR="00F173EC" w:rsidRPr="004D307F" w14:paraId="1B464421"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5CA2D539"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3 (WL 2.721)</w:t>
            </w:r>
          </w:p>
        </w:tc>
        <w:tc>
          <w:tcPr>
            <w:tcW w:w="1022" w:type="pct"/>
            <w:tcBorders>
              <w:top w:val="single" w:sz="4" w:space="0" w:color="auto"/>
              <w:left w:val="single" w:sz="4" w:space="0" w:color="auto"/>
              <w:bottom w:val="single" w:sz="4" w:space="0" w:color="auto"/>
              <w:right w:val="single" w:sz="4" w:space="0" w:color="auto"/>
            </w:tcBorders>
          </w:tcPr>
          <w:p w14:paraId="6DDACA57"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937.51 </w:t>
            </w:r>
          </w:p>
        </w:tc>
        <w:tc>
          <w:tcPr>
            <w:tcW w:w="1023" w:type="pct"/>
            <w:tcBorders>
              <w:top w:val="single" w:sz="4" w:space="0" w:color="auto"/>
              <w:left w:val="single" w:sz="4" w:space="0" w:color="auto"/>
              <w:bottom w:val="single" w:sz="4" w:space="0" w:color="auto"/>
              <w:right w:val="single" w:sz="4" w:space="0" w:color="auto"/>
            </w:tcBorders>
          </w:tcPr>
          <w:p w14:paraId="7D915540"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4B807CF3"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$ 2,217.51 </w:t>
            </w:r>
          </w:p>
        </w:tc>
      </w:tr>
      <w:tr w:rsidR="00F173EC" w:rsidRPr="004D307F" w14:paraId="010AC1A4"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71B07542"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4 (WL 2.569)</w:t>
            </w:r>
          </w:p>
        </w:tc>
        <w:tc>
          <w:tcPr>
            <w:tcW w:w="1022" w:type="pct"/>
            <w:tcBorders>
              <w:top w:val="single" w:sz="4" w:space="0" w:color="auto"/>
              <w:left w:val="single" w:sz="4" w:space="0" w:color="auto"/>
              <w:bottom w:val="single" w:sz="4" w:space="0" w:color="auto"/>
              <w:right w:val="single" w:sz="4" w:space="0" w:color="auto"/>
            </w:tcBorders>
          </w:tcPr>
          <w:p w14:paraId="198F6BED"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885.14 </w:t>
            </w:r>
          </w:p>
        </w:tc>
        <w:tc>
          <w:tcPr>
            <w:tcW w:w="1023" w:type="pct"/>
            <w:tcBorders>
              <w:top w:val="single" w:sz="4" w:space="0" w:color="auto"/>
              <w:left w:val="single" w:sz="4" w:space="0" w:color="auto"/>
              <w:bottom w:val="single" w:sz="4" w:space="0" w:color="auto"/>
              <w:right w:val="single" w:sz="4" w:space="0" w:color="auto"/>
            </w:tcBorders>
          </w:tcPr>
          <w:p w14:paraId="2E2C1BD2"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6D340E05"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$ 2,165.14 </w:t>
            </w:r>
          </w:p>
        </w:tc>
      </w:tr>
      <w:tr w:rsidR="00F173EC" w:rsidRPr="004D307F" w14:paraId="3F29729A"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14B372BE"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5 (WL 2.318)</w:t>
            </w:r>
          </w:p>
        </w:tc>
        <w:tc>
          <w:tcPr>
            <w:tcW w:w="1022" w:type="pct"/>
            <w:tcBorders>
              <w:top w:val="single" w:sz="4" w:space="0" w:color="auto"/>
              <w:left w:val="single" w:sz="4" w:space="0" w:color="auto"/>
              <w:bottom w:val="single" w:sz="4" w:space="0" w:color="auto"/>
              <w:right w:val="single" w:sz="4" w:space="0" w:color="auto"/>
            </w:tcBorders>
          </w:tcPr>
          <w:p w14:paraId="4345A569"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798.66 </w:t>
            </w:r>
          </w:p>
        </w:tc>
        <w:tc>
          <w:tcPr>
            <w:tcW w:w="1023" w:type="pct"/>
            <w:tcBorders>
              <w:top w:val="single" w:sz="4" w:space="0" w:color="auto"/>
              <w:left w:val="single" w:sz="4" w:space="0" w:color="auto"/>
              <w:bottom w:val="single" w:sz="4" w:space="0" w:color="auto"/>
              <w:right w:val="single" w:sz="4" w:space="0" w:color="auto"/>
            </w:tcBorders>
          </w:tcPr>
          <w:p w14:paraId="61E78FF0"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0B89C3CE"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$ 2,078.66 </w:t>
            </w:r>
          </w:p>
        </w:tc>
      </w:tr>
      <w:tr w:rsidR="00F173EC" w:rsidRPr="004D307F" w14:paraId="35F19C77"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341E63B3"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5a ** (WL 4.637)</w:t>
            </w:r>
          </w:p>
        </w:tc>
        <w:tc>
          <w:tcPr>
            <w:tcW w:w="1022" w:type="pct"/>
            <w:tcBorders>
              <w:top w:val="single" w:sz="4" w:space="0" w:color="auto"/>
              <w:left w:val="single" w:sz="4" w:space="0" w:color="auto"/>
              <w:bottom w:val="single" w:sz="4" w:space="0" w:color="auto"/>
              <w:right w:val="single" w:sz="4" w:space="0" w:color="auto"/>
            </w:tcBorders>
          </w:tcPr>
          <w:p w14:paraId="0CE39722"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$1,597.66 </w:t>
            </w:r>
          </w:p>
        </w:tc>
        <w:tc>
          <w:tcPr>
            <w:tcW w:w="1023" w:type="pct"/>
            <w:tcBorders>
              <w:top w:val="single" w:sz="4" w:space="0" w:color="auto"/>
              <w:left w:val="single" w:sz="4" w:space="0" w:color="auto"/>
              <w:bottom w:val="single" w:sz="4" w:space="0" w:color="auto"/>
              <w:right w:val="single" w:sz="4" w:space="0" w:color="auto"/>
            </w:tcBorders>
          </w:tcPr>
          <w:p w14:paraId="1229A34F"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626ACAC4"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$ 2,877.66 </w:t>
            </w:r>
          </w:p>
        </w:tc>
      </w:tr>
      <w:tr w:rsidR="00F173EC" w:rsidRPr="004D307F" w14:paraId="47F58969"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110C6437"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6 (WL 1.374)</w:t>
            </w:r>
          </w:p>
        </w:tc>
        <w:tc>
          <w:tcPr>
            <w:tcW w:w="1022" w:type="pct"/>
            <w:tcBorders>
              <w:top w:val="single" w:sz="4" w:space="0" w:color="auto"/>
              <w:left w:val="single" w:sz="4" w:space="0" w:color="auto"/>
              <w:bottom w:val="single" w:sz="4" w:space="0" w:color="auto"/>
              <w:right w:val="single" w:sz="4" w:space="0" w:color="auto"/>
            </w:tcBorders>
          </w:tcPr>
          <w:p w14:paraId="236D436F"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473.41 </w:t>
            </w:r>
          </w:p>
        </w:tc>
        <w:tc>
          <w:tcPr>
            <w:tcW w:w="1023" w:type="pct"/>
            <w:tcBorders>
              <w:top w:val="single" w:sz="4" w:space="0" w:color="auto"/>
              <w:left w:val="single" w:sz="4" w:space="0" w:color="auto"/>
              <w:bottom w:val="single" w:sz="4" w:space="0" w:color="auto"/>
              <w:right w:val="single" w:sz="4" w:space="0" w:color="auto"/>
            </w:tcBorders>
          </w:tcPr>
          <w:p w14:paraId="31C0CEAB"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4CC54BB0"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$ 1,753.41 </w:t>
            </w:r>
          </w:p>
        </w:tc>
      </w:tr>
      <w:tr w:rsidR="00F173EC" w:rsidRPr="004D307F" w14:paraId="273EEE77"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31A55F41"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7 (WL 1.123)</w:t>
            </w:r>
          </w:p>
        </w:tc>
        <w:tc>
          <w:tcPr>
            <w:tcW w:w="1022" w:type="pct"/>
            <w:tcBorders>
              <w:top w:val="single" w:sz="4" w:space="0" w:color="auto"/>
              <w:left w:val="single" w:sz="4" w:space="0" w:color="auto"/>
              <w:bottom w:val="single" w:sz="4" w:space="0" w:color="auto"/>
              <w:right w:val="single" w:sz="4" w:space="0" w:color="auto"/>
            </w:tcBorders>
          </w:tcPr>
          <w:p w14:paraId="30441FD9"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386.93 </w:t>
            </w:r>
          </w:p>
        </w:tc>
        <w:tc>
          <w:tcPr>
            <w:tcW w:w="1023" w:type="pct"/>
            <w:tcBorders>
              <w:top w:val="single" w:sz="4" w:space="0" w:color="auto"/>
              <w:left w:val="single" w:sz="4" w:space="0" w:color="auto"/>
              <w:bottom w:val="single" w:sz="4" w:space="0" w:color="auto"/>
              <w:right w:val="single" w:sz="4" w:space="0" w:color="auto"/>
            </w:tcBorders>
          </w:tcPr>
          <w:p w14:paraId="40869C80"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072EBE15"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$ 1,666.93 </w:t>
            </w:r>
          </w:p>
        </w:tc>
      </w:tr>
      <w:tr w:rsidR="00F173EC" w:rsidRPr="004D307F" w14:paraId="57A5E8D2"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344F25F8"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Band Level 8 (WL 1.000)</w:t>
            </w:r>
          </w:p>
        </w:tc>
        <w:tc>
          <w:tcPr>
            <w:tcW w:w="1022" w:type="pct"/>
            <w:tcBorders>
              <w:top w:val="single" w:sz="4" w:space="0" w:color="auto"/>
              <w:left w:val="single" w:sz="4" w:space="0" w:color="auto"/>
              <w:bottom w:val="single" w:sz="4" w:space="0" w:color="auto"/>
              <w:right w:val="single" w:sz="4" w:space="0" w:color="auto"/>
            </w:tcBorders>
          </w:tcPr>
          <w:p w14:paraId="5B7073A8"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344.55 </w:t>
            </w:r>
          </w:p>
        </w:tc>
        <w:tc>
          <w:tcPr>
            <w:tcW w:w="1023" w:type="pct"/>
            <w:tcBorders>
              <w:top w:val="single" w:sz="4" w:space="0" w:color="auto"/>
              <w:left w:val="single" w:sz="4" w:space="0" w:color="auto"/>
              <w:bottom w:val="single" w:sz="4" w:space="0" w:color="auto"/>
              <w:right w:val="single" w:sz="4" w:space="0" w:color="auto"/>
            </w:tcBorders>
          </w:tcPr>
          <w:p w14:paraId="0411E8B3"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1,280.00</w:t>
            </w:r>
          </w:p>
        </w:tc>
        <w:tc>
          <w:tcPr>
            <w:tcW w:w="1543" w:type="pct"/>
            <w:tcBorders>
              <w:top w:val="single" w:sz="4" w:space="0" w:color="auto"/>
              <w:left w:val="single" w:sz="4" w:space="0" w:color="auto"/>
              <w:bottom w:val="single" w:sz="4" w:space="0" w:color="auto"/>
              <w:right w:val="single" w:sz="4" w:space="0" w:color="auto"/>
            </w:tcBorders>
          </w:tcPr>
          <w:p w14:paraId="3E18C763"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$ 1,624.55 </w:t>
            </w:r>
          </w:p>
        </w:tc>
      </w:tr>
      <w:tr w:rsidR="00F173EC" w:rsidRPr="004D307F" w14:paraId="2861CCC2" w14:textId="77777777" w:rsidTr="00F173EC">
        <w:trPr>
          <w:tblHeader/>
        </w:trPr>
        <w:tc>
          <w:tcPr>
            <w:tcW w:w="1412" w:type="pct"/>
            <w:tcBorders>
              <w:top w:val="single" w:sz="4" w:space="0" w:color="auto"/>
              <w:left w:val="single" w:sz="4" w:space="0" w:color="auto"/>
              <w:bottom w:val="single" w:sz="4" w:space="0" w:color="auto"/>
              <w:right w:val="single" w:sz="4" w:space="0" w:color="auto"/>
            </w:tcBorders>
          </w:tcPr>
          <w:p w14:paraId="12E1A18D" w14:textId="77777777" w:rsidR="00F173EC" w:rsidRPr="004D307F" w:rsidRDefault="00F173EC" w:rsidP="00F173EC">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 xml:space="preserve">Additional Rural Rate (if </w:t>
            </w:r>
            <w:proofErr w:type="gramStart"/>
            <w:r w:rsidRPr="004D307F">
              <w:rPr>
                <w:rFonts w:ascii="VIC-Bold" w:eastAsia="Times New Roman" w:hAnsi="VIC-Bold" w:cs="Times New Roman"/>
                <w:color w:val="323E4F" w:themeColor="text2" w:themeShade="BF"/>
                <w:sz w:val="24"/>
                <w:szCs w:val="24"/>
                <w:lang w:eastAsia="en-AU"/>
              </w:rPr>
              <w:t>eligible)*</w:t>
            </w:r>
            <w:proofErr w:type="gramEnd"/>
            <w:r w:rsidRPr="004D307F">
              <w:rPr>
                <w:rFonts w:ascii="VIC-Bold" w:eastAsia="Times New Roman" w:hAnsi="VIC-Bold" w:cs="Times New Roman"/>
                <w:color w:val="323E4F" w:themeColor="text2" w:themeShade="BF"/>
                <w:sz w:val="24"/>
                <w:szCs w:val="24"/>
                <w:lang w:eastAsia="en-AU"/>
              </w:rPr>
              <w:t>**</w:t>
            </w:r>
          </w:p>
        </w:tc>
        <w:tc>
          <w:tcPr>
            <w:tcW w:w="1022" w:type="pct"/>
            <w:tcBorders>
              <w:top w:val="single" w:sz="4" w:space="0" w:color="auto"/>
              <w:left w:val="single" w:sz="4" w:space="0" w:color="auto"/>
              <w:bottom w:val="single" w:sz="4" w:space="0" w:color="auto"/>
              <w:right w:val="single" w:sz="4" w:space="0" w:color="auto"/>
            </w:tcBorders>
          </w:tcPr>
          <w:p w14:paraId="74FF48DB"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   585.38 </w:t>
            </w:r>
          </w:p>
          <w:p w14:paraId="009AE0F7"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p>
        </w:tc>
        <w:tc>
          <w:tcPr>
            <w:tcW w:w="1023" w:type="pct"/>
            <w:tcBorders>
              <w:top w:val="single" w:sz="4" w:space="0" w:color="auto"/>
              <w:left w:val="single" w:sz="4" w:space="0" w:color="auto"/>
              <w:bottom w:val="single" w:sz="4" w:space="0" w:color="auto"/>
              <w:right w:val="single" w:sz="4" w:space="0" w:color="auto"/>
            </w:tcBorders>
          </w:tcPr>
          <w:p w14:paraId="50B50A51"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p>
        </w:tc>
        <w:tc>
          <w:tcPr>
            <w:tcW w:w="1543" w:type="pct"/>
            <w:tcBorders>
              <w:top w:val="single" w:sz="4" w:space="0" w:color="auto"/>
              <w:left w:val="single" w:sz="4" w:space="0" w:color="auto"/>
              <w:bottom w:val="single" w:sz="4" w:space="0" w:color="auto"/>
              <w:right w:val="single" w:sz="4" w:space="0" w:color="auto"/>
            </w:tcBorders>
          </w:tcPr>
          <w:p w14:paraId="4C59B42C" w14:textId="77777777" w:rsidR="00F173EC" w:rsidRPr="004D307F" w:rsidRDefault="00F173EC" w:rsidP="00F173EC">
            <w:pPr>
              <w:spacing w:after="0" w:line="240" w:lineRule="atLeast"/>
              <w:jc w:val="center"/>
              <w:rPr>
                <w:rFonts w:ascii="VIC" w:eastAsia="Times New Roman" w:hAnsi="VIC" w:cs="Times New Roman"/>
                <w:color w:val="323E4F" w:themeColor="text2" w:themeShade="BF"/>
                <w:sz w:val="24"/>
                <w:szCs w:val="24"/>
                <w:lang w:eastAsia="en-AU"/>
              </w:rPr>
            </w:pPr>
          </w:p>
        </w:tc>
      </w:tr>
    </w:tbl>
    <w:p w14:paraId="6D333352" w14:textId="06FAB5EE" w:rsidR="00EA34C0" w:rsidRPr="004D307F" w:rsidRDefault="00EA34C0"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 </w:t>
      </w:r>
      <w:r w:rsidR="001D1CB6" w:rsidRPr="004D307F">
        <w:rPr>
          <w:rFonts w:ascii="VIC-Regular" w:eastAsia="Times New Roman" w:hAnsi="VIC-Regular" w:cs="Times New Roman"/>
          <w:color w:val="011A3C"/>
          <w:sz w:val="24"/>
          <w:szCs w:val="24"/>
          <w:lang w:val="en" w:eastAsia="en-AU"/>
        </w:rPr>
        <w:t>Due to</w:t>
      </w:r>
      <w:r w:rsidRPr="004D307F">
        <w:rPr>
          <w:rFonts w:ascii="VIC-Regular" w:eastAsia="Times New Roman" w:hAnsi="VIC-Regular" w:cs="Times New Roman"/>
          <w:color w:val="011A3C"/>
          <w:sz w:val="24"/>
          <w:szCs w:val="24"/>
          <w:lang w:val="en" w:eastAsia="en-AU"/>
        </w:rPr>
        <w:t xml:space="preserve"> a major change in the CUA Creative Arts and Culture Training Package, the CUS30109 Certificate III in Music and CUS30209 Certificate III in Technical Production have been merged into the one qualification, CUA30915 Certificate III in Music Industry. Previously, it was common practice for students to </w:t>
      </w:r>
      <w:proofErr w:type="spellStart"/>
      <w:r w:rsidRPr="004D307F">
        <w:rPr>
          <w:rFonts w:ascii="VIC-Regular" w:eastAsia="Times New Roman" w:hAnsi="VIC-Regular" w:cs="Times New Roman"/>
          <w:color w:val="011A3C"/>
          <w:sz w:val="24"/>
          <w:szCs w:val="24"/>
          <w:lang w:val="en" w:eastAsia="en-AU"/>
        </w:rPr>
        <w:t>enrol</w:t>
      </w:r>
      <w:proofErr w:type="spellEnd"/>
      <w:r w:rsidRPr="004D307F">
        <w:rPr>
          <w:rFonts w:ascii="VIC-Regular" w:eastAsia="Times New Roman" w:hAnsi="VIC-Regular" w:cs="Times New Roman"/>
          <w:color w:val="011A3C"/>
          <w:sz w:val="24"/>
          <w:szCs w:val="24"/>
          <w:lang w:val="en" w:eastAsia="en-AU"/>
        </w:rPr>
        <w:t xml:space="preserve"> in two separate qualifications (Music – Performance and Technical Production) and be funded up to 180 hours for both. These enrolments will now be in a single Certificate III in Music Industry, with many students undertaking a scored Unit 3 &amp; 4 in both streams in a single enrolment year. Band 5a has been introduced to enable funding for the two streams within the one qualification, up to a maximum of 360 hours.</w:t>
      </w:r>
    </w:p>
    <w:p w14:paraId="4526999A" w14:textId="4900B83A" w:rsidR="0089477A" w:rsidRPr="004D307F" w:rsidRDefault="0089477A"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w:t>
      </w:r>
      <w:r w:rsidR="00F173EC" w:rsidRPr="004D307F">
        <w:rPr>
          <w:rFonts w:ascii="VIC-Regular" w:eastAsia="Times New Roman" w:hAnsi="VIC-Regular" w:cs="Times New Roman"/>
          <w:color w:val="011A3C"/>
          <w:sz w:val="24"/>
          <w:szCs w:val="24"/>
          <w:lang w:val="en" w:eastAsia="en-AU"/>
        </w:rPr>
        <w:t xml:space="preserve">Updated </w:t>
      </w:r>
      <w:r w:rsidRPr="004D307F">
        <w:rPr>
          <w:rFonts w:ascii="VIC-Regular" w:eastAsia="Times New Roman" w:hAnsi="VIC-Regular" w:cs="Times New Roman"/>
          <w:color w:val="011A3C"/>
          <w:sz w:val="24"/>
          <w:szCs w:val="24"/>
          <w:lang w:val="en" w:eastAsia="en-AU"/>
        </w:rPr>
        <w:t>Location indexes</w:t>
      </w:r>
      <w:r w:rsidR="00F173EC" w:rsidRPr="004D307F">
        <w:rPr>
          <w:rFonts w:ascii="VIC-Regular" w:eastAsia="Times New Roman" w:hAnsi="VIC-Regular" w:cs="Times New Roman"/>
          <w:color w:val="011A3C"/>
          <w:sz w:val="24"/>
          <w:szCs w:val="24"/>
          <w:lang w:val="en" w:eastAsia="en-AU"/>
        </w:rPr>
        <w:t xml:space="preserve"> developed as a part of the rurality reform</w:t>
      </w:r>
      <w:r w:rsidRPr="004D307F">
        <w:rPr>
          <w:rFonts w:ascii="VIC-Regular" w:eastAsia="Times New Roman" w:hAnsi="VIC-Regular" w:cs="Times New Roman"/>
          <w:color w:val="011A3C"/>
          <w:sz w:val="24"/>
          <w:szCs w:val="24"/>
          <w:lang w:val="en" w:eastAsia="en-AU"/>
        </w:rPr>
        <w:t xml:space="preserve"> have been used for</w:t>
      </w:r>
      <w:r w:rsidR="006717C9" w:rsidRPr="004D307F">
        <w:rPr>
          <w:rFonts w:ascii="VIC-Regular" w:eastAsia="Times New Roman" w:hAnsi="VIC-Regular" w:cs="Times New Roman"/>
          <w:color w:val="011A3C"/>
          <w:sz w:val="24"/>
          <w:szCs w:val="24"/>
          <w:lang w:val="en" w:eastAsia="en-AU"/>
        </w:rPr>
        <w:t xml:space="preserve"> </w:t>
      </w:r>
      <w:r w:rsidR="00F173EC" w:rsidRPr="004D307F">
        <w:rPr>
          <w:rFonts w:ascii="VIC-Regular" w:eastAsia="Times New Roman" w:hAnsi="VIC-Regular" w:cs="Times New Roman"/>
          <w:color w:val="011A3C"/>
          <w:sz w:val="24"/>
          <w:szCs w:val="24"/>
          <w:lang w:val="en" w:eastAsia="en-AU"/>
        </w:rPr>
        <w:t>calculating</w:t>
      </w:r>
      <w:r w:rsidRPr="004D307F">
        <w:rPr>
          <w:rFonts w:ascii="VIC-Regular" w:eastAsia="Times New Roman" w:hAnsi="VIC-Regular" w:cs="Times New Roman"/>
          <w:color w:val="011A3C"/>
          <w:sz w:val="24"/>
          <w:szCs w:val="24"/>
          <w:lang w:val="en" w:eastAsia="en-AU"/>
        </w:rPr>
        <w:t xml:space="preserve"> the additional rural funding element.</w:t>
      </w:r>
    </w:p>
    <w:p w14:paraId="55D644CA" w14:textId="5FAB99FA" w:rsidR="00F173EC" w:rsidRPr="004D307F" w:rsidRDefault="00F173EC"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location index of a multicampus school is the average of the location indexes of its constituent campuses</w:t>
      </w:r>
      <w:r w:rsidR="006717C9"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w:t>
      </w:r>
    </w:p>
    <w:p w14:paraId="40574044" w14:textId="2396EC8F" w:rsidR="00216245" w:rsidRPr="004D307F" w:rsidRDefault="00EA34C0" w:rsidP="004D307F">
      <w:pPr>
        <w:spacing w:before="120" w:after="120"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lastRenderedPageBreak/>
        <w:t>Targeted VET funding operates within a capped budget</w:t>
      </w:r>
    </w:p>
    <w:p w14:paraId="6044B5B7" w14:textId="3BA86A2E"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means that band rates may be adjusted up or down </w:t>
      </w:r>
      <w:r w:rsidR="00216245" w:rsidRPr="004D307F">
        <w:rPr>
          <w:rFonts w:ascii="VIC-Regular" w:eastAsia="Times New Roman" w:hAnsi="VIC-Regular" w:cs="Times New Roman"/>
          <w:color w:val="011A3C"/>
          <w:sz w:val="24"/>
          <w:szCs w:val="24"/>
          <w:lang w:val="en" w:eastAsia="en-AU"/>
        </w:rPr>
        <w:t>annually as they are</w:t>
      </w:r>
      <w:r w:rsidR="00D8139D" w:rsidRPr="004D307F">
        <w:rPr>
          <w:rFonts w:ascii="VIC-Regular" w:eastAsia="Times New Roman" w:hAnsi="VIC-Regular" w:cs="Times New Roman"/>
          <w:color w:val="011A3C"/>
          <w:sz w:val="24"/>
          <w:szCs w:val="24"/>
          <w:lang w:val="en" w:eastAsia="en-AU"/>
        </w:rPr>
        <w:t xml:space="preserve"> dependent on </w:t>
      </w:r>
      <w:proofErr w:type="gramStart"/>
      <w:r w:rsidR="00D8139D" w:rsidRPr="004D307F">
        <w:rPr>
          <w:rFonts w:ascii="VIC-Regular" w:eastAsia="Times New Roman" w:hAnsi="VIC-Regular" w:cs="Times New Roman"/>
          <w:color w:val="011A3C"/>
          <w:sz w:val="24"/>
          <w:szCs w:val="24"/>
          <w:lang w:val="en" w:eastAsia="en-AU"/>
        </w:rPr>
        <w:t>a number of</w:t>
      </w:r>
      <w:proofErr w:type="gramEnd"/>
      <w:r w:rsidR="00D8139D" w:rsidRPr="004D307F">
        <w:rPr>
          <w:rFonts w:ascii="VIC-Regular" w:eastAsia="Times New Roman" w:hAnsi="VIC-Regular" w:cs="Times New Roman"/>
          <w:color w:val="011A3C"/>
          <w:sz w:val="24"/>
          <w:szCs w:val="24"/>
          <w:lang w:val="en" w:eastAsia="en-AU"/>
        </w:rPr>
        <w:t xml:space="preserve"> factors including </w:t>
      </w:r>
      <w:r w:rsidRPr="004D307F">
        <w:rPr>
          <w:rFonts w:ascii="VIC-Regular" w:eastAsia="Times New Roman" w:hAnsi="VIC-Regular" w:cs="Times New Roman"/>
          <w:color w:val="011A3C"/>
          <w:sz w:val="24"/>
          <w:szCs w:val="24"/>
          <w:lang w:val="en" w:eastAsia="en-AU"/>
        </w:rPr>
        <w:t>changes in total eligible enrolments from all schools and the spread of these enrolments across band levels.</w:t>
      </w:r>
    </w:p>
    <w:p w14:paraId="46FC2118" w14:textId="3FB295D2"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example, even if the total number of enrolments did not change between 20</w:t>
      </w:r>
      <w:r w:rsidR="00A95154" w:rsidRPr="004D307F">
        <w:rPr>
          <w:rFonts w:ascii="VIC-Regular" w:eastAsia="Times New Roman" w:hAnsi="VIC-Regular" w:cs="Times New Roman"/>
          <w:color w:val="011A3C"/>
          <w:sz w:val="24"/>
          <w:szCs w:val="24"/>
          <w:lang w:val="en" w:eastAsia="en-AU"/>
        </w:rPr>
        <w:t>2</w:t>
      </w:r>
      <w:r w:rsidR="001D1CB6" w:rsidRPr="004D307F">
        <w:rPr>
          <w:rFonts w:ascii="VIC-Regular" w:eastAsia="Times New Roman" w:hAnsi="VIC-Regular" w:cs="Times New Roman"/>
          <w:color w:val="011A3C"/>
          <w:sz w:val="24"/>
          <w:szCs w:val="24"/>
          <w:lang w:val="en" w:eastAsia="en-AU"/>
        </w:rPr>
        <w:t>1</w:t>
      </w:r>
      <w:r w:rsidRPr="004D307F">
        <w:rPr>
          <w:rFonts w:ascii="VIC-Regular" w:eastAsia="Times New Roman" w:hAnsi="VIC-Regular" w:cs="Times New Roman"/>
          <w:color w:val="011A3C"/>
          <w:sz w:val="24"/>
          <w:szCs w:val="24"/>
          <w:lang w:val="en" w:eastAsia="en-AU"/>
        </w:rPr>
        <w:t xml:space="preserve"> and 202</w:t>
      </w:r>
      <w:r w:rsidR="001D1CB6"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if there was an increase in the proportion of enrolments towards the higher funded bands, the confirmed band rates for 202</w:t>
      </w:r>
      <w:r w:rsidR="001D1CB6"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may be adjusted down, once enrolments are confirmed.</w:t>
      </w:r>
    </w:p>
    <w:p w14:paraId="518E79F9" w14:textId="6BB6B70F"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Conversely, if the total number of enrolments did not change between 20</w:t>
      </w:r>
      <w:r w:rsidR="00A95154" w:rsidRPr="004D307F">
        <w:rPr>
          <w:rFonts w:ascii="VIC-Regular" w:eastAsia="Times New Roman" w:hAnsi="VIC-Regular" w:cs="Times New Roman"/>
          <w:color w:val="011A3C"/>
          <w:sz w:val="24"/>
          <w:szCs w:val="24"/>
          <w:lang w:val="en" w:eastAsia="en-AU"/>
        </w:rPr>
        <w:t>2</w:t>
      </w:r>
      <w:r w:rsidR="001D1CB6" w:rsidRPr="004D307F">
        <w:rPr>
          <w:rFonts w:ascii="VIC-Regular" w:eastAsia="Times New Roman" w:hAnsi="VIC-Regular" w:cs="Times New Roman"/>
          <w:color w:val="011A3C"/>
          <w:sz w:val="24"/>
          <w:szCs w:val="24"/>
          <w:lang w:val="en" w:eastAsia="en-AU"/>
        </w:rPr>
        <w:t>1</w:t>
      </w:r>
      <w:r w:rsidRPr="004D307F">
        <w:rPr>
          <w:rFonts w:ascii="VIC-Regular" w:eastAsia="Times New Roman" w:hAnsi="VIC-Regular" w:cs="Times New Roman"/>
          <w:color w:val="011A3C"/>
          <w:sz w:val="24"/>
          <w:szCs w:val="24"/>
          <w:lang w:val="en" w:eastAsia="en-AU"/>
        </w:rPr>
        <w:t xml:space="preserve"> and 20</w:t>
      </w:r>
      <w:r w:rsidR="001D1CB6" w:rsidRPr="004D307F">
        <w:rPr>
          <w:rFonts w:ascii="VIC-Regular" w:eastAsia="Times New Roman" w:hAnsi="VIC-Regular" w:cs="Times New Roman"/>
          <w:color w:val="011A3C"/>
          <w:sz w:val="24"/>
          <w:szCs w:val="24"/>
          <w:lang w:val="en" w:eastAsia="en-AU"/>
        </w:rPr>
        <w:t>22</w:t>
      </w:r>
      <w:r w:rsidRPr="004D307F">
        <w:rPr>
          <w:rFonts w:ascii="VIC-Regular" w:eastAsia="Times New Roman" w:hAnsi="VIC-Regular" w:cs="Times New Roman"/>
          <w:color w:val="011A3C"/>
          <w:sz w:val="24"/>
          <w:szCs w:val="24"/>
          <w:lang w:val="en" w:eastAsia="en-AU"/>
        </w:rPr>
        <w:t>, if there was a significant increase in the proportion of enrolments towards the lower funded bands, the confirmed band rates for 202</w:t>
      </w:r>
      <w:r w:rsidR="001D1CB6"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may be adjusted up, once enrolments are confirmed. The impact of changes in enrolment patterns is spread proportionally across all band funding levels.</w:t>
      </w:r>
    </w:p>
    <w:p w14:paraId="61EA20A5" w14:textId="5B99A359"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This reinforces the importance for schools to </w:t>
      </w:r>
      <w:r w:rsidRPr="004D307F">
        <w:rPr>
          <w:rFonts w:ascii="VIC-Regular" w:eastAsia="Times New Roman" w:hAnsi="VIC-Regular" w:cs="Times New Roman"/>
          <w:b/>
          <w:bCs/>
          <w:color w:val="011A3C"/>
          <w:sz w:val="24"/>
          <w:szCs w:val="24"/>
          <w:lang w:val="en" w:eastAsia="en-AU"/>
        </w:rPr>
        <w:t xml:space="preserve">CORRECTLY </w:t>
      </w:r>
      <w:r w:rsidRPr="004D307F">
        <w:rPr>
          <w:rFonts w:ascii="VIC-Regular" w:eastAsia="Times New Roman" w:hAnsi="VIC-Regular" w:cs="Times New Roman"/>
          <w:color w:val="011A3C"/>
          <w:sz w:val="24"/>
          <w:szCs w:val="24"/>
          <w:lang w:val="en" w:eastAsia="en-AU"/>
        </w:rPr>
        <w:t>enter enrolments on VASS by the due date. Entries must include</w:t>
      </w:r>
      <w:r w:rsidR="001D1CB6" w:rsidRPr="004D307F">
        <w:rPr>
          <w:rFonts w:ascii="VIC-Regular" w:eastAsia="Times New Roman" w:hAnsi="VIC-Regular" w:cs="Times New Roman"/>
          <w:color w:val="011A3C"/>
          <w:sz w:val="24"/>
          <w:szCs w:val="24"/>
          <w:lang w:val="en" w:eastAsia="en-AU"/>
        </w:rPr>
        <w:t xml:space="preserve"> the</w:t>
      </w:r>
      <w:r w:rsidRPr="004D307F">
        <w:rPr>
          <w:rFonts w:ascii="VIC-Regular" w:eastAsia="Times New Roman" w:hAnsi="VIC-Regular" w:cs="Times New Roman"/>
          <w:color w:val="011A3C"/>
          <w:sz w:val="24"/>
          <w:szCs w:val="24"/>
          <w:lang w:val="en" w:eastAsia="en-AU"/>
        </w:rPr>
        <w:t xml:space="preserve"> certificate title, units of competency, and hours.</w:t>
      </w:r>
    </w:p>
    <w:p w14:paraId="6DF335F3"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There is no capacity within a capped budget to provide funding to schools that have not entered VET enrolments on VASS at all or have entered them with incorrect information.</w:t>
      </w:r>
    </w:p>
    <w:p w14:paraId="2669AD94" w14:textId="77777777" w:rsidR="00EA34C0" w:rsidRPr="004D307F" w:rsidRDefault="00EA34C0" w:rsidP="005A7E0A">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TAFE supplement</w:t>
      </w:r>
    </w:p>
    <w:p w14:paraId="3F34DBCF" w14:textId="77777777" w:rsidR="00EA34C0"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From 2019 an </w:t>
      </w:r>
      <w:r w:rsidRPr="004D307F">
        <w:rPr>
          <w:rFonts w:ascii="VIC" w:eastAsia="Times New Roman" w:hAnsi="VIC" w:cs="Times New Roman"/>
          <w:b/>
          <w:bCs/>
          <w:color w:val="011A3C"/>
          <w:sz w:val="24"/>
          <w:szCs w:val="24"/>
          <w:lang w:val="en" w:eastAsia="en-AU"/>
        </w:rPr>
        <w:t xml:space="preserve">additional supplement </w:t>
      </w:r>
      <w:r w:rsidRPr="004D307F">
        <w:rPr>
          <w:rFonts w:ascii="VIC" w:eastAsia="Times New Roman" w:hAnsi="VIC" w:cs="Times New Roman"/>
          <w:color w:val="011A3C"/>
          <w:sz w:val="24"/>
          <w:szCs w:val="24"/>
          <w:lang w:val="en" w:eastAsia="en-AU"/>
        </w:rPr>
        <w:t>(over 4 years) is available to government schools that purchase VET courses on the Skills First list from the TAFE network.</w:t>
      </w:r>
    </w:p>
    <w:p w14:paraId="69E17441" w14:textId="77777777" w:rsidR="00EA34C0"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amount of funding provided will be equal to the gap between current total funding (core SRP for VET + targeted VET funding) and the Skills First subsidy and maximum exemption rate. A 10% rural loading will be applied where relevant.</w:t>
      </w:r>
    </w:p>
    <w:p w14:paraId="0935DC93" w14:textId="77777777" w:rsidR="00EA34C0"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TAFE Supplement funds will be paid against a separate budget line in the Term 3 quarterly cash grants through the Student Resource Package once actual eligible VET enrolments are known.</w:t>
      </w:r>
    </w:p>
    <w:p w14:paraId="725BA9A6" w14:textId="301C7E1A" w:rsidR="00EA34C0"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confirmed amount of the TAFE supplement against eligible VET qualifications will be available when actual eligible 202</w:t>
      </w:r>
      <w:r w:rsidR="001D1CB6"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VET enrolments with the TAFE network are known. Where the current total funding (core SRP for </w:t>
      </w:r>
      <w:r w:rsidRPr="004D307F">
        <w:rPr>
          <w:rFonts w:ascii="VIC" w:eastAsia="Times New Roman" w:hAnsi="VIC" w:cs="Times New Roman"/>
          <w:color w:val="011A3C"/>
          <w:sz w:val="24"/>
          <w:szCs w:val="24"/>
          <w:lang w:val="en" w:eastAsia="en-AU"/>
        </w:rPr>
        <w:lastRenderedPageBreak/>
        <w:t>VET $12</w:t>
      </w:r>
      <w:r w:rsidR="00A95154" w:rsidRPr="004D307F">
        <w:rPr>
          <w:rFonts w:ascii="VIC" w:eastAsia="Times New Roman" w:hAnsi="VIC" w:cs="Times New Roman"/>
          <w:color w:val="011A3C"/>
          <w:sz w:val="24"/>
          <w:szCs w:val="24"/>
          <w:lang w:val="en" w:eastAsia="en-AU"/>
        </w:rPr>
        <w:t>80</w:t>
      </w:r>
      <w:r w:rsidRPr="004D307F">
        <w:rPr>
          <w:rFonts w:ascii="VIC" w:eastAsia="Times New Roman" w:hAnsi="VIC" w:cs="Times New Roman"/>
          <w:color w:val="011A3C"/>
          <w:sz w:val="24"/>
          <w:szCs w:val="24"/>
          <w:lang w:val="en" w:eastAsia="en-AU"/>
        </w:rPr>
        <w:t xml:space="preserve"> + targeted VET funding) is higher than the Skills First subsidy rate, no supplement will be provided.</w:t>
      </w:r>
    </w:p>
    <w:p w14:paraId="129198B8" w14:textId="501E6D15" w:rsidR="003E6B76" w:rsidRPr="004D307F" w:rsidRDefault="00EA34C0"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To help inform purchasing decisions, a table of TAFE Supplement calculations based on </w:t>
      </w:r>
      <w:r w:rsidR="00C37A79" w:rsidRPr="004D307F">
        <w:rPr>
          <w:rFonts w:ascii="VIC" w:eastAsia="Times New Roman" w:hAnsi="VIC" w:cs="Times New Roman"/>
          <w:color w:val="011A3C"/>
          <w:sz w:val="24"/>
          <w:szCs w:val="24"/>
          <w:lang w:val="en" w:eastAsia="en-AU"/>
        </w:rPr>
        <w:t xml:space="preserve">the most recent </w:t>
      </w:r>
      <w:r w:rsidRPr="004D307F">
        <w:rPr>
          <w:rFonts w:ascii="VIC" w:eastAsia="Times New Roman" w:hAnsi="VIC" w:cs="Times New Roman"/>
          <w:color w:val="011A3C"/>
          <w:sz w:val="24"/>
          <w:szCs w:val="24"/>
          <w:lang w:val="en" w:eastAsia="en-AU"/>
        </w:rPr>
        <w:t xml:space="preserve">Skills First rates is available at: </w:t>
      </w:r>
      <w:hyperlink r:id="rId140" w:history="1">
        <w:r w:rsidR="001D1CB6" w:rsidRPr="004D307F">
          <w:rPr>
            <w:rStyle w:val="Hyperlink"/>
            <w:rFonts w:ascii="VIC" w:hAnsi="VIC"/>
            <w:sz w:val="24"/>
            <w:szCs w:val="24"/>
          </w:rPr>
          <w:t>VET Delivered to Secondary Students: Resources</w:t>
        </w:r>
      </w:hyperlink>
      <w:r w:rsidR="001D1CB6"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w:t>
      </w:r>
    </w:p>
    <w:p w14:paraId="210AFE91"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School-based apprenticeships and traineeships</w:t>
      </w:r>
    </w:p>
    <w:p w14:paraId="3DD4BD5E" w14:textId="3A4B9CF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A student enrolled in a VET qualification through a school-based apprenticeship or traineeship (SBAT) is funded under Skills First and is not eligible for targeted VET funding. </w:t>
      </w:r>
      <w:r w:rsidR="001D1CB6" w:rsidRPr="004D307F">
        <w:rPr>
          <w:rFonts w:ascii="VIC-Regular" w:eastAsia="Times New Roman" w:hAnsi="VIC-Regular" w:cs="Times New Roman"/>
          <w:color w:val="011A3C"/>
          <w:sz w:val="24"/>
          <w:szCs w:val="24"/>
          <w:lang w:val="en" w:eastAsia="en-AU"/>
        </w:rPr>
        <w:t>F</w:t>
      </w:r>
      <w:r w:rsidRPr="004D307F">
        <w:rPr>
          <w:rFonts w:ascii="VIC-Regular" w:eastAsia="Times New Roman" w:hAnsi="VIC-Regular" w:cs="Times New Roman"/>
          <w:color w:val="011A3C"/>
          <w:sz w:val="24"/>
          <w:szCs w:val="24"/>
          <w:lang w:val="en" w:eastAsia="en-AU"/>
        </w:rPr>
        <w:t xml:space="preserve">or assessment purposes, students undertaking VET as part of an SBAT are still able to gain credit towards completion of their senior secondary certificate. Further information on SBATs is available at: </w:t>
      </w:r>
      <w:hyperlink r:id="rId141" w:history="1">
        <w:r w:rsidRPr="004D307F">
          <w:rPr>
            <w:rFonts w:ascii="VIC-Regular" w:eastAsia="Times New Roman" w:hAnsi="VIC-Regular" w:cs="Times New Roman"/>
            <w:color w:val="011A3C"/>
            <w:sz w:val="24"/>
            <w:szCs w:val="24"/>
            <w:lang w:val="en" w:eastAsia="en-AU"/>
          </w:rPr>
          <w:t>Part-time and School-based Apprenticeships and Traineeships</w:t>
        </w:r>
      </w:hyperlink>
      <w:r w:rsidRPr="004D307F">
        <w:rPr>
          <w:rFonts w:ascii="VIC-Regular" w:eastAsia="Times New Roman" w:hAnsi="VIC-Regular" w:cs="Times New Roman"/>
          <w:color w:val="011A3C"/>
          <w:sz w:val="24"/>
          <w:szCs w:val="24"/>
          <w:lang w:val="en" w:eastAsia="en-AU"/>
        </w:rPr>
        <w:t>.</w:t>
      </w:r>
    </w:p>
    <w:p w14:paraId="25719DEF"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Head Start</w:t>
      </w:r>
    </w:p>
    <w:p w14:paraId="12C4AB0D" w14:textId="4271CC25" w:rsidR="00EA34C0" w:rsidRPr="004D307F" w:rsidRDefault="001D1CB6"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From 2019, t</w:t>
      </w:r>
      <w:r w:rsidR="00EA34C0" w:rsidRPr="004D307F">
        <w:rPr>
          <w:rFonts w:ascii="VIC-Regular" w:eastAsia="Times New Roman" w:hAnsi="VIC-Regular" w:cs="Times New Roman"/>
          <w:color w:val="011A3C"/>
          <w:sz w:val="24"/>
          <w:szCs w:val="24"/>
          <w:lang w:val="en" w:eastAsia="en-AU"/>
        </w:rPr>
        <w:t>he Government has also committed $</w:t>
      </w:r>
      <w:r w:rsidRPr="004D307F">
        <w:rPr>
          <w:rFonts w:ascii="VIC-Regular" w:eastAsia="Times New Roman" w:hAnsi="VIC-Regular" w:cs="Times New Roman"/>
          <w:color w:val="011A3C"/>
          <w:sz w:val="24"/>
          <w:szCs w:val="24"/>
          <w:lang w:val="en" w:eastAsia="en-AU"/>
        </w:rPr>
        <w:t>55</w:t>
      </w:r>
      <w:r w:rsidR="00EA34C0"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6</w:t>
      </w:r>
      <w:r w:rsidR="00EA34C0" w:rsidRPr="004D307F">
        <w:rPr>
          <w:rFonts w:ascii="VIC-Regular" w:eastAsia="Times New Roman" w:hAnsi="VIC-Regular" w:cs="Times New Roman"/>
          <w:color w:val="011A3C"/>
          <w:sz w:val="24"/>
          <w:szCs w:val="24"/>
          <w:lang w:val="en" w:eastAsia="en-AU"/>
        </w:rPr>
        <w:t>m over four years for the Head Start initiative which is</w:t>
      </w:r>
      <w:r w:rsidRPr="004D307F">
        <w:rPr>
          <w:rFonts w:ascii="VIC-Regular" w:eastAsia="Times New Roman" w:hAnsi="VIC-Regular" w:cs="Times New Roman"/>
          <w:color w:val="011A3C"/>
          <w:sz w:val="24"/>
          <w:szCs w:val="24"/>
          <w:lang w:val="en" w:eastAsia="en-AU"/>
        </w:rPr>
        <w:t xml:space="preserve"> now offered in 130</w:t>
      </w:r>
      <w:r w:rsidR="00EA34C0" w:rsidRPr="004D307F">
        <w:rPr>
          <w:rFonts w:ascii="VIC-Regular" w:eastAsia="Times New Roman" w:hAnsi="VIC-Regular" w:cs="Times New Roman"/>
          <w:color w:val="011A3C"/>
          <w:sz w:val="24"/>
          <w:szCs w:val="24"/>
          <w:lang w:val="en" w:eastAsia="en-AU"/>
        </w:rPr>
        <w:t xml:space="preserve"> secondary schools across Victoria </w:t>
      </w:r>
      <w:r w:rsidRPr="004D307F">
        <w:rPr>
          <w:rFonts w:ascii="VIC-Regular" w:eastAsia="Times New Roman" w:hAnsi="VIC-Regular" w:cs="Times New Roman"/>
          <w:color w:val="011A3C"/>
          <w:sz w:val="24"/>
          <w:szCs w:val="24"/>
          <w:lang w:val="en" w:eastAsia="en-AU"/>
        </w:rPr>
        <w:t xml:space="preserve">up from the 100 schools initially targeted. </w:t>
      </w:r>
      <w:r w:rsidR="00EA34C0" w:rsidRPr="004D307F">
        <w:rPr>
          <w:rFonts w:ascii="VIC-Regular" w:eastAsia="Times New Roman" w:hAnsi="VIC-Regular" w:cs="Times New Roman"/>
          <w:color w:val="011A3C"/>
          <w:sz w:val="24"/>
          <w:szCs w:val="24"/>
          <w:lang w:val="en" w:eastAsia="en-AU"/>
        </w:rPr>
        <w:t xml:space="preserve">Head Start provides an innovative approach that encourages students to undertake an apprenticeship or traineeship with high quality Certificate III qualifications in priority industries as part of their senior secondary studies. Like all SBATs, </w:t>
      </w:r>
      <w:hyperlink r:id="rId142" w:history="1">
        <w:r w:rsidR="00EA34C0" w:rsidRPr="004D307F">
          <w:rPr>
            <w:rFonts w:ascii="VIC-Regular" w:eastAsia="Times New Roman" w:hAnsi="VIC-Regular" w:cs="Times New Roman"/>
            <w:color w:val="011A3C"/>
            <w:sz w:val="24"/>
            <w:szCs w:val="24"/>
            <w:lang w:val="en" w:eastAsia="en-AU"/>
          </w:rPr>
          <w:t>Head Start apprenticeships and traineeships</w:t>
        </w:r>
      </w:hyperlink>
      <w:r w:rsidR="00EA34C0" w:rsidRPr="004D307F">
        <w:rPr>
          <w:rFonts w:ascii="VIC-Regular" w:eastAsia="Times New Roman" w:hAnsi="VIC-Regular" w:cs="Times New Roman"/>
          <w:color w:val="011A3C"/>
          <w:sz w:val="24"/>
          <w:szCs w:val="24"/>
          <w:lang w:val="en" w:eastAsia="en-AU"/>
        </w:rPr>
        <w:t xml:space="preserve"> are funded through Skills First.</w:t>
      </w:r>
    </w:p>
    <w:p w14:paraId="1DE2C14E"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School VET</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fees and charges</w:t>
      </w:r>
    </w:p>
    <w:p w14:paraId="1F1E8DED" w14:textId="129B0A0C"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VET programs are considered standard </w:t>
      </w:r>
      <w:r w:rsidR="00992D19" w:rsidRPr="004D307F">
        <w:rPr>
          <w:rFonts w:ascii="VIC-Regular" w:eastAsia="Times New Roman" w:hAnsi="VIC-Regular" w:cs="Times New Roman"/>
          <w:color w:val="011A3C"/>
          <w:sz w:val="24"/>
          <w:szCs w:val="24"/>
          <w:lang w:val="en" w:eastAsia="en-AU"/>
        </w:rPr>
        <w:t>curriculum;</w:t>
      </w:r>
      <w:r w:rsidRPr="004D307F">
        <w:rPr>
          <w:rFonts w:ascii="VIC-Regular" w:eastAsia="Times New Roman" w:hAnsi="VIC-Regular" w:cs="Times New Roman"/>
          <w:color w:val="011A3C"/>
          <w:sz w:val="24"/>
          <w:szCs w:val="24"/>
          <w:lang w:val="en" w:eastAsia="en-AU"/>
        </w:rPr>
        <w:t xml:space="preserve"> </w:t>
      </w:r>
      <w:proofErr w:type="gramStart"/>
      <w:r w:rsidRPr="004D307F">
        <w:rPr>
          <w:rFonts w:ascii="VIC-Regular" w:eastAsia="Times New Roman" w:hAnsi="VIC-Regular" w:cs="Times New Roman"/>
          <w:color w:val="011A3C"/>
          <w:sz w:val="24"/>
          <w:szCs w:val="24"/>
          <w:lang w:val="en" w:eastAsia="en-AU"/>
        </w:rPr>
        <w:t>therefore</w:t>
      </w:r>
      <w:proofErr w:type="gramEnd"/>
      <w:r w:rsidRPr="004D307F">
        <w:rPr>
          <w:rFonts w:ascii="VIC-Regular" w:eastAsia="Times New Roman" w:hAnsi="VIC-Regular" w:cs="Times New Roman"/>
          <w:color w:val="011A3C"/>
          <w:sz w:val="24"/>
          <w:szCs w:val="24"/>
          <w:lang w:val="en" w:eastAsia="en-AU"/>
        </w:rPr>
        <w:t xml:space="preserve"> government schools must provide VET tuition free of charge. </w:t>
      </w:r>
    </w:p>
    <w:p w14:paraId="72378699" w14:textId="4CDA2E9F" w:rsidR="00EA34C0" w:rsidRPr="004D307F" w:rsidRDefault="001D1CB6"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From the start of the 2022 school year government schools will be reimbursed for VET material fees to address the cost barrier for families. Government schools will no longer request payments from parents for essential learning materials for VET studies.</w:t>
      </w:r>
    </w:p>
    <w:p w14:paraId="5733A30D"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Use of targeted VET funding</w:t>
      </w:r>
    </w:p>
    <w:p w14:paraId="7DECF92C" w14:textId="618C3BB6" w:rsidR="008A6CE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Targeted VET funding allocated to support VET provision can be used for a range of purposes.</w:t>
      </w:r>
    </w:p>
    <w:p w14:paraId="58026215"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This may include: </w:t>
      </w:r>
    </w:p>
    <w:p w14:paraId="6E79B257"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contribution towards the purchase of delivery</w:t>
      </w:r>
    </w:p>
    <w:p w14:paraId="4DBBB754"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contribution towards teacher professional development and training</w:t>
      </w:r>
    </w:p>
    <w:p w14:paraId="3574F7F2"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costs associated with registering as an RTO</w:t>
      </w:r>
    </w:p>
    <w:p w14:paraId="6358BE00"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program planning</w:t>
      </w:r>
    </w:p>
    <w:p w14:paraId="5E7E03F4"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purchase of curriculum materials, and</w:t>
      </w:r>
    </w:p>
    <w:p w14:paraId="236A8E72" w14:textId="77777777" w:rsidR="00EA34C0" w:rsidRPr="004D307F" w:rsidRDefault="00EA34C0" w:rsidP="00ED0863">
      <w:pPr>
        <w:numPr>
          <w:ilvl w:val="0"/>
          <w:numId w:val="65"/>
        </w:num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costs associated with the transition to new training packages</w:t>
      </w:r>
    </w:p>
    <w:p w14:paraId="49E766FB"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Contractual arrangements between schools and VET providers</w:t>
      </w:r>
    </w:p>
    <w:p w14:paraId="4D669488"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t>
      </w:r>
      <w:proofErr w:type="gramStart"/>
      <w:r w:rsidRPr="004D307F">
        <w:rPr>
          <w:rFonts w:ascii="VIC-Regular" w:eastAsia="Times New Roman" w:hAnsi="VIC-Regular" w:cs="Times New Roman"/>
          <w:color w:val="011A3C"/>
          <w:sz w:val="24"/>
          <w:szCs w:val="24"/>
          <w:lang w:val="en" w:eastAsia="en-AU"/>
        </w:rPr>
        <w:t>entering into</w:t>
      </w:r>
      <w:proofErr w:type="gramEnd"/>
      <w:r w:rsidRPr="004D307F">
        <w:rPr>
          <w:rFonts w:ascii="VIC-Regular" w:eastAsia="Times New Roman" w:hAnsi="VIC-Regular" w:cs="Times New Roman"/>
          <w:color w:val="011A3C"/>
          <w:sz w:val="24"/>
          <w:szCs w:val="24"/>
          <w:lang w:val="en" w:eastAsia="en-AU"/>
        </w:rPr>
        <w:t xml:space="preserve"> arrangements with RTOs must use the appropriate Department template and have a valid, signed Contract or Agreement.</w:t>
      </w:r>
    </w:p>
    <w:p w14:paraId="735D0E14" w14:textId="5BDB8F41"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available standard contracts and agreements are: Standard VET purchasing contract, Standard VET </w:t>
      </w:r>
      <w:proofErr w:type="spellStart"/>
      <w:r w:rsidR="00B21CA6" w:rsidRPr="004D307F">
        <w:rPr>
          <w:rFonts w:ascii="VIC-Regular" w:eastAsia="Times New Roman" w:hAnsi="VIC-Regular" w:cs="Times New Roman"/>
          <w:color w:val="011A3C"/>
          <w:sz w:val="24"/>
          <w:szCs w:val="24"/>
          <w:lang w:val="en" w:eastAsia="en-AU"/>
        </w:rPr>
        <w:t>A</w:t>
      </w:r>
      <w:r w:rsidRPr="004D307F">
        <w:rPr>
          <w:rFonts w:ascii="VIC-Regular" w:eastAsia="Times New Roman" w:hAnsi="VIC-Regular" w:cs="Times New Roman"/>
          <w:color w:val="011A3C"/>
          <w:sz w:val="24"/>
          <w:szCs w:val="24"/>
          <w:lang w:val="en" w:eastAsia="en-AU"/>
        </w:rPr>
        <w:t>uspicing</w:t>
      </w:r>
      <w:proofErr w:type="spellEnd"/>
      <w:r w:rsidRPr="004D307F">
        <w:rPr>
          <w:rFonts w:ascii="VIC-Regular" w:eastAsia="Times New Roman" w:hAnsi="VIC-Regular" w:cs="Times New Roman"/>
          <w:color w:val="011A3C"/>
          <w:sz w:val="24"/>
          <w:szCs w:val="24"/>
          <w:lang w:val="en" w:eastAsia="en-AU"/>
        </w:rPr>
        <w:t xml:space="preserve"> contract, School to school VET purchasing agreement, and School to school VET access agreement.</w:t>
      </w:r>
    </w:p>
    <w:p w14:paraId="53F20BF3"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templates have been designed for the specific use of government schools purchasing services from RTOs and are not recommended for use by other parties. Use of the templates by other parties is subject to the Department’s copyright licensing arrangements (detailed at the base of the website’s landing page). </w:t>
      </w:r>
    </w:p>
    <w:p w14:paraId="07C15EB2"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For more information on guidelines for the delivery of VET to secondary school students and the template Contracts and Agreements refer to: </w:t>
      </w:r>
      <w:hyperlink r:id="rId143" w:history="1">
        <w:r w:rsidRPr="004D307F">
          <w:rPr>
            <w:rFonts w:ascii="VIC-Regular" w:eastAsia="Times New Roman" w:hAnsi="VIC-Regular" w:cs="Times New Roman"/>
            <w:color w:val="011A3C"/>
            <w:sz w:val="24"/>
            <w:szCs w:val="24"/>
            <w:lang w:val="en" w:eastAsia="en-AU"/>
          </w:rPr>
          <w:t>Purchasing Secondary Courses and Vocational Training from External Providers</w:t>
        </w:r>
      </w:hyperlink>
      <w:r w:rsidRPr="004D307F">
        <w:rPr>
          <w:rFonts w:ascii="VIC-Regular" w:eastAsia="Times New Roman" w:hAnsi="VIC-Regular" w:cs="Times New Roman"/>
          <w:color w:val="011A3C"/>
          <w:sz w:val="24"/>
          <w:szCs w:val="24"/>
          <w:lang w:val="en" w:eastAsia="en-AU"/>
        </w:rPr>
        <w:t>. </w:t>
      </w:r>
    </w:p>
    <w:p w14:paraId="205A77FB"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Timing of payments to schools</w:t>
      </w:r>
    </w:p>
    <w:p w14:paraId="49B99D31" w14:textId="072015E2" w:rsidR="00EA34C0" w:rsidRPr="004D307F" w:rsidRDefault="00EA34C0" w:rsidP="005A7E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Government schools are provided with targeted funding for every eligible VET certificate enrolment (including a new </w:t>
      </w:r>
      <w:proofErr w:type="gramStart"/>
      <w:r w:rsidRPr="004D307F">
        <w:rPr>
          <w:rFonts w:ascii="VIC-Regular" w:eastAsia="Times New Roman" w:hAnsi="VIC-Regular" w:cs="Times New Roman"/>
          <w:color w:val="011A3C"/>
          <w:sz w:val="24"/>
          <w:szCs w:val="24"/>
          <w:lang w:val="en" w:eastAsia="en-AU"/>
        </w:rPr>
        <w:t>line item</w:t>
      </w:r>
      <w:proofErr w:type="gramEnd"/>
      <w:r w:rsidRPr="004D307F">
        <w:rPr>
          <w:rFonts w:ascii="VIC-Regular" w:eastAsia="Times New Roman" w:hAnsi="VIC-Regular" w:cs="Times New Roman"/>
          <w:color w:val="011A3C"/>
          <w:sz w:val="24"/>
          <w:szCs w:val="24"/>
          <w:lang w:val="en" w:eastAsia="en-AU"/>
        </w:rPr>
        <w:t xml:space="preserve"> payment for TAFE Supplement if eligible) provided that they have entered the certificates, units and hours for each VET enrolment on VASS no later than annual VET funding deadline. Payments are made in the quarterly cash grant through the Student Resource Package, as per the schedule details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8"/>
        <w:gridCol w:w="3484"/>
        <w:gridCol w:w="4754"/>
      </w:tblGrid>
      <w:tr w:rsidR="00EA34C0" w:rsidRPr="004D307F" w14:paraId="0112C3FC" w14:textId="77777777" w:rsidTr="00D8139D">
        <w:trPr>
          <w:tblHeader/>
        </w:trPr>
        <w:tc>
          <w:tcPr>
            <w:tcW w:w="0" w:type="auto"/>
            <w:gridSpan w:val="3"/>
            <w:vAlign w:val="center"/>
            <w:hideMark/>
          </w:tcPr>
          <w:p w14:paraId="70D045CD" w14:textId="77777777" w:rsidR="00EA34C0" w:rsidRPr="004D307F" w:rsidRDefault="00EA34C0" w:rsidP="00EA34C0">
            <w:pPr>
              <w:spacing w:before="100" w:beforeAutospacing="1" w:after="100" w:afterAutospacing="1" w:line="288" w:lineRule="atLeast"/>
              <w:textAlignment w:val="top"/>
              <w:outlineLvl w:val="3"/>
              <w:rPr>
                <w:rFonts w:ascii="VIC-Bold" w:eastAsia="Times New Roman" w:hAnsi="VIC-Bold" w:cs="Times New Roman"/>
                <w:b/>
                <w:bCs/>
                <w:sz w:val="24"/>
                <w:szCs w:val="24"/>
                <w:lang w:eastAsia="en-AU"/>
              </w:rPr>
            </w:pPr>
            <w:r w:rsidRPr="004D307F">
              <w:rPr>
                <w:rFonts w:ascii="VIC-Bold" w:eastAsia="Times New Roman" w:hAnsi="VIC-Bold" w:cs="Times New Roman"/>
                <w:b/>
                <w:bCs/>
                <w:color w:val="323E4F" w:themeColor="text2" w:themeShade="BF"/>
                <w:sz w:val="24"/>
                <w:szCs w:val="24"/>
                <w:lang w:eastAsia="en-AU"/>
              </w:rPr>
              <w:lastRenderedPageBreak/>
              <w:t>Timing of payments to schools</w:t>
            </w:r>
          </w:p>
        </w:tc>
      </w:tr>
      <w:tr w:rsidR="00EA34C0" w:rsidRPr="004D307F" w14:paraId="6133BC4E" w14:textId="77777777" w:rsidTr="00D8139D">
        <w:trPr>
          <w:tblHeader/>
        </w:trPr>
        <w:tc>
          <w:tcPr>
            <w:tcW w:w="0" w:type="auto"/>
            <w:hideMark/>
          </w:tcPr>
          <w:p w14:paraId="47F54D6C" w14:textId="77777777" w:rsidR="00EA34C0" w:rsidRPr="004D307F"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Terms</w:t>
            </w:r>
          </w:p>
        </w:tc>
        <w:tc>
          <w:tcPr>
            <w:tcW w:w="0" w:type="auto"/>
            <w:hideMark/>
          </w:tcPr>
          <w:p w14:paraId="28A80EE4" w14:textId="77777777" w:rsidR="00EA34C0" w:rsidRPr="004D307F"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Allocation</w:t>
            </w:r>
          </w:p>
        </w:tc>
        <w:tc>
          <w:tcPr>
            <w:tcW w:w="0" w:type="auto"/>
            <w:hideMark/>
          </w:tcPr>
          <w:p w14:paraId="524FF9EC" w14:textId="77777777" w:rsidR="00EA34C0" w:rsidRPr="004D307F" w:rsidRDefault="00EA34C0" w:rsidP="00EA34C0">
            <w:pPr>
              <w:spacing w:after="0" w:line="240" w:lineRule="atLeast"/>
              <w:rPr>
                <w:rFonts w:ascii="VIC-Bold" w:eastAsia="Times New Roman" w:hAnsi="VIC-Bold" w:cs="Times New Roman"/>
                <w:color w:val="323E4F" w:themeColor="text2" w:themeShade="BF"/>
                <w:sz w:val="24"/>
                <w:szCs w:val="24"/>
                <w:lang w:eastAsia="en-AU"/>
              </w:rPr>
            </w:pPr>
            <w:r w:rsidRPr="004D307F">
              <w:rPr>
                <w:rFonts w:ascii="VIC-Bold" w:eastAsia="Times New Roman" w:hAnsi="VIC-Bold" w:cs="Times New Roman"/>
                <w:color w:val="323E4F" w:themeColor="text2" w:themeShade="BF"/>
                <w:sz w:val="24"/>
                <w:szCs w:val="24"/>
                <w:lang w:eastAsia="en-AU"/>
              </w:rPr>
              <w:t>Enrolment Basis</w:t>
            </w:r>
          </w:p>
        </w:tc>
      </w:tr>
      <w:tr w:rsidR="00EA34C0" w:rsidRPr="004D307F" w14:paraId="59C40333" w14:textId="77777777" w:rsidTr="00D8139D">
        <w:tc>
          <w:tcPr>
            <w:tcW w:w="0" w:type="auto"/>
            <w:hideMark/>
          </w:tcPr>
          <w:p w14:paraId="18CBF9EB"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1</w:t>
            </w:r>
          </w:p>
        </w:tc>
        <w:tc>
          <w:tcPr>
            <w:tcW w:w="0" w:type="auto"/>
            <w:hideMark/>
          </w:tcPr>
          <w:p w14:paraId="643F7054"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 of indicative funding</w:t>
            </w:r>
          </w:p>
        </w:tc>
        <w:tc>
          <w:tcPr>
            <w:tcW w:w="0" w:type="auto"/>
            <w:hideMark/>
          </w:tcPr>
          <w:p w14:paraId="70C53D0D" w14:textId="38A753CD"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w:t>
            </w:r>
            <w:r w:rsidR="006B4B01" w:rsidRPr="004D307F">
              <w:rPr>
                <w:rFonts w:ascii="VIC-Regular" w:eastAsia="Times New Roman" w:hAnsi="VIC-Regular" w:cs="Times New Roman"/>
                <w:color w:val="323E4F" w:themeColor="text2" w:themeShade="BF"/>
                <w:sz w:val="24"/>
                <w:szCs w:val="24"/>
                <w:lang w:eastAsia="en-AU"/>
              </w:rPr>
              <w:t>2</w:t>
            </w:r>
            <w:r w:rsidR="00B21CA6" w:rsidRPr="004D307F">
              <w:rPr>
                <w:rFonts w:ascii="VIC-Regular" w:eastAsia="Times New Roman" w:hAnsi="VIC-Regular" w:cs="Times New Roman"/>
                <w:color w:val="323E4F" w:themeColor="text2" w:themeShade="BF"/>
                <w:sz w:val="24"/>
                <w:szCs w:val="24"/>
                <w:lang w:eastAsia="en-AU"/>
              </w:rPr>
              <w:t>1</w:t>
            </w:r>
            <w:r w:rsidRPr="004D307F">
              <w:rPr>
                <w:rFonts w:ascii="VIC-Regular" w:eastAsia="Times New Roman" w:hAnsi="VIC-Regular" w:cs="Times New Roman"/>
                <w:color w:val="323E4F" w:themeColor="text2" w:themeShade="BF"/>
                <w:sz w:val="24"/>
                <w:szCs w:val="24"/>
                <w:lang w:eastAsia="en-AU"/>
              </w:rPr>
              <w:t xml:space="preserve">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Indicative Band Levels</w:t>
            </w:r>
          </w:p>
        </w:tc>
      </w:tr>
      <w:tr w:rsidR="00EA34C0" w:rsidRPr="004D307F" w14:paraId="74C2269E" w14:textId="77777777" w:rsidTr="00D8139D">
        <w:tc>
          <w:tcPr>
            <w:tcW w:w="0" w:type="auto"/>
            <w:hideMark/>
          </w:tcPr>
          <w:p w14:paraId="4FBB8F85"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w:t>
            </w:r>
          </w:p>
        </w:tc>
        <w:tc>
          <w:tcPr>
            <w:tcW w:w="0" w:type="auto"/>
            <w:hideMark/>
          </w:tcPr>
          <w:p w14:paraId="697DD2E8"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 of indicative funding</w:t>
            </w:r>
          </w:p>
        </w:tc>
        <w:tc>
          <w:tcPr>
            <w:tcW w:w="0" w:type="auto"/>
            <w:hideMark/>
          </w:tcPr>
          <w:p w14:paraId="1B10F636" w14:textId="60BBF531"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w:t>
            </w:r>
            <w:r w:rsidR="006B4B01" w:rsidRPr="004D307F">
              <w:rPr>
                <w:rFonts w:ascii="VIC-Regular" w:eastAsia="Times New Roman" w:hAnsi="VIC-Regular" w:cs="Times New Roman"/>
                <w:color w:val="323E4F" w:themeColor="text2" w:themeShade="BF"/>
                <w:sz w:val="24"/>
                <w:szCs w:val="24"/>
                <w:lang w:eastAsia="en-AU"/>
              </w:rPr>
              <w:t>2</w:t>
            </w:r>
            <w:r w:rsidR="00B21CA6" w:rsidRPr="004D307F">
              <w:rPr>
                <w:rFonts w:ascii="VIC-Regular" w:eastAsia="Times New Roman" w:hAnsi="VIC-Regular" w:cs="Times New Roman"/>
                <w:color w:val="323E4F" w:themeColor="text2" w:themeShade="BF"/>
                <w:sz w:val="24"/>
                <w:szCs w:val="24"/>
                <w:lang w:eastAsia="en-AU"/>
              </w:rPr>
              <w:t>1</w:t>
            </w:r>
            <w:r w:rsidRPr="004D307F">
              <w:rPr>
                <w:rFonts w:ascii="VIC-Regular" w:eastAsia="Times New Roman" w:hAnsi="VIC-Regular" w:cs="Times New Roman"/>
                <w:color w:val="323E4F" w:themeColor="text2" w:themeShade="BF"/>
                <w:sz w:val="24"/>
                <w:szCs w:val="24"/>
                <w:lang w:eastAsia="en-AU"/>
              </w:rPr>
              <w:t xml:space="preserve">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Indicative Band Levels</w:t>
            </w:r>
          </w:p>
        </w:tc>
      </w:tr>
      <w:tr w:rsidR="00EA34C0" w:rsidRPr="004D307F" w14:paraId="13EB2A02" w14:textId="77777777" w:rsidTr="00D8139D">
        <w:tc>
          <w:tcPr>
            <w:tcW w:w="0" w:type="auto"/>
            <w:hideMark/>
          </w:tcPr>
          <w:p w14:paraId="575073A8"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2/3</w:t>
            </w:r>
          </w:p>
        </w:tc>
        <w:tc>
          <w:tcPr>
            <w:tcW w:w="0" w:type="auto"/>
            <w:hideMark/>
          </w:tcPr>
          <w:p w14:paraId="4471E267" w14:textId="7D8E9540"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 xml:space="preserve">Term 1 and 2 </w:t>
            </w:r>
            <w:r w:rsidR="0042488F" w:rsidRPr="004D307F">
              <w:rPr>
                <w:rFonts w:ascii="VIC-Regular" w:eastAsia="Times New Roman" w:hAnsi="VIC-Regular" w:cs="Times New Roman"/>
                <w:color w:val="323E4F" w:themeColor="text2" w:themeShade="BF"/>
                <w:sz w:val="24"/>
                <w:szCs w:val="24"/>
                <w:lang w:eastAsia="en-AU"/>
              </w:rPr>
              <w:t>adjustments</w:t>
            </w:r>
            <w:r w:rsidRPr="004D307F">
              <w:rPr>
                <w:rFonts w:ascii="VIC-Regular" w:eastAsia="Times New Roman" w:hAnsi="VIC-Regular" w:cs="Times New Roman"/>
                <w:color w:val="323E4F" w:themeColor="text2" w:themeShade="BF"/>
                <w:sz w:val="24"/>
                <w:szCs w:val="24"/>
                <w:lang w:eastAsia="en-AU"/>
              </w:rPr>
              <w:t xml:space="preserve"> to school budgets</w:t>
            </w:r>
          </w:p>
        </w:tc>
        <w:tc>
          <w:tcPr>
            <w:tcW w:w="0" w:type="auto"/>
            <w:hideMark/>
          </w:tcPr>
          <w:p w14:paraId="6007523F" w14:textId="76070EC9"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Band Levels</w:t>
            </w:r>
          </w:p>
        </w:tc>
      </w:tr>
      <w:tr w:rsidR="00EA34C0" w:rsidRPr="004D307F" w14:paraId="3745FD58" w14:textId="77777777" w:rsidTr="00D8139D">
        <w:tc>
          <w:tcPr>
            <w:tcW w:w="0" w:type="auto"/>
            <w:hideMark/>
          </w:tcPr>
          <w:p w14:paraId="3FB75084"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3</w:t>
            </w:r>
          </w:p>
        </w:tc>
        <w:tc>
          <w:tcPr>
            <w:tcW w:w="0" w:type="auto"/>
            <w:hideMark/>
          </w:tcPr>
          <w:p w14:paraId="76989DDC"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 of confirmed funding</w:t>
            </w:r>
          </w:p>
        </w:tc>
        <w:tc>
          <w:tcPr>
            <w:tcW w:w="0" w:type="auto"/>
            <w:hideMark/>
          </w:tcPr>
          <w:p w14:paraId="57ECECD1" w14:textId="335EFBB3"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Band Levels</w:t>
            </w:r>
          </w:p>
        </w:tc>
      </w:tr>
      <w:tr w:rsidR="00EA34C0" w:rsidRPr="004D307F" w14:paraId="1018ABFD" w14:textId="77777777" w:rsidTr="00D8139D">
        <w:tc>
          <w:tcPr>
            <w:tcW w:w="0" w:type="auto"/>
            <w:hideMark/>
          </w:tcPr>
          <w:p w14:paraId="1314F6A2"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4</w:t>
            </w:r>
          </w:p>
        </w:tc>
        <w:tc>
          <w:tcPr>
            <w:tcW w:w="0" w:type="auto"/>
            <w:hideMark/>
          </w:tcPr>
          <w:p w14:paraId="26465A47" w14:textId="77777777"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25% of confirmed funding</w:t>
            </w:r>
          </w:p>
        </w:tc>
        <w:tc>
          <w:tcPr>
            <w:tcW w:w="0" w:type="auto"/>
            <w:hideMark/>
          </w:tcPr>
          <w:p w14:paraId="74021CD2" w14:textId="13A8E05A" w:rsidR="00EA34C0" w:rsidRPr="004D307F" w:rsidRDefault="00EA34C0" w:rsidP="00EA34C0">
            <w:pPr>
              <w:spacing w:after="0" w:line="360" w:lineRule="atLeast"/>
              <w:rPr>
                <w:rFonts w:ascii="VIC-Regular" w:eastAsia="Times New Roman" w:hAnsi="VIC-Regular" w:cs="Times New Roman"/>
                <w:color w:val="323E4F" w:themeColor="text2" w:themeShade="BF"/>
                <w:sz w:val="24"/>
                <w:szCs w:val="24"/>
                <w:lang w:eastAsia="en-AU"/>
              </w:rPr>
            </w:pPr>
            <w:r w:rsidRPr="004D307F">
              <w:rPr>
                <w:rFonts w:ascii="VIC-Regular" w:eastAsia="Times New Roman" w:hAnsi="VIC-Regular" w:cs="Times New Roman"/>
                <w:color w:val="323E4F" w:themeColor="text2" w:themeShade="BF"/>
                <w:sz w:val="24"/>
                <w:szCs w:val="24"/>
                <w:lang w:eastAsia="en-AU"/>
              </w:rPr>
              <w:t>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enrolments applying 202</w:t>
            </w:r>
            <w:r w:rsidR="00B21CA6" w:rsidRPr="004D307F">
              <w:rPr>
                <w:rFonts w:ascii="VIC-Regular" w:eastAsia="Times New Roman" w:hAnsi="VIC-Regular" w:cs="Times New Roman"/>
                <w:color w:val="323E4F" w:themeColor="text2" w:themeShade="BF"/>
                <w:sz w:val="24"/>
                <w:szCs w:val="24"/>
                <w:lang w:eastAsia="en-AU"/>
              </w:rPr>
              <w:t>2</w:t>
            </w:r>
            <w:r w:rsidRPr="004D307F">
              <w:rPr>
                <w:rFonts w:ascii="VIC-Regular" w:eastAsia="Times New Roman" w:hAnsi="VIC-Regular" w:cs="Times New Roman"/>
                <w:color w:val="323E4F" w:themeColor="text2" w:themeShade="BF"/>
                <w:sz w:val="24"/>
                <w:szCs w:val="24"/>
                <w:lang w:eastAsia="en-AU"/>
              </w:rPr>
              <w:t xml:space="preserve"> Confirmed Band Levels</w:t>
            </w:r>
          </w:p>
        </w:tc>
      </w:tr>
    </w:tbl>
    <w:p w14:paraId="1D8ABA97"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TAFE Supplement funds will be paid against a separate budget line in the Term 3 quarterly cash grants through the Student Resource Package once actual eligible VET enrolments are known.</w:t>
      </w:r>
    </w:p>
    <w:p w14:paraId="6E24F6BD"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Professional Development for newly appointed VASS users</w:t>
      </w:r>
    </w:p>
    <w:p w14:paraId="1B1AA03B"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In the early part of each year, the Victorian Curriculum and Assessment Authority (VCAA) conducts professional development training specifically designed for VASS administrators who are new to their position or who have never used VASS, and new schools offering a VCE, VET or VCAL program for the first time.</w:t>
      </w:r>
    </w:p>
    <w:p w14:paraId="6781BCBD"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Any queries related to VASS Operations should be directed to the VCAA’s VASS Support team:</w:t>
      </w:r>
    </w:p>
    <w:p w14:paraId="77329F89" w14:textId="77777777"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Phone: </w:t>
      </w:r>
      <w:hyperlink r:id="rId144" w:history="1">
        <w:r w:rsidRPr="004D307F">
          <w:rPr>
            <w:rFonts w:ascii="VIC-Regular" w:eastAsia="Times New Roman" w:hAnsi="VIC-Regular" w:cs="Times New Roman"/>
            <w:color w:val="011A3C"/>
            <w:sz w:val="24"/>
            <w:szCs w:val="24"/>
            <w:lang w:val="en" w:eastAsia="en-AU"/>
          </w:rPr>
          <w:t>03 9032 1758</w:t>
        </w:r>
      </w:hyperlink>
      <w:r w:rsidRPr="004D307F">
        <w:rPr>
          <w:rFonts w:ascii="VIC-Regular" w:eastAsia="Times New Roman" w:hAnsi="VIC-Regular" w:cs="Times New Roman"/>
          <w:color w:val="011A3C"/>
          <w:sz w:val="24"/>
          <w:szCs w:val="24"/>
          <w:lang w:val="en" w:eastAsia="en-AU"/>
        </w:rPr>
        <w:t xml:space="preserve"> or </w:t>
      </w:r>
      <w:hyperlink r:id="rId145" w:history="1">
        <w:r w:rsidRPr="004D307F">
          <w:rPr>
            <w:rFonts w:ascii="VIC-Regular" w:eastAsia="Times New Roman" w:hAnsi="VIC-Regular" w:cs="Times New Roman"/>
            <w:color w:val="011A3C"/>
            <w:sz w:val="24"/>
            <w:szCs w:val="24"/>
            <w:lang w:val="en" w:eastAsia="en-AU"/>
          </w:rPr>
          <w:t>1800 623 681</w:t>
        </w:r>
      </w:hyperlink>
    </w:p>
    <w:p w14:paraId="04392A7D" w14:textId="46E12D2D" w:rsidR="00EA34C0" w:rsidRPr="004D307F" w:rsidRDefault="00EA34C0"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Email: </w:t>
      </w:r>
      <w:hyperlink r:id="rId146" w:history="1">
        <w:r w:rsidR="00DD239B" w:rsidRPr="004D307F">
          <w:rPr>
            <w:rStyle w:val="Hyperlink"/>
            <w:rFonts w:ascii="VIC-Regular" w:eastAsia="Times New Roman" w:hAnsi="VIC-Regular" w:cs="Times New Roman"/>
            <w:sz w:val="24"/>
            <w:szCs w:val="24"/>
            <w:lang w:val="en" w:eastAsia="en-AU"/>
          </w:rPr>
          <w:t>vass.support@education.vic.gov.au</w:t>
        </w:r>
      </w:hyperlink>
    </w:p>
    <w:bookmarkEnd w:id="95"/>
    <w:p w14:paraId="201FAFB0" w14:textId="77777777" w:rsidR="00EA34C0" w:rsidRPr="004D307F" w:rsidRDefault="00EA34C0" w:rsidP="004D307F">
      <w:pPr>
        <w:spacing w:before="120" w:after="120" w:line="360" w:lineRule="atLeast"/>
      </w:pPr>
      <w:r w:rsidRPr="004D307F">
        <w:br w:type="page"/>
      </w:r>
    </w:p>
    <w:p w14:paraId="1C2AB6B6" w14:textId="7A3B26A4" w:rsidR="0034555D" w:rsidRPr="004D307F" w:rsidRDefault="007F66A6" w:rsidP="00B566E7">
      <w:pPr>
        <w:pStyle w:val="Heading2"/>
      </w:pPr>
      <w:bookmarkStart w:id="99" w:name="_Toc99882772"/>
      <w:r w:rsidRPr="004D307F">
        <w:lastRenderedPageBreak/>
        <w:t xml:space="preserve">Respectful </w:t>
      </w:r>
      <w:r w:rsidR="006A743D" w:rsidRPr="004D307F">
        <w:t>Relationships (</w:t>
      </w:r>
      <w:r w:rsidR="000E2D3A" w:rsidRPr="004D307F">
        <w:t xml:space="preserve">Reference </w:t>
      </w:r>
      <w:r w:rsidR="00934E2E" w:rsidRPr="004D307F">
        <w:t>86)</w:t>
      </w:r>
      <w:bookmarkEnd w:id="99"/>
    </w:p>
    <w:p w14:paraId="482B1F7D" w14:textId="7CEF90B6" w:rsidR="0034555D" w:rsidRPr="004D307F" w:rsidRDefault="00A35420"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47" w:history="1">
        <w:r w:rsidR="0034555D" w:rsidRPr="004D307F">
          <w:rPr>
            <w:rFonts w:ascii="VIC-Regular" w:eastAsia="Times New Roman" w:hAnsi="VIC-Regular" w:cs="Times New Roman"/>
            <w:color w:val="011A3C"/>
            <w:sz w:val="24"/>
            <w:szCs w:val="24"/>
            <w:lang w:val="en" w:eastAsia="en-AU"/>
          </w:rPr>
          <w:t>Respectful Relationships</w:t>
        </w:r>
      </w:hyperlink>
      <w:r w:rsidR="0034555D" w:rsidRPr="004D307F">
        <w:rPr>
          <w:rFonts w:ascii="VIC-Regular" w:eastAsia="Times New Roman" w:hAnsi="VIC-Regular" w:cs="Times New Roman"/>
          <w:color w:val="011A3C"/>
          <w:sz w:val="24"/>
          <w:szCs w:val="24"/>
          <w:lang w:val="en" w:eastAsia="en-AU"/>
        </w:rPr>
        <w:t xml:space="preserve"> is being rolled out across the state through a </w:t>
      </w:r>
      <w:hyperlink r:id="rId148" w:history="1">
        <w:r w:rsidR="00DD3790" w:rsidRPr="004D307F">
          <w:rPr>
            <w:rFonts w:ascii="VIC-Regular" w:eastAsia="Times New Roman" w:hAnsi="VIC-Regular" w:cs="Times New Roman"/>
            <w:color w:val="011A3C"/>
            <w:sz w:val="24"/>
            <w:szCs w:val="24"/>
            <w:lang w:val="en" w:eastAsia="en-AU"/>
          </w:rPr>
          <w:t>L</w:t>
        </w:r>
        <w:r w:rsidR="0034555D" w:rsidRPr="004D307F">
          <w:rPr>
            <w:rFonts w:ascii="VIC-Regular" w:eastAsia="Times New Roman" w:hAnsi="VIC-Regular" w:cs="Times New Roman"/>
            <w:color w:val="011A3C"/>
            <w:sz w:val="24"/>
            <w:szCs w:val="24"/>
            <w:lang w:val="en" w:eastAsia="en-AU"/>
          </w:rPr>
          <w:t xml:space="preserve">ead and </w:t>
        </w:r>
        <w:r w:rsidR="00DD3790" w:rsidRPr="004D307F">
          <w:rPr>
            <w:rFonts w:ascii="VIC-Regular" w:eastAsia="Times New Roman" w:hAnsi="VIC-Regular" w:cs="Times New Roman"/>
            <w:color w:val="011A3C"/>
            <w:sz w:val="24"/>
            <w:szCs w:val="24"/>
            <w:lang w:val="en" w:eastAsia="en-AU"/>
          </w:rPr>
          <w:t>P</w:t>
        </w:r>
        <w:r w:rsidR="0034555D" w:rsidRPr="004D307F">
          <w:rPr>
            <w:rFonts w:ascii="VIC-Regular" w:eastAsia="Times New Roman" w:hAnsi="VIC-Regular" w:cs="Times New Roman"/>
            <w:color w:val="011A3C"/>
            <w:sz w:val="24"/>
            <w:szCs w:val="24"/>
            <w:lang w:val="en" w:eastAsia="en-AU"/>
          </w:rPr>
          <w:t>artner school model</w:t>
        </w:r>
      </w:hyperlink>
      <w:r w:rsidR="0034555D" w:rsidRPr="004D307F">
        <w:rPr>
          <w:rFonts w:ascii="VIC-Regular" w:eastAsia="Times New Roman" w:hAnsi="VIC-Regular" w:cs="Times New Roman"/>
          <w:color w:val="011A3C"/>
          <w:sz w:val="24"/>
          <w:szCs w:val="24"/>
          <w:lang w:val="en" w:eastAsia="en-AU"/>
        </w:rPr>
        <w:t>.</w:t>
      </w:r>
      <w:r w:rsidR="00DB5CA6" w:rsidRPr="004D307F">
        <w:rPr>
          <w:rFonts w:ascii="VIC-Regular" w:eastAsia="Times New Roman" w:hAnsi="VIC-Regular" w:cs="Times New Roman"/>
          <w:color w:val="011A3C"/>
          <w:sz w:val="24"/>
          <w:szCs w:val="24"/>
          <w:lang w:val="en" w:eastAsia="en-AU"/>
        </w:rPr>
        <w:t xml:space="preserve"> </w:t>
      </w:r>
      <w:r w:rsidR="0034555D" w:rsidRPr="004D307F">
        <w:rPr>
          <w:rFonts w:ascii="VIC-Regular" w:eastAsia="Times New Roman" w:hAnsi="VIC-Regular" w:cs="Times New Roman"/>
          <w:color w:val="011A3C"/>
          <w:sz w:val="24"/>
          <w:szCs w:val="24"/>
          <w:lang w:val="en" w:eastAsia="en-AU"/>
        </w:rPr>
        <w:t xml:space="preserve">Funding for this initiative is allocated through the </w:t>
      </w:r>
      <w:r w:rsidR="00133037" w:rsidRPr="004D307F">
        <w:rPr>
          <w:rFonts w:ascii="VIC-Regular" w:eastAsia="Times New Roman" w:hAnsi="VIC-Regular" w:cs="Times New Roman"/>
          <w:color w:val="011A3C"/>
          <w:sz w:val="24"/>
          <w:szCs w:val="24"/>
          <w:lang w:val="en" w:eastAsia="en-AU"/>
        </w:rPr>
        <w:t>S</w:t>
      </w:r>
      <w:r w:rsidR="0034555D" w:rsidRPr="004D307F">
        <w:rPr>
          <w:rFonts w:ascii="VIC-Regular" w:eastAsia="Times New Roman" w:hAnsi="VIC-Regular" w:cs="Times New Roman"/>
          <w:color w:val="011A3C"/>
          <w:sz w:val="24"/>
          <w:szCs w:val="24"/>
          <w:lang w:val="en" w:eastAsia="en-AU"/>
        </w:rPr>
        <w:t xml:space="preserve">tudent </w:t>
      </w:r>
      <w:r w:rsidR="00133037" w:rsidRPr="004D307F">
        <w:rPr>
          <w:rFonts w:ascii="VIC-Regular" w:eastAsia="Times New Roman" w:hAnsi="VIC-Regular" w:cs="Times New Roman"/>
          <w:color w:val="011A3C"/>
          <w:sz w:val="24"/>
          <w:szCs w:val="24"/>
          <w:lang w:val="en" w:eastAsia="en-AU"/>
        </w:rPr>
        <w:t>R</w:t>
      </w:r>
      <w:r w:rsidR="0034555D" w:rsidRPr="004D307F">
        <w:rPr>
          <w:rFonts w:ascii="VIC-Regular" w:eastAsia="Times New Roman" w:hAnsi="VIC-Regular" w:cs="Times New Roman"/>
          <w:color w:val="011A3C"/>
          <w:sz w:val="24"/>
          <w:szCs w:val="24"/>
          <w:lang w:val="en" w:eastAsia="en-AU"/>
        </w:rPr>
        <w:t xml:space="preserve">esource </w:t>
      </w:r>
      <w:r w:rsidR="00133037" w:rsidRPr="004D307F">
        <w:rPr>
          <w:rFonts w:ascii="VIC-Regular" w:eastAsia="Times New Roman" w:hAnsi="VIC-Regular" w:cs="Times New Roman"/>
          <w:color w:val="011A3C"/>
          <w:sz w:val="24"/>
          <w:szCs w:val="24"/>
          <w:lang w:val="en" w:eastAsia="en-AU"/>
        </w:rPr>
        <w:t>P</w:t>
      </w:r>
      <w:r w:rsidR="0034555D" w:rsidRPr="004D307F">
        <w:rPr>
          <w:rFonts w:ascii="VIC-Regular" w:eastAsia="Times New Roman" w:hAnsi="VIC-Regular" w:cs="Times New Roman"/>
          <w:color w:val="011A3C"/>
          <w:sz w:val="24"/>
          <w:szCs w:val="24"/>
          <w:lang w:val="en" w:eastAsia="en-AU"/>
        </w:rPr>
        <w:t>ackage (SRP)</w:t>
      </w:r>
      <w:r w:rsidR="00133037" w:rsidRPr="004D307F">
        <w:rPr>
          <w:rFonts w:ascii="VIC-Regular" w:eastAsia="Times New Roman" w:hAnsi="VIC-Regular" w:cs="Times New Roman"/>
          <w:color w:val="011A3C"/>
          <w:sz w:val="24"/>
          <w:szCs w:val="24"/>
          <w:lang w:val="en" w:eastAsia="en-AU"/>
        </w:rPr>
        <w:t>.</w:t>
      </w:r>
    </w:p>
    <w:p w14:paraId="3963E4B0"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are encouraged to use the CASES 21 sub-program code for their RR transactions.</w:t>
      </w:r>
    </w:p>
    <w:p w14:paraId="48490B74"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Lead schools CASES21 Respectful Relationships sub-program code is 5215.</w:t>
      </w:r>
    </w:p>
    <w:p w14:paraId="354940FA"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Partner schools CASES21 Respectful Relationships sub-program code is 5216.</w:t>
      </w:r>
    </w:p>
    <w:p w14:paraId="564E7682" w14:textId="77777777" w:rsidR="0034555D" w:rsidRPr="004D307F" w:rsidRDefault="0034555D" w:rsidP="0034555D">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4D307F">
        <w:rPr>
          <w:rFonts w:ascii="VIC-Regular" w:eastAsia="Times New Roman" w:hAnsi="VIC-Regular" w:cs="Times New Roman"/>
          <w:b/>
          <w:bCs/>
          <w:color w:val="011A3C"/>
          <w:sz w:val="26"/>
          <w:szCs w:val="28"/>
          <w:lang w:val="en" w:eastAsia="en-AU"/>
        </w:rPr>
        <w:t>Eligibility</w:t>
      </w:r>
    </w:p>
    <w:p w14:paraId="1B254234" w14:textId="0D8F889C" w:rsidR="0034555D" w:rsidRPr="004D307F"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school types are eligible for Respectful Relationships funding at school level</w:t>
      </w:r>
      <w:r w:rsidR="00DD3790" w:rsidRPr="004D307F">
        <w:rPr>
          <w:rFonts w:ascii="VIC-Regular" w:eastAsia="Times New Roman" w:hAnsi="VIC-Regular" w:cs="Times New Roman"/>
          <w:color w:val="011A3C"/>
          <w:sz w:val="24"/>
          <w:szCs w:val="24"/>
          <w:lang w:val="en" w:eastAsia="en-AU"/>
        </w:rPr>
        <w:t>:</w:t>
      </w:r>
    </w:p>
    <w:p w14:paraId="7F698AB8"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w:t>
      </w:r>
    </w:p>
    <w:p w14:paraId="0EFBC024"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Secondary</w:t>
      </w:r>
    </w:p>
    <w:p w14:paraId="4951C5FE" w14:textId="2B0EACD5" w:rsidR="00413518"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Primary/Secondary Combined</w:t>
      </w:r>
    </w:p>
    <w:p w14:paraId="6B06CBF7" w14:textId="78024B0B"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Special</w:t>
      </w:r>
      <w:r w:rsidR="001C2D5B" w:rsidRPr="004D307F">
        <w:rPr>
          <w:rFonts w:ascii="VIC-Regular" w:eastAsia="Times New Roman" w:hAnsi="VIC-Regular" w:cs="Times New Roman"/>
          <w:color w:val="011A3C"/>
          <w:lang w:val="en" w:eastAsia="en-AU"/>
        </w:rPr>
        <w:t>ist</w:t>
      </w:r>
    </w:p>
    <w:p w14:paraId="7ECBA6FB" w14:textId="77777777" w:rsidR="0034555D" w:rsidRPr="004D307F" w:rsidRDefault="0034555D" w:rsidP="00ED0863">
      <w:pPr>
        <w:numPr>
          <w:ilvl w:val="0"/>
          <w:numId w:val="68"/>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Language</w:t>
      </w:r>
    </w:p>
    <w:p w14:paraId="65D1ECE2" w14:textId="56789120" w:rsidR="0034555D" w:rsidRPr="004D307F" w:rsidRDefault="0034555D" w:rsidP="0034555D">
      <w:pPr>
        <w:spacing w:before="100" w:beforeAutospacing="1" w:after="100" w:afterAutospacing="1" w:line="360" w:lineRule="atLeast"/>
        <w:ind w:left="36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may be calculated at the Indicative, Confirmed and Revised </w:t>
      </w:r>
      <w:proofErr w:type="gramStart"/>
      <w:r w:rsidRPr="004D307F">
        <w:rPr>
          <w:rFonts w:ascii="VIC-Regular" w:eastAsia="Times New Roman" w:hAnsi="VIC-Regular" w:cs="Times New Roman"/>
          <w:color w:val="011A3C"/>
          <w:sz w:val="24"/>
          <w:szCs w:val="24"/>
          <w:lang w:val="en" w:eastAsia="en-AU"/>
        </w:rPr>
        <w:t>cycles,</w:t>
      </w:r>
      <w:proofErr w:type="gramEnd"/>
      <w:r w:rsidRPr="004D307F">
        <w:rPr>
          <w:rFonts w:ascii="VIC-Regular" w:eastAsia="Times New Roman" w:hAnsi="VIC-Regular" w:cs="Times New Roman"/>
          <w:color w:val="011A3C"/>
          <w:sz w:val="24"/>
          <w:szCs w:val="24"/>
          <w:lang w:val="en" w:eastAsia="en-AU"/>
        </w:rPr>
        <w:t xml:space="preserve"> funding is allocated through cash funding.</w:t>
      </w:r>
    </w:p>
    <w:p w14:paraId="41798420" w14:textId="77777777" w:rsidR="0034555D" w:rsidRPr="004D307F"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6DCE9A49" w14:textId="1A50830B" w:rsidR="0034555D" w:rsidRPr="004D307F" w:rsidRDefault="0034555D"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funding allocation for </w:t>
      </w:r>
      <w:r w:rsidR="00DD3790" w:rsidRPr="004D307F">
        <w:rPr>
          <w:rFonts w:ascii="VIC-Regular" w:eastAsia="Times New Roman" w:hAnsi="VIC-Regular" w:cs="Times New Roman"/>
          <w:color w:val="011A3C"/>
          <w:sz w:val="24"/>
          <w:szCs w:val="24"/>
          <w:lang w:val="en" w:eastAsia="en-AU"/>
        </w:rPr>
        <w:t>2022 is $10,000 for Lead schools.</w:t>
      </w:r>
    </w:p>
    <w:p w14:paraId="187A8507" w14:textId="77777777" w:rsidR="0034555D" w:rsidRPr="004D307F"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Additional funding for current lead schools</w:t>
      </w:r>
    </w:p>
    <w:p w14:paraId="2F4E24CD" w14:textId="602B0790" w:rsidR="0034555D" w:rsidRPr="004D307F" w:rsidRDefault="00DD3790" w:rsidP="0034555D">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Tranche 3 Lead</w:t>
      </w:r>
      <w:r w:rsidR="0034555D" w:rsidRPr="004D307F">
        <w:rPr>
          <w:rFonts w:ascii="VIC-Regular" w:eastAsia="Times New Roman" w:hAnsi="VIC-Regular" w:cs="Times New Roman"/>
          <w:color w:val="011A3C"/>
          <w:sz w:val="24"/>
          <w:szCs w:val="24"/>
          <w:lang w:val="en" w:eastAsia="en-AU"/>
        </w:rPr>
        <w:t xml:space="preserve"> schools will each receive $10,000 in </w:t>
      </w:r>
      <w:r w:rsidRPr="004D307F">
        <w:rPr>
          <w:rFonts w:ascii="VIC-Regular" w:eastAsia="Times New Roman" w:hAnsi="VIC-Regular" w:cs="Times New Roman"/>
          <w:color w:val="011A3C"/>
          <w:sz w:val="24"/>
          <w:szCs w:val="24"/>
          <w:lang w:val="en" w:eastAsia="en-AU"/>
        </w:rPr>
        <w:t xml:space="preserve">2022 </w:t>
      </w:r>
      <w:r w:rsidR="0034555D" w:rsidRPr="004D307F">
        <w:rPr>
          <w:rFonts w:ascii="VIC-Regular" w:eastAsia="Times New Roman" w:hAnsi="VIC-Regular" w:cs="Times New Roman"/>
          <w:color w:val="011A3C"/>
          <w:sz w:val="24"/>
          <w:szCs w:val="24"/>
          <w:lang w:val="en" w:eastAsia="en-AU"/>
        </w:rPr>
        <w:t>to:</w:t>
      </w:r>
    </w:p>
    <w:p w14:paraId="63E69C58" w14:textId="77777777" w:rsidR="0034555D" w:rsidRPr="004D307F" w:rsidRDefault="0034555D"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support the implementation of the whole school approach to Respectful Relationships</w:t>
      </w:r>
    </w:p>
    <w:p w14:paraId="2108CDF0" w14:textId="77777777" w:rsidR="0034555D" w:rsidRPr="004D307F" w:rsidRDefault="0034555D"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support you to mentor and facilitate your partner school cluster</w:t>
      </w:r>
    </w:p>
    <w:p w14:paraId="69D12E3A" w14:textId="3B0C2ED4" w:rsidR="0034555D" w:rsidRPr="004D307F" w:rsidRDefault="0034555D"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participate in Respectful Relationships professional learning</w:t>
      </w:r>
    </w:p>
    <w:p w14:paraId="2DA51B8F" w14:textId="77777777" w:rsidR="009A70F7" w:rsidRPr="004D307F" w:rsidRDefault="009A70F7" w:rsidP="009A70F7">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for partner schools</w:t>
      </w:r>
    </w:p>
    <w:p w14:paraId="321F051B" w14:textId="674831C5" w:rsidR="009A70F7" w:rsidRPr="004D307F" w:rsidRDefault="009A70F7"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New schools opening in 2022 will receive $4,000 to:</w:t>
      </w:r>
    </w:p>
    <w:p w14:paraId="6B13B393" w14:textId="77777777" w:rsidR="009A70F7" w:rsidRPr="004D307F" w:rsidRDefault="009A70F7"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support the implementation of the whole school approach to Respectful Relationships as a Partner School</w:t>
      </w:r>
    </w:p>
    <w:p w14:paraId="6DDCF547" w14:textId="77777777" w:rsidR="009A70F7" w:rsidRPr="004D307F" w:rsidRDefault="009A70F7"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participate in your local lead and partner school cluster</w:t>
      </w:r>
    </w:p>
    <w:p w14:paraId="5D6D4B43" w14:textId="7095F418" w:rsidR="009A70F7" w:rsidRPr="004D307F" w:rsidRDefault="009A70F7" w:rsidP="00ED0863">
      <w:pPr>
        <w:numPr>
          <w:ilvl w:val="0"/>
          <w:numId w:val="69"/>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participate in Respectful Relationships professional learning</w:t>
      </w:r>
    </w:p>
    <w:p w14:paraId="2642C364" w14:textId="77777777" w:rsidR="0034555D" w:rsidRPr="004D307F" w:rsidRDefault="0034555D" w:rsidP="0034555D">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More</w:t>
      </w:r>
      <w:r w:rsidRPr="004D307F">
        <w:rPr>
          <w:rFonts w:ascii="VIC-Bold" w:eastAsia="Times New Roman" w:hAnsi="VIC-Bold" w:cs="Times New Roman" w:hint="eastAsia"/>
          <w:b/>
          <w:bCs/>
          <w:color w:val="011A3C"/>
          <w:sz w:val="27"/>
          <w:szCs w:val="27"/>
          <w:lang w:val="en" w:eastAsia="en-AU"/>
        </w:rPr>
        <w:t> </w:t>
      </w:r>
      <w:r w:rsidRPr="004D307F">
        <w:rPr>
          <w:rFonts w:ascii="VIC-Bold" w:eastAsia="Times New Roman" w:hAnsi="VIC-Bold" w:cs="Times New Roman"/>
          <w:b/>
          <w:bCs/>
          <w:color w:val="011A3C"/>
          <w:sz w:val="27"/>
          <w:szCs w:val="27"/>
          <w:lang w:val="en" w:eastAsia="en-AU"/>
        </w:rPr>
        <w:t>information</w:t>
      </w:r>
    </w:p>
    <w:p w14:paraId="6A4E889A" w14:textId="77777777" w:rsidR="0034555D" w:rsidRPr="004D307F" w:rsidRDefault="00A35420" w:rsidP="00ED0863">
      <w:pPr>
        <w:numPr>
          <w:ilvl w:val="0"/>
          <w:numId w:val="70"/>
        </w:num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49" w:history="1">
        <w:r w:rsidR="0034555D" w:rsidRPr="004D307F">
          <w:rPr>
            <w:rFonts w:ascii="VIC-Regular" w:eastAsia="Times New Roman" w:hAnsi="VIC-Regular" w:cs="Times New Roman"/>
            <w:color w:val="011A3C"/>
            <w:sz w:val="24"/>
            <w:szCs w:val="24"/>
            <w:lang w:val="en" w:eastAsia="en-AU"/>
          </w:rPr>
          <w:t>Respectful Relationships</w:t>
        </w:r>
      </w:hyperlink>
    </w:p>
    <w:p w14:paraId="1CA1F67B" w14:textId="77777777" w:rsidR="00CF603A" w:rsidRPr="004D307F" w:rsidRDefault="0034555D" w:rsidP="00ED0863">
      <w:pPr>
        <w:numPr>
          <w:ilvl w:val="0"/>
          <w:numId w:val="70"/>
        </w:numPr>
        <w:spacing w:before="100" w:beforeAutospacing="1" w:after="100" w:afterAutospacing="1" w:line="360" w:lineRule="atLeast"/>
        <w:rPr>
          <w:rStyle w:val="Hyperlink"/>
          <w:color w:val="auto"/>
          <w:u w:val="none"/>
        </w:rPr>
      </w:pPr>
      <w:r w:rsidRPr="004D307F">
        <w:rPr>
          <w:rFonts w:ascii="VIC-Regular" w:eastAsia="Times New Roman" w:hAnsi="VIC-Regular" w:cs="Times New Roman"/>
          <w:color w:val="011A3C"/>
          <w:sz w:val="24"/>
          <w:szCs w:val="24"/>
          <w:lang w:val="en" w:eastAsia="en-AU"/>
        </w:rPr>
        <w:t xml:space="preserve">Email: </w:t>
      </w:r>
      <w:hyperlink r:id="rId150" w:history="1">
        <w:r w:rsidR="00DD239B" w:rsidRPr="004D307F">
          <w:rPr>
            <w:rStyle w:val="Hyperlink"/>
            <w:rFonts w:ascii="VIC-Regular" w:eastAsia="Times New Roman" w:hAnsi="VIC-Regular" w:cs="Times New Roman"/>
            <w:sz w:val="24"/>
            <w:szCs w:val="24"/>
            <w:lang w:val="en" w:eastAsia="en-AU"/>
          </w:rPr>
          <w:t>respectful.relationships@education.vic.gov.au</w:t>
        </w:r>
      </w:hyperlink>
    </w:p>
    <w:p w14:paraId="0E64F4DC" w14:textId="77777777" w:rsidR="00CF603A" w:rsidRPr="004D307F" w:rsidRDefault="00CF603A" w:rsidP="00CF603A">
      <w:pPr>
        <w:spacing w:before="100" w:beforeAutospacing="1" w:after="100" w:afterAutospacing="1" w:line="360" w:lineRule="atLeast"/>
      </w:pPr>
    </w:p>
    <w:p w14:paraId="3BF9E552" w14:textId="77777777" w:rsidR="00CF603A" w:rsidRPr="004D307F" w:rsidRDefault="00CF603A" w:rsidP="00CF603A">
      <w:pPr>
        <w:spacing w:before="100" w:beforeAutospacing="1" w:after="100" w:afterAutospacing="1" w:line="360" w:lineRule="atLeast"/>
      </w:pPr>
    </w:p>
    <w:p w14:paraId="4BA50778" w14:textId="754A3C58" w:rsidR="007F66A6" w:rsidRPr="004D307F" w:rsidRDefault="007F66A6" w:rsidP="004D307F">
      <w:pPr>
        <w:spacing w:before="100" w:beforeAutospacing="1" w:after="100" w:afterAutospacing="1" w:line="360" w:lineRule="atLeast"/>
      </w:pPr>
      <w:r w:rsidRPr="004D307F">
        <w:br w:type="page"/>
      </w:r>
    </w:p>
    <w:p w14:paraId="114676F8" w14:textId="512216E3" w:rsidR="00FC29EB" w:rsidRPr="004D307F" w:rsidRDefault="00FC29EB" w:rsidP="004D307F">
      <w:pPr>
        <w:pStyle w:val="Heading2"/>
      </w:pPr>
      <w:bookmarkStart w:id="100" w:name="_Toc99882773"/>
      <w:r w:rsidRPr="004D307F">
        <w:lastRenderedPageBreak/>
        <w:t xml:space="preserve">Extended </w:t>
      </w:r>
      <w:proofErr w:type="spellStart"/>
      <w:r w:rsidRPr="004D307F">
        <w:t>Koorie</w:t>
      </w:r>
      <w:proofErr w:type="spellEnd"/>
      <w:r w:rsidRPr="004D307F">
        <w:t xml:space="preserve"> Literacy and Numeracy Program (Reference 88)</w:t>
      </w:r>
      <w:bookmarkEnd w:id="100"/>
    </w:p>
    <w:p w14:paraId="574EC3BC" w14:textId="77777777" w:rsidR="00FC29EB" w:rsidRPr="004D307F" w:rsidRDefault="00FC29EB" w:rsidP="00FC29EB">
      <w:pPr>
        <w:spacing w:before="100" w:beforeAutospacing="1" w:after="100" w:afterAutospacing="1" w:line="360" w:lineRule="atLeast"/>
        <w:rPr>
          <w:rFonts w:ascii="VIC" w:eastAsia="Times New Roman" w:hAnsi="VIC" w:cstheme="minorHAnsi"/>
          <w:color w:val="011A3C"/>
          <w:lang w:val="en" w:eastAsia="en-AU"/>
        </w:rPr>
      </w:pPr>
      <w:r w:rsidRPr="004D307F">
        <w:rPr>
          <w:rFonts w:ascii="VIC" w:hAnsi="VIC" w:cstheme="minorHAnsi"/>
          <w:color w:val="011A3C"/>
          <w:lang w:val="en"/>
        </w:rPr>
        <w:t xml:space="preserve">The Extended </w:t>
      </w:r>
      <w:proofErr w:type="spellStart"/>
      <w:r w:rsidRPr="004D307F">
        <w:rPr>
          <w:rFonts w:ascii="VIC" w:hAnsi="VIC" w:cstheme="minorHAnsi"/>
          <w:color w:val="011A3C"/>
          <w:lang w:val="en"/>
        </w:rPr>
        <w:t>Koorie</w:t>
      </w:r>
      <w:proofErr w:type="spellEnd"/>
      <w:r w:rsidRPr="004D307F">
        <w:rPr>
          <w:rFonts w:ascii="VIC" w:hAnsi="VIC" w:cstheme="minorHAnsi"/>
          <w:color w:val="011A3C"/>
          <w:lang w:val="en"/>
        </w:rPr>
        <w:t xml:space="preserve"> Literacy and Numeracy Program (E-KLNP) supports improved literacy/numeracy outcomes for </w:t>
      </w:r>
      <w:proofErr w:type="spellStart"/>
      <w:r w:rsidRPr="004D307F">
        <w:rPr>
          <w:rFonts w:ascii="VIC" w:hAnsi="VIC" w:cstheme="minorHAnsi"/>
          <w:color w:val="011A3C"/>
          <w:lang w:val="en"/>
        </w:rPr>
        <w:t>Koorie</w:t>
      </w:r>
      <w:proofErr w:type="spellEnd"/>
      <w:r w:rsidRPr="004D307F">
        <w:rPr>
          <w:rFonts w:ascii="VIC" w:hAnsi="VIC" w:cstheme="minorHAnsi"/>
          <w:color w:val="011A3C"/>
          <w:lang w:val="en"/>
        </w:rPr>
        <w:t xml:space="preserve"> students in Victorian Government schools. The program provides funding for </w:t>
      </w:r>
      <w:proofErr w:type="spellStart"/>
      <w:r w:rsidRPr="004D307F">
        <w:rPr>
          <w:rFonts w:ascii="VIC" w:hAnsi="VIC" w:cstheme="minorHAnsi"/>
          <w:color w:val="011A3C"/>
          <w:lang w:val="en"/>
        </w:rPr>
        <w:t>Koorie</w:t>
      </w:r>
      <w:proofErr w:type="spellEnd"/>
      <w:r w:rsidRPr="004D307F">
        <w:rPr>
          <w:rFonts w:ascii="VIC" w:hAnsi="VIC" w:cstheme="minorHAnsi"/>
          <w:color w:val="011A3C"/>
          <w:lang w:val="en"/>
        </w:rPr>
        <w:t xml:space="preserve"> students in Years 4 to 6 who are below National Minimum Standards in NAPLAN in the domains of Reading and Numeracy. Schools use E-KLNP funding to provide additional targeted assistance in literacy/numeracy to eligible students.</w:t>
      </w:r>
      <w:r w:rsidRPr="004D307F">
        <w:rPr>
          <w:rFonts w:ascii="Calibri" w:hAnsi="Calibri" w:cs="Calibri"/>
          <w:color w:val="011A3C"/>
          <w:lang w:val="en"/>
        </w:rPr>
        <w:t> </w:t>
      </w:r>
      <w:r w:rsidRPr="004D307F">
        <w:rPr>
          <w:rFonts w:ascii="VIC" w:hAnsi="VIC" w:cstheme="minorHAnsi"/>
          <w:color w:val="011A3C"/>
          <w:lang w:val="en"/>
        </w:rPr>
        <w:t xml:space="preserve"> </w:t>
      </w:r>
      <w:r w:rsidRPr="004D307F">
        <w:rPr>
          <w:rFonts w:ascii="VIC" w:eastAsia="Times New Roman" w:hAnsi="VIC" w:cstheme="minorHAnsi"/>
          <w:color w:val="011A3C"/>
          <w:lang w:val="en" w:eastAsia="en-AU"/>
        </w:rPr>
        <w:t xml:space="preserve">Funding to schools is determined using student assessment data collected centrally during Term 1. Schools are informed of the program via the School Update and can check their funding via the </w:t>
      </w:r>
      <w:hyperlink r:id="rId151" w:history="1">
        <w:r w:rsidRPr="004D307F">
          <w:rPr>
            <w:rFonts w:ascii="VIC" w:eastAsia="Times New Roman" w:hAnsi="VIC" w:cstheme="minorHAnsi"/>
            <w:color w:val="0563C1" w:themeColor="hyperlink"/>
            <w:u w:val="single"/>
            <w:lang w:val="en" w:eastAsia="en-AU"/>
          </w:rPr>
          <w:t>School Performance Reports</w:t>
        </w:r>
      </w:hyperlink>
      <w:r w:rsidRPr="004D307F">
        <w:rPr>
          <w:rFonts w:ascii="VIC" w:eastAsia="Times New Roman" w:hAnsi="VIC" w:cstheme="minorHAnsi"/>
          <w:color w:val="011A3C"/>
          <w:lang w:val="en" w:eastAsia="en-AU"/>
        </w:rPr>
        <w:t xml:space="preserve"> website. </w:t>
      </w:r>
    </w:p>
    <w:p w14:paraId="03B7F39E" w14:textId="77777777" w:rsidR="00FC29EB" w:rsidRPr="004D307F" w:rsidRDefault="00FC29EB" w:rsidP="00FC29EB">
      <w:pPr>
        <w:spacing w:before="100" w:beforeAutospacing="1" w:after="100" w:afterAutospacing="1" w:line="360" w:lineRule="atLeast"/>
        <w:rPr>
          <w:rFonts w:ascii="VIC" w:eastAsia="Times New Roman" w:hAnsi="VIC" w:cstheme="minorHAnsi"/>
          <w:b/>
          <w:bCs/>
          <w:color w:val="011A3C"/>
          <w:sz w:val="24"/>
          <w:szCs w:val="24"/>
          <w:lang w:val="en" w:eastAsia="en-AU"/>
        </w:rPr>
      </w:pPr>
      <w:r w:rsidRPr="004D307F">
        <w:rPr>
          <w:rFonts w:ascii="VIC" w:eastAsia="Times New Roman" w:hAnsi="VIC" w:cstheme="minorHAnsi"/>
          <w:b/>
          <w:bCs/>
          <w:color w:val="011A3C"/>
          <w:sz w:val="24"/>
          <w:szCs w:val="24"/>
          <w:lang w:val="en" w:eastAsia="en-AU"/>
        </w:rPr>
        <w:t>Accountability</w:t>
      </w:r>
    </w:p>
    <w:p w14:paraId="4309B297" w14:textId="77777777" w:rsidR="00FC29EB" w:rsidRPr="004D307F" w:rsidRDefault="00FC29EB" w:rsidP="00FC29EB">
      <w:pPr>
        <w:spacing w:before="100" w:beforeAutospacing="1" w:after="100" w:afterAutospacing="1" w:line="360" w:lineRule="atLeast"/>
        <w:rPr>
          <w:rFonts w:ascii="VIC" w:eastAsia="Times New Roman" w:hAnsi="VIC" w:cstheme="minorHAnsi"/>
          <w:color w:val="011A3C"/>
          <w:lang w:val="en" w:eastAsia="en-AU"/>
        </w:rPr>
      </w:pPr>
      <w:r w:rsidRPr="004D307F">
        <w:rPr>
          <w:rFonts w:ascii="VIC" w:eastAsia="Times New Roman" w:hAnsi="VIC" w:cstheme="minorHAnsi"/>
          <w:color w:val="011A3C"/>
          <w:lang w:val="en" w:eastAsia="en-AU"/>
        </w:rPr>
        <w:t xml:space="preserve">Funded schools are expected to commit to a program of targeted support for eligible students and provide feedback to DET at the end of the year. Schools should retain appropriate financial records and acquit revenue and expenditure in CASES21 as advised in the Program Guidelines available at </w:t>
      </w:r>
      <w:hyperlink r:id="rId152" w:history="1">
        <w:r w:rsidRPr="004D307F">
          <w:rPr>
            <w:rFonts w:ascii="VIC" w:eastAsia="Times New Roman" w:hAnsi="VIC" w:cstheme="minorHAnsi"/>
            <w:color w:val="0563C1" w:themeColor="hyperlink"/>
            <w:u w:val="single"/>
            <w:lang w:eastAsia="en-AU"/>
          </w:rPr>
          <w:t>KLNP Implementation</w:t>
        </w:r>
      </w:hyperlink>
      <w:r w:rsidRPr="004D307F">
        <w:rPr>
          <w:rFonts w:ascii="VIC" w:eastAsia="Times New Roman" w:hAnsi="VIC" w:cstheme="minorHAnsi"/>
          <w:lang w:eastAsia="en-AU"/>
        </w:rPr>
        <w:t>.</w:t>
      </w:r>
    </w:p>
    <w:p w14:paraId="66151B8D" w14:textId="77777777" w:rsidR="00FC29EB" w:rsidRPr="004D307F" w:rsidRDefault="00FC29EB" w:rsidP="00FC29EB">
      <w:pPr>
        <w:spacing w:before="100" w:beforeAutospacing="1" w:after="100" w:afterAutospacing="1" w:line="288" w:lineRule="atLeast"/>
        <w:outlineLvl w:val="2"/>
        <w:rPr>
          <w:rFonts w:ascii="VIC" w:eastAsia="Times New Roman" w:hAnsi="VIC" w:cstheme="minorHAnsi"/>
          <w:b/>
          <w:bCs/>
          <w:color w:val="011A3C"/>
          <w:sz w:val="24"/>
          <w:szCs w:val="24"/>
          <w:lang w:val="en" w:eastAsia="en-AU"/>
        </w:rPr>
      </w:pPr>
      <w:r w:rsidRPr="004D307F">
        <w:rPr>
          <w:rFonts w:ascii="VIC" w:eastAsia="Times New Roman" w:hAnsi="VIC" w:cstheme="minorHAnsi"/>
          <w:b/>
          <w:bCs/>
          <w:color w:val="011A3C"/>
          <w:sz w:val="24"/>
          <w:szCs w:val="24"/>
          <w:lang w:val="en" w:eastAsia="en-AU"/>
        </w:rPr>
        <w:t>Eligibility</w:t>
      </w:r>
    </w:p>
    <w:p w14:paraId="52CEE21D" w14:textId="77777777" w:rsidR="00FC29EB" w:rsidRPr="004D307F" w:rsidRDefault="00FC29EB" w:rsidP="00FC29EB">
      <w:pPr>
        <w:spacing w:before="100" w:beforeAutospacing="1" w:after="100" w:afterAutospacing="1" w:line="360" w:lineRule="atLeast"/>
        <w:rPr>
          <w:rFonts w:ascii="VIC" w:eastAsia="Times New Roman" w:hAnsi="VIC" w:cstheme="minorHAnsi"/>
          <w:color w:val="011A3C"/>
          <w:lang w:val="en" w:eastAsia="en-AU"/>
        </w:rPr>
      </w:pPr>
      <w:r w:rsidRPr="004D307F">
        <w:rPr>
          <w:rFonts w:ascii="VIC" w:eastAsia="Times New Roman" w:hAnsi="VIC" w:cstheme="minorHAnsi"/>
          <w:color w:val="011A3C"/>
          <w:lang w:val="en" w:eastAsia="en-AU"/>
        </w:rPr>
        <w:t xml:space="preserve">Schools do not have to apply for funding. Eligible </w:t>
      </w:r>
      <w:proofErr w:type="spellStart"/>
      <w:r w:rsidRPr="004D307F">
        <w:rPr>
          <w:rFonts w:ascii="VIC" w:eastAsia="Times New Roman" w:hAnsi="VIC" w:cstheme="minorHAnsi"/>
          <w:color w:val="011A3C"/>
          <w:lang w:val="en" w:eastAsia="en-AU"/>
        </w:rPr>
        <w:t>Koorie</w:t>
      </w:r>
      <w:proofErr w:type="spellEnd"/>
      <w:r w:rsidRPr="004D307F">
        <w:rPr>
          <w:rFonts w:ascii="VIC" w:eastAsia="Times New Roman" w:hAnsi="VIC" w:cstheme="minorHAnsi"/>
          <w:color w:val="011A3C"/>
          <w:lang w:val="en" w:eastAsia="en-AU"/>
        </w:rPr>
        <w:t xml:space="preserve"> students are identified using data collected centrally. In some cases, additional students may be eligible for variance funding, subject to evidence provided by schools. Variance application forms are available at</w:t>
      </w:r>
      <w:r w:rsidRPr="004D307F">
        <w:rPr>
          <w:rFonts w:ascii="VIC" w:eastAsia="Times New Roman" w:hAnsi="VIC" w:cstheme="minorHAnsi"/>
          <w:lang w:eastAsia="en-AU"/>
        </w:rPr>
        <w:t xml:space="preserve"> </w:t>
      </w:r>
      <w:hyperlink r:id="rId153" w:history="1">
        <w:r w:rsidRPr="004D307F">
          <w:rPr>
            <w:rFonts w:ascii="VIC" w:eastAsia="Times New Roman" w:hAnsi="VIC" w:cstheme="minorHAnsi"/>
            <w:color w:val="0563C1" w:themeColor="hyperlink"/>
            <w:u w:val="single"/>
            <w:lang w:eastAsia="en-AU"/>
          </w:rPr>
          <w:t>KLNP Implementation</w:t>
        </w:r>
      </w:hyperlink>
      <w:r w:rsidRPr="004D307F">
        <w:rPr>
          <w:rFonts w:ascii="VIC" w:eastAsia="Times New Roman" w:hAnsi="VIC" w:cstheme="minorHAnsi"/>
          <w:lang w:eastAsia="en-AU"/>
        </w:rPr>
        <w:t xml:space="preserve">. </w:t>
      </w:r>
      <w:r w:rsidRPr="004D307F">
        <w:rPr>
          <w:rFonts w:ascii="VIC" w:eastAsia="Times New Roman" w:hAnsi="VIC" w:cstheme="minorHAnsi"/>
          <w:color w:val="011A3C"/>
          <w:lang w:val="en" w:eastAsia="en-AU"/>
        </w:rPr>
        <w:t>Funding is be paid to schools through the confirmed SRP.</w:t>
      </w:r>
    </w:p>
    <w:p w14:paraId="65C54FF8" w14:textId="77777777" w:rsidR="00FC29EB" w:rsidRPr="004D307F" w:rsidRDefault="00FC29EB" w:rsidP="00FC29EB">
      <w:pPr>
        <w:spacing w:before="100" w:beforeAutospacing="1" w:after="100" w:afterAutospacing="1" w:line="360" w:lineRule="atLeast"/>
        <w:rPr>
          <w:rFonts w:ascii="VIC" w:eastAsia="Times New Roman" w:hAnsi="VIC" w:cstheme="minorHAnsi"/>
          <w:b/>
          <w:bCs/>
          <w:color w:val="011A3C"/>
          <w:sz w:val="24"/>
          <w:szCs w:val="24"/>
          <w:lang w:val="en" w:eastAsia="en-AU"/>
        </w:rPr>
      </w:pPr>
      <w:r w:rsidRPr="004D307F">
        <w:rPr>
          <w:rFonts w:ascii="VIC" w:eastAsia="Times New Roman" w:hAnsi="VIC" w:cstheme="minorHAnsi"/>
          <w:b/>
          <w:bCs/>
          <w:color w:val="011A3C"/>
          <w:sz w:val="24"/>
          <w:szCs w:val="24"/>
          <w:lang w:val="en" w:eastAsia="en-AU"/>
        </w:rPr>
        <w:t>Funding</w:t>
      </w:r>
    </w:p>
    <w:p w14:paraId="5D99CA56" w14:textId="77777777" w:rsidR="00FC29EB" w:rsidRPr="004D307F" w:rsidRDefault="00FC29EB" w:rsidP="00FC29EB">
      <w:pPr>
        <w:spacing w:before="100" w:beforeAutospacing="1" w:after="100" w:afterAutospacing="1" w:line="360" w:lineRule="atLeast"/>
        <w:rPr>
          <w:rFonts w:ascii="VIC" w:eastAsia="Times New Roman" w:hAnsi="VIC" w:cstheme="minorHAnsi"/>
          <w:color w:val="0066CC"/>
          <w:u w:val="single"/>
          <w:lang w:val="en" w:eastAsia="en-AU"/>
        </w:rPr>
      </w:pPr>
      <w:r w:rsidRPr="004D307F">
        <w:rPr>
          <w:rFonts w:ascii="VIC" w:eastAsia="Times New Roman" w:hAnsi="VIC" w:cstheme="minorHAnsi"/>
          <w:color w:val="011A3C"/>
          <w:lang w:val="en" w:eastAsia="en-AU"/>
        </w:rPr>
        <w:t xml:space="preserve">E-KLNP funding is based on the number of </w:t>
      </w:r>
      <w:proofErr w:type="spellStart"/>
      <w:r w:rsidRPr="004D307F">
        <w:rPr>
          <w:rFonts w:ascii="VIC" w:eastAsia="Times New Roman" w:hAnsi="VIC" w:cstheme="minorHAnsi"/>
          <w:color w:val="011A3C"/>
          <w:lang w:val="en" w:eastAsia="en-AU"/>
        </w:rPr>
        <w:t>Koorie</w:t>
      </w:r>
      <w:proofErr w:type="spellEnd"/>
      <w:r w:rsidRPr="004D307F">
        <w:rPr>
          <w:rFonts w:ascii="VIC" w:eastAsia="Times New Roman" w:hAnsi="VIC" w:cstheme="minorHAnsi"/>
          <w:color w:val="011A3C"/>
          <w:lang w:val="en" w:eastAsia="en-AU"/>
        </w:rPr>
        <w:t xml:space="preserve"> students in Years 4, 5 and 6 who are below National Minimum Standards (NMS) in the NAPLAN domains of Reading/Numeracy as outlined in </w:t>
      </w:r>
      <w:hyperlink r:id="rId154" w:tgtFrame="_blank" w:history="1">
        <w:r w:rsidRPr="004D307F">
          <w:rPr>
            <w:rFonts w:ascii="VIC" w:eastAsia="Times New Roman" w:hAnsi="VIC" w:cstheme="minorHAnsi"/>
            <w:color w:val="0563C1" w:themeColor="hyperlink"/>
            <w:u w:val="single"/>
            <w:lang w:val="en" w:eastAsia="en-AU"/>
          </w:rPr>
          <w:t>Eligibility criteria</w:t>
        </w:r>
      </w:hyperlink>
    </w:p>
    <w:p w14:paraId="6FF43F00" w14:textId="77777777" w:rsidR="00FC29EB" w:rsidRPr="004D307F" w:rsidRDefault="00FC29EB" w:rsidP="00FC29EB">
      <w:pPr>
        <w:spacing w:before="100" w:beforeAutospacing="1" w:after="100" w:afterAutospacing="1" w:line="360" w:lineRule="atLeast"/>
        <w:rPr>
          <w:rFonts w:ascii="VIC" w:eastAsia="Times New Roman" w:hAnsi="VIC" w:cstheme="minorHAnsi"/>
          <w:b/>
          <w:bCs/>
          <w:color w:val="011A3C"/>
          <w:sz w:val="24"/>
          <w:szCs w:val="24"/>
          <w:lang w:val="en" w:eastAsia="en-AU"/>
        </w:rPr>
      </w:pPr>
      <w:r w:rsidRPr="004D307F">
        <w:rPr>
          <w:rFonts w:ascii="VIC" w:eastAsia="Times New Roman" w:hAnsi="VIC" w:cstheme="minorHAnsi"/>
          <w:b/>
          <w:bCs/>
          <w:color w:val="011A3C"/>
          <w:sz w:val="24"/>
          <w:szCs w:val="24"/>
          <w:lang w:val="en" w:eastAsia="en-AU"/>
        </w:rPr>
        <w:t>Use of E-KLNP funding</w:t>
      </w:r>
    </w:p>
    <w:p w14:paraId="0821C336" w14:textId="77777777" w:rsidR="00FC29EB" w:rsidRPr="004D307F" w:rsidRDefault="00FC29EB" w:rsidP="00FC29EB">
      <w:pPr>
        <w:spacing w:after="120" w:line="288" w:lineRule="auto"/>
        <w:jc w:val="both"/>
        <w:rPr>
          <w:rFonts w:ascii="VIC" w:hAnsi="VIC" w:cstheme="minorHAnsi"/>
          <w:color w:val="323E4F" w:themeColor="text2" w:themeShade="BF"/>
          <w:spacing w:val="4"/>
          <w:kern w:val="20"/>
          <w:szCs w:val="24"/>
        </w:rPr>
      </w:pPr>
      <w:r w:rsidRPr="004D307F">
        <w:rPr>
          <w:rFonts w:ascii="VIC" w:hAnsi="VIC" w:cstheme="minorHAnsi"/>
          <w:color w:val="323E4F" w:themeColor="text2" w:themeShade="BF"/>
          <w:spacing w:val="4"/>
          <w:kern w:val="20"/>
          <w:szCs w:val="24"/>
        </w:rPr>
        <w:t xml:space="preserve">EYKLNP </w:t>
      </w:r>
      <w:r w:rsidRPr="004D307F">
        <w:rPr>
          <w:rFonts w:ascii="VIC" w:hAnsi="VIC" w:cstheme="minorHAnsi"/>
          <w:color w:val="323E4F" w:themeColor="text2" w:themeShade="BF"/>
          <w:spacing w:val="4"/>
          <w:kern w:val="20"/>
          <w:sz w:val="20"/>
        </w:rPr>
        <w:t>f</w:t>
      </w:r>
      <w:r w:rsidRPr="004D307F">
        <w:rPr>
          <w:rFonts w:ascii="VIC" w:hAnsi="VIC" w:cstheme="minorHAnsi"/>
          <w:color w:val="323E4F" w:themeColor="text2" w:themeShade="BF"/>
          <w:spacing w:val="4"/>
          <w:kern w:val="20"/>
          <w:szCs w:val="24"/>
        </w:rPr>
        <w:t xml:space="preserve">unding is intended to support accelerated progress of eligible </w:t>
      </w:r>
      <w:proofErr w:type="spellStart"/>
      <w:r w:rsidRPr="004D307F">
        <w:rPr>
          <w:rFonts w:ascii="VIC" w:hAnsi="VIC" w:cstheme="minorHAnsi"/>
          <w:color w:val="323E4F" w:themeColor="text2" w:themeShade="BF"/>
          <w:spacing w:val="4"/>
          <w:kern w:val="20"/>
          <w:szCs w:val="24"/>
        </w:rPr>
        <w:t>Koorie</w:t>
      </w:r>
      <w:proofErr w:type="spellEnd"/>
      <w:r w:rsidRPr="004D307F">
        <w:rPr>
          <w:rFonts w:ascii="VIC" w:hAnsi="VIC" w:cstheme="minorHAnsi"/>
          <w:color w:val="323E4F" w:themeColor="text2" w:themeShade="BF"/>
          <w:spacing w:val="4"/>
          <w:kern w:val="20"/>
          <w:szCs w:val="24"/>
        </w:rPr>
        <w:t xml:space="preserve"> students in literacy/numeracy. The model of support will be determined by schools in consultation with students and families. Funds should be used to provide </w:t>
      </w:r>
      <w:r w:rsidRPr="004D307F">
        <w:rPr>
          <w:rFonts w:ascii="VIC" w:hAnsi="VIC" w:cstheme="minorHAnsi"/>
          <w:color w:val="323E4F" w:themeColor="text2" w:themeShade="BF"/>
          <w:spacing w:val="4"/>
          <w:kern w:val="20"/>
          <w:szCs w:val="24"/>
        </w:rPr>
        <w:lastRenderedPageBreak/>
        <w:t>additional targeted support to identified students, for example by engaging additional personnel to:</w:t>
      </w:r>
    </w:p>
    <w:p w14:paraId="124AAACA" w14:textId="77777777" w:rsidR="00FC29EB" w:rsidRPr="004D307F" w:rsidRDefault="00FC29EB" w:rsidP="00ED0863">
      <w:pPr>
        <w:numPr>
          <w:ilvl w:val="0"/>
          <w:numId w:val="167"/>
        </w:numPr>
        <w:spacing w:before="120" w:after="0" w:line="264" w:lineRule="auto"/>
        <w:contextualSpacing/>
        <w:jc w:val="both"/>
        <w:rPr>
          <w:rFonts w:ascii="VIC" w:hAnsi="VIC" w:cstheme="minorHAnsi"/>
          <w:noProof/>
          <w:color w:val="323E4F" w:themeColor="text2" w:themeShade="BF"/>
          <w:spacing w:val="2"/>
          <w:szCs w:val="24"/>
          <w:lang w:eastAsia="en-AU"/>
        </w:rPr>
      </w:pPr>
      <w:r w:rsidRPr="004D307F">
        <w:rPr>
          <w:rFonts w:ascii="VIC" w:hAnsi="VIC" w:cstheme="minorHAnsi"/>
          <w:noProof/>
          <w:color w:val="323E4F" w:themeColor="text2" w:themeShade="BF"/>
          <w:spacing w:val="2"/>
          <w:szCs w:val="24"/>
          <w:lang w:eastAsia="en-AU"/>
        </w:rPr>
        <w:t xml:space="preserve">work directly with the identified students individually or in groups </w:t>
      </w:r>
    </w:p>
    <w:p w14:paraId="5586B563" w14:textId="77777777" w:rsidR="00FC29EB" w:rsidRPr="004D307F" w:rsidRDefault="00FC29EB" w:rsidP="00ED0863">
      <w:pPr>
        <w:numPr>
          <w:ilvl w:val="0"/>
          <w:numId w:val="167"/>
        </w:numPr>
        <w:spacing w:before="120" w:after="0" w:line="264" w:lineRule="auto"/>
        <w:contextualSpacing/>
        <w:jc w:val="both"/>
        <w:rPr>
          <w:rFonts w:ascii="VIC" w:hAnsi="VIC" w:cstheme="minorHAnsi"/>
          <w:noProof/>
          <w:color w:val="323E4F" w:themeColor="text2" w:themeShade="BF"/>
          <w:spacing w:val="2"/>
          <w:szCs w:val="24"/>
          <w:lang w:eastAsia="en-AU"/>
        </w:rPr>
      </w:pPr>
      <w:r w:rsidRPr="004D307F">
        <w:rPr>
          <w:rFonts w:ascii="VIC" w:hAnsi="VIC" w:cstheme="minorHAnsi"/>
          <w:noProof/>
          <w:color w:val="323E4F" w:themeColor="text2" w:themeShade="BF"/>
          <w:spacing w:val="2"/>
          <w:szCs w:val="24"/>
          <w:lang w:eastAsia="en-AU"/>
        </w:rPr>
        <w:t>free the classroom teacher to work with the identified students</w:t>
      </w:r>
    </w:p>
    <w:p w14:paraId="2BE98509" w14:textId="77777777" w:rsidR="00FC29EB" w:rsidRPr="004D307F" w:rsidRDefault="00FC29EB" w:rsidP="00ED0863">
      <w:pPr>
        <w:numPr>
          <w:ilvl w:val="0"/>
          <w:numId w:val="167"/>
        </w:numPr>
        <w:spacing w:before="120" w:after="0" w:line="264" w:lineRule="auto"/>
        <w:contextualSpacing/>
        <w:jc w:val="both"/>
        <w:rPr>
          <w:rFonts w:ascii="VIC" w:hAnsi="VIC" w:cstheme="minorHAnsi"/>
          <w:noProof/>
          <w:color w:val="323E4F" w:themeColor="text2" w:themeShade="BF"/>
          <w:spacing w:val="2"/>
          <w:szCs w:val="24"/>
          <w:lang w:eastAsia="en-AU"/>
        </w:rPr>
      </w:pPr>
      <w:r w:rsidRPr="004D307F">
        <w:rPr>
          <w:rFonts w:ascii="VIC" w:hAnsi="VIC" w:cstheme="minorHAnsi"/>
          <w:noProof/>
          <w:color w:val="323E4F" w:themeColor="text2" w:themeShade="BF"/>
          <w:spacing w:val="2"/>
          <w:szCs w:val="24"/>
          <w:lang w:eastAsia="en-AU"/>
        </w:rPr>
        <w:t>release an expert teacher from classroom duties to provide targetted support.</w:t>
      </w:r>
    </w:p>
    <w:p w14:paraId="38A17D97" w14:textId="77777777" w:rsidR="00FC29EB" w:rsidRPr="004D307F" w:rsidRDefault="00FC29EB" w:rsidP="00FC29EB">
      <w:pPr>
        <w:spacing w:before="120" w:after="120" w:line="288" w:lineRule="auto"/>
        <w:jc w:val="both"/>
        <w:rPr>
          <w:rFonts w:ascii="VIC" w:hAnsi="VIC" w:cstheme="minorHAnsi"/>
          <w:color w:val="323E4F" w:themeColor="text2" w:themeShade="BF"/>
          <w:spacing w:val="4"/>
          <w:kern w:val="20"/>
          <w:szCs w:val="24"/>
        </w:rPr>
      </w:pPr>
      <w:r w:rsidRPr="004D307F">
        <w:rPr>
          <w:rFonts w:ascii="VIC" w:hAnsi="VIC" w:cstheme="minorHAnsi"/>
          <w:color w:val="323E4F" w:themeColor="text2" w:themeShade="BF"/>
          <w:spacing w:val="4"/>
          <w:kern w:val="20"/>
          <w:szCs w:val="24"/>
        </w:rPr>
        <w:t xml:space="preserve">Personnel engaged to provide additional support need to demonstrate high-level skills in literacy and/or numeracy teaching and learning and be culturally sensitive to build trusting and productive working relationships with students and families. </w:t>
      </w:r>
    </w:p>
    <w:p w14:paraId="265BE319" w14:textId="77777777" w:rsidR="00FC29EB" w:rsidRPr="004D307F" w:rsidRDefault="00FC29EB" w:rsidP="00FC29EB">
      <w:pPr>
        <w:spacing w:before="100" w:beforeAutospacing="1" w:after="100" w:afterAutospacing="1" w:line="360" w:lineRule="atLeast"/>
        <w:rPr>
          <w:rFonts w:ascii="VIC" w:eastAsia="Times New Roman" w:hAnsi="VIC" w:cstheme="minorHAnsi"/>
          <w:color w:val="011A3C"/>
          <w:sz w:val="24"/>
          <w:szCs w:val="24"/>
          <w:lang w:val="en" w:eastAsia="en-AU"/>
        </w:rPr>
      </w:pPr>
      <w:r w:rsidRPr="004D307F">
        <w:rPr>
          <w:rFonts w:ascii="VIC" w:eastAsia="Times New Roman" w:hAnsi="VIC" w:cstheme="minorHAnsi"/>
          <w:color w:val="011A3C"/>
          <w:sz w:val="24"/>
          <w:szCs w:val="24"/>
          <w:lang w:val="en" w:eastAsia="en-AU"/>
        </w:rPr>
        <w:t>Further information</w:t>
      </w:r>
    </w:p>
    <w:p w14:paraId="2E23F65F" w14:textId="77777777" w:rsidR="00FC29EB" w:rsidRPr="004D307F" w:rsidRDefault="00FC29EB" w:rsidP="00ED0863">
      <w:pPr>
        <w:numPr>
          <w:ilvl w:val="0"/>
          <w:numId w:val="144"/>
        </w:numPr>
        <w:spacing w:before="100" w:beforeAutospacing="1" w:after="100" w:afterAutospacing="1" w:line="360" w:lineRule="atLeast"/>
        <w:rPr>
          <w:rFonts w:ascii="VIC" w:hAnsi="VIC" w:cstheme="minorHAnsi"/>
          <w:color w:val="0563C1" w:themeColor="hyperlink"/>
          <w:u w:val="single"/>
          <w:lang w:val="en"/>
        </w:rPr>
      </w:pPr>
      <w:r w:rsidRPr="004D307F">
        <w:rPr>
          <w:rFonts w:ascii="VIC" w:hAnsi="VIC" w:cstheme="minorHAnsi"/>
          <w:color w:val="011A3C"/>
          <w:lang w:val="en"/>
        </w:rPr>
        <w:fldChar w:fldCharType="begin"/>
      </w:r>
      <w:r w:rsidRPr="004D307F">
        <w:rPr>
          <w:rFonts w:ascii="VIC" w:hAnsi="VIC" w:cstheme="minorHAnsi"/>
          <w:color w:val="011A3C"/>
          <w:lang w:val="en"/>
        </w:rPr>
        <w:instrText xml:space="preserve"> HYPERLINK "https://edugate.eduweb.vic.gov.au/edrms/KOD/Pages/KLNP.aspx" </w:instrText>
      </w:r>
      <w:r w:rsidRPr="004D307F">
        <w:rPr>
          <w:rFonts w:ascii="VIC" w:hAnsi="VIC" w:cstheme="minorHAnsi"/>
          <w:color w:val="011A3C"/>
          <w:lang w:val="en"/>
        </w:rPr>
        <w:fldChar w:fldCharType="separate"/>
      </w:r>
      <w:proofErr w:type="spellStart"/>
      <w:r w:rsidRPr="004D307F">
        <w:rPr>
          <w:rFonts w:ascii="VIC" w:hAnsi="VIC" w:cstheme="minorHAnsi"/>
          <w:color w:val="0563C1" w:themeColor="hyperlink"/>
          <w:u w:val="single"/>
          <w:lang w:val="en"/>
        </w:rPr>
        <w:t>Koorie</w:t>
      </w:r>
      <w:proofErr w:type="spellEnd"/>
      <w:r w:rsidRPr="004D307F">
        <w:rPr>
          <w:rFonts w:ascii="VIC" w:hAnsi="VIC" w:cstheme="minorHAnsi"/>
          <w:color w:val="0563C1" w:themeColor="hyperlink"/>
          <w:u w:val="single"/>
          <w:lang w:val="en"/>
        </w:rPr>
        <w:t xml:space="preserve"> Literacy and Numeracy Program Implementation</w:t>
      </w:r>
    </w:p>
    <w:p w14:paraId="34AF6E82" w14:textId="77777777" w:rsidR="00FC29EB" w:rsidRPr="004D307F" w:rsidRDefault="00FC29EB" w:rsidP="00FC29EB">
      <w:pPr>
        <w:rPr>
          <w:rFonts w:ascii="VIC" w:hAnsi="VIC" w:cstheme="minorHAnsi"/>
          <w:color w:val="0563C1" w:themeColor="hyperlink"/>
          <w:u w:val="single"/>
          <w:lang w:val="en"/>
        </w:rPr>
      </w:pPr>
      <w:r w:rsidRPr="004D307F">
        <w:rPr>
          <w:rFonts w:ascii="VIC" w:hAnsi="VIC" w:cstheme="minorHAnsi"/>
          <w:color w:val="011A3C"/>
          <w:lang w:val="en"/>
        </w:rPr>
        <w:fldChar w:fldCharType="end"/>
      </w:r>
      <w:r w:rsidRPr="004D307F">
        <w:rPr>
          <w:rFonts w:ascii="VIC" w:hAnsi="VIC" w:cstheme="minorHAnsi"/>
          <w:color w:val="011A3C"/>
          <w:lang w:val="en"/>
        </w:rPr>
        <w:t xml:space="preserve">Contact: </w:t>
      </w:r>
      <w:hyperlink r:id="rId155" w:history="1">
        <w:r w:rsidRPr="004D307F">
          <w:rPr>
            <w:rFonts w:ascii="VIC" w:hAnsi="VIC" w:cstheme="minorHAnsi"/>
            <w:color w:val="0563C1" w:themeColor="hyperlink"/>
            <w:u w:val="single"/>
            <w:lang w:val="en"/>
          </w:rPr>
          <w:t>koorielitnum@education.vic.gov.au</w:t>
        </w:r>
      </w:hyperlink>
      <w:r w:rsidRPr="004D307F">
        <w:rPr>
          <w:rFonts w:ascii="VIC" w:hAnsi="VIC" w:cstheme="minorHAnsi"/>
          <w:color w:val="0563C1" w:themeColor="hyperlink"/>
          <w:u w:val="single"/>
          <w:lang w:val="en"/>
        </w:rPr>
        <w:t xml:space="preserve"> </w:t>
      </w:r>
    </w:p>
    <w:p w14:paraId="492F3C74" w14:textId="77777777" w:rsidR="00FC29EB" w:rsidRPr="004D307F" w:rsidRDefault="00FC29EB" w:rsidP="00FC29EB">
      <w:pPr>
        <w:rPr>
          <w:rFonts w:ascii="VIC" w:hAnsi="VIC"/>
        </w:rPr>
      </w:pPr>
      <w:r w:rsidRPr="004D307F">
        <w:rPr>
          <w:rFonts w:ascii="VIC" w:hAnsi="VIC" w:cstheme="minorHAnsi"/>
          <w:color w:val="0563C1" w:themeColor="hyperlink"/>
          <w:lang w:val="en"/>
        </w:rPr>
        <w:t>Phone: 7022 1869</w:t>
      </w:r>
    </w:p>
    <w:p w14:paraId="234F0934" w14:textId="4229A54B" w:rsidR="004F6FD9" w:rsidRPr="004D307F" w:rsidRDefault="004F6FD9">
      <w:pPr>
        <w:rPr>
          <w:rFonts w:ascii="VIC" w:eastAsia="Calibri" w:hAnsi="VIC" w:cstheme="majorBidi"/>
          <w:b/>
          <w:color w:val="2F5496" w:themeColor="accent1" w:themeShade="BF"/>
          <w:sz w:val="36"/>
          <w:szCs w:val="26"/>
          <w:lang w:val="en" w:eastAsia="en-AU"/>
        </w:rPr>
      </w:pPr>
      <w:r w:rsidRPr="004D307F">
        <w:rPr>
          <w:rFonts w:ascii="VIC" w:hAnsi="VIC"/>
        </w:rPr>
        <w:br w:type="page"/>
      </w:r>
    </w:p>
    <w:p w14:paraId="5E665F56" w14:textId="6F7B0998" w:rsidR="00983CC8" w:rsidRPr="004D307F" w:rsidRDefault="00983CC8" w:rsidP="00B566E7">
      <w:pPr>
        <w:pStyle w:val="Heading2"/>
      </w:pPr>
      <w:bookmarkStart w:id="101" w:name="_Hlk98851791"/>
      <w:bookmarkStart w:id="102" w:name="_Toc99882774"/>
      <w:r w:rsidRPr="004D307F">
        <w:lastRenderedPageBreak/>
        <w:t xml:space="preserve">Early Years </w:t>
      </w:r>
      <w:proofErr w:type="spellStart"/>
      <w:r w:rsidRPr="004D307F">
        <w:t>Koorie</w:t>
      </w:r>
      <w:proofErr w:type="spellEnd"/>
      <w:r w:rsidRPr="004D307F">
        <w:t xml:space="preserve"> Literacy and Numeracy Program </w:t>
      </w:r>
      <w:bookmarkEnd w:id="101"/>
      <w:r w:rsidRPr="004D307F">
        <w:t>(Reference 90)</w:t>
      </w:r>
      <w:bookmarkEnd w:id="102"/>
    </w:p>
    <w:p w14:paraId="186446AD" w14:textId="77777777" w:rsidR="00983CC8" w:rsidRPr="004D307F" w:rsidRDefault="00983CC8" w:rsidP="00983CC8">
      <w:pPr>
        <w:rPr>
          <w:lang w:val="en" w:eastAsia="en-AU"/>
        </w:rPr>
      </w:pPr>
    </w:p>
    <w:p w14:paraId="43DF5D21" w14:textId="77777777" w:rsidR="004001DB" w:rsidRPr="004D307F" w:rsidRDefault="004001DB" w:rsidP="004001DB">
      <w:pPr>
        <w:spacing w:line="360" w:lineRule="atLeast"/>
        <w:rPr>
          <w:rFonts w:ascii="VIC" w:hAnsi="VIC"/>
          <w:b/>
          <w:bCs/>
          <w:i/>
          <w:lang w:val="en-US"/>
        </w:rPr>
      </w:pPr>
      <w:r w:rsidRPr="004D307F">
        <w:rPr>
          <w:rFonts w:ascii="VIC" w:hAnsi="VIC"/>
          <w:b/>
          <w:bCs/>
          <w:lang w:val="en-US"/>
        </w:rPr>
        <w:t>Description of Funding</w:t>
      </w:r>
      <w:r w:rsidRPr="004D307F">
        <w:rPr>
          <w:rFonts w:ascii="VIC" w:hAnsi="VIC"/>
          <w:b/>
          <w:bCs/>
          <w:i/>
          <w:lang w:val="en-US"/>
        </w:rPr>
        <w:t xml:space="preserve"> </w:t>
      </w:r>
    </w:p>
    <w:p w14:paraId="6B04A190" w14:textId="77777777" w:rsidR="004001DB" w:rsidRPr="004D307F" w:rsidRDefault="004001DB" w:rsidP="004001DB">
      <w:pPr>
        <w:spacing w:line="360" w:lineRule="atLeast"/>
        <w:rPr>
          <w:rFonts w:ascii="VIC" w:eastAsia="Calibri" w:hAnsi="VIC" w:cs="Times New Roman"/>
        </w:rPr>
      </w:pPr>
      <w:r w:rsidRPr="004D307F">
        <w:rPr>
          <w:rFonts w:ascii="VIC" w:eastAsia="Calibri" w:hAnsi="VIC" w:cs="Times New Roman"/>
        </w:rPr>
        <w:t xml:space="preserve">The Early Years </w:t>
      </w:r>
      <w:proofErr w:type="spellStart"/>
      <w:r w:rsidRPr="004D307F">
        <w:rPr>
          <w:rFonts w:ascii="VIC" w:eastAsia="Calibri" w:hAnsi="VIC" w:cs="Times New Roman"/>
        </w:rPr>
        <w:t>Koorie</w:t>
      </w:r>
      <w:proofErr w:type="spellEnd"/>
      <w:r w:rsidRPr="004D307F">
        <w:rPr>
          <w:rFonts w:ascii="VIC" w:eastAsia="Calibri" w:hAnsi="VIC" w:cs="Times New Roman"/>
        </w:rPr>
        <w:t xml:space="preserve"> Literacy and Numeracy Program (EYKLNP) provides funding for Prep–Year 3 </w:t>
      </w:r>
      <w:proofErr w:type="spellStart"/>
      <w:r w:rsidRPr="004D307F">
        <w:rPr>
          <w:rFonts w:ascii="VIC" w:eastAsia="Calibri" w:hAnsi="VIC" w:cs="Times New Roman"/>
        </w:rPr>
        <w:t>Koorie</w:t>
      </w:r>
      <w:proofErr w:type="spellEnd"/>
      <w:r w:rsidRPr="004D307F">
        <w:rPr>
          <w:rFonts w:ascii="VIC" w:eastAsia="Calibri" w:hAnsi="VIC" w:cs="Times New Roman"/>
        </w:rPr>
        <w:t xml:space="preserve"> students who are below expected levels in literacy/numeracy and to </w:t>
      </w:r>
      <w:proofErr w:type="spellStart"/>
      <w:r w:rsidRPr="004D307F">
        <w:rPr>
          <w:rFonts w:ascii="VIC" w:eastAsia="Calibri" w:hAnsi="VIC" w:cs="Times New Roman"/>
        </w:rPr>
        <w:t>Koorie</w:t>
      </w:r>
      <w:proofErr w:type="spellEnd"/>
      <w:r w:rsidRPr="004D307F">
        <w:rPr>
          <w:rFonts w:ascii="VIC" w:eastAsia="Calibri" w:hAnsi="VIC" w:cs="Times New Roman"/>
        </w:rPr>
        <w:t xml:space="preserve"> students in special development schools who are age-equivalent to the Prep to Year 3 cohort. Schools use EYKLNP funding to provide additional targeted assistance in literacy/numeracy to eligible students. Funding to schools is determined using the February preliminary school census and student assessment data collected centrally during term 1. </w:t>
      </w:r>
    </w:p>
    <w:p w14:paraId="2BB7102B" w14:textId="59E4B9FA" w:rsidR="004001DB" w:rsidRPr="004D307F" w:rsidRDefault="004001DB" w:rsidP="004001DB">
      <w:pPr>
        <w:spacing w:line="360" w:lineRule="atLeast"/>
        <w:rPr>
          <w:rFonts w:ascii="VIC" w:hAnsi="VIC"/>
          <w:b/>
          <w:bCs/>
          <w:lang w:val="en-US"/>
        </w:rPr>
      </w:pPr>
      <w:r w:rsidRPr="004D307F">
        <w:rPr>
          <w:rFonts w:ascii="VIC" w:hAnsi="VIC"/>
          <w:b/>
          <w:bCs/>
          <w:lang w:val="en-US"/>
        </w:rPr>
        <w:t>Eligibility and rate</w:t>
      </w:r>
    </w:p>
    <w:p w14:paraId="28F40908" w14:textId="77777777" w:rsidR="004001DB" w:rsidRPr="004D307F" w:rsidRDefault="004001DB" w:rsidP="004001DB">
      <w:pPr>
        <w:spacing w:line="360" w:lineRule="atLeast"/>
        <w:rPr>
          <w:rFonts w:ascii="VIC" w:eastAsia="Calibri" w:hAnsi="VIC" w:cs="Times New Roman"/>
        </w:rPr>
      </w:pPr>
      <w:r w:rsidRPr="004D307F">
        <w:rPr>
          <w:rFonts w:ascii="VIC" w:eastAsia="Calibri" w:hAnsi="VIC" w:cs="Times New Roman"/>
        </w:rPr>
        <w:t>The eligibility criteria for the EYKLNP are as follows</w:t>
      </w:r>
      <w:r>
        <w:rPr>
          <w:rFonts w:ascii="VIC" w:eastAsia="Calibri" w:hAnsi="VIC" w:cs="Times New Roman"/>
        </w:rPr>
        <w:t>.</w:t>
      </w:r>
      <w:r w:rsidRPr="004D307F">
        <w:rPr>
          <w:rFonts w:ascii="VIC" w:eastAsia="Calibri" w:hAnsi="VIC" w:cs="Times New Roman"/>
        </w:rPr>
        <w:t xml:space="preserve">  </w:t>
      </w:r>
    </w:p>
    <w:p w14:paraId="350B2F5B"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Prep</w:t>
      </w:r>
    </w:p>
    <w:p w14:paraId="0924796C" w14:textId="77777777" w:rsidR="004001DB" w:rsidRDefault="004001DB" w:rsidP="004001DB">
      <w:pPr>
        <w:spacing w:line="360" w:lineRule="atLeast"/>
        <w:rPr>
          <w:rFonts w:ascii="VIC" w:eastAsia="Calibri" w:hAnsi="VIC" w:cs="Times New Roman"/>
        </w:rPr>
      </w:pPr>
      <w:r>
        <w:rPr>
          <w:rFonts w:ascii="VIC" w:eastAsia="Calibri" w:hAnsi="VIC" w:cs="Times New Roman"/>
        </w:rPr>
        <w:t>Literacy/numeracy proxy: Listening and Speaking</w:t>
      </w:r>
    </w:p>
    <w:p w14:paraId="5752E306"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Towards 0.5 at the start of the year</w:t>
      </w:r>
    </w:p>
    <w:p w14:paraId="21DC3F43"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English Online Interview (start of Prep)</w:t>
      </w:r>
    </w:p>
    <w:p w14:paraId="1973BE44" w14:textId="77777777" w:rsidR="004001DB" w:rsidRDefault="004001DB" w:rsidP="004001DB">
      <w:pPr>
        <w:spacing w:line="360" w:lineRule="atLeast"/>
        <w:rPr>
          <w:rFonts w:ascii="VIC" w:eastAsia="Calibri" w:hAnsi="VIC" w:cs="Times New Roman"/>
        </w:rPr>
      </w:pPr>
      <w:r>
        <w:rPr>
          <w:rFonts w:ascii="VIC" w:eastAsia="Calibri" w:hAnsi="VIC" w:cs="Times New Roman"/>
        </w:rPr>
        <w:t xml:space="preserve">Eligibility score: </w:t>
      </w:r>
      <w:r w:rsidRPr="004D307F">
        <w:rPr>
          <w:rFonts w:ascii="VIC" w:hAnsi="VIC" w:cstheme="minorHAnsi"/>
          <w:lang w:eastAsia="en-AU"/>
        </w:rPr>
        <w:t>≤</w:t>
      </w:r>
      <w:r>
        <w:rPr>
          <w:rFonts w:ascii="VIC" w:hAnsi="VIC" w:cstheme="minorHAnsi"/>
          <w:lang w:eastAsia="en-AU"/>
        </w:rPr>
        <w:t xml:space="preserve"> 101 (English Online Scale Score)</w:t>
      </w:r>
    </w:p>
    <w:p w14:paraId="0856F0C7"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Year 1</w:t>
      </w:r>
    </w:p>
    <w:p w14:paraId="0A5FAD01" w14:textId="77777777" w:rsidR="004001DB" w:rsidRDefault="004001DB" w:rsidP="004001DB">
      <w:pPr>
        <w:spacing w:line="360" w:lineRule="atLeast"/>
        <w:rPr>
          <w:rFonts w:ascii="VIC" w:eastAsia="Calibri" w:hAnsi="VIC" w:cs="Times New Roman"/>
        </w:rPr>
      </w:pPr>
      <w:r>
        <w:rPr>
          <w:rFonts w:ascii="VIC" w:eastAsia="Calibri" w:hAnsi="VIC" w:cs="Times New Roman"/>
        </w:rPr>
        <w:t>Literacy/numeracy proxy: Reading and Viewing and/or Number and Algebra</w:t>
      </w:r>
    </w:p>
    <w:p w14:paraId="137CC75F"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Below Foundation at the end of previous year</w:t>
      </w:r>
    </w:p>
    <w:p w14:paraId="34F95058"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Teacher judgement (end of Prep)</w:t>
      </w:r>
    </w:p>
    <w:p w14:paraId="5B8C08B9" w14:textId="77777777" w:rsidR="004001DB" w:rsidRPr="00150C12" w:rsidRDefault="004001DB" w:rsidP="004001DB">
      <w:pPr>
        <w:spacing w:line="360" w:lineRule="atLeast"/>
        <w:rPr>
          <w:rFonts w:ascii="VIC" w:eastAsia="Calibri" w:hAnsi="VIC" w:cs="Times New Roman"/>
        </w:rPr>
      </w:pPr>
      <w:r>
        <w:rPr>
          <w:rFonts w:ascii="VIC" w:eastAsia="Calibri" w:hAnsi="VIC" w:cs="Times New Roman"/>
        </w:rPr>
        <w:t xml:space="preserve">Eligibility score: </w:t>
      </w:r>
      <w:r w:rsidRPr="004D307F">
        <w:rPr>
          <w:rFonts w:ascii="VIC" w:hAnsi="VIC" w:cstheme="minorHAnsi"/>
          <w:lang w:eastAsia="en-AU"/>
        </w:rPr>
        <w:t>≤</w:t>
      </w:r>
      <w:r>
        <w:rPr>
          <w:rFonts w:ascii="VIC" w:hAnsi="VIC" w:cstheme="minorHAnsi"/>
          <w:lang w:eastAsia="en-AU"/>
        </w:rPr>
        <w:t xml:space="preserve"> 0.5 Vic Curriculum</w:t>
      </w:r>
    </w:p>
    <w:p w14:paraId="2637895C"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Year 2</w:t>
      </w:r>
    </w:p>
    <w:p w14:paraId="3B9D5455" w14:textId="77777777" w:rsidR="004001DB" w:rsidRDefault="004001DB" w:rsidP="004001DB">
      <w:pPr>
        <w:spacing w:line="360" w:lineRule="atLeast"/>
        <w:rPr>
          <w:rFonts w:ascii="VIC" w:eastAsia="Calibri" w:hAnsi="VIC" w:cs="Times New Roman"/>
        </w:rPr>
      </w:pPr>
      <w:r>
        <w:rPr>
          <w:rFonts w:ascii="VIC" w:eastAsia="Calibri" w:hAnsi="VIC" w:cs="Times New Roman"/>
        </w:rPr>
        <w:t>Literacy/numeracy proxy: Reading and Viewing and/or Number and Algebra</w:t>
      </w:r>
    </w:p>
    <w:p w14:paraId="1DB9066A"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Below expected level for Year 1 at the end of previous year</w:t>
      </w:r>
    </w:p>
    <w:p w14:paraId="5E37D990"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Teacher judgement: (end of Year 1)</w:t>
      </w:r>
    </w:p>
    <w:p w14:paraId="1FA246FA" w14:textId="77777777" w:rsidR="004001DB" w:rsidRPr="00150C12" w:rsidRDefault="004001DB" w:rsidP="004001DB">
      <w:pPr>
        <w:spacing w:line="360" w:lineRule="atLeast"/>
        <w:rPr>
          <w:rFonts w:ascii="VIC" w:eastAsia="Calibri" w:hAnsi="VIC" w:cs="Times New Roman"/>
        </w:rPr>
      </w:pPr>
      <w:r>
        <w:rPr>
          <w:rFonts w:ascii="VIC" w:eastAsia="Calibri" w:hAnsi="VIC" w:cs="Times New Roman"/>
        </w:rPr>
        <w:t xml:space="preserve">Eligibility score:  </w:t>
      </w:r>
      <w:r w:rsidRPr="004D307F">
        <w:rPr>
          <w:rFonts w:ascii="VIC" w:hAnsi="VIC" w:cstheme="minorHAnsi"/>
          <w:lang w:eastAsia="en-AU"/>
        </w:rPr>
        <w:t>≤</w:t>
      </w:r>
      <w:r>
        <w:rPr>
          <w:rFonts w:ascii="VIC" w:hAnsi="VIC" w:cstheme="minorHAnsi"/>
          <w:lang w:eastAsia="en-AU"/>
        </w:rPr>
        <w:t xml:space="preserve"> F Vic Curriculum</w:t>
      </w:r>
    </w:p>
    <w:p w14:paraId="2F899A3F"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Year 3</w:t>
      </w:r>
    </w:p>
    <w:p w14:paraId="4CEF29EB" w14:textId="77777777" w:rsidR="004001DB" w:rsidRDefault="004001DB" w:rsidP="004001DB">
      <w:pPr>
        <w:spacing w:line="360" w:lineRule="atLeast"/>
        <w:rPr>
          <w:rFonts w:ascii="VIC" w:eastAsia="Calibri" w:hAnsi="VIC" w:cs="Times New Roman"/>
        </w:rPr>
      </w:pPr>
      <w:r>
        <w:rPr>
          <w:rFonts w:ascii="VIC" w:eastAsia="Calibri" w:hAnsi="VIC" w:cs="Times New Roman"/>
        </w:rPr>
        <w:lastRenderedPageBreak/>
        <w:t xml:space="preserve">Literacy/numeracy proxy: Reading and Viewing and/or Number and Algebra </w:t>
      </w:r>
    </w:p>
    <w:p w14:paraId="0E27FDB5"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Below expected level for Year 2 at the end of previous year</w:t>
      </w:r>
    </w:p>
    <w:p w14:paraId="2F3CBA5C"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Teacher judgement (end of Year 2)</w:t>
      </w:r>
    </w:p>
    <w:p w14:paraId="47C61857" w14:textId="77777777" w:rsidR="004001DB" w:rsidRPr="00150C12" w:rsidRDefault="004001DB" w:rsidP="004001DB">
      <w:pPr>
        <w:spacing w:line="360" w:lineRule="atLeast"/>
        <w:rPr>
          <w:rFonts w:ascii="VIC" w:eastAsia="Calibri" w:hAnsi="VIC" w:cs="Times New Roman"/>
        </w:rPr>
      </w:pPr>
      <w:r>
        <w:rPr>
          <w:rFonts w:ascii="VIC" w:eastAsia="Calibri" w:hAnsi="VIC" w:cs="Times New Roman"/>
        </w:rPr>
        <w:t xml:space="preserve">Eligibility score: </w:t>
      </w:r>
      <w:r w:rsidRPr="004D307F">
        <w:rPr>
          <w:rFonts w:ascii="VIC" w:hAnsi="VIC" w:cstheme="minorHAnsi"/>
          <w:lang w:eastAsia="en-AU"/>
        </w:rPr>
        <w:t>≤</w:t>
      </w:r>
      <w:r>
        <w:rPr>
          <w:rFonts w:ascii="VIC" w:hAnsi="VIC" w:cstheme="minorHAnsi"/>
          <w:lang w:eastAsia="en-AU"/>
        </w:rPr>
        <w:t xml:space="preserve"> 1 Vic Curriculum</w:t>
      </w:r>
    </w:p>
    <w:p w14:paraId="15A08EEF" w14:textId="77777777" w:rsidR="004001DB" w:rsidRDefault="004001DB" w:rsidP="004001DB">
      <w:pPr>
        <w:spacing w:line="360" w:lineRule="atLeast"/>
        <w:rPr>
          <w:rFonts w:ascii="VIC" w:eastAsia="Calibri" w:hAnsi="VIC" w:cs="Times New Roman"/>
          <w:b/>
          <w:bCs/>
        </w:rPr>
      </w:pPr>
      <w:r>
        <w:rPr>
          <w:rFonts w:ascii="VIC" w:eastAsia="Calibri" w:hAnsi="VIC" w:cs="Times New Roman"/>
          <w:b/>
          <w:bCs/>
        </w:rPr>
        <w:t>Special schools</w:t>
      </w:r>
    </w:p>
    <w:p w14:paraId="4B982BAF" w14:textId="77777777" w:rsidR="004001DB" w:rsidRDefault="004001DB" w:rsidP="004001DB">
      <w:pPr>
        <w:spacing w:line="360" w:lineRule="atLeast"/>
        <w:rPr>
          <w:rFonts w:ascii="VIC" w:eastAsia="Calibri" w:hAnsi="VIC" w:cs="Times New Roman"/>
        </w:rPr>
      </w:pPr>
      <w:r>
        <w:rPr>
          <w:rFonts w:ascii="VIC" w:eastAsia="Calibri" w:hAnsi="VIC" w:cs="Times New Roman"/>
        </w:rPr>
        <w:t>Literacy/numeracy proxy: Not applicable</w:t>
      </w:r>
    </w:p>
    <w:p w14:paraId="27D0AFA5" w14:textId="77777777" w:rsidR="004001DB" w:rsidRDefault="004001DB" w:rsidP="004001DB">
      <w:pPr>
        <w:spacing w:line="360" w:lineRule="atLeast"/>
        <w:rPr>
          <w:rFonts w:ascii="VIC" w:eastAsia="Calibri" w:hAnsi="VIC" w:cs="Times New Roman"/>
        </w:rPr>
      </w:pPr>
      <w:r>
        <w:rPr>
          <w:rFonts w:ascii="VIC" w:eastAsia="Calibri" w:hAnsi="VIC" w:cs="Times New Roman"/>
        </w:rPr>
        <w:t>Eligibility criteria: Birth date</w:t>
      </w:r>
    </w:p>
    <w:p w14:paraId="0BEF02F8" w14:textId="77777777" w:rsidR="004001DB" w:rsidRDefault="004001DB" w:rsidP="004001DB">
      <w:pPr>
        <w:spacing w:line="360" w:lineRule="atLeast"/>
        <w:rPr>
          <w:rFonts w:ascii="VIC" w:eastAsia="Calibri" w:hAnsi="VIC" w:cs="Times New Roman"/>
        </w:rPr>
      </w:pPr>
      <w:r>
        <w:rPr>
          <w:rFonts w:ascii="VIC" w:eastAsia="Calibri" w:hAnsi="VIC" w:cs="Times New Roman"/>
        </w:rPr>
        <w:t>Data source: CASES21</w:t>
      </w:r>
    </w:p>
    <w:p w14:paraId="6B519625" w14:textId="481A7B98" w:rsidR="004001DB" w:rsidRPr="00150C12" w:rsidRDefault="004001DB" w:rsidP="004001DB">
      <w:pPr>
        <w:spacing w:line="360" w:lineRule="atLeast"/>
        <w:rPr>
          <w:rFonts w:ascii="VIC" w:eastAsia="Calibri" w:hAnsi="VIC" w:cs="Times New Roman"/>
        </w:rPr>
      </w:pPr>
      <w:r>
        <w:rPr>
          <w:rFonts w:ascii="VIC" w:eastAsia="Calibri" w:hAnsi="VIC" w:cs="Times New Roman"/>
        </w:rPr>
        <w:t xml:space="preserve">Eligibility score: Born between </w:t>
      </w:r>
      <w:r w:rsidR="005B0A79">
        <w:rPr>
          <w:rFonts w:ascii="VIC" w:eastAsia="Calibri" w:hAnsi="VIC" w:cs="Times New Roman"/>
        </w:rPr>
        <w:t xml:space="preserve">1 </w:t>
      </w:r>
      <w:r>
        <w:rPr>
          <w:rFonts w:ascii="VIC" w:eastAsia="Calibri" w:hAnsi="VIC" w:cs="Times New Roman"/>
        </w:rPr>
        <w:t xml:space="preserve">January in the current year minus </w:t>
      </w:r>
      <w:r w:rsidR="005B0A79">
        <w:rPr>
          <w:rFonts w:ascii="VIC" w:eastAsia="Calibri" w:hAnsi="VIC" w:cs="Times New Roman"/>
        </w:rPr>
        <w:t>9</w:t>
      </w:r>
      <w:r>
        <w:rPr>
          <w:rFonts w:ascii="VIC" w:eastAsia="Calibri" w:hAnsi="VIC" w:cs="Times New Roman"/>
        </w:rPr>
        <w:t xml:space="preserve"> years and 30 April of current year minus </w:t>
      </w:r>
      <w:r w:rsidR="005B0A79">
        <w:rPr>
          <w:rFonts w:ascii="VIC" w:eastAsia="Calibri" w:hAnsi="VIC" w:cs="Times New Roman"/>
        </w:rPr>
        <w:t>5</w:t>
      </w:r>
      <w:r>
        <w:rPr>
          <w:rFonts w:ascii="VIC" w:eastAsia="Calibri" w:hAnsi="VIC" w:cs="Times New Roman"/>
        </w:rPr>
        <w:t xml:space="preserve"> years. For example, in 2022 students are eligible if born between </w:t>
      </w:r>
      <w:r w:rsidR="005B0A79">
        <w:rPr>
          <w:rFonts w:ascii="VIC" w:eastAsia="Calibri" w:hAnsi="VIC" w:cs="Times New Roman"/>
        </w:rPr>
        <w:t xml:space="preserve">1 </w:t>
      </w:r>
      <w:r>
        <w:rPr>
          <w:rFonts w:ascii="VIC" w:eastAsia="Calibri" w:hAnsi="VIC" w:cs="Times New Roman"/>
        </w:rPr>
        <w:t>January 2013 (2022 – 9) and 30 April 2017 (2022 – 5).</w:t>
      </w:r>
    </w:p>
    <w:p w14:paraId="33F9F02B" w14:textId="77777777" w:rsidR="004001DB" w:rsidRPr="004D307F" w:rsidRDefault="004001DB" w:rsidP="004001DB">
      <w:pPr>
        <w:spacing w:line="360" w:lineRule="atLeast"/>
        <w:rPr>
          <w:rFonts w:ascii="VIC" w:eastAsia="Calibri" w:hAnsi="VIC" w:cs="Times New Roman"/>
        </w:rPr>
      </w:pPr>
      <w:r w:rsidRPr="004D307F">
        <w:rPr>
          <w:rFonts w:ascii="VIC" w:eastAsia="Calibri" w:hAnsi="VIC" w:cs="Times New Roman"/>
        </w:rPr>
        <w:t xml:space="preserve">Funding is provided at $1,700 per eligible </w:t>
      </w:r>
      <w:proofErr w:type="spellStart"/>
      <w:r w:rsidRPr="004D307F">
        <w:rPr>
          <w:rFonts w:ascii="VIC" w:eastAsia="Calibri" w:hAnsi="VIC" w:cs="Times New Roman"/>
        </w:rPr>
        <w:t>Koorie</w:t>
      </w:r>
      <w:proofErr w:type="spellEnd"/>
      <w:r w:rsidRPr="004D307F">
        <w:rPr>
          <w:rFonts w:ascii="VIC" w:eastAsia="Calibri" w:hAnsi="VIC" w:cs="Times New Roman"/>
        </w:rPr>
        <w:t xml:space="preserve"> student. Total funding to school = number of eligible students x $1700</w:t>
      </w:r>
    </w:p>
    <w:p w14:paraId="167F7CA9" w14:textId="77777777" w:rsidR="004001DB" w:rsidRPr="004D307F" w:rsidRDefault="004001DB" w:rsidP="004001DB">
      <w:pPr>
        <w:spacing w:line="360" w:lineRule="atLeast"/>
        <w:rPr>
          <w:rFonts w:ascii="VIC" w:hAnsi="VIC"/>
          <w:b/>
          <w:bCs/>
          <w:lang w:val="en-US"/>
        </w:rPr>
      </w:pPr>
      <w:r w:rsidRPr="004D307F">
        <w:rPr>
          <w:rFonts w:ascii="VIC" w:hAnsi="VIC"/>
          <w:b/>
          <w:bCs/>
          <w:lang w:val="en-US"/>
        </w:rPr>
        <w:t>Payment and management of funds</w:t>
      </w:r>
    </w:p>
    <w:p w14:paraId="33DE2D79" w14:textId="77777777" w:rsidR="004001DB" w:rsidRPr="004D307F" w:rsidRDefault="004001DB" w:rsidP="004001DB">
      <w:pPr>
        <w:spacing w:line="360" w:lineRule="atLeast"/>
        <w:rPr>
          <w:rFonts w:ascii="VIC" w:hAnsi="VIC"/>
        </w:rPr>
      </w:pPr>
      <w:r w:rsidRPr="004D307F">
        <w:rPr>
          <w:rFonts w:ascii="VIC" w:hAnsi="VIC"/>
        </w:rPr>
        <w:t xml:space="preserve">EYKLNP funds are paid to schools through the revised SRP. Funds are listed the School Budget Management Report under Targeted Initiatives. Schools should use funds in line with the acceptable use policy outlined in the program guidelines. Schools are expected to retain appropriate financial records relating to the administration of funding and should acquit revenue and all expenditure relating to the EYKLNP against CASES21 sub-program 9623. </w:t>
      </w:r>
    </w:p>
    <w:p w14:paraId="5574007D" w14:textId="488EB704" w:rsidR="00983CC8" w:rsidRPr="004D307F" w:rsidRDefault="004001DB" w:rsidP="004001DB">
      <w:pPr>
        <w:spacing w:line="360" w:lineRule="atLeast"/>
        <w:rPr>
          <w:rFonts w:ascii="VIC" w:hAnsi="VIC"/>
          <w:lang w:val="en-US"/>
        </w:rPr>
      </w:pPr>
      <w:r w:rsidRPr="004D307F">
        <w:rPr>
          <w:rFonts w:ascii="VIC" w:hAnsi="VIC"/>
          <w:lang w:val="en-US"/>
        </w:rPr>
        <w:t xml:space="preserve">Further information:  Additional information including program guidelines are available </w:t>
      </w:r>
      <w:r w:rsidRPr="00BE358B">
        <w:rPr>
          <w:rFonts w:ascii="VIC" w:hAnsi="VIC"/>
          <w:lang w:val="en-US"/>
        </w:rPr>
        <w:t xml:space="preserve">at </w:t>
      </w:r>
      <w:hyperlink r:id="rId156" w:history="1">
        <w:r w:rsidRPr="00BE358B">
          <w:rPr>
            <w:rStyle w:val="Hyperlink"/>
            <w:rFonts w:ascii="VIC" w:hAnsi="VIC" w:cs="Calibri"/>
            <w:lang w:val="en-US"/>
          </w:rPr>
          <w:t>Koorie Literacy and Numeracy Program implementation</w:t>
        </w:r>
      </w:hyperlink>
      <w:r w:rsidRPr="004D307F">
        <w:rPr>
          <w:rFonts w:ascii="VIC" w:hAnsi="VIC"/>
          <w:lang w:val="en-US"/>
        </w:rPr>
        <w:t xml:space="preserve"> </w:t>
      </w:r>
      <w:r w:rsidR="006951C5">
        <w:rPr>
          <w:rFonts w:ascii="VIC" w:hAnsi="VIC"/>
          <w:lang w:val="en-US"/>
        </w:rPr>
        <w:t xml:space="preserve">(staff login required). </w:t>
      </w:r>
      <w:r w:rsidRPr="004D307F">
        <w:rPr>
          <w:rFonts w:ascii="VIC" w:hAnsi="VIC"/>
          <w:lang w:val="en-US"/>
        </w:rPr>
        <w:t xml:space="preserve">For further enquiries, contact the coordinator </w:t>
      </w:r>
      <w:r w:rsidRPr="00BE358B">
        <w:rPr>
          <w:rFonts w:ascii="VIC" w:hAnsi="VIC"/>
          <w:lang w:val="en-US"/>
        </w:rPr>
        <w:t xml:space="preserve">at </w:t>
      </w:r>
      <w:hyperlink r:id="rId157" w:history="1">
        <w:r w:rsidRPr="00BE358B">
          <w:rPr>
            <w:rStyle w:val="Hyperlink"/>
            <w:rFonts w:ascii="VIC" w:hAnsi="VIC"/>
          </w:rPr>
          <w:t>koorielitnum@education.vic.gov.au</w:t>
        </w:r>
      </w:hyperlink>
      <w:r w:rsidRPr="004D307F">
        <w:rPr>
          <w:rFonts w:ascii="VIC" w:hAnsi="VIC"/>
          <w:lang w:val="en-US"/>
        </w:rPr>
        <w:t xml:space="preserve"> or </w:t>
      </w:r>
      <w:r>
        <w:rPr>
          <w:rFonts w:ascii="VIC" w:hAnsi="VIC"/>
          <w:lang w:val="en-US"/>
        </w:rPr>
        <w:t xml:space="preserve">03 </w:t>
      </w:r>
      <w:r w:rsidRPr="004D307F">
        <w:rPr>
          <w:rFonts w:ascii="VIC" w:hAnsi="VIC"/>
          <w:lang w:val="en-US"/>
        </w:rPr>
        <w:t>7022 1869</w:t>
      </w:r>
      <w:r w:rsidR="00983CC8" w:rsidRPr="004D307F">
        <w:rPr>
          <w:rFonts w:ascii="VIC" w:hAnsi="VIC"/>
          <w:lang w:val="en-US"/>
        </w:rPr>
        <w:t xml:space="preserve">. </w:t>
      </w:r>
    </w:p>
    <w:p w14:paraId="4AE6A493" w14:textId="77777777" w:rsidR="004F6FD9" w:rsidRPr="004D307F" w:rsidRDefault="004F6FD9">
      <w:pPr>
        <w:rPr>
          <w:rFonts w:asciiTheme="majorHAnsi" w:eastAsia="Calibri" w:hAnsiTheme="majorHAnsi" w:cstheme="majorBidi"/>
          <w:b/>
          <w:color w:val="2F5496" w:themeColor="accent1" w:themeShade="BF"/>
          <w:sz w:val="36"/>
          <w:szCs w:val="26"/>
          <w:lang w:val="en" w:eastAsia="en-AU"/>
        </w:rPr>
      </w:pPr>
      <w:r w:rsidRPr="004D307F">
        <w:br w:type="page"/>
      </w:r>
    </w:p>
    <w:p w14:paraId="7AA3C834" w14:textId="010F8179" w:rsidR="00EA34C0" w:rsidRPr="004D307F" w:rsidRDefault="00EA34C0" w:rsidP="00B566E7">
      <w:pPr>
        <w:pStyle w:val="Heading2"/>
      </w:pPr>
      <w:bookmarkStart w:id="103" w:name="_Toc99882775"/>
      <w:r w:rsidRPr="004D307F">
        <w:lastRenderedPageBreak/>
        <w:t>Doctors in Secondary Schools — School program lead funding (Reference 64)</w:t>
      </w:r>
      <w:bookmarkEnd w:id="103"/>
    </w:p>
    <w:p w14:paraId="784467DA"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hyperlink r:id="rId158" w:history="1">
        <w:r w:rsidRPr="004D307F">
          <w:rPr>
            <w:rFonts w:ascii="VIC" w:eastAsia="Times New Roman" w:hAnsi="VIC" w:cs="Times New Roman"/>
            <w:color w:val="011A3C"/>
            <w:sz w:val="24"/>
            <w:szCs w:val="24"/>
            <w:lang w:val="en" w:eastAsia="en-AU"/>
          </w:rPr>
          <w:t>Doctors in Secondary Schools Program</w:t>
        </w:r>
      </w:hyperlink>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t>
      </w:r>
      <w:proofErr w:type="spellStart"/>
      <w:r w:rsidRPr="004D307F">
        <w:rPr>
          <w:rFonts w:ascii="VIC" w:eastAsia="Times New Roman" w:hAnsi="VIC" w:cs="Times New Roman"/>
          <w:color w:val="011A3C"/>
          <w:sz w:val="24"/>
          <w:szCs w:val="24"/>
          <w:lang w:val="en" w:eastAsia="en-AU"/>
        </w:rPr>
        <w:t>DiSS</w:t>
      </w:r>
      <w:proofErr w:type="spellEnd"/>
      <w:r w:rsidRPr="004D307F">
        <w:rPr>
          <w:rFonts w:ascii="VIC" w:eastAsia="Times New Roman" w:hAnsi="VIC" w:cs="Times New Roman"/>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initiative is underway, funding general practitioners (GPs) and practice nurses to attend 100 Victorian government secondary schools up to one day a week to provide medical advice and health care to those students most in need.</w:t>
      </w:r>
      <w:r w:rsidRPr="004D307F">
        <w:rPr>
          <w:rFonts w:ascii="Calibri" w:eastAsia="Times New Roman" w:hAnsi="Calibri" w:cs="Calibri" w:hint="eastAsia"/>
          <w:color w:val="011A3C"/>
          <w:sz w:val="24"/>
          <w:szCs w:val="24"/>
          <w:lang w:val="en" w:eastAsia="en-AU"/>
        </w:rPr>
        <w:t> </w:t>
      </w:r>
    </w:p>
    <w:p w14:paraId="735104DD"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School program lead funding</w:t>
      </w:r>
    </w:p>
    <w:p w14:paraId="06347711"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will be required to appoint a Leading Teacher to hold overall responsibility for program coordination duties for the school.</w:t>
      </w:r>
    </w:p>
    <w:p w14:paraId="25C8867E" w14:textId="6E1EE4E8"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will be provided with the funding equivalent to 0.2 FTE at Leading Teacher Level 3.1 pay rate to support this. This funding will extend from each school's implementation start date until the end of the 202</w:t>
      </w:r>
      <w:r w:rsidR="005F3BD1"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school year.</w:t>
      </w:r>
    </w:p>
    <w:p w14:paraId="18DC55E9"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responsibility for coordination of the program within the school can also rest with an Assistant </w:t>
      </w:r>
      <w:proofErr w:type="gramStart"/>
      <w:r w:rsidRPr="004D307F">
        <w:rPr>
          <w:rFonts w:ascii="VIC" w:eastAsia="Times New Roman" w:hAnsi="VIC" w:cs="Times New Roman"/>
          <w:color w:val="011A3C"/>
          <w:sz w:val="24"/>
          <w:szCs w:val="24"/>
          <w:lang w:val="en" w:eastAsia="en-AU"/>
        </w:rPr>
        <w:t>Principal, if</w:t>
      </w:r>
      <w:proofErr w:type="gramEnd"/>
      <w:r w:rsidRPr="004D307F">
        <w:rPr>
          <w:rFonts w:ascii="VIC" w:eastAsia="Times New Roman" w:hAnsi="VIC" w:cs="Times New Roman"/>
          <w:color w:val="011A3C"/>
          <w:sz w:val="24"/>
          <w:szCs w:val="24"/>
          <w:lang w:val="en" w:eastAsia="en-AU"/>
        </w:rPr>
        <w:t xml:space="preserve"> that is more appropriate than a Leading Teacher. However, if a school appoints an Assistant Principal to the School Program Lead role, the school will still receive the same amount of funding as if a Leading Teacher were appointed.</w:t>
      </w:r>
    </w:p>
    <w:p w14:paraId="4DED19EC" w14:textId="77777777" w:rsidR="00006C3B" w:rsidRPr="004D307F" w:rsidRDefault="00006C3B" w:rsidP="00006C3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1C084B74" w14:textId="77777777" w:rsidR="00006C3B" w:rsidRPr="004D307F" w:rsidRDefault="00006C3B" w:rsidP="00006C3B">
      <w:pPr>
        <w:rPr>
          <w:rFonts w:ascii="VIC" w:eastAsia="Times New Roman" w:hAnsi="VIC" w:cs="Times New Roman"/>
          <w:color w:val="323E4F" w:themeColor="text2" w:themeShade="BF"/>
          <w:sz w:val="24"/>
          <w:szCs w:val="24"/>
          <w:lang w:val="en" w:eastAsia="en-AU"/>
        </w:rPr>
      </w:pPr>
      <w:r w:rsidRPr="004D307F">
        <w:rPr>
          <w:rFonts w:ascii="VIC" w:eastAsia="Times New Roman" w:hAnsi="VIC" w:cs="Times New Roman"/>
          <w:color w:val="011A3C"/>
          <w:sz w:val="24"/>
          <w:szCs w:val="24"/>
          <w:lang w:val="en" w:eastAsia="en-AU"/>
        </w:rPr>
        <w:t xml:space="preserve">Schools with </w:t>
      </w:r>
      <w:r w:rsidRPr="004D307F">
        <w:rPr>
          <w:rFonts w:ascii="VIC" w:eastAsia="Times New Roman" w:hAnsi="VIC" w:cs="Times New Roman"/>
          <w:color w:val="323E4F" w:themeColor="text2" w:themeShade="BF"/>
          <w:sz w:val="24"/>
          <w:szCs w:val="24"/>
          <w:lang w:val="en" w:eastAsia="en-AU"/>
        </w:rPr>
        <w:t xml:space="preserve">the following campus types are eligible for </w:t>
      </w:r>
      <w:proofErr w:type="spellStart"/>
      <w:r w:rsidRPr="004D307F">
        <w:rPr>
          <w:rFonts w:ascii="VIC" w:eastAsia="Times New Roman" w:hAnsi="VIC" w:cs="Times New Roman"/>
          <w:color w:val="323E4F" w:themeColor="text2" w:themeShade="BF"/>
          <w:sz w:val="24"/>
          <w:szCs w:val="24"/>
          <w:lang w:val="en" w:eastAsia="en-AU"/>
        </w:rPr>
        <w:t>DiSS</w:t>
      </w:r>
      <w:proofErr w:type="spellEnd"/>
      <w:r w:rsidRPr="004D307F">
        <w:rPr>
          <w:rFonts w:ascii="VIC" w:eastAsia="Times New Roman" w:hAnsi="VIC" w:cs="Times New Roman"/>
          <w:color w:val="323E4F" w:themeColor="text2" w:themeShade="BF"/>
          <w:sz w:val="24"/>
          <w:szCs w:val="24"/>
          <w:lang w:val="en" w:eastAsia="en-AU"/>
        </w:rPr>
        <w:t xml:space="preserve"> Funding at school level.</w:t>
      </w:r>
    </w:p>
    <w:p w14:paraId="05435705" w14:textId="77777777" w:rsidR="00006C3B" w:rsidRPr="004D307F" w:rsidRDefault="00006C3B" w:rsidP="00ED0863">
      <w:pPr>
        <w:pStyle w:val="ListParagraph"/>
        <w:numPr>
          <w:ilvl w:val="0"/>
          <w:numId w:val="80"/>
        </w:numPr>
        <w:rPr>
          <w:rFonts w:ascii="VIC" w:eastAsia="Times New Roman" w:hAnsi="VIC" w:cs="Times New Roman"/>
          <w:color w:val="323E4F" w:themeColor="text2" w:themeShade="BF"/>
          <w:sz w:val="24"/>
          <w:szCs w:val="24"/>
          <w:lang w:val="en" w:eastAsia="en-AU"/>
        </w:rPr>
      </w:pPr>
      <w:r w:rsidRPr="004D307F">
        <w:rPr>
          <w:rFonts w:ascii="VIC" w:hAnsi="VIC"/>
          <w:color w:val="323E4F" w:themeColor="text2" w:themeShade="BF"/>
          <w:lang w:val="en-US"/>
        </w:rPr>
        <w:t>Secondary</w:t>
      </w:r>
    </w:p>
    <w:p w14:paraId="036DFEF0" w14:textId="2C9EBD2C" w:rsidR="00006C3B" w:rsidRPr="004D307F" w:rsidRDefault="00006C3B" w:rsidP="00ED0863">
      <w:pPr>
        <w:pStyle w:val="ListParagraph"/>
        <w:numPr>
          <w:ilvl w:val="0"/>
          <w:numId w:val="54"/>
        </w:numPr>
        <w:rPr>
          <w:rFonts w:ascii="VIC" w:eastAsia="Times New Roman" w:hAnsi="VIC" w:cs="Times New Roman"/>
          <w:color w:val="323E4F" w:themeColor="text2" w:themeShade="BF"/>
          <w:sz w:val="24"/>
          <w:szCs w:val="24"/>
          <w:lang w:val="en" w:eastAsia="en-AU"/>
        </w:rPr>
      </w:pPr>
      <w:r w:rsidRPr="004D307F">
        <w:rPr>
          <w:rFonts w:ascii="VIC" w:hAnsi="VIC"/>
          <w:color w:val="323E4F" w:themeColor="text2" w:themeShade="BF"/>
          <w:lang w:val="en-US"/>
        </w:rPr>
        <w:t>Pri</w:t>
      </w:r>
      <w:r w:rsidR="001F2ECD" w:rsidRPr="004D307F">
        <w:rPr>
          <w:rFonts w:ascii="VIC" w:hAnsi="VIC"/>
          <w:color w:val="323E4F" w:themeColor="text2" w:themeShade="BF"/>
          <w:lang w:val="en-US"/>
        </w:rPr>
        <w:t>mary</w:t>
      </w:r>
      <w:r w:rsidRPr="004D307F">
        <w:rPr>
          <w:rFonts w:ascii="VIC" w:hAnsi="VIC"/>
          <w:color w:val="323E4F" w:themeColor="text2" w:themeShade="BF"/>
          <w:lang w:val="en-US"/>
        </w:rPr>
        <w:t>/</w:t>
      </w:r>
      <w:r w:rsidR="001F2ECD" w:rsidRPr="004D307F">
        <w:rPr>
          <w:rFonts w:ascii="VIC" w:hAnsi="VIC"/>
          <w:color w:val="323E4F" w:themeColor="text2" w:themeShade="BF"/>
          <w:lang w:val="en-US"/>
        </w:rPr>
        <w:t>S</w:t>
      </w:r>
      <w:r w:rsidRPr="004D307F">
        <w:rPr>
          <w:rFonts w:ascii="VIC" w:hAnsi="VIC"/>
          <w:color w:val="323E4F" w:themeColor="text2" w:themeShade="BF"/>
          <w:lang w:val="en-US"/>
        </w:rPr>
        <w:t>ec</w:t>
      </w:r>
      <w:r w:rsidR="001F2ECD" w:rsidRPr="004D307F">
        <w:rPr>
          <w:rFonts w:ascii="VIC" w:hAnsi="VIC"/>
          <w:color w:val="323E4F" w:themeColor="text2" w:themeShade="BF"/>
          <w:lang w:val="en-US"/>
        </w:rPr>
        <w:t>ondary Combined</w:t>
      </w:r>
    </w:p>
    <w:p w14:paraId="2DD9DF6E" w14:textId="77777777" w:rsidR="00006C3B" w:rsidRPr="004D307F" w:rsidRDefault="00006C3B" w:rsidP="00006C3B">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calculated at the Indicative budget cycle, through credit funding.</w:t>
      </w:r>
    </w:p>
    <w:p w14:paraId="1A5D592D" w14:textId="77777777" w:rsidR="00006C3B" w:rsidRPr="004D307F" w:rsidRDefault="00006C3B" w:rsidP="009B1B1C">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Calculation</w:t>
      </w:r>
    </w:p>
    <w:p w14:paraId="0A32E180" w14:textId="77777777" w:rsidR="00006C3B" w:rsidRPr="004D307F" w:rsidRDefault="00006C3B" w:rsidP="00006C3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Funding</w:t>
      </w:r>
      <w:r w:rsidRPr="004D307F">
        <w:rPr>
          <w:rFonts w:ascii="VIC" w:eastAsia="Times New Roman" w:hAnsi="VIC" w:cs="Times New Roman"/>
          <w:color w:val="011A3C"/>
          <w:sz w:val="24"/>
          <w:szCs w:val="24"/>
          <w:lang w:val="en" w:eastAsia="en-AU"/>
        </w:rPr>
        <w:t xml:space="preserve"> = Leading Teacher Level 3.1 x 0.2 FTE</w:t>
      </w:r>
    </w:p>
    <w:p w14:paraId="52CAECD9" w14:textId="5745B3B2" w:rsidR="00006C3B" w:rsidRPr="004D307F" w:rsidRDefault="00006C3B" w:rsidP="00006C3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t>
      </w:r>
      <w:r w:rsidR="009A130D" w:rsidRPr="004D307F">
        <w:rPr>
          <w:rFonts w:ascii="VIC" w:eastAsia="Times New Roman" w:hAnsi="VIC" w:cs="Times New Roman"/>
          <w:color w:val="011A3C"/>
          <w:sz w:val="24"/>
          <w:szCs w:val="24"/>
          <w:lang w:val="en" w:eastAsia="en-AU"/>
        </w:rPr>
        <w:t>Student Resource Package (</w:t>
      </w:r>
      <w:r w:rsidRPr="004D307F">
        <w:rPr>
          <w:rFonts w:ascii="VIC" w:eastAsia="Times New Roman" w:hAnsi="VIC" w:cs="Times New Roman"/>
          <w:color w:val="011A3C"/>
          <w:sz w:val="24"/>
          <w:szCs w:val="24"/>
          <w:lang w:val="en" w:eastAsia="en-AU"/>
        </w:rPr>
        <w:t>SRP</w:t>
      </w:r>
      <w:r w:rsidR="009A130D"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Indexation has been applied to the rate annually since commencement.</w:t>
      </w:r>
    </w:p>
    <w:p w14:paraId="0E230D4E" w14:textId="634B1754" w:rsidR="00EA34C0" w:rsidRPr="004D307F" w:rsidRDefault="00EA34C0" w:rsidP="004D1CF3">
      <w:pPr>
        <w:keepNext/>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Responsibilities of the school program lead</w:t>
      </w:r>
    </w:p>
    <w:p w14:paraId="71C2329D" w14:textId="75FABBBC"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Doctors in Secondary Schools Program Lead is responsible for providing leadership in the school around the implementation of the </w:t>
      </w:r>
      <w:r w:rsidR="00EF1322" w:rsidRPr="004D307F">
        <w:rPr>
          <w:rFonts w:ascii="VIC" w:eastAsia="Times New Roman" w:hAnsi="VIC" w:cs="Times New Roman"/>
          <w:color w:val="011A3C"/>
          <w:sz w:val="24"/>
          <w:szCs w:val="24"/>
          <w:lang w:val="en" w:eastAsia="en-AU"/>
        </w:rPr>
        <w:t>program and</w:t>
      </w:r>
      <w:r w:rsidRPr="004D307F">
        <w:rPr>
          <w:rFonts w:ascii="VIC" w:eastAsia="Times New Roman" w:hAnsi="VIC" w:cs="Times New Roman"/>
          <w:color w:val="011A3C"/>
          <w:sz w:val="24"/>
          <w:szCs w:val="24"/>
          <w:lang w:val="en" w:eastAsia="en-AU"/>
        </w:rPr>
        <w:t xml:space="preserve"> plays a crucial role in leading the partnership between the health and education sectors as part of the </w:t>
      </w:r>
      <w:proofErr w:type="spellStart"/>
      <w:r w:rsidRPr="004D307F">
        <w:rPr>
          <w:rFonts w:ascii="VIC" w:eastAsia="Times New Roman" w:hAnsi="VIC" w:cs="Times New Roman"/>
          <w:color w:val="011A3C"/>
          <w:sz w:val="24"/>
          <w:szCs w:val="24"/>
          <w:lang w:val="en" w:eastAsia="en-AU"/>
        </w:rPr>
        <w:t>DiSS</w:t>
      </w:r>
      <w:proofErr w:type="spellEnd"/>
      <w:r w:rsidRPr="004D307F">
        <w:rPr>
          <w:rFonts w:ascii="VIC" w:eastAsia="Times New Roman" w:hAnsi="VIC" w:cs="Times New Roman"/>
          <w:color w:val="011A3C"/>
          <w:sz w:val="24"/>
          <w:szCs w:val="24"/>
          <w:lang w:val="en" w:eastAsia="en-AU"/>
        </w:rPr>
        <w:t xml:space="preserve"> program. This includes:</w:t>
      </w:r>
    </w:p>
    <w:p w14:paraId="421CA39A"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support the GP to deliver youth-friendly primary health care to the student population</w:t>
      </w:r>
    </w:p>
    <w:p w14:paraId="5FBD1A71"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collaborate with the practice nurse to ensure effective management of the service, including appointment systems</w:t>
      </w:r>
    </w:p>
    <w:p w14:paraId="74AC5689"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integrate the GP service into the broader health and wellbeing offering of the school</w:t>
      </w:r>
    </w:p>
    <w:p w14:paraId="1280BEC8" w14:textId="59942325"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provide leadership around parent/</w:t>
      </w:r>
      <w:proofErr w:type="spellStart"/>
      <w:r w:rsidRPr="004D307F">
        <w:rPr>
          <w:rFonts w:ascii="VIC" w:eastAsia="Times New Roman" w:hAnsi="VIC" w:cs="Times New Roman"/>
          <w:color w:val="011A3C"/>
          <w:sz w:val="24"/>
          <w:szCs w:val="24"/>
          <w:lang w:val="en" w:eastAsia="en-AU"/>
        </w:rPr>
        <w:t>carer</w:t>
      </w:r>
      <w:proofErr w:type="spellEnd"/>
      <w:r w:rsidRPr="004D307F">
        <w:rPr>
          <w:rFonts w:ascii="VIC" w:eastAsia="Times New Roman" w:hAnsi="VIC" w:cs="Times New Roman"/>
          <w:color w:val="011A3C"/>
          <w:sz w:val="24"/>
          <w:szCs w:val="24"/>
          <w:lang w:val="en" w:eastAsia="en-AU"/>
        </w:rPr>
        <w:t>/broader school community involvement in the Doctors in Secondary Schools program</w:t>
      </w:r>
    </w:p>
    <w:p w14:paraId="7023BF9E"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supporting the programs strategic planning to ensure a high-quality service that is trusted, fully </w:t>
      </w:r>
      <w:proofErr w:type="spellStart"/>
      <w:r w:rsidRPr="004D307F">
        <w:rPr>
          <w:rFonts w:ascii="VIC" w:eastAsia="Times New Roman" w:hAnsi="VIC" w:cs="Times New Roman"/>
          <w:color w:val="011A3C"/>
          <w:sz w:val="24"/>
          <w:szCs w:val="24"/>
          <w:lang w:val="en" w:eastAsia="en-AU"/>
        </w:rPr>
        <w:t>utilised</w:t>
      </w:r>
      <w:proofErr w:type="spellEnd"/>
      <w:r w:rsidRPr="004D307F">
        <w:rPr>
          <w:rFonts w:ascii="VIC" w:eastAsia="Times New Roman" w:hAnsi="VIC" w:cs="Times New Roman"/>
          <w:color w:val="011A3C"/>
          <w:sz w:val="24"/>
          <w:szCs w:val="24"/>
          <w:lang w:val="en" w:eastAsia="en-AU"/>
        </w:rPr>
        <w:t xml:space="preserve"> and youth friendly</w:t>
      </w:r>
    </w:p>
    <w:p w14:paraId="267AFCBF"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promoting the service to the students and the broader school community and linking the clinical team with other members of school staff</w:t>
      </w:r>
    </w:p>
    <w:p w14:paraId="573EF80A"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ensure compliance to relevant privacy legislation and provide a child safe environment in accordance with the </w:t>
      </w:r>
      <w:hyperlink r:id="rId159" w:history="1">
        <w:r w:rsidRPr="004D307F">
          <w:rPr>
            <w:rFonts w:ascii="VIC" w:eastAsia="Times New Roman" w:hAnsi="VIC" w:cs="Times New Roman"/>
            <w:color w:val="011A3C"/>
            <w:sz w:val="24"/>
            <w:szCs w:val="24"/>
            <w:lang w:val="en" w:eastAsia="en-AU"/>
          </w:rPr>
          <w:t>Child Safe Standards</w:t>
        </w:r>
      </w:hyperlink>
    </w:p>
    <w:p w14:paraId="25BE6A81" w14:textId="77777777" w:rsidR="00EA34C0" w:rsidRPr="004D307F" w:rsidRDefault="00EA34C0" w:rsidP="00ED0863">
      <w:pPr>
        <w:numPr>
          <w:ilvl w:val="0"/>
          <w:numId w:val="6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build a positive relationship with the local GP practice and facilitate partnerships with community health providers for the benefit of the student population</w:t>
      </w:r>
    </w:p>
    <w:p w14:paraId="1508ACA9"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Further information</w:t>
      </w:r>
    </w:p>
    <w:p w14:paraId="08D4820D" w14:textId="77777777" w:rsidR="00EA34C0" w:rsidRPr="004D307F" w:rsidRDefault="00A35420" w:rsidP="00ED0863">
      <w:pPr>
        <w:numPr>
          <w:ilvl w:val="0"/>
          <w:numId w:val="67"/>
        </w:numPr>
        <w:spacing w:before="100" w:beforeAutospacing="1" w:after="100" w:afterAutospacing="1" w:line="360" w:lineRule="atLeast"/>
        <w:rPr>
          <w:rFonts w:ascii="VIC" w:eastAsia="Times New Roman" w:hAnsi="VIC" w:cs="Times New Roman"/>
          <w:color w:val="011A3C"/>
          <w:sz w:val="24"/>
          <w:szCs w:val="24"/>
          <w:lang w:val="en" w:eastAsia="en-AU"/>
        </w:rPr>
      </w:pPr>
      <w:hyperlink r:id="rId160" w:history="1">
        <w:r w:rsidR="00EA34C0" w:rsidRPr="004D307F">
          <w:rPr>
            <w:rFonts w:ascii="VIC" w:eastAsia="Times New Roman" w:hAnsi="VIC" w:cs="Times New Roman"/>
            <w:color w:val="011A3C"/>
            <w:sz w:val="24"/>
            <w:szCs w:val="24"/>
            <w:lang w:val="en" w:eastAsia="en-AU"/>
          </w:rPr>
          <w:t>Doctors in Secondary Schools</w:t>
        </w:r>
        <w:r w:rsidR="00EA34C0" w:rsidRPr="004D307F">
          <w:rPr>
            <w:rFonts w:ascii="Cambria Math" w:eastAsia="Times New Roman" w:hAnsi="Cambria Math" w:cs="Cambria Math"/>
            <w:color w:val="011A3C"/>
            <w:sz w:val="24"/>
            <w:szCs w:val="24"/>
            <w:lang w:val="en" w:eastAsia="en-AU"/>
          </w:rPr>
          <w:t>​</w:t>
        </w:r>
      </w:hyperlink>
    </w:p>
    <w:p w14:paraId="6BA8642A" w14:textId="5E9488D1" w:rsidR="00EA34C0" w:rsidRPr="004D307F" w:rsidRDefault="00EA34C0" w:rsidP="00ED0863">
      <w:pPr>
        <w:numPr>
          <w:ilvl w:val="0"/>
          <w:numId w:val="6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Contact</w:t>
      </w:r>
      <w:r w:rsidRPr="004D307F">
        <w:rPr>
          <w:rFonts w:ascii="Calibri" w:eastAsia="Times New Roman" w:hAnsi="Calibri" w:cs="Calibri" w:hint="eastAsia"/>
          <w:color w:val="011A3C"/>
          <w:sz w:val="24"/>
          <w:szCs w:val="24"/>
          <w:lang w:val="en" w:eastAsia="en-AU"/>
        </w:rPr>
        <w:t> </w:t>
      </w:r>
      <w:hyperlink r:id="rId161" w:history="1">
        <w:r w:rsidR="00DD4FDB" w:rsidRPr="004D307F">
          <w:rPr>
            <w:rStyle w:val="Hyperlink"/>
            <w:rFonts w:ascii="VIC" w:eastAsia="Times New Roman" w:hAnsi="VIC" w:cs="Times New Roman"/>
            <w:sz w:val="24"/>
            <w:szCs w:val="24"/>
            <w:lang w:val="en" w:eastAsia="en-AU"/>
          </w:rPr>
          <w:t>doctors.in.schools@education.vic.gov.au</w:t>
        </w:r>
      </w:hyperlink>
    </w:p>
    <w:p w14:paraId="36178FBA" w14:textId="77777777" w:rsidR="00EA34C0" w:rsidRPr="004D307F" w:rsidRDefault="00EA34C0" w:rsidP="00EA34C0">
      <w:pPr>
        <w:rPr>
          <w:rFonts w:ascii="VIC" w:hAnsi="VIC"/>
        </w:rPr>
      </w:pPr>
      <w:r w:rsidRPr="004D307F">
        <w:rPr>
          <w:rFonts w:ascii="VIC" w:hAnsi="VIC"/>
        </w:rPr>
        <w:br w:type="page"/>
      </w:r>
    </w:p>
    <w:p w14:paraId="00E8BC5D" w14:textId="32E84E10" w:rsidR="00EA34C0" w:rsidRPr="004D307F" w:rsidRDefault="00EA34C0" w:rsidP="00B566E7">
      <w:pPr>
        <w:pStyle w:val="Heading2"/>
      </w:pPr>
      <w:bookmarkStart w:id="104" w:name="_Toc99882776"/>
      <w:r w:rsidRPr="004D307F">
        <w:lastRenderedPageBreak/>
        <w:t>Career Education Funding (Ref</w:t>
      </w:r>
      <w:r w:rsidR="003E5908" w:rsidRPr="004D307F">
        <w:t>erence</w:t>
      </w:r>
      <w:r w:rsidRPr="004D307F">
        <w:t xml:space="preserve"> 91)</w:t>
      </w:r>
      <w:bookmarkEnd w:id="104"/>
    </w:p>
    <w:p w14:paraId="7B8EDC13"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bookmarkStart w:id="105" w:name="_Hlk50545369"/>
      <w:r w:rsidRPr="004D307F">
        <w:rPr>
          <w:rFonts w:ascii="VIC" w:eastAsia="Times New Roman" w:hAnsi="VIC" w:cs="Times New Roman"/>
          <w:color w:val="011A3C"/>
          <w:sz w:val="24"/>
          <w:szCs w:val="24"/>
          <w:lang w:val="en" w:eastAsia="en-AU"/>
        </w:rPr>
        <w:t>Career Education Funding (CEF) supports schools to provide career education activities for all students in Years 7 to 12.</w:t>
      </w:r>
    </w:p>
    <w:p w14:paraId="329DD01F"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replaced managed individual pathways (MIPs) funding in 2019.</w:t>
      </w:r>
    </w:p>
    <w:p w14:paraId="6B460702" w14:textId="324090B1"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CEF accountability and reporting requirements are available at </w:t>
      </w:r>
      <w:hyperlink r:id="rId162" w:history="1">
        <w:r w:rsidR="00EA6F80" w:rsidRPr="004D307F">
          <w:rPr>
            <w:rStyle w:val="Hyperlink"/>
            <w:rFonts w:ascii="VIC" w:eastAsia="Times New Roman" w:hAnsi="VIC" w:cs="Times New Roman"/>
            <w:lang w:val="en" w:eastAsia="en-AU"/>
          </w:rPr>
          <w:t xml:space="preserve">Career Education Funding </w:t>
        </w:r>
        <w:r w:rsidR="00EA6F80" w:rsidRPr="004D307F">
          <w:rPr>
            <w:rStyle w:val="Hyperlink"/>
            <w:rFonts w:ascii="VIC" w:eastAsia="Times New Roman" w:hAnsi="VIC" w:cs="Times New Roman" w:hint="eastAsia"/>
            <w:lang w:val="en" w:eastAsia="en-AU"/>
          </w:rPr>
          <w:t>–</w:t>
        </w:r>
        <w:r w:rsidR="00EA6F80" w:rsidRPr="004D307F">
          <w:rPr>
            <w:rStyle w:val="Hyperlink"/>
            <w:rFonts w:ascii="VIC" w:eastAsia="Times New Roman" w:hAnsi="VIC" w:cs="Times New Roman"/>
            <w:lang w:val="en" w:eastAsia="en-AU"/>
          </w:rPr>
          <w:t xml:space="preserve"> Accountability and Reporting Requirements</w:t>
        </w:r>
      </w:hyperlink>
      <w:r w:rsidRPr="004D307F">
        <w:rPr>
          <w:rFonts w:ascii="VIC" w:eastAsia="Times New Roman" w:hAnsi="VIC" w:cs="Times New Roman"/>
          <w:color w:val="011A3C"/>
          <w:sz w:val="24"/>
          <w:szCs w:val="24"/>
          <w:lang w:val="en" w:eastAsia="en-AU"/>
        </w:rPr>
        <w:t>.</w:t>
      </w:r>
    </w:p>
    <w:p w14:paraId="7887B815"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bookmarkStart w:id="106" w:name="_Hlk74755711"/>
      <w:r w:rsidRPr="004D307F">
        <w:rPr>
          <w:rFonts w:ascii="VIC" w:eastAsia="Times New Roman" w:hAnsi="VIC" w:cs="Times New Roman"/>
          <w:b/>
          <w:bCs/>
          <w:color w:val="011A3C"/>
          <w:sz w:val="27"/>
          <w:szCs w:val="27"/>
          <w:lang w:val="en" w:eastAsia="en-AU"/>
        </w:rPr>
        <w:t>Funding and Eligibility</w:t>
      </w:r>
    </w:p>
    <w:p w14:paraId="09ADEE40" w14:textId="3DA35DD6"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Eligible School </w:t>
      </w:r>
      <w:r w:rsidR="00081E3C" w:rsidRPr="004D307F">
        <w:rPr>
          <w:rFonts w:ascii="VIC" w:eastAsia="Times New Roman" w:hAnsi="VIC" w:cs="Times New Roman"/>
          <w:color w:val="011A3C"/>
          <w:sz w:val="24"/>
          <w:szCs w:val="24"/>
          <w:lang w:val="en" w:eastAsia="en-AU"/>
        </w:rPr>
        <w:t xml:space="preserve">or </w:t>
      </w:r>
      <w:r w:rsidR="00B52991" w:rsidRPr="004D307F">
        <w:rPr>
          <w:rFonts w:ascii="VIC" w:eastAsia="Times New Roman" w:hAnsi="VIC" w:cs="Times New Roman"/>
          <w:color w:val="011A3C"/>
          <w:sz w:val="24"/>
          <w:szCs w:val="24"/>
          <w:lang w:val="en" w:eastAsia="en-AU"/>
        </w:rPr>
        <w:t xml:space="preserve">Campus </w:t>
      </w:r>
      <w:r w:rsidRPr="004D307F">
        <w:rPr>
          <w:rFonts w:ascii="VIC" w:eastAsia="Times New Roman" w:hAnsi="VIC" w:cs="Times New Roman"/>
          <w:color w:val="011A3C"/>
          <w:sz w:val="24"/>
          <w:szCs w:val="24"/>
          <w:lang w:val="en" w:eastAsia="en-AU"/>
        </w:rPr>
        <w:t>Types:</w:t>
      </w:r>
    </w:p>
    <w:bookmarkEnd w:id="105"/>
    <w:p w14:paraId="7099C106" w14:textId="77777777" w:rsidR="00EA34C0" w:rsidRPr="004D307F" w:rsidRDefault="00EA34C0"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558EF0B9" w14:textId="77777777" w:rsidR="00EA34C0" w:rsidRPr="004D307F" w:rsidRDefault="00EA34C0"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37DA91D8" w14:textId="3F53A452" w:rsidR="0003603B" w:rsidRPr="004D307F" w:rsidRDefault="00EA34C0"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Special</w:t>
      </w:r>
    </w:p>
    <w:p w14:paraId="26ECD443" w14:textId="31104407" w:rsidR="00B13202" w:rsidRPr="004D307F" w:rsidRDefault="00B13202"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Spec Dev</w:t>
      </w:r>
    </w:p>
    <w:p w14:paraId="1F5DF57B" w14:textId="77777777" w:rsidR="00342526" w:rsidRPr="004D307F" w:rsidRDefault="00EA34C0"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Language</w:t>
      </w:r>
    </w:p>
    <w:p w14:paraId="106D2ADD" w14:textId="729F3823" w:rsidR="00081E3C" w:rsidRPr="004D307F" w:rsidRDefault="00081E3C" w:rsidP="00ED0863">
      <w:pPr>
        <w:numPr>
          <w:ilvl w:val="0"/>
          <w:numId w:val="7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Victorian College of the Deaf </w:t>
      </w:r>
    </w:p>
    <w:bookmarkEnd w:id="106"/>
    <w:p w14:paraId="047F81C7" w14:textId="381C2045" w:rsidR="00E177EC" w:rsidRPr="004D307F" w:rsidRDefault="00B52991" w:rsidP="00E177EC">
      <w:pPr>
        <w:spacing w:before="100" w:beforeAutospacing="1" w:after="100" w:afterAutospacing="1" w:line="288" w:lineRule="atLeast"/>
        <w:outlineLvl w:val="2"/>
        <w:rPr>
          <w:rFonts w:ascii="VIC" w:eastAsia="Times New Roman" w:hAnsi="VIC" w:cs="Times New Roman"/>
          <w:color w:val="011A3C"/>
          <w:sz w:val="27"/>
          <w:szCs w:val="27"/>
          <w:lang w:val="en" w:eastAsia="en-AU"/>
        </w:rPr>
      </w:pPr>
      <w:r w:rsidRPr="004D307F">
        <w:rPr>
          <w:rFonts w:ascii="VIC" w:eastAsia="Times New Roman" w:hAnsi="VIC" w:cs="Times New Roman"/>
          <w:color w:val="011A3C"/>
          <w:sz w:val="24"/>
          <w:szCs w:val="24"/>
          <w:lang w:val="en" w:eastAsia="en-AU"/>
        </w:rPr>
        <w:t xml:space="preserve">NOTE: Hospital and </w:t>
      </w:r>
      <w:proofErr w:type="spellStart"/>
      <w:r w:rsidRPr="004D307F">
        <w:rPr>
          <w:rFonts w:ascii="VIC" w:eastAsia="Times New Roman" w:hAnsi="VIC" w:cs="Times New Roman"/>
          <w:color w:val="011A3C"/>
          <w:sz w:val="24"/>
          <w:szCs w:val="24"/>
          <w:lang w:val="en" w:eastAsia="en-AU"/>
        </w:rPr>
        <w:t>Misc</w:t>
      </w:r>
      <w:proofErr w:type="spellEnd"/>
      <w:r w:rsidRPr="004D307F">
        <w:rPr>
          <w:rFonts w:ascii="VIC" w:eastAsia="Times New Roman" w:hAnsi="VIC" w:cs="Times New Roman"/>
          <w:color w:val="011A3C"/>
          <w:sz w:val="24"/>
          <w:szCs w:val="24"/>
          <w:lang w:val="en" w:eastAsia="en-AU"/>
        </w:rPr>
        <w:t xml:space="preserve"> campuses are not eligible for CEF funding except Virtual School Victoria. Camp/Outdoor schools are ineligible irrespective of their entity register classification.</w:t>
      </w:r>
      <w:r w:rsidR="00C30C5F" w:rsidRPr="004D307F">
        <w:rPr>
          <w:rFonts w:ascii="VIC" w:eastAsia="Times New Roman" w:hAnsi="VIC" w:cs="Times New Roman"/>
          <w:color w:val="011A3C"/>
          <w:sz w:val="24"/>
          <w:szCs w:val="24"/>
          <w:lang w:val="en" w:eastAsia="en-AU"/>
        </w:rPr>
        <w:t xml:space="preserve"> Aurora School, </w:t>
      </w:r>
      <w:proofErr w:type="spellStart"/>
      <w:r w:rsidR="00C30C5F" w:rsidRPr="004D307F">
        <w:rPr>
          <w:rFonts w:ascii="VIC" w:eastAsia="Times New Roman" w:hAnsi="VIC" w:cs="Times New Roman"/>
          <w:color w:val="011A3C"/>
          <w:sz w:val="24"/>
          <w:szCs w:val="24"/>
          <w:lang w:val="en" w:eastAsia="en-AU"/>
        </w:rPr>
        <w:t>Yarra</w:t>
      </w:r>
      <w:proofErr w:type="spellEnd"/>
      <w:r w:rsidR="00C30C5F" w:rsidRPr="004D307F">
        <w:rPr>
          <w:rFonts w:ascii="VIC" w:eastAsia="Times New Roman" w:hAnsi="VIC" w:cs="Times New Roman"/>
          <w:color w:val="011A3C"/>
          <w:sz w:val="24"/>
          <w:szCs w:val="24"/>
          <w:lang w:val="en" w:eastAsia="en-AU"/>
        </w:rPr>
        <w:t xml:space="preserve"> Me School and the </w:t>
      </w:r>
      <w:proofErr w:type="spellStart"/>
      <w:r w:rsidR="00C30C5F" w:rsidRPr="004D307F">
        <w:rPr>
          <w:rFonts w:ascii="VIC" w:eastAsia="Times New Roman" w:hAnsi="VIC" w:cs="Times New Roman"/>
          <w:color w:val="011A3C"/>
          <w:sz w:val="24"/>
          <w:szCs w:val="24"/>
          <w:lang w:val="en" w:eastAsia="en-AU"/>
        </w:rPr>
        <w:t>Netschool</w:t>
      </w:r>
      <w:proofErr w:type="spellEnd"/>
      <w:r w:rsidR="00C30C5F" w:rsidRPr="004D307F">
        <w:rPr>
          <w:rFonts w:ascii="VIC" w:eastAsia="Times New Roman" w:hAnsi="VIC" w:cs="Times New Roman"/>
          <w:color w:val="011A3C"/>
          <w:sz w:val="24"/>
          <w:szCs w:val="24"/>
          <w:lang w:val="en" w:eastAsia="en-AU"/>
        </w:rPr>
        <w:t xml:space="preserve"> Campus of Bendigo Senior Secondary College use deemed enrolments and are not </w:t>
      </w:r>
      <w:proofErr w:type="spellStart"/>
      <w:proofErr w:type="gramStart"/>
      <w:r w:rsidR="00C30C5F" w:rsidRPr="004D307F">
        <w:rPr>
          <w:rFonts w:ascii="VIC" w:eastAsia="Times New Roman" w:hAnsi="VIC" w:cs="Times New Roman"/>
          <w:color w:val="011A3C"/>
          <w:sz w:val="24"/>
          <w:szCs w:val="24"/>
          <w:lang w:val="en" w:eastAsia="en-AU"/>
        </w:rPr>
        <w:t>eligible.</w:t>
      </w:r>
      <w:r w:rsidR="00E177EC" w:rsidRPr="004D307F">
        <w:rPr>
          <w:rFonts w:ascii="VIC" w:eastAsia="Times New Roman" w:hAnsi="VIC" w:cs="Times New Roman"/>
          <w:color w:val="011A3C"/>
          <w:sz w:val="24"/>
          <w:szCs w:val="24"/>
          <w:lang w:val="en" w:eastAsia="en-AU"/>
        </w:rPr>
        <w:t>Funding</w:t>
      </w:r>
      <w:proofErr w:type="spellEnd"/>
      <w:proofErr w:type="gramEnd"/>
      <w:r w:rsidR="00E177EC" w:rsidRPr="004D307F">
        <w:rPr>
          <w:rFonts w:ascii="VIC" w:eastAsia="Times New Roman" w:hAnsi="VIC" w:cs="Times New Roman"/>
          <w:color w:val="011A3C"/>
          <w:sz w:val="24"/>
          <w:szCs w:val="24"/>
          <w:lang w:val="en" w:eastAsia="en-AU"/>
        </w:rPr>
        <w:t xml:space="preserve"> is calculated at the Indicative, Confirmed and Revised cycles, funding is allocated through cash funding.</w:t>
      </w:r>
    </w:p>
    <w:p w14:paraId="65D9A53B" w14:textId="5F8ECDF1"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Years 7 to 9</w:t>
      </w:r>
    </w:p>
    <w:p w14:paraId="69A4A9C3"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funding is based on enrolments of students in Years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7 to 9 in Victorian government secondary school settings and students aged 12 to 14 years in Victorian government specialist schools and English Language settings.</w:t>
      </w:r>
    </w:p>
    <w:p w14:paraId="6D119C2B"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Years 10 to 12</w:t>
      </w:r>
    </w:p>
    <w:p w14:paraId="57A100E6"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funding is based on enrolments of students aged 15 years and over in Victorian government specialist schools and English Language settings and Years 10 to 12 in all other Victorian government secondary schools, and the school's Student Family Occupation (SFO) density.</w:t>
      </w:r>
    </w:p>
    <w:p w14:paraId="6EB7C9AA" w14:textId="07CCA486" w:rsidR="003E6B76" w:rsidRPr="004D307F" w:rsidRDefault="00EA34C0" w:rsidP="004D1CF3">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Additional funding is provided to schools with SFO densities greater than a threshold value to support young people at risk of disengaging or not making a successful transition to further education, </w:t>
      </w:r>
      <w:proofErr w:type="gramStart"/>
      <w:r w:rsidRPr="004D307F">
        <w:rPr>
          <w:rFonts w:ascii="VIC" w:eastAsia="Times New Roman" w:hAnsi="VIC" w:cs="Times New Roman"/>
          <w:color w:val="011A3C"/>
          <w:sz w:val="24"/>
          <w:szCs w:val="24"/>
          <w:lang w:val="en" w:eastAsia="en-AU"/>
        </w:rPr>
        <w:t>training</w:t>
      </w:r>
      <w:proofErr w:type="gramEnd"/>
      <w:r w:rsidRPr="004D307F">
        <w:rPr>
          <w:rFonts w:ascii="VIC" w:eastAsia="Times New Roman" w:hAnsi="VIC" w:cs="Times New Roman"/>
          <w:color w:val="011A3C"/>
          <w:sz w:val="24"/>
          <w:szCs w:val="24"/>
          <w:lang w:val="en" w:eastAsia="en-AU"/>
        </w:rPr>
        <w:t xml:space="preserve"> or secure employment.</w:t>
      </w:r>
    </w:p>
    <w:p w14:paraId="2F9DF49E" w14:textId="1BC0614B" w:rsidR="00EA34C0" w:rsidRPr="004D307F" w:rsidRDefault="00EA34C0" w:rsidP="004D1CF3">
      <w:pPr>
        <w:keepNext/>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Calculation</w:t>
      </w:r>
    </w:p>
    <w:p w14:paraId="59BE2458"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Years 7 to 9</w:t>
      </w:r>
    </w:p>
    <w:p w14:paraId="6E8520BA"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Allocation = CEF Enrolments x Base per Student Rate</w:t>
      </w:r>
    </w:p>
    <w:p w14:paraId="04457AD5"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If a school's CEF Allocation is less than the Minimum Allocation (as identified in 'Rates' below), the school will receive the Minimum Allocation.</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The Minimum Allocation</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is set based on enrolment levels.</w:t>
      </w:r>
    </w:p>
    <w:p w14:paraId="3462D594" w14:textId="0185CA31" w:rsidR="00B241D3" w:rsidRPr="004D307F" w:rsidRDefault="00B241D3" w:rsidP="00B241D3">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Rates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2022 </w:t>
      </w:r>
    </w:p>
    <w:p w14:paraId="4B29F251" w14:textId="068E222D" w:rsidR="00B241D3"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 7</w:t>
      </w:r>
    </w:p>
    <w:p w14:paraId="4450A06C" w14:textId="7B896424" w:rsidR="00EA34C0" w:rsidRPr="004D307F" w:rsidRDefault="00EA34C0" w:rsidP="00C116FE">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Base Per Student Rate </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VIC"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t>
      </w:r>
      <w:r w:rsidR="008C1E4F" w:rsidRPr="004D307F">
        <w:rPr>
          <w:rFonts w:ascii="VIC" w:eastAsia="Times New Roman" w:hAnsi="VIC" w:cs="Times New Roman"/>
          <w:color w:val="011A3C"/>
          <w:sz w:val="24"/>
          <w:szCs w:val="24"/>
          <w:lang w:val="en" w:eastAsia="en-AU"/>
        </w:rPr>
        <w:t>15</w:t>
      </w:r>
      <w:r w:rsidR="008C1E4F"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per CEF enrolment</w:t>
      </w:r>
      <w:r w:rsidRPr="004D307F">
        <w:rPr>
          <w:rFonts w:ascii="VIC" w:eastAsia="Times New Roman" w:hAnsi="VIC" w:cs="Times New Roman"/>
          <w:color w:val="011A3C"/>
          <w:sz w:val="24"/>
          <w:szCs w:val="24"/>
          <w:lang w:val="en" w:eastAsia="en-AU"/>
        </w:rPr>
        <w:br/>
        <w:t>Minimum Allocation $250</w:t>
      </w:r>
    </w:p>
    <w:p w14:paraId="642726F9"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 8</w:t>
      </w:r>
    </w:p>
    <w:p w14:paraId="4D0F1332" w14:textId="3407E175"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Base Per Student Rate </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VIC"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t>
      </w:r>
      <w:r w:rsidR="008C1E4F" w:rsidRPr="004D307F">
        <w:rPr>
          <w:rFonts w:ascii="VIC" w:eastAsia="Times New Roman" w:hAnsi="VIC" w:cs="Times New Roman"/>
          <w:color w:val="011A3C"/>
          <w:sz w:val="24"/>
          <w:szCs w:val="24"/>
          <w:lang w:val="en" w:eastAsia="en-AU"/>
        </w:rPr>
        <w:t>20</w:t>
      </w:r>
      <w:r w:rsidR="008C1E4F"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per CEF enrolment</w:t>
      </w:r>
      <w:r w:rsidRPr="004D307F">
        <w:rPr>
          <w:rFonts w:ascii="VIC" w:eastAsia="Times New Roman" w:hAnsi="VIC" w:cs="Times New Roman"/>
          <w:color w:val="011A3C"/>
          <w:sz w:val="24"/>
          <w:szCs w:val="24"/>
          <w:lang w:val="en" w:eastAsia="en-AU"/>
        </w:rPr>
        <w:br/>
        <w:t>Minimum Allocation $250</w:t>
      </w:r>
    </w:p>
    <w:p w14:paraId="56603EDA"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 9</w:t>
      </w:r>
    </w:p>
    <w:p w14:paraId="45581B4B" w14:textId="018669F2"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Base Per Student Rate </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VIC" w:hint="eastAsia"/>
          <w:color w:val="011A3C"/>
          <w:sz w:val="24"/>
          <w:szCs w:val="24"/>
          <w:lang w:val="en" w:eastAsia="en-AU"/>
        </w:rPr>
        <w: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t>
      </w:r>
      <w:r w:rsidR="008C1E4F" w:rsidRPr="004D307F">
        <w:rPr>
          <w:rFonts w:ascii="VIC" w:eastAsia="Times New Roman" w:hAnsi="VIC" w:cs="Times New Roman"/>
          <w:color w:val="011A3C"/>
          <w:sz w:val="24"/>
          <w:szCs w:val="24"/>
          <w:lang w:val="en" w:eastAsia="en-AU"/>
        </w:rPr>
        <w:t>40</w:t>
      </w:r>
      <w:r w:rsidR="008C1E4F"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per CEF enrolment</w:t>
      </w:r>
      <w:r w:rsidRPr="004D307F">
        <w:rPr>
          <w:rFonts w:ascii="VIC" w:eastAsia="Times New Roman" w:hAnsi="VIC" w:cs="Times New Roman"/>
          <w:color w:val="011A3C"/>
          <w:sz w:val="24"/>
          <w:szCs w:val="24"/>
          <w:lang w:val="en" w:eastAsia="en-AU"/>
        </w:rPr>
        <w:br/>
        <w:t>Minimum Allocation $500</w:t>
      </w:r>
    </w:p>
    <w:p w14:paraId="601BEDE0" w14:textId="77777777" w:rsidR="00EA34C0" w:rsidRPr="004D307F" w:rsidRDefault="00EA34C0" w:rsidP="00EA34C0">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For Years 10 to 12</w:t>
      </w:r>
    </w:p>
    <w:p w14:paraId="2A819E37"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CEF Allocation = Base Allocation + At Risk Allocation</w:t>
      </w:r>
    </w:p>
    <w:p w14:paraId="499F76C7"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If a school's CEF Allocation is less than the Minimum Allocations (as identified in 'Rates' below), the school will receive the Minimum Allocation.</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The Minimum Allocation is set based on enrolment levels.</w:t>
      </w:r>
    </w:p>
    <w:p w14:paraId="059C7F1F"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Base Allocation = CEF</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Enrolments x Base per Student Rate</w:t>
      </w:r>
    </w:p>
    <w:p w14:paraId="5FC57F08"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At Risk Allocation (Only if the schools SFO index is greater than the SFO threshold - see 'Rates' below) = CEF Enrolments x ([School SFO Index] - [SFO Threshold]) / (1 - [SFO Threshold]) x At Risk Allocation</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per Student Rate.</w:t>
      </w:r>
    </w:p>
    <w:p w14:paraId="36A74DA4" w14:textId="77777777" w:rsidR="00EA34C0" w:rsidRPr="004D307F" w:rsidRDefault="00EA34C0" w:rsidP="004D1CF3">
      <w:pPr>
        <w:keepNext/>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Years 10 to 12</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per student rates</w:t>
      </w:r>
    </w:p>
    <w:p w14:paraId="4B5A7075" w14:textId="1C9B2B74"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Base per student rate: $</w:t>
      </w:r>
      <w:r w:rsidR="008C1E4F" w:rsidRPr="004D307F">
        <w:rPr>
          <w:rFonts w:ascii="VIC" w:eastAsia="Times New Roman" w:hAnsi="VIC" w:cs="Times New Roman"/>
          <w:color w:val="011A3C"/>
          <w:sz w:val="24"/>
          <w:szCs w:val="24"/>
          <w:lang w:val="en" w:eastAsia="en-AU"/>
        </w:rPr>
        <w:t xml:space="preserve">61 </w:t>
      </w:r>
      <w:r w:rsidRPr="004D307F">
        <w:rPr>
          <w:rFonts w:ascii="VIC" w:eastAsia="Times New Roman" w:hAnsi="VIC" w:cs="Times New Roman"/>
          <w:color w:val="011A3C"/>
          <w:sz w:val="24"/>
          <w:szCs w:val="24"/>
          <w:lang w:val="en" w:eastAsia="en-AU"/>
        </w:rPr>
        <w:t>per CEF enrolment</w:t>
      </w:r>
      <w:r w:rsidRPr="004D307F">
        <w:rPr>
          <w:rFonts w:ascii="VIC" w:eastAsia="Times New Roman" w:hAnsi="VIC" w:cs="Times New Roman"/>
          <w:color w:val="011A3C"/>
          <w:sz w:val="24"/>
          <w:szCs w:val="24"/>
          <w:lang w:val="en" w:eastAsia="en-AU"/>
        </w:rPr>
        <w:br/>
        <w:t>At risk allocation per student rate: $559 per CEF enrolment</w:t>
      </w:r>
      <w:r w:rsidRPr="004D307F">
        <w:rPr>
          <w:rFonts w:ascii="VIC" w:eastAsia="Times New Roman" w:hAnsi="VIC" w:cs="Times New Roman"/>
          <w:color w:val="011A3C"/>
          <w:sz w:val="24"/>
          <w:szCs w:val="24"/>
          <w:lang w:val="en" w:eastAsia="en-AU"/>
        </w:rPr>
        <w:br/>
        <w:t>SFO Threshold: 0.4190</w:t>
      </w:r>
    </w:p>
    <w:p w14:paraId="67991736" w14:textId="77777777" w:rsidR="00EA34C0" w:rsidRPr="004D307F" w:rsidRDefault="00EA34C0" w:rsidP="00EA34C0">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Minimum allocations:</w:t>
      </w:r>
    </w:p>
    <w:p w14:paraId="771C633B" w14:textId="77777777" w:rsidR="00EA34C0" w:rsidRPr="004D307F" w:rsidRDefault="00EA34C0" w:rsidP="00ED0863">
      <w:pPr>
        <w:numPr>
          <w:ilvl w:val="0"/>
          <w:numId w:val="7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&lt;30 CEF enrolments: $208 per CEF enrolment</w:t>
      </w:r>
    </w:p>
    <w:p w14:paraId="1717CEDD" w14:textId="01EF4FBD" w:rsidR="00EA34C0" w:rsidRPr="004D307F" w:rsidRDefault="00EA34C0" w:rsidP="00ED0863">
      <w:pPr>
        <w:numPr>
          <w:ilvl w:val="0"/>
          <w:numId w:val="7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30 to 99 CEF enrolments: $6</w:t>
      </w:r>
      <w:r w:rsidR="002E15F1"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000 in total</w:t>
      </w:r>
      <w:r w:rsidRPr="004D307F">
        <w:rPr>
          <w:rFonts w:ascii="Cambria Math" w:eastAsia="Times New Roman" w:hAnsi="Cambria Math" w:cs="Cambria Math"/>
          <w:color w:val="011A3C"/>
          <w:sz w:val="24"/>
          <w:szCs w:val="24"/>
          <w:lang w:val="en" w:eastAsia="en-AU"/>
        </w:rPr>
        <w:t>​</w:t>
      </w:r>
    </w:p>
    <w:p w14:paraId="308A1F45" w14:textId="0F677000" w:rsidR="00EA34C0" w:rsidRPr="004D307F" w:rsidRDefault="00EA34C0" w:rsidP="00ED0863">
      <w:pPr>
        <w:numPr>
          <w:ilvl w:val="0"/>
          <w:numId w:val="7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&gt;=100 CEF enrolment: $10,000 in total</w:t>
      </w:r>
    </w:p>
    <w:p w14:paraId="3DDE612C" w14:textId="77777777" w:rsidR="00EA34C0" w:rsidRPr="004D307F" w:rsidRDefault="00EA34C0" w:rsidP="00EA34C0">
      <w:pPr>
        <w:rPr>
          <w:rFonts w:ascii="VIC" w:hAnsi="VIC"/>
        </w:rPr>
      </w:pPr>
      <w:r w:rsidRPr="004D307F">
        <w:rPr>
          <w:rFonts w:ascii="VIC" w:hAnsi="VIC"/>
        </w:rPr>
        <w:br w:type="page"/>
      </w:r>
    </w:p>
    <w:p w14:paraId="2F00DDD8" w14:textId="4F1696E3" w:rsidR="002F58F8" w:rsidRPr="004D307F" w:rsidRDefault="00373667" w:rsidP="00B566E7">
      <w:pPr>
        <w:pStyle w:val="Heading2"/>
      </w:pPr>
      <w:bookmarkStart w:id="107" w:name="_Toc99882777"/>
      <w:r w:rsidRPr="004D307F">
        <w:lastRenderedPageBreak/>
        <w:t>Swimming in Schools</w:t>
      </w:r>
      <w:r w:rsidR="00934E2E" w:rsidRPr="004D307F">
        <w:t xml:space="preserve"> (Reference 115)</w:t>
      </w:r>
      <w:bookmarkEnd w:id="107"/>
    </w:p>
    <w:p w14:paraId="4F4B67AF" w14:textId="3C679F0B"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Swimming in Schools initiative is designed to increase opportunities for students to learn how to swim, and ensure they develop lifelong skills in swimming and water safety.</w:t>
      </w:r>
    </w:p>
    <w:p w14:paraId="1AD5719A" w14:textId="1CCC2499"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Swimming and water safety education is embedded across all bands of the Victorian Curriculum (F-10). By the end of Year 6, it is anticipated that students </w:t>
      </w:r>
      <w:proofErr w:type="gramStart"/>
      <w:r w:rsidRPr="004D307F">
        <w:rPr>
          <w:rFonts w:ascii="VIC-Regular" w:eastAsia="Times New Roman" w:hAnsi="VIC-Regular" w:cs="Times New Roman"/>
          <w:color w:val="011A3C"/>
          <w:sz w:val="24"/>
          <w:szCs w:val="24"/>
          <w:lang w:val="en" w:eastAsia="en-AU"/>
        </w:rPr>
        <w:t>are able to</w:t>
      </w:r>
      <w:proofErr w:type="gramEnd"/>
      <w:r w:rsidRPr="004D307F">
        <w:rPr>
          <w:rFonts w:ascii="VIC-Regular" w:eastAsia="Times New Roman" w:hAnsi="VIC-Regular" w:cs="Times New Roman"/>
          <w:color w:val="011A3C"/>
          <w:sz w:val="24"/>
          <w:szCs w:val="24"/>
          <w:lang w:val="en" w:eastAsia="en-AU"/>
        </w:rPr>
        <w:t xml:space="preserve"> demonstrate the skills and knowledge in the Victorian Water Safety Certificate (VWSC). Schools can seek the assistance of swimming providers to </w:t>
      </w:r>
      <w:r w:rsidR="00D57242" w:rsidRPr="004D307F">
        <w:rPr>
          <w:rFonts w:ascii="VIC-Regular" w:eastAsia="Times New Roman" w:hAnsi="VIC-Regular" w:cs="Times New Roman"/>
          <w:color w:val="011A3C"/>
          <w:sz w:val="24"/>
          <w:szCs w:val="24"/>
          <w:lang w:val="en" w:eastAsia="en-AU"/>
        </w:rPr>
        <w:t xml:space="preserve">provide swimming and water safety programs, to </w:t>
      </w:r>
      <w:r w:rsidRPr="004D307F">
        <w:rPr>
          <w:rFonts w:ascii="VIC-Regular" w:eastAsia="Times New Roman" w:hAnsi="VIC-Regular" w:cs="Times New Roman"/>
          <w:color w:val="011A3C"/>
          <w:sz w:val="24"/>
          <w:szCs w:val="24"/>
          <w:lang w:val="en" w:eastAsia="en-AU"/>
        </w:rPr>
        <w:t xml:space="preserve">assess the competencies of their students and to award VWSC through the </w:t>
      </w:r>
      <w:hyperlink r:id="rId163" w:history="1">
        <w:r w:rsidRPr="004D307F">
          <w:rPr>
            <w:rFonts w:ascii="VIC-Regular" w:eastAsia="Times New Roman" w:hAnsi="VIC-Regular" w:cs="Times New Roman"/>
            <w:color w:val="011A3C"/>
            <w:sz w:val="24"/>
            <w:szCs w:val="24"/>
            <w:lang w:val="en" w:eastAsia="en-AU"/>
          </w:rPr>
          <w:t>VWSC portal</w:t>
        </w:r>
      </w:hyperlink>
      <w:r w:rsidRPr="004D307F">
        <w:rPr>
          <w:rFonts w:ascii="VIC-Regular" w:eastAsia="Times New Roman" w:hAnsi="VIC-Regular" w:cs="Times New Roman"/>
          <w:color w:val="011A3C"/>
          <w:sz w:val="24"/>
          <w:szCs w:val="24"/>
          <w:lang w:val="en" w:eastAsia="en-AU"/>
        </w:rPr>
        <w:t>.</w:t>
      </w:r>
    </w:p>
    <w:p w14:paraId="4E941D5E" w14:textId="2713DC51" w:rsidR="00416C24" w:rsidRPr="004D307F" w:rsidRDefault="00416C24" w:rsidP="00416C24">
      <w:pPr>
        <w:spacing w:before="100" w:beforeAutospacing="1" w:after="100" w:afterAutospacing="1"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Swimming in Schools initiative </w:t>
      </w:r>
      <w:r w:rsidR="008A6CE0" w:rsidRPr="004D307F">
        <w:rPr>
          <w:rFonts w:ascii="VIC-Regular" w:eastAsia="Times New Roman" w:hAnsi="VIC-Regular" w:cs="Times New Roman"/>
          <w:color w:val="011A3C"/>
          <w:sz w:val="24"/>
          <w:szCs w:val="24"/>
          <w:lang w:val="en" w:eastAsia="en-AU"/>
        </w:rPr>
        <w:t>provides funding</w:t>
      </w:r>
      <w:r w:rsidRPr="004D307F">
        <w:rPr>
          <w:rFonts w:ascii="VIC-Regular" w:eastAsia="Times New Roman" w:hAnsi="VIC-Regular" w:cs="Times New Roman"/>
          <w:color w:val="011A3C"/>
          <w:sz w:val="24"/>
          <w:szCs w:val="24"/>
          <w:lang w:val="en" w:eastAsia="en-AU"/>
        </w:rPr>
        <w:t xml:space="preserve"> for the delivery of swimming and water safety programs. </w:t>
      </w:r>
    </w:p>
    <w:p w14:paraId="3FD654CC"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be distributed through the Student Resource Package.</w:t>
      </w:r>
    </w:p>
    <w:p w14:paraId="1C7FF100" w14:textId="77777777" w:rsidR="002F58F8" w:rsidRPr="004D307F" w:rsidRDefault="002F58F8" w:rsidP="003D6624">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734D4D23"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with the following campus types are eligible to Swimming in Schools funding at school level.</w:t>
      </w:r>
    </w:p>
    <w:p w14:paraId="77952422"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w:t>
      </w:r>
    </w:p>
    <w:p w14:paraId="2F982643" w14:textId="66F7C6BB"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Primary/Secondary Combined</w:t>
      </w:r>
    </w:p>
    <w:p w14:paraId="7B00A031" w14:textId="27A9C902"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Special</w:t>
      </w:r>
    </w:p>
    <w:p w14:paraId="237D476B" w14:textId="032F608C" w:rsidR="004449F8" w:rsidRPr="004D307F" w:rsidRDefault="004449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Day Spec </w:t>
      </w:r>
    </w:p>
    <w:p w14:paraId="4B979F7E" w14:textId="3865F84C" w:rsidR="004449F8" w:rsidRPr="004D307F" w:rsidRDefault="004449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Deaf </w:t>
      </w:r>
    </w:p>
    <w:p w14:paraId="3AF35034" w14:textId="49403290" w:rsidR="004449F8" w:rsidRPr="004D307F" w:rsidRDefault="004449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Disability </w:t>
      </w:r>
    </w:p>
    <w:p w14:paraId="3EE0A6B0" w14:textId="0EA081BC" w:rsidR="004449F8" w:rsidRPr="004D307F" w:rsidRDefault="004449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 Dev</w:t>
      </w:r>
    </w:p>
    <w:p w14:paraId="75AA707D" w14:textId="51255B97" w:rsidR="00DD3790" w:rsidRPr="004D307F" w:rsidRDefault="00DD3790"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English Language</w:t>
      </w:r>
    </w:p>
    <w:p w14:paraId="620E7F6B" w14:textId="37912054" w:rsidR="002F58F8" w:rsidRPr="004D307F" w:rsidRDefault="002F58F8" w:rsidP="003D6624">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w:t>
      </w:r>
      <w:r w:rsidR="00DD3790" w:rsidRPr="004D307F">
        <w:rPr>
          <w:rFonts w:ascii="VIC-Regular" w:eastAsia="Times New Roman" w:hAnsi="VIC-Regular" w:cs="Times New Roman"/>
          <w:color w:val="011A3C"/>
          <w:sz w:val="24"/>
          <w:szCs w:val="24"/>
          <w:lang w:val="en" w:eastAsia="en-AU"/>
        </w:rPr>
        <w:t>cycles;</w:t>
      </w:r>
      <w:r w:rsidRPr="004D307F">
        <w:rPr>
          <w:rFonts w:ascii="VIC-Regular" w:eastAsia="Times New Roman" w:hAnsi="VIC-Regular" w:cs="Times New Roman"/>
          <w:color w:val="011A3C"/>
          <w:sz w:val="24"/>
          <w:szCs w:val="24"/>
          <w:lang w:val="en" w:eastAsia="en-AU"/>
        </w:rPr>
        <w:t xml:space="preserve"> funding is provided through cash funding.</w:t>
      </w:r>
    </w:p>
    <w:p w14:paraId="34C93594" w14:textId="356FF19C" w:rsidR="002F58F8" w:rsidRPr="004D307F" w:rsidRDefault="00543F1A"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2619337A" w14:textId="77777777" w:rsidR="002F58F8" w:rsidRPr="004D307F"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Primary and Primary-Secondary Schools</w:t>
      </w:r>
    </w:p>
    <w:p w14:paraId="2FD89874"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allocated based on the number of Year 6 enrolments.</w:t>
      </w:r>
    </w:p>
    <w:p w14:paraId="235D5868" w14:textId="451C36EA"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 xml:space="preserve">Schools </w:t>
      </w:r>
      <w:r w:rsidR="00D57242" w:rsidRPr="004D307F">
        <w:rPr>
          <w:rFonts w:ascii="VIC-Regular" w:eastAsia="Times New Roman" w:hAnsi="VIC-Regular" w:cs="Times New Roman"/>
          <w:color w:val="011A3C"/>
          <w:sz w:val="24"/>
          <w:szCs w:val="24"/>
          <w:lang w:val="en" w:eastAsia="en-AU"/>
        </w:rPr>
        <w:t>are to</w:t>
      </w:r>
      <w:r w:rsidRPr="004D307F">
        <w:rPr>
          <w:rFonts w:ascii="VIC-Regular" w:eastAsia="Times New Roman" w:hAnsi="VIC-Regular" w:cs="Times New Roman"/>
          <w:color w:val="011A3C"/>
          <w:sz w:val="24"/>
          <w:szCs w:val="24"/>
          <w:lang w:val="en" w:eastAsia="en-AU"/>
        </w:rPr>
        <w:t xml:space="preserve"> use the funding to support program provision at any year level.</w:t>
      </w:r>
    </w:p>
    <w:p w14:paraId="4F156572" w14:textId="1AC8DB16" w:rsidR="002F58F8" w:rsidRPr="004D307F"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color w:val="011A3C"/>
          <w:sz w:val="24"/>
          <w:szCs w:val="24"/>
          <w:lang w:val="en" w:eastAsia="en-AU"/>
        </w:rPr>
        <w:t>Specialist Schools</w:t>
      </w:r>
      <w:r w:rsidR="00DD3790" w:rsidRPr="004D307F">
        <w:rPr>
          <w:rFonts w:ascii="VIC-Bold" w:eastAsia="Times New Roman" w:hAnsi="VIC-Bold" w:cs="Times New Roman"/>
          <w:color w:val="011A3C"/>
          <w:sz w:val="24"/>
          <w:szCs w:val="24"/>
          <w:lang w:val="en" w:eastAsia="en-AU"/>
        </w:rPr>
        <w:t xml:space="preserve"> and English Language schools</w:t>
      </w:r>
    </w:p>
    <w:p w14:paraId="02E1B430"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allocated based on the number of enrolments. </w:t>
      </w:r>
    </w:p>
    <w:p w14:paraId="27CA4CE3" w14:textId="58C4736A"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t>
      </w:r>
      <w:r w:rsidR="00D57242" w:rsidRPr="004D307F">
        <w:rPr>
          <w:rFonts w:ascii="VIC-Regular" w:eastAsia="Times New Roman" w:hAnsi="VIC-Regular" w:cs="Times New Roman"/>
          <w:color w:val="011A3C"/>
          <w:sz w:val="24"/>
          <w:szCs w:val="24"/>
          <w:lang w:val="en" w:eastAsia="en-AU"/>
        </w:rPr>
        <w:t>are to</w:t>
      </w:r>
      <w:r w:rsidRPr="004D307F">
        <w:rPr>
          <w:rFonts w:ascii="VIC-Regular" w:eastAsia="Times New Roman" w:hAnsi="VIC-Regular" w:cs="Times New Roman"/>
          <w:color w:val="011A3C"/>
          <w:sz w:val="24"/>
          <w:szCs w:val="24"/>
          <w:lang w:val="en" w:eastAsia="en-AU"/>
        </w:rPr>
        <w:t xml:space="preserve"> use the funding to support program provision at any year level.</w:t>
      </w:r>
    </w:p>
    <w:p w14:paraId="16F463D5" w14:textId="67642799" w:rsidR="002F58F8" w:rsidRPr="004D307F"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Rates </w:t>
      </w:r>
    </w:p>
    <w:p w14:paraId="38A691CF" w14:textId="77777777" w:rsidR="002F58F8" w:rsidRPr="004D307F"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Metropolitan Victorian Government Schools</w:t>
      </w:r>
      <w:r w:rsidRPr="004D307F">
        <w:rPr>
          <w:rFonts w:ascii="VIC-Bold" w:eastAsia="Times New Roman" w:hAnsi="VIC-Bold" w:cs="Times New Roman"/>
          <w:color w:val="011A3C"/>
          <w:sz w:val="24"/>
          <w:szCs w:val="24"/>
          <w:lang w:val="en" w:eastAsia="en-AU"/>
        </w:rPr>
        <w:t xml:space="preserve"> — Cash ($) Allocation</w:t>
      </w:r>
    </w:p>
    <w:p w14:paraId="69348B36" w14:textId="5591FEBF" w:rsidR="002F58F8" w:rsidRPr="004D307F" w:rsidRDefault="002F58F8" w:rsidP="00ED0863">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Year 6 student — Primary and Primary-</w:t>
      </w:r>
      <w:r w:rsidR="00B5606E" w:rsidRPr="004D307F">
        <w:rPr>
          <w:rFonts w:ascii="VIC-Regular" w:eastAsia="Times New Roman" w:hAnsi="VIC-Regular" w:cs="Times New Roman"/>
          <w:color w:val="011A3C"/>
          <w:sz w:val="24"/>
          <w:szCs w:val="24"/>
          <w:lang w:val="en" w:eastAsia="en-AU"/>
        </w:rPr>
        <w:t>Secondary combined</w:t>
      </w:r>
      <w:r w:rsidRPr="004D307F">
        <w:rPr>
          <w:rFonts w:ascii="VIC-Regular" w:eastAsia="Times New Roman" w:hAnsi="VIC-Regular" w:cs="Times New Roman"/>
          <w:color w:val="011A3C"/>
          <w:sz w:val="24"/>
          <w:szCs w:val="24"/>
          <w:lang w:val="en" w:eastAsia="en-AU"/>
        </w:rPr>
        <w:t xml:space="preserve"> Schools — $</w:t>
      </w:r>
      <w:r w:rsidR="00DD3790" w:rsidRPr="004D307F">
        <w:rPr>
          <w:rFonts w:ascii="VIC-Regular" w:eastAsia="Times New Roman" w:hAnsi="VIC-Regular" w:cs="Times New Roman"/>
          <w:color w:val="011A3C"/>
          <w:sz w:val="24"/>
          <w:szCs w:val="24"/>
          <w:lang w:val="en" w:eastAsia="en-AU"/>
        </w:rPr>
        <w:t>235</w:t>
      </w:r>
    </w:p>
    <w:p w14:paraId="1FCD8EBB" w14:textId="5CE6C31F" w:rsidR="002F58F8" w:rsidRPr="004D307F" w:rsidRDefault="002F58F8" w:rsidP="00ED0863">
      <w:pPr>
        <w:numPr>
          <w:ilvl w:val="0"/>
          <w:numId w:val="73"/>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Specialist School student — $</w:t>
      </w:r>
      <w:r w:rsidR="00DD3790" w:rsidRPr="004D307F">
        <w:rPr>
          <w:rFonts w:ascii="VIC-Regular" w:eastAsia="Times New Roman" w:hAnsi="VIC-Regular" w:cs="Times New Roman"/>
          <w:color w:val="011A3C"/>
          <w:sz w:val="24"/>
          <w:szCs w:val="24"/>
          <w:lang w:val="en" w:eastAsia="en-AU"/>
        </w:rPr>
        <w:t>235</w:t>
      </w:r>
    </w:p>
    <w:p w14:paraId="2D296CE5" w14:textId="70F18D8C" w:rsidR="00ED2F0A" w:rsidRPr="004D307F" w:rsidRDefault="00ED2F0A" w:rsidP="00ED0863">
      <w:pPr>
        <w:pStyle w:val="ListParagraph"/>
        <w:numPr>
          <w:ilvl w:val="0"/>
          <w:numId w:val="73"/>
        </w:num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English Language School student — $235</w:t>
      </w:r>
    </w:p>
    <w:p w14:paraId="2BE955EE" w14:textId="77777777" w:rsidR="002F58F8" w:rsidRPr="004D307F" w:rsidRDefault="002F58F8" w:rsidP="002F58F8">
      <w:pPr>
        <w:spacing w:before="100" w:beforeAutospacing="1" w:after="100" w:afterAutospacing="1" w:line="288" w:lineRule="atLeast"/>
        <w:outlineLvl w:val="3"/>
        <w:rPr>
          <w:rFonts w:ascii="VIC-Bold" w:eastAsia="Times New Roman" w:hAnsi="VIC-Bold" w:cs="Times New Roman"/>
          <w:color w:val="011A3C"/>
          <w:sz w:val="24"/>
          <w:szCs w:val="24"/>
          <w:lang w:val="en" w:eastAsia="en-AU"/>
        </w:rPr>
      </w:pPr>
      <w:r w:rsidRPr="004D307F">
        <w:rPr>
          <w:rFonts w:ascii="VIC-Bold" w:eastAsia="Times New Roman" w:hAnsi="VIC-Bold" w:cs="Times New Roman"/>
          <w:b/>
          <w:bCs/>
          <w:color w:val="011A3C"/>
          <w:sz w:val="24"/>
          <w:szCs w:val="24"/>
          <w:lang w:val="en" w:eastAsia="en-AU"/>
        </w:rPr>
        <w:t>Regional Victorian Government Schools</w:t>
      </w:r>
      <w:r w:rsidRPr="004D307F">
        <w:rPr>
          <w:rFonts w:ascii="VIC-Bold" w:eastAsia="Times New Roman" w:hAnsi="VIC-Bold" w:cs="Times New Roman"/>
          <w:color w:val="011A3C"/>
          <w:sz w:val="24"/>
          <w:szCs w:val="24"/>
          <w:lang w:val="en" w:eastAsia="en-AU"/>
        </w:rPr>
        <w:t> — Cash ($) Allocation</w:t>
      </w:r>
    </w:p>
    <w:p w14:paraId="31925591" w14:textId="1BD85F05" w:rsidR="002F58F8" w:rsidRPr="004D307F" w:rsidRDefault="002F58F8" w:rsidP="00ED0863">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Year 6 student — Primary and Primary-Secondary combined Schools — $</w:t>
      </w:r>
      <w:r w:rsidR="00DD3790" w:rsidRPr="004D307F">
        <w:rPr>
          <w:rFonts w:ascii="VIC-Regular" w:eastAsia="Times New Roman" w:hAnsi="VIC-Regular" w:cs="Times New Roman"/>
          <w:color w:val="011A3C"/>
          <w:sz w:val="24"/>
          <w:szCs w:val="24"/>
          <w:lang w:val="en" w:eastAsia="en-AU"/>
        </w:rPr>
        <w:t>270</w:t>
      </w:r>
    </w:p>
    <w:p w14:paraId="55E967CD" w14:textId="56C205BA" w:rsidR="002F58F8" w:rsidRPr="004D307F" w:rsidRDefault="002F58F8" w:rsidP="00ED0863">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Specialist School student — $</w:t>
      </w:r>
      <w:r w:rsidR="00DD3790" w:rsidRPr="004D307F">
        <w:rPr>
          <w:rFonts w:ascii="VIC-Regular" w:eastAsia="Times New Roman" w:hAnsi="VIC-Regular" w:cs="Times New Roman"/>
          <w:color w:val="011A3C"/>
          <w:sz w:val="24"/>
          <w:szCs w:val="24"/>
          <w:lang w:val="en" w:eastAsia="en-AU"/>
        </w:rPr>
        <w:t>270</w:t>
      </w:r>
    </w:p>
    <w:p w14:paraId="4231E233" w14:textId="0FA0FE8A" w:rsidR="00DD3790" w:rsidRPr="004D307F" w:rsidRDefault="00DD3790" w:rsidP="00ED0863">
      <w:pPr>
        <w:numPr>
          <w:ilvl w:val="0"/>
          <w:numId w:val="74"/>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Per English Language School student — $270</w:t>
      </w:r>
    </w:p>
    <w:p w14:paraId="38E4F258" w14:textId="77777777" w:rsidR="00DD3790" w:rsidRPr="004D307F" w:rsidRDefault="00DD3790" w:rsidP="00C116FE">
      <w:pPr>
        <w:spacing w:before="100" w:beforeAutospacing="1" w:after="100" w:afterAutospacing="1" w:line="360" w:lineRule="atLeast"/>
        <w:ind w:left="720"/>
        <w:rPr>
          <w:rFonts w:ascii="VIC-Regular" w:eastAsia="Times New Roman" w:hAnsi="VIC-Regular" w:cs="Times New Roman"/>
          <w:color w:val="011A3C"/>
          <w:sz w:val="24"/>
          <w:szCs w:val="24"/>
          <w:lang w:val="en" w:eastAsia="en-AU"/>
        </w:rPr>
      </w:pPr>
    </w:p>
    <w:p w14:paraId="7640124A" w14:textId="77777777" w:rsidR="002F58F8" w:rsidRPr="004D307F" w:rsidRDefault="002F58F8" w:rsidP="002F58F8"/>
    <w:p w14:paraId="3D584B24" w14:textId="57F5B01C" w:rsidR="002F58F8" w:rsidRPr="004D307F" w:rsidRDefault="002F58F8">
      <w:pPr>
        <w:rPr>
          <w:rFonts w:asciiTheme="majorHAnsi" w:eastAsia="Times New Roman" w:hAnsiTheme="majorHAnsi" w:cstheme="majorBidi"/>
          <w:b/>
          <w:color w:val="2F5496" w:themeColor="accent1" w:themeShade="BF"/>
          <w:sz w:val="36"/>
          <w:szCs w:val="26"/>
          <w:lang w:val="en" w:eastAsia="en-AU"/>
        </w:rPr>
      </w:pPr>
      <w:r w:rsidRPr="004D307F">
        <w:br w:type="page"/>
      </w:r>
    </w:p>
    <w:p w14:paraId="20E75844" w14:textId="6DA1730E" w:rsidR="00EA34C0" w:rsidRPr="004D307F" w:rsidRDefault="00EA34C0" w:rsidP="00B566E7">
      <w:pPr>
        <w:pStyle w:val="Heading2"/>
      </w:pPr>
      <w:bookmarkStart w:id="108" w:name="_Toc99882778"/>
      <w:r w:rsidRPr="004D307F">
        <w:lastRenderedPageBreak/>
        <w:t>Head Start (Reference 116)</w:t>
      </w:r>
      <w:bookmarkEnd w:id="108"/>
    </w:p>
    <w:p w14:paraId="6631E0F9" w14:textId="404B3C4A"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Head Start is a new apprenticeship and traineeship pathway for secondary students. </w:t>
      </w:r>
      <w:hyperlink r:id="rId164" w:history="1">
        <w:r w:rsidRPr="004D307F">
          <w:rPr>
            <w:rFonts w:ascii="VIC-Regular" w:eastAsia="Times New Roman" w:hAnsi="VIC-Regular" w:cs="Times New Roman"/>
            <w:color w:val="011A3C"/>
            <w:sz w:val="24"/>
            <w:szCs w:val="24"/>
            <w:lang w:val="en" w:eastAsia="en-AU"/>
          </w:rPr>
          <w:t>Head Start</w:t>
        </w:r>
      </w:hyperlink>
      <w:r w:rsidRPr="004D307F">
        <w:rPr>
          <w:rFonts w:ascii="VIC-Regular" w:eastAsia="Times New Roman" w:hAnsi="VIC-Regular" w:cs="Times New Roman"/>
          <w:color w:val="011A3C"/>
          <w:sz w:val="24"/>
          <w:szCs w:val="24"/>
          <w:lang w:val="en" w:eastAsia="en-AU"/>
        </w:rPr>
        <w:t xml:space="preserve"> students spend more time doing important, paid, on-the-job training while completing their VCE or VCAL at school.</w:t>
      </w:r>
    </w:p>
    <w:p w14:paraId="26999F2E" w14:textId="77777777" w:rsidR="0073330A" w:rsidRPr="004D307F" w:rsidRDefault="0073330A" w:rsidP="0073330A">
      <w:pPr>
        <w:spacing w:before="100" w:beforeAutospacing="1" w:after="100" w:afterAutospacing="1" w:line="360" w:lineRule="atLeast"/>
        <w:rPr>
          <w:rFonts w:ascii="VIC-Regular" w:eastAsia="Times New Roman" w:hAnsi="VIC-Regular" w:cs="Times New Roman"/>
          <w:b/>
          <w:bCs/>
          <w:color w:val="011A3C"/>
          <w:sz w:val="26"/>
          <w:szCs w:val="28"/>
          <w:lang w:val="en" w:eastAsia="en-AU"/>
        </w:rPr>
      </w:pPr>
      <w:r w:rsidRPr="004D307F">
        <w:rPr>
          <w:rFonts w:ascii="VIC-Regular" w:eastAsia="Times New Roman" w:hAnsi="VIC-Regular" w:cs="Times New Roman"/>
          <w:b/>
          <w:bCs/>
          <w:color w:val="011A3C"/>
          <w:sz w:val="26"/>
          <w:szCs w:val="28"/>
          <w:lang w:val="en" w:eastAsia="en-AU"/>
        </w:rPr>
        <w:t>Eligibility</w:t>
      </w:r>
    </w:p>
    <w:p w14:paraId="6E7C8033" w14:textId="77777777" w:rsidR="0073330A" w:rsidRPr="004D307F" w:rsidRDefault="0073330A" w:rsidP="0073330A">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with the following campus types are eligible for Head Start funding at school level. </w:t>
      </w:r>
    </w:p>
    <w:p w14:paraId="394F1239" w14:textId="77777777" w:rsidR="0073330A" w:rsidRPr="004D307F" w:rsidRDefault="0073330A"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Secondary</w:t>
      </w:r>
    </w:p>
    <w:p w14:paraId="297AEB8D" w14:textId="77777777" w:rsidR="0073330A" w:rsidRPr="004D307F" w:rsidRDefault="0073330A"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 / Secondary Combined</w:t>
      </w:r>
    </w:p>
    <w:p w14:paraId="2154C8CA" w14:textId="1C92823D" w:rsidR="0073330A" w:rsidRPr="004D307F" w:rsidRDefault="0073330A"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is calculated at the Indicative, Confirmed and Revised </w:t>
      </w:r>
      <w:r w:rsidR="00845A32" w:rsidRPr="004D307F">
        <w:rPr>
          <w:rFonts w:ascii="VIC-Regular" w:eastAsia="Times New Roman" w:hAnsi="VIC-Regular" w:cs="Times New Roman"/>
          <w:color w:val="011A3C"/>
          <w:sz w:val="24"/>
          <w:szCs w:val="24"/>
          <w:lang w:val="en" w:eastAsia="en-AU"/>
        </w:rPr>
        <w:t>cycles;</w:t>
      </w:r>
      <w:r w:rsidRPr="004D307F">
        <w:rPr>
          <w:rFonts w:ascii="VIC-Regular" w:eastAsia="Times New Roman" w:hAnsi="VIC-Regular" w:cs="Times New Roman"/>
          <w:color w:val="011A3C"/>
          <w:sz w:val="24"/>
          <w:szCs w:val="24"/>
          <w:lang w:val="en" w:eastAsia="en-AU"/>
        </w:rPr>
        <w:t xml:space="preserve"> funding is allocated through credit funding.</w:t>
      </w:r>
    </w:p>
    <w:p w14:paraId="7AACF29F"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w:t>
      </w:r>
    </w:p>
    <w:p w14:paraId="57E4AA42" w14:textId="3D72B3E9" w:rsidR="00EA34C0" w:rsidRPr="004D307F" w:rsidRDefault="009A130D"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Student Resource Package (</w:t>
      </w:r>
      <w:r w:rsidR="00EA34C0" w:rsidRPr="004D307F">
        <w:rPr>
          <w:rFonts w:ascii="VIC-Regular" w:eastAsia="Times New Roman" w:hAnsi="VIC-Regular" w:cs="Times New Roman"/>
          <w:color w:val="011A3C"/>
          <w:sz w:val="24"/>
          <w:szCs w:val="24"/>
          <w:lang w:val="en" w:eastAsia="en-AU"/>
        </w:rPr>
        <w:t>SRP</w:t>
      </w:r>
      <w:r w:rsidRPr="004D307F">
        <w:rPr>
          <w:rFonts w:ascii="VIC-Regular" w:eastAsia="Times New Roman" w:hAnsi="VIC-Regular" w:cs="Times New Roman"/>
          <w:color w:val="011A3C"/>
          <w:sz w:val="24"/>
          <w:szCs w:val="24"/>
          <w:lang w:val="en" w:eastAsia="en-AU"/>
        </w:rPr>
        <w:t>)</w:t>
      </w:r>
      <w:r w:rsidR="00EA34C0" w:rsidRPr="004D307F">
        <w:rPr>
          <w:rFonts w:ascii="VIC-Regular" w:eastAsia="Times New Roman" w:hAnsi="VIC-Regular" w:cs="Times New Roman"/>
          <w:color w:val="011A3C"/>
          <w:sz w:val="24"/>
          <w:szCs w:val="24"/>
          <w:lang w:val="en" w:eastAsia="en-AU"/>
        </w:rPr>
        <w:t xml:space="preserve"> credit funding will </w:t>
      </w:r>
      <w:r w:rsidR="00845A32" w:rsidRPr="004D307F">
        <w:rPr>
          <w:rFonts w:ascii="VIC-Regular" w:eastAsia="Times New Roman" w:hAnsi="VIC-Regular" w:cs="Times New Roman"/>
          <w:color w:val="011A3C"/>
          <w:sz w:val="24"/>
          <w:szCs w:val="24"/>
          <w:lang w:val="en" w:eastAsia="en-AU"/>
        </w:rPr>
        <w:t xml:space="preserve">be </w:t>
      </w:r>
      <w:r w:rsidR="00EA34C0" w:rsidRPr="004D307F">
        <w:rPr>
          <w:rFonts w:ascii="VIC-Regular" w:eastAsia="Times New Roman" w:hAnsi="VIC-Regular" w:cs="Times New Roman"/>
          <w:color w:val="011A3C"/>
          <w:sz w:val="24"/>
          <w:szCs w:val="24"/>
          <w:lang w:val="en" w:eastAsia="en-AU"/>
        </w:rPr>
        <w:t>provided to participating schools that host Head Start staff.</w:t>
      </w:r>
    </w:p>
    <w:p w14:paraId="7A648069"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cover salary and will be allocated based on salary rates and time fractions of Head Start staff employed in each cluster.</w:t>
      </w:r>
    </w:p>
    <w:p w14:paraId="7C9F458F"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Operational costs</w:t>
      </w:r>
    </w:p>
    <w:p w14:paraId="053C8440" w14:textId="68FB2152"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Operational costs will be funded through the </w:t>
      </w:r>
      <w:hyperlink r:id="rId165" w:history="1">
        <w:r w:rsidRPr="004D307F">
          <w:rPr>
            <w:rFonts w:ascii="VIC-Regular" w:eastAsia="Times New Roman" w:hAnsi="VIC-Regular" w:cs="Times New Roman"/>
            <w:color w:val="011A3C"/>
            <w:sz w:val="24"/>
            <w:szCs w:val="24"/>
            <w:lang w:val="en" w:eastAsia="en-AU"/>
          </w:rPr>
          <w:t>Schools targeted funding governance portal (</w:t>
        </w:r>
        <w:proofErr w:type="spellStart"/>
        <w:r w:rsidR="00C64A4E" w:rsidRPr="004D307F">
          <w:rPr>
            <w:rFonts w:ascii="VIC-Regular" w:eastAsia="Times New Roman" w:hAnsi="VIC-Regular" w:cs="Times New Roman"/>
            <w:color w:val="011A3C"/>
            <w:sz w:val="24"/>
            <w:szCs w:val="24"/>
            <w:lang w:val="en" w:eastAsia="en-AU"/>
          </w:rPr>
          <w:t>education</w:t>
        </w:r>
        <w:r w:rsidRPr="004D307F">
          <w:rPr>
            <w:rFonts w:ascii="VIC-Regular" w:eastAsia="Times New Roman" w:hAnsi="VIC-Regular" w:cs="Times New Roman"/>
            <w:color w:val="011A3C"/>
            <w:sz w:val="24"/>
            <w:szCs w:val="24"/>
            <w:lang w:val="en" w:eastAsia="en-AU"/>
          </w:rPr>
          <w:t>account</w:t>
        </w:r>
        <w:proofErr w:type="spellEnd"/>
        <w:r w:rsidRPr="004D307F">
          <w:rPr>
            <w:rFonts w:ascii="VIC-Regular" w:eastAsia="Times New Roman" w:hAnsi="VIC-Regular" w:cs="Times New Roman"/>
            <w:color w:val="011A3C"/>
            <w:sz w:val="24"/>
            <w:szCs w:val="24"/>
            <w:lang w:val="en" w:eastAsia="en-AU"/>
          </w:rPr>
          <w:t xml:space="preserve"> required)</w:t>
        </w:r>
      </w:hyperlink>
      <w:r w:rsidRPr="004D307F">
        <w:rPr>
          <w:rFonts w:ascii="VIC-Regular" w:eastAsia="Times New Roman" w:hAnsi="VIC-Regular" w:cs="Times New Roman"/>
          <w:color w:val="011A3C"/>
          <w:sz w:val="24"/>
          <w:szCs w:val="24"/>
          <w:lang w:val="en" w:eastAsia="en-AU"/>
        </w:rPr>
        <w:t>.</w:t>
      </w:r>
    </w:p>
    <w:p w14:paraId="7DAA441E" w14:textId="77777777" w:rsidR="00EA34C0" w:rsidRPr="004D307F" w:rsidRDefault="00EA34C0" w:rsidP="00EA34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NOTE: Arrangements have been made so mileage can be processed in </w:t>
      </w:r>
      <w:proofErr w:type="spellStart"/>
      <w:r w:rsidRPr="004D307F">
        <w:rPr>
          <w:rFonts w:ascii="VIC-Regular" w:eastAsia="Times New Roman" w:hAnsi="VIC-Regular" w:cs="Times New Roman"/>
          <w:color w:val="011A3C"/>
          <w:sz w:val="24"/>
          <w:szCs w:val="24"/>
          <w:lang w:val="en" w:eastAsia="en-AU"/>
        </w:rPr>
        <w:t>eduPay</w:t>
      </w:r>
      <w:proofErr w:type="spellEnd"/>
      <w:r w:rsidRPr="004D307F">
        <w:rPr>
          <w:rFonts w:ascii="VIC-Regular" w:eastAsia="Times New Roman" w:hAnsi="VIC-Regular" w:cs="Times New Roman"/>
          <w:color w:val="011A3C"/>
          <w:sz w:val="24"/>
          <w:szCs w:val="24"/>
          <w:lang w:val="en" w:eastAsia="en-AU"/>
        </w:rPr>
        <w:t xml:space="preserve"> and charged directly to the program area. Schools should refer to the Head Start Finance fact sheet for mileage processing instructions.</w:t>
      </w:r>
    </w:p>
    <w:p w14:paraId="08042DEF" w14:textId="77777777" w:rsidR="00EA34C0" w:rsidRPr="004D307F" w:rsidRDefault="00EA34C0" w:rsidP="00EA34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Find out more</w:t>
      </w:r>
    </w:p>
    <w:p w14:paraId="244C1393" w14:textId="059349DC" w:rsidR="00EA34C0" w:rsidRPr="004D307F" w:rsidRDefault="00EA34C0" w:rsidP="004D1CF3">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taking part in </w:t>
      </w:r>
      <w:hyperlink r:id="rId166" w:history="1">
        <w:r w:rsidRPr="004D307F">
          <w:rPr>
            <w:rFonts w:ascii="VIC-Regular" w:eastAsia="Times New Roman" w:hAnsi="VIC-Regular" w:cs="Times New Roman"/>
            <w:color w:val="011A3C"/>
            <w:sz w:val="24"/>
            <w:szCs w:val="24"/>
            <w:lang w:val="en" w:eastAsia="en-AU"/>
          </w:rPr>
          <w:t>Head Start</w:t>
        </w:r>
      </w:hyperlink>
      <w:r w:rsidRPr="004D307F">
        <w:rPr>
          <w:rFonts w:ascii="VIC-Regular" w:eastAsia="Times New Roman" w:hAnsi="VIC-Regular" w:cs="Times New Roman"/>
          <w:color w:val="011A3C"/>
          <w:sz w:val="24"/>
          <w:szCs w:val="24"/>
          <w:lang w:val="en" w:eastAsia="en-AU"/>
        </w:rPr>
        <w:t xml:space="preserve"> have been identified as part of the implementation of the program.</w:t>
      </w:r>
    </w:p>
    <w:p w14:paraId="1597C0E7" w14:textId="77777777" w:rsidR="00EA34C0" w:rsidRPr="004D307F" w:rsidRDefault="00EA34C0" w:rsidP="00EA34C0">
      <w:r w:rsidRPr="004D307F">
        <w:br w:type="page"/>
      </w:r>
    </w:p>
    <w:p w14:paraId="49603FB2" w14:textId="4916E162" w:rsidR="002F58F8" w:rsidRPr="004D307F" w:rsidRDefault="00B5606E" w:rsidP="00B566E7">
      <w:pPr>
        <w:pStyle w:val="Heading2"/>
      </w:pPr>
      <w:bookmarkStart w:id="109" w:name="_Toc99882779"/>
      <w:r w:rsidRPr="004D307F">
        <w:lastRenderedPageBreak/>
        <w:t xml:space="preserve">National School Chaplaincy Program (NSCP) </w:t>
      </w:r>
      <w:r w:rsidR="00F12C7A" w:rsidRPr="004D307F">
        <w:t>(Reference 117)</w:t>
      </w:r>
      <w:bookmarkEnd w:id="109"/>
    </w:p>
    <w:p w14:paraId="0C785F9E" w14:textId="77777777" w:rsidR="002F58F8" w:rsidRPr="004D307F" w:rsidRDefault="00A35420"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67" w:history="1">
        <w:r w:rsidR="002F58F8" w:rsidRPr="004D307F">
          <w:rPr>
            <w:rFonts w:ascii="VIC-Regular" w:eastAsia="Times New Roman" w:hAnsi="VIC-Regular" w:cs="Times New Roman"/>
            <w:color w:val="011A3C"/>
            <w:sz w:val="24"/>
            <w:szCs w:val="24"/>
            <w:lang w:val="en" w:eastAsia="en-AU"/>
          </w:rPr>
          <w:t>The National School Chaplaincy Program</w:t>
        </w:r>
      </w:hyperlink>
      <w:r w:rsidR="002F58F8" w:rsidRPr="004D307F">
        <w:rPr>
          <w:rFonts w:ascii="VIC-Regular" w:eastAsia="Times New Roman" w:hAnsi="VIC-Regular" w:cs="Times New Roman"/>
          <w:color w:val="011A3C"/>
          <w:sz w:val="24"/>
          <w:szCs w:val="24"/>
          <w:lang w:val="en" w:eastAsia="en-AU"/>
        </w:rPr>
        <w:t xml:space="preserve"> (NSCP) is a Commonwealth initiative that funds chaplaincy services in Victorian schools.</w:t>
      </w:r>
    </w:p>
    <w:p w14:paraId="66340697"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with the following campus types are eligible for Chaplaincy funding at campus level. </w:t>
      </w:r>
    </w:p>
    <w:p w14:paraId="74EDB85A"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Primary</w:t>
      </w:r>
    </w:p>
    <w:p w14:paraId="5EC656C5"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Secondary</w:t>
      </w:r>
    </w:p>
    <w:p w14:paraId="79FBA9FD"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 xml:space="preserve">Primary / Secondary Combined </w:t>
      </w:r>
    </w:p>
    <w:p w14:paraId="46B55ABA" w14:textId="77777777" w:rsidR="002F58F8" w:rsidRPr="004D307F" w:rsidRDefault="002F58F8" w:rsidP="00ED0863">
      <w:pPr>
        <w:numPr>
          <w:ilvl w:val="0"/>
          <w:numId w:val="17"/>
        </w:numPr>
        <w:spacing w:before="100" w:beforeAutospacing="1" w:after="100" w:afterAutospacing="1" w:line="360" w:lineRule="atLeast"/>
        <w:rPr>
          <w:rFonts w:ascii="VIC-Regular" w:eastAsia="Times New Roman" w:hAnsi="VIC-Regular" w:cs="Times New Roman"/>
          <w:color w:val="011A3C"/>
          <w:lang w:val="en" w:eastAsia="en-AU"/>
        </w:rPr>
      </w:pPr>
      <w:r w:rsidRPr="004D307F">
        <w:rPr>
          <w:rFonts w:ascii="VIC-Regular" w:eastAsia="Times New Roman" w:hAnsi="VIC-Regular" w:cs="Times New Roman"/>
          <w:color w:val="011A3C"/>
          <w:lang w:val="en" w:eastAsia="en-AU"/>
        </w:rPr>
        <w:t>Special</w:t>
      </w:r>
    </w:p>
    <w:p w14:paraId="11E2F071" w14:textId="0203A11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may be calculated at the Indicative, Confirmed and Revised </w:t>
      </w:r>
      <w:proofErr w:type="gramStart"/>
      <w:r w:rsidRPr="004D307F">
        <w:rPr>
          <w:rFonts w:ascii="VIC-Regular" w:eastAsia="Times New Roman" w:hAnsi="VIC-Regular" w:cs="Times New Roman"/>
          <w:color w:val="011A3C"/>
          <w:sz w:val="24"/>
          <w:szCs w:val="24"/>
          <w:lang w:val="en" w:eastAsia="en-AU"/>
        </w:rPr>
        <w:t>cycles,</w:t>
      </w:r>
      <w:proofErr w:type="gramEnd"/>
      <w:r w:rsidRPr="004D307F">
        <w:rPr>
          <w:rFonts w:ascii="VIC-Regular" w:eastAsia="Times New Roman" w:hAnsi="VIC-Regular" w:cs="Times New Roman"/>
          <w:color w:val="011A3C"/>
          <w:sz w:val="24"/>
          <w:szCs w:val="24"/>
          <w:lang w:val="en" w:eastAsia="en-AU"/>
        </w:rPr>
        <w:t xml:space="preserve"> funding is allocated through cash funding.</w:t>
      </w:r>
    </w:p>
    <w:p w14:paraId="4A2ED260" w14:textId="77777777" w:rsidR="002F58F8" w:rsidRPr="004D307F"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rates</w:t>
      </w:r>
    </w:p>
    <w:p w14:paraId="014996FA" w14:textId="77777777"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Eligible school campuses receive funding of $20,280 per year (or $24,336 for schools in remote/very remote areas) for chaplaincy services.</w:t>
      </w:r>
    </w:p>
    <w:p w14:paraId="7F31B016" w14:textId="77777777" w:rsidR="002F58F8" w:rsidRPr="004D307F" w:rsidRDefault="002F58F8" w:rsidP="002F58F8">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Contact</w:t>
      </w:r>
    </w:p>
    <w:p w14:paraId="303D2FD5" w14:textId="6047A00F" w:rsidR="002F58F8" w:rsidRPr="004D307F" w:rsidRDefault="002F58F8" w:rsidP="002F58F8">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Email: </w:t>
      </w:r>
      <w:hyperlink r:id="rId168" w:history="1">
        <w:r w:rsidR="00B5606E" w:rsidRPr="004D307F">
          <w:rPr>
            <w:rStyle w:val="Hyperlink"/>
            <w:rFonts w:ascii="VIC-Regular" w:eastAsia="Times New Roman" w:hAnsi="VIC-Regular" w:cs="Times New Roman"/>
            <w:sz w:val="24"/>
            <w:szCs w:val="24"/>
            <w:lang w:val="en" w:eastAsia="en-AU"/>
          </w:rPr>
          <w:t>student.engagement@education.vic.gov.au</w:t>
        </w:r>
      </w:hyperlink>
      <w:r w:rsidRPr="004D307F">
        <w:rPr>
          <w:rFonts w:ascii="VIC-Regular" w:eastAsia="Times New Roman" w:hAnsi="VIC-Regular" w:cs="Times New Roman"/>
          <w:color w:val="011A3C"/>
          <w:sz w:val="24"/>
          <w:szCs w:val="24"/>
          <w:lang w:val="en" w:eastAsia="en-AU"/>
        </w:rPr>
        <w:br/>
        <w:t xml:space="preserve">Phone: </w:t>
      </w:r>
      <w:hyperlink r:id="rId169" w:history="1">
        <w:r w:rsidRPr="004D307F">
          <w:rPr>
            <w:rFonts w:ascii="VIC-Regular" w:eastAsia="Times New Roman" w:hAnsi="VIC-Regular" w:cs="Times New Roman"/>
            <w:color w:val="011A3C"/>
            <w:sz w:val="24"/>
            <w:szCs w:val="24"/>
            <w:lang w:val="en" w:eastAsia="en-AU"/>
          </w:rPr>
          <w:t>03 7022 0019​</w:t>
        </w:r>
      </w:hyperlink>
    </w:p>
    <w:p w14:paraId="47D63B93" w14:textId="00F39D0C" w:rsidR="00373667" w:rsidRPr="004D307F" w:rsidRDefault="002F58F8">
      <w:r w:rsidRPr="004D307F">
        <w:br w:type="page"/>
      </w:r>
    </w:p>
    <w:p w14:paraId="515457CD" w14:textId="0629B116" w:rsidR="00EA34C0" w:rsidRPr="004D307F" w:rsidRDefault="00EA34C0" w:rsidP="00B566E7">
      <w:pPr>
        <w:pStyle w:val="Heading2"/>
      </w:pPr>
      <w:bookmarkStart w:id="110" w:name="_Toc99882780"/>
      <w:r w:rsidRPr="004D307F">
        <w:lastRenderedPageBreak/>
        <w:t>Middle Years Literacy and Numeracy Support Initiative (</w:t>
      </w:r>
      <w:r w:rsidR="003E5908" w:rsidRPr="004D307F">
        <w:t xml:space="preserve">Reference </w:t>
      </w:r>
      <w:r w:rsidRPr="004D307F">
        <w:t>118)</w:t>
      </w:r>
      <w:bookmarkEnd w:id="110"/>
    </w:p>
    <w:p w14:paraId="2BB93F5F" w14:textId="17D0418E"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hyperlink r:id="rId170" w:anchor="link98" w:history="1">
        <w:r w:rsidRPr="004D307F">
          <w:rPr>
            <w:rFonts w:ascii="VIC" w:eastAsia="Times New Roman" w:hAnsi="VIC" w:cs="Times New Roman"/>
            <w:color w:val="011A3C"/>
            <w:sz w:val="24"/>
            <w:szCs w:val="24"/>
            <w:lang w:val="en" w:eastAsia="en-AU"/>
          </w:rPr>
          <w:t>Middle Years Literacy and Numeracy Support (MYLNS)</w:t>
        </w:r>
      </w:hyperlink>
      <w:r w:rsidRPr="004D307F">
        <w:rPr>
          <w:rFonts w:ascii="VIC" w:eastAsia="Times New Roman" w:hAnsi="VIC" w:cs="Times New Roman"/>
          <w:color w:val="011A3C"/>
          <w:sz w:val="24"/>
          <w:szCs w:val="24"/>
          <w:lang w:val="en" w:eastAsia="en-AU"/>
        </w:rPr>
        <w:t xml:space="preserve"> initiative provides funding to government secondary schools to improve outcomes for students who are at risk of finishing school without the literacy or numeracy they need for future work, education and training.</w:t>
      </w:r>
    </w:p>
    <w:p w14:paraId="7CC0E890" w14:textId="5BEE8200"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Through the MYLNS initiative, schools are provided funding to release existing teachers as Literacy Improvement Teachers and/or Numeracy Improvement Teachers</w:t>
      </w:r>
    </w:p>
    <w:p w14:paraId="0FA6E057"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Improvement Teachers have the following functions:</w:t>
      </w:r>
    </w:p>
    <w:p w14:paraId="0FF91F2F" w14:textId="77777777" w:rsidR="00EA34C0" w:rsidRPr="004D307F" w:rsidRDefault="00EA34C0" w:rsidP="00ED0863">
      <w:pPr>
        <w:numPr>
          <w:ilvl w:val="0"/>
          <w:numId w:val="7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 deliver literacy or numeracy direct teaching support to students at risk of finishing school without the literacy or numeracy skills they need, and</w:t>
      </w:r>
    </w:p>
    <w:p w14:paraId="632DFCAE" w14:textId="77777777" w:rsidR="00EA34C0" w:rsidRPr="004D307F" w:rsidRDefault="00EA34C0" w:rsidP="00ED0863">
      <w:pPr>
        <w:numPr>
          <w:ilvl w:val="0"/>
          <w:numId w:val="7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 build capability in literacy or numeracy teaching across the school</w:t>
      </w:r>
    </w:p>
    <w:p w14:paraId="156AFAB1" w14:textId="728B7C49"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202</w:t>
      </w:r>
      <w:r w:rsidR="00D62581"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the MYLNS initiative provides funding to </w:t>
      </w:r>
      <w:r w:rsidR="0024684E" w:rsidRPr="004D307F">
        <w:rPr>
          <w:rFonts w:ascii="VIC" w:eastAsia="Times New Roman" w:hAnsi="VIC" w:cs="Times New Roman"/>
          <w:color w:val="011A3C"/>
          <w:sz w:val="24"/>
          <w:szCs w:val="24"/>
          <w:lang w:val="en" w:eastAsia="en-AU"/>
        </w:rPr>
        <w:t xml:space="preserve">deliver </w:t>
      </w:r>
      <w:r w:rsidRPr="004D307F">
        <w:rPr>
          <w:rFonts w:ascii="VIC" w:eastAsia="Times New Roman" w:hAnsi="VIC" w:cs="Times New Roman"/>
          <w:color w:val="011A3C"/>
          <w:sz w:val="24"/>
          <w:szCs w:val="24"/>
          <w:lang w:val="en" w:eastAsia="en-AU"/>
        </w:rPr>
        <w:t xml:space="preserve">direct </w:t>
      </w:r>
      <w:r w:rsidR="0024684E" w:rsidRPr="004D307F">
        <w:rPr>
          <w:rFonts w:ascii="VIC" w:eastAsia="Times New Roman" w:hAnsi="VIC" w:cs="Times New Roman"/>
          <w:color w:val="011A3C"/>
          <w:sz w:val="24"/>
          <w:szCs w:val="24"/>
          <w:lang w:val="en" w:eastAsia="en-AU"/>
        </w:rPr>
        <w:t xml:space="preserve">teaching </w:t>
      </w:r>
      <w:r w:rsidRPr="004D307F">
        <w:rPr>
          <w:rFonts w:ascii="VIC" w:eastAsia="Times New Roman" w:hAnsi="VIC" w:cs="Times New Roman"/>
          <w:color w:val="011A3C"/>
          <w:sz w:val="24"/>
          <w:szCs w:val="24"/>
          <w:lang w:val="en" w:eastAsia="en-AU"/>
        </w:rPr>
        <w:t>support to students in Year</w:t>
      </w:r>
      <w:r w:rsidR="00E67D70" w:rsidRPr="004D307F">
        <w:rPr>
          <w:rFonts w:ascii="VIC" w:eastAsia="Times New Roman" w:hAnsi="VIC" w:cs="Times New Roman"/>
          <w:color w:val="011A3C"/>
          <w:sz w:val="24"/>
          <w:szCs w:val="24"/>
          <w:lang w:val="en" w:eastAsia="en-AU"/>
        </w:rPr>
        <w:t>s</w:t>
      </w:r>
      <w:r w:rsidRPr="004D307F">
        <w:rPr>
          <w:rFonts w:ascii="VIC" w:eastAsia="Times New Roman" w:hAnsi="VIC" w:cs="Times New Roman"/>
          <w:color w:val="011A3C"/>
          <w:sz w:val="24"/>
          <w:szCs w:val="24"/>
          <w:lang w:val="en" w:eastAsia="en-AU"/>
        </w:rPr>
        <w:t xml:space="preserve"> </w:t>
      </w:r>
      <w:r w:rsidR="0024684E" w:rsidRPr="004D307F">
        <w:rPr>
          <w:rFonts w:ascii="VIC" w:eastAsia="Times New Roman" w:hAnsi="VIC" w:cs="Times New Roman"/>
          <w:color w:val="011A3C"/>
          <w:sz w:val="24"/>
          <w:szCs w:val="24"/>
          <w:lang w:val="en" w:eastAsia="en-AU"/>
        </w:rPr>
        <w:t>8</w:t>
      </w:r>
      <w:r w:rsidR="00D62581" w:rsidRPr="004D307F">
        <w:rPr>
          <w:rFonts w:ascii="VIC" w:eastAsia="Times New Roman" w:hAnsi="VIC" w:cs="Times New Roman"/>
          <w:color w:val="011A3C"/>
          <w:sz w:val="24"/>
          <w:szCs w:val="24"/>
          <w:lang w:val="en" w:eastAsia="en-AU"/>
        </w:rPr>
        <w:t>, 9</w:t>
      </w:r>
      <w:r w:rsidR="006618E7"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and </w:t>
      </w:r>
      <w:r w:rsidR="0024684E" w:rsidRPr="004D307F">
        <w:rPr>
          <w:rFonts w:ascii="VIC" w:eastAsia="Times New Roman" w:hAnsi="VIC" w:cs="Times New Roman"/>
          <w:color w:val="011A3C"/>
          <w:sz w:val="24"/>
          <w:szCs w:val="24"/>
          <w:lang w:val="en" w:eastAsia="en-AU"/>
        </w:rPr>
        <w:t>10</w:t>
      </w:r>
      <w:r w:rsidR="00D62581" w:rsidRPr="004D307F">
        <w:rPr>
          <w:rFonts w:ascii="VIC" w:eastAsia="Times New Roman" w:hAnsi="VIC" w:cs="Times New Roman"/>
          <w:color w:val="011A3C"/>
          <w:sz w:val="24"/>
          <w:szCs w:val="24"/>
          <w:lang w:val="en" w:eastAsia="en-AU"/>
        </w:rPr>
        <w:t xml:space="preserve"> to build capability in literacy and numeracy teaching across the school and for Improvement Teachers to attend MYLNS professional learning.</w:t>
      </w:r>
    </w:p>
    <w:p w14:paraId="5303C4CF" w14:textId="065AA41E" w:rsidR="006618E7" w:rsidRPr="004D307F" w:rsidRDefault="006618E7"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Refer to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policy on </w:t>
      </w:r>
      <w:hyperlink r:id="rId171" w:history="1">
        <w:r w:rsidRPr="004D307F">
          <w:rPr>
            <w:rStyle w:val="Hyperlink"/>
            <w:rFonts w:ascii="VIC" w:eastAsia="Times New Roman" w:hAnsi="VIC" w:cs="Times New Roman"/>
            <w:sz w:val="24"/>
            <w:szCs w:val="24"/>
            <w:lang w:val="en" w:eastAsia="en-AU"/>
          </w:rPr>
          <w:t>Middle Years Literacy and Numeracy Support</w:t>
        </w:r>
      </w:hyperlink>
      <w:r w:rsidRPr="004D307F">
        <w:rPr>
          <w:rFonts w:ascii="VIC" w:eastAsia="Times New Roman" w:hAnsi="VIC" w:cs="Times New Roman"/>
          <w:color w:val="011A3C"/>
          <w:sz w:val="24"/>
          <w:szCs w:val="24"/>
          <w:lang w:val="en" w:eastAsia="en-AU"/>
        </w:rPr>
        <w:t xml:space="preserve"> for further information on implementing the initiative. </w:t>
      </w:r>
    </w:p>
    <w:p w14:paraId="7341A576" w14:textId="77777777" w:rsidR="0073330A" w:rsidRPr="004D307F" w:rsidRDefault="0073330A" w:rsidP="0073330A">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6"/>
          <w:szCs w:val="28"/>
          <w:lang w:val="en" w:eastAsia="en-AU"/>
        </w:rPr>
        <w:t>Eligibility</w:t>
      </w:r>
    </w:p>
    <w:p w14:paraId="38759222" w14:textId="6C2BE112" w:rsidR="0073330A" w:rsidRPr="004D307F" w:rsidRDefault="0073330A" w:rsidP="0073330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t>
      </w:r>
      <w:r w:rsidR="00E67D70" w:rsidRPr="004D307F">
        <w:rPr>
          <w:rFonts w:ascii="VIC" w:eastAsia="Times New Roman" w:hAnsi="VIC" w:cs="Times New Roman"/>
          <w:color w:val="011A3C"/>
          <w:sz w:val="24"/>
          <w:szCs w:val="24"/>
          <w:lang w:val="en" w:eastAsia="en-AU"/>
        </w:rPr>
        <w:t xml:space="preserve">that fall into the following categories </w:t>
      </w:r>
      <w:r w:rsidRPr="004D307F">
        <w:rPr>
          <w:rFonts w:ascii="VIC" w:eastAsia="Times New Roman" w:hAnsi="VIC" w:cs="Times New Roman"/>
          <w:color w:val="011A3C"/>
          <w:sz w:val="24"/>
          <w:szCs w:val="24"/>
          <w:lang w:val="en" w:eastAsia="en-AU"/>
        </w:rPr>
        <w:t>are eligible for MYLNS funding at school level.</w:t>
      </w:r>
    </w:p>
    <w:p w14:paraId="1173FC58" w14:textId="77777777" w:rsidR="0073330A" w:rsidRPr="004D307F" w:rsidRDefault="0073330A"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29A47537" w14:textId="1AB6207C" w:rsidR="0073330A" w:rsidRPr="004D307F" w:rsidRDefault="0073330A" w:rsidP="00ED0863">
      <w:pPr>
        <w:numPr>
          <w:ilvl w:val="0"/>
          <w:numId w:val="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5BF03126" w14:textId="6F51DCE6" w:rsidR="00D62581" w:rsidRPr="004D307F" w:rsidRDefault="00D62581" w:rsidP="00D62581">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is provided to all Victorian government schools with secondary students except </w:t>
      </w:r>
      <w:r w:rsidR="00E67D70" w:rsidRPr="004D307F">
        <w:rPr>
          <w:rFonts w:ascii="VIC" w:eastAsia="Times New Roman" w:hAnsi="VIC" w:cs="Times New Roman"/>
          <w:color w:val="011A3C"/>
          <w:sz w:val="24"/>
          <w:szCs w:val="24"/>
          <w:lang w:val="en" w:eastAsia="en-AU"/>
        </w:rPr>
        <w:t xml:space="preserve">for </w:t>
      </w:r>
      <w:r w:rsidRPr="004D307F">
        <w:rPr>
          <w:rFonts w:ascii="VIC" w:eastAsia="Times New Roman" w:hAnsi="VIC" w:cs="Times New Roman"/>
          <w:color w:val="011A3C"/>
          <w:sz w:val="24"/>
          <w:szCs w:val="24"/>
          <w:lang w:val="en" w:eastAsia="en-AU"/>
        </w:rPr>
        <w:t xml:space="preserve">select entry, camp, </w:t>
      </w:r>
      <w:proofErr w:type="gramStart"/>
      <w:r w:rsidRPr="004D307F">
        <w:rPr>
          <w:rFonts w:ascii="VIC" w:eastAsia="Times New Roman" w:hAnsi="VIC" w:cs="Times New Roman"/>
          <w:color w:val="011A3C"/>
          <w:sz w:val="24"/>
          <w:szCs w:val="24"/>
          <w:lang w:val="en" w:eastAsia="en-AU"/>
        </w:rPr>
        <w:t>language</w:t>
      </w:r>
      <w:proofErr w:type="gramEnd"/>
      <w:r w:rsidRPr="004D307F">
        <w:rPr>
          <w:rFonts w:ascii="VIC" w:eastAsia="Times New Roman" w:hAnsi="VIC" w:cs="Times New Roman"/>
          <w:color w:val="011A3C"/>
          <w:sz w:val="24"/>
          <w:szCs w:val="24"/>
          <w:lang w:val="en" w:eastAsia="en-AU"/>
        </w:rPr>
        <w:t xml:space="preserve"> and special schools.</w:t>
      </w:r>
    </w:p>
    <w:p w14:paraId="0CB75D3F" w14:textId="7580AD49" w:rsidR="00EA34C0" w:rsidRPr="004D307F" w:rsidRDefault="0073330A" w:rsidP="00EA34C0">
      <w:pPr>
        <w:spacing w:before="100" w:beforeAutospacing="1" w:after="100" w:afterAutospacing="1" w:line="288" w:lineRule="atLeast"/>
        <w:outlineLvl w:val="2"/>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may be calculated at the Indicative, Confirmed and Revised cycles, </w:t>
      </w:r>
      <w:r w:rsidR="00E67D70" w:rsidRPr="004D307F">
        <w:rPr>
          <w:rFonts w:ascii="VIC" w:eastAsia="Times New Roman" w:hAnsi="VIC" w:cs="Times New Roman"/>
          <w:color w:val="011A3C"/>
          <w:sz w:val="24"/>
          <w:szCs w:val="24"/>
          <w:lang w:val="en" w:eastAsia="en-AU"/>
        </w:rPr>
        <w:t xml:space="preserve">with </w:t>
      </w:r>
      <w:r w:rsidRPr="004D307F">
        <w:rPr>
          <w:rFonts w:ascii="VIC" w:eastAsia="Times New Roman" w:hAnsi="VIC" w:cs="Times New Roman"/>
          <w:color w:val="011A3C"/>
          <w:sz w:val="24"/>
          <w:szCs w:val="24"/>
          <w:lang w:val="en" w:eastAsia="en-AU"/>
        </w:rPr>
        <w:t xml:space="preserve">funding </w:t>
      </w:r>
      <w:r w:rsidR="00E67D70" w:rsidRPr="004D307F">
        <w:rPr>
          <w:rFonts w:ascii="VIC" w:eastAsia="Times New Roman" w:hAnsi="VIC" w:cs="Times New Roman"/>
          <w:color w:val="011A3C"/>
          <w:sz w:val="24"/>
          <w:szCs w:val="24"/>
          <w:lang w:val="en" w:eastAsia="en-AU"/>
        </w:rPr>
        <w:t xml:space="preserve">provided </w:t>
      </w:r>
      <w:r w:rsidRPr="004D307F">
        <w:rPr>
          <w:rFonts w:ascii="VIC" w:eastAsia="Times New Roman" w:hAnsi="VIC" w:cs="Times New Roman"/>
          <w:color w:val="011A3C"/>
          <w:sz w:val="24"/>
          <w:szCs w:val="24"/>
          <w:lang w:val="en" w:eastAsia="en-AU"/>
        </w:rPr>
        <w:t>through credit and cash funding.</w:t>
      </w:r>
    </w:p>
    <w:p w14:paraId="7180E3C5"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Funding allocation</w:t>
      </w:r>
    </w:p>
    <w:p w14:paraId="6BD061C4" w14:textId="2C7EB145" w:rsidR="00DD62EE" w:rsidRPr="004D307F" w:rsidRDefault="00DD62EE"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do not have to apply for MYLNS funding. Funding is determined using NAPLAN literacy and numeracy data and </w:t>
      </w:r>
      <w:r w:rsidR="00E67D70" w:rsidRPr="004D307F">
        <w:rPr>
          <w:rFonts w:ascii="VIC" w:eastAsia="Times New Roman" w:hAnsi="VIC" w:cs="Times New Roman"/>
          <w:color w:val="011A3C"/>
          <w:sz w:val="24"/>
          <w:szCs w:val="24"/>
          <w:lang w:val="en" w:eastAsia="en-AU"/>
        </w:rPr>
        <w:t xml:space="preserve">is </w:t>
      </w:r>
      <w:r w:rsidRPr="004D307F">
        <w:rPr>
          <w:rFonts w:ascii="VIC" w:eastAsia="Times New Roman" w:hAnsi="VIC" w:cs="Times New Roman"/>
          <w:color w:val="011A3C"/>
          <w:sz w:val="24"/>
          <w:szCs w:val="24"/>
          <w:lang w:val="en" w:eastAsia="en-AU"/>
        </w:rPr>
        <w:t xml:space="preserve">included in the </w:t>
      </w:r>
      <w:r w:rsidR="009A130D" w:rsidRPr="004D307F">
        <w:rPr>
          <w:rFonts w:ascii="VIC" w:eastAsia="Times New Roman" w:hAnsi="VIC" w:cs="Times New Roman"/>
          <w:color w:val="011A3C"/>
          <w:sz w:val="24"/>
          <w:szCs w:val="24"/>
          <w:lang w:val="en" w:eastAsia="en-AU"/>
        </w:rPr>
        <w:t>Student Resource Package (</w:t>
      </w:r>
      <w:r w:rsidRPr="004D307F">
        <w:rPr>
          <w:rFonts w:ascii="VIC" w:eastAsia="Times New Roman" w:hAnsi="VIC" w:cs="Times New Roman"/>
          <w:color w:val="011A3C"/>
          <w:sz w:val="24"/>
          <w:szCs w:val="24"/>
          <w:lang w:val="en" w:eastAsia="en-AU"/>
        </w:rPr>
        <w:t>SRP</w:t>
      </w:r>
      <w:r w:rsidR="009A130D"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Schools will also be notified of their funding allocation via an email from their </w:t>
      </w:r>
      <w:r w:rsidR="00101838">
        <w:rPr>
          <w:rFonts w:ascii="VIC" w:eastAsia="Times New Roman" w:hAnsi="VIC" w:cs="Times New Roman"/>
          <w:color w:val="011A3C"/>
          <w:sz w:val="24"/>
          <w:szCs w:val="24"/>
          <w:lang w:val="en" w:eastAsia="en-AU"/>
        </w:rPr>
        <w:t>r</w:t>
      </w:r>
      <w:r w:rsidRPr="004D307F">
        <w:rPr>
          <w:rFonts w:ascii="VIC" w:eastAsia="Times New Roman" w:hAnsi="VIC" w:cs="Times New Roman"/>
          <w:color w:val="011A3C"/>
          <w:sz w:val="24"/>
          <w:szCs w:val="24"/>
          <w:lang w:val="en" w:eastAsia="en-AU"/>
        </w:rPr>
        <w:t xml:space="preserve">egional </w:t>
      </w:r>
      <w:r w:rsidR="00101838">
        <w:rPr>
          <w:rFonts w:ascii="VIC" w:eastAsia="Times New Roman" w:hAnsi="VIC" w:cs="Times New Roman"/>
          <w:color w:val="011A3C"/>
          <w:sz w:val="24"/>
          <w:szCs w:val="24"/>
          <w:lang w:val="en" w:eastAsia="en-AU"/>
        </w:rPr>
        <w:t>d</w:t>
      </w:r>
      <w:r w:rsidRPr="004D307F">
        <w:rPr>
          <w:rFonts w:ascii="VIC" w:eastAsia="Times New Roman" w:hAnsi="VIC" w:cs="Times New Roman"/>
          <w:color w:val="011A3C"/>
          <w:sz w:val="24"/>
          <w:szCs w:val="24"/>
          <w:lang w:val="en" w:eastAsia="en-AU"/>
        </w:rPr>
        <w:t>irector.</w:t>
      </w:r>
    </w:p>
    <w:p w14:paraId="216325D3" w14:textId="77777777" w:rsidR="009A26CF" w:rsidRPr="009A26CF" w:rsidRDefault="009A26CF" w:rsidP="009A26CF">
      <w:pPr>
        <w:spacing w:before="100" w:beforeAutospacing="1" w:after="100" w:afterAutospacing="1" w:line="360" w:lineRule="atLeast"/>
        <w:rPr>
          <w:rFonts w:ascii="VIC" w:eastAsia="Times New Roman" w:hAnsi="VIC" w:cs="Times New Roman"/>
          <w:color w:val="011A3C"/>
          <w:sz w:val="24"/>
          <w:szCs w:val="24"/>
          <w:lang w:eastAsia="en-AU"/>
        </w:rPr>
      </w:pPr>
      <w:r w:rsidRPr="009A26CF">
        <w:rPr>
          <w:rFonts w:ascii="VIC" w:eastAsia="Times New Roman" w:hAnsi="VIC" w:cs="Times New Roman"/>
          <w:color w:val="011A3C"/>
          <w:sz w:val="24"/>
          <w:szCs w:val="24"/>
          <w:lang w:eastAsia="en-AU"/>
        </w:rPr>
        <w:t>In 2022, funding is determined by:</w:t>
      </w:r>
    </w:p>
    <w:p w14:paraId="73AED110" w14:textId="68962B70" w:rsidR="009A26CF" w:rsidRPr="009A26CF" w:rsidRDefault="00101838" w:rsidP="00ED0863">
      <w:pPr>
        <w:numPr>
          <w:ilvl w:val="0"/>
          <w:numId w:val="170"/>
        </w:numPr>
        <w:spacing w:before="100" w:beforeAutospacing="1" w:after="100" w:afterAutospacing="1" w:line="360" w:lineRule="atLeast"/>
        <w:rPr>
          <w:rFonts w:ascii="VIC" w:eastAsia="Times New Roman" w:hAnsi="VIC" w:cs="Times New Roman"/>
          <w:color w:val="011A3C"/>
          <w:sz w:val="24"/>
          <w:szCs w:val="24"/>
          <w:lang w:eastAsia="en-AU"/>
        </w:rPr>
      </w:pPr>
      <w:r>
        <w:rPr>
          <w:rFonts w:ascii="VIC" w:eastAsia="Times New Roman" w:hAnsi="VIC" w:cs="Times New Roman"/>
          <w:color w:val="011A3C"/>
          <w:sz w:val="24"/>
          <w:szCs w:val="24"/>
          <w:lang w:eastAsia="en-AU"/>
        </w:rPr>
        <w:t>a</w:t>
      </w:r>
      <w:r w:rsidR="009A26CF" w:rsidRPr="009A26CF">
        <w:rPr>
          <w:rFonts w:ascii="VIC" w:eastAsia="Times New Roman" w:hAnsi="VIC" w:cs="Times New Roman"/>
          <w:color w:val="011A3C"/>
          <w:sz w:val="24"/>
          <w:szCs w:val="24"/>
          <w:lang w:eastAsia="en-AU"/>
        </w:rPr>
        <w:t xml:space="preserve"> 3-year rolling average (2017</w:t>
      </w:r>
      <w:r>
        <w:rPr>
          <w:rFonts w:ascii="VIC" w:eastAsia="Times New Roman" w:hAnsi="VIC" w:cs="Times New Roman"/>
          <w:color w:val="011A3C"/>
          <w:sz w:val="24"/>
          <w:szCs w:val="24"/>
          <w:lang w:eastAsia="en-AU"/>
        </w:rPr>
        <w:t xml:space="preserve"> to</w:t>
      </w:r>
      <w:r w:rsidR="009A26CF" w:rsidRPr="009A26CF">
        <w:rPr>
          <w:rFonts w:ascii="VIC" w:eastAsia="Times New Roman" w:hAnsi="VIC" w:cs="Times New Roman"/>
          <w:color w:val="011A3C"/>
          <w:sz w:val="24"/>
          <w:szCs w:val="24"/>
          <w:lang w:eastAsia="en-AU"/>
        </w:rPr>
        <w:t xml:space="preserve"> 2019) of the number of students in Years 8 and 10 in the school achieving below National Minimum Standard in NAPLAN Reading or Numeracy. In addition, students exempt from sitting NAPLAN</w:t>
      </w:r>
    </w:p>
    <w:p w14:paraId="1497429C" w14:textId="6BF0C5B4" w:rsidR="009A26CF" w:rsidRPr="009A26CF" w:rsidRDefault="00101838" w:rsidP="00ED0863">
      <w:pPr>
        <w:numPr>
          <w:ilvl w:val="0"/>
          <w:numId w:val="170"/>
        </w:numPr>
        <w:spacing w:before="100" w:beforeAutospacing="1" w:after="100" w:afterAutospacing="1" w:line="360" w:lineRule="atLeast"/>
        <w:rPr>
          <w:rFonts w:ascii="VIC" w:eastAsia="Times New Roman" w:hAnsi="VIC" w:cs="Times New Roman"/>
          <w:color w:val="011A3C"/>
          <w:sz w:val="24"/>
          <w:szCs w:val="24"/>
          <w:lang w:eastAsia="en-AU"/>
        </w:rPr>
      </w:pPr>
      <w:r>
        <w:rPr>
          <w:rFonts w:ascii="VIC" w:eastAsia="Times New Roman" w:hAnsi="VIC" w:cs="Times New Roman"/>
          <w:color w:val="011A3C"/>
          <w:sz w:val="24"/>
          <w:szCs w:val="24"/>
          <w:lang w:eastAsia="en-AU"/>
        </w:rPr>
        <w:t>t</w:t>
      </w:r>
      <w:r w:rsidR="009A26CF" w:rsidRPr="009A26CF">
        <w:rPr>
          <w:rFonts w:ascii="VIC" w:eastAsia="Times New Roman" w:hAnsi="VIC" w:cs="Times New Roman"/>
          <w:color w:val="011A3C"/>
          <w:sz w:val="24"/>
          <w:szCs w:val="24"/>
          <w:lang w:eastAsia="en-AU"/>
        </w:rPr>
        <w:t>he number of students supported in Year 8 in 2021, who will continue to receive MYLNS support in Year 9 in 2022.</w:t>
      </w:r>
    </w:p>
    <w:p w14:paraId="1590B218" w14:textId="77777777" w:rsidR="00E67D70" w:rsidRPr="004D307F" w:rsidRDefault="00DD62EE">
      <w:pPr>
        <w:spacing w:before="100" w:beforeAutospacing="1" w:after="100" w:afterAutospacing="1" w:line="360" w:lineRule="atLeast"/>
        <w:rPr>
          <w:rFonts w:ascii="VIC" w:eastAsia="Times New Roman" w:hAnsi="VIC" w:cs="Times New Roman"/>
          <w:color w:val="323E4F" w:themeColor="text2" w:themeShade="BF"/>
          <w:sz w:val="24"/>
          <w:szCs w:val="24"/>
          <w:lang w:val="en" w:eastAsia="en-AU"/>
        </w:rPr>
      </w:pPr>
      <w:r w:rsidRPr="004D307F">
        <w:rPr>
          <w:rFonts w:ascii="VIC" w:eastAsia="Times New Roman" w:hAnsi="VIC" w:cs="Times New Roman"/>
          <w:color w:val="011A3C"/>
          <w:sz w:val="24"/>
          <w:szCs w:val="24"/>
          <w:lang w:val="en" w:eastAsia="en-AU"/>
        </w:rPr>
        <w:t>Secondary schools with no Year 8 or 10 students, including P-9 Colleges and Senior Secondary Schools, will receive a base funding allocation for direct teaching and capability b</w:t>
      </w:r>
      <w:r w:rsidRPr="004D307F">
        <w:rPr>
          <w:rFonts w:ascii="VIC" w:eastAsia="Times New Roman" w:hAnsi="VIC" w:cs="Times New Roman"/>
          <w:color w:val="323E4F" w:themeColor="text2" w:themeShade="BF"/>
          <w:sz w:val="24"/>
          <w:szCs w:val="24"/>
          <w:lang w:val="en" w:eastAsia="en-AU"/>
        </w:rPr>
        <w:t>uilding.</w:t>
      </w:r>
      <w:r w:rsidR="006618E7" w:rsidRPr="004D307F">
        <w:rPr>
          <w:rFonts w:ascii="VIC" w:eastAsia="Times New Roman" w:hAnsi="VIC" w:cs="Times New Roman"/>
          <w:color w:val="323E4F" w:themeColor="text2" w:themeShade="BF"/>
          <w:sz w:val="24"/>
          <w:szCs w:val="24"/>
          <w:lang w:val="en" w:eastAsia="en-AU"/>
        </w:rPr>
        <w:t xml:space="preserve"> </w:t>
      </w:r>
    </w:p>
    <w:p w14:paraId="5ECC8629" w14:textId="5D992293" w:rsidR="00DD62EE" w:rsidRPr="004D307F" w:rsidRDefault="00DD62EE">
      <w:pPr>
        <w:spacing w:before="100" w:beforeAutospacing="1" w:after="100" w:afterAutospacing="1" w:line="360" w:lineRule="atLeast"/>
        <w:rPr>
          <w:rFonts w:ascii="VIC" w:eastAsia="Times New Roman" w:hAnsi="VIC" w:cstheme="minorHAnsi"/>
          <w:color w:val="323E4F" w:themeColor="text2" w:themeShade="BF"/>
          <w:sz w:val="24"/>
          <w:szCs w:val="24"/>
          <w:lang w:eastAsia="en-AU"/>
        </w:rPr>
      </w:pPr>
      <w:r w:rsidRPr="004D307F">
        <w:rPr>
          <w:rFonts w:ascii="VIC" w:eastAsia="Times New Roman" w:hAnsi="VIC" w:cstheme="minorHAnsi"/>
          <w:color w:val="323E4F" w:themeColor="text2" w:themeShade="BF"/>
          <w:sz w:val="24"/>
          <w:szCs w:val="24"/>
          <w:lang w:eastAsia="en-AU"/>
        </w:rPr>
        <w:t xml:space="preserve">Schools with Flexible Learning Option (FLO) campuses or programs will be provided </w:t>
      </w:r>
      <w:r w:rsidR="00E67D70" w:rsidRPr="004D307F">
        <w:rPr>
          <w:rFonts w:ascii="VIC" w:eastAsia="Times New Roman" w:hAnsi="VIC" w:cstheme="minorHAnsi"/>
          <w:color w:val="323E4F" w:themeColor="text2" w:themeShade="BF"/>
          <w:sz w:val="24"/>
          <w:szCs w:val="24"/>
          <w:lang w:eastAsia="en-AU"/>
        </w:rPr>
        <w:t xml:space="preserve">with </w:t>
      </w:r>
      <w:r w:rsidRPr="004D307F">
        <w:rPr>
          <w:rFonts w:ascii="VIC" w:eastAsia="Times New Roman" w:hAnsi="VIC" w:cstheme="minorHAnsi"/>
          <w:color w:val="323E4F" w:themeColor="text2" w:themeShade="BF"/>
          <w:sz w:val="24"/>
          <w:szCs w:val="24"/>
          <w:lang w:eastAsia="en-AU"/>
        </w:rPr>
        <w:t>additional funding to increase the support available to students with high levels of need.</w:t>
      </w:r>
    </w:p>
    <w:p w14:paraId="24447F66" w14:textId="64609EDB" w:rsidR="00D62581" w:rsidRPr="004D307F" w:rsidRDefault="00D62581" w:rsidP="00D62581">
      <w:pPr>
        <w:rPr>
          <w:rFonts w:ascii="VIC" w:hAnsi="VIC" w:cs="Arial"/>
        </w:rPr>
      </w:pPr>
      <w:r w:rsidRPr="004D307F">
        <w:rPr>
          <w:rFonts w:ascii="VIC" w:eastAsia="Times New Roman" w:hAnsi="VIC" w:cs="Times New Roman"/>
          <w:color w:val="011A3C"/>
          <w:sz w:val="24"/>
          <w:szCs w:val="24"/>
          <w:lang w:val="en" w:eastAsia="en-AU"/>
        </w:rPr>
        <w:t xml:space="preserve">Refer to the </w:t>
      </w:r>
      <w:r w:rsidR="00CC53FD">
        <w:rPr>
          <w:rFonts w:ascii="VIC" w:eastAsia="Times New Roman" w:hAnsi="VIC" w:cs="Times New Roman"/>
          <w:color w:val="011A3C"/>
          <w:sz w:val="24"/>
          <w:szCs w:val="24"/>
          <w:lang w:val="en" w:eastAsia="en-AU"/>
        </w:rPr>
        <w:t>d</w:t>
      </w:r>
      <w:r w:rsidRPr="004D307F">
        <w:rPr>
          <w:rFonts w:ascii="VIC" w:eastAsia="Times New Roman" w:hAnsi="VIC" w:cs="Times New Roman"/>
          <w:color w:val="011A3C"/>
          <w:sz w:val="24"/>
          <w:szCs w:val="24"/>
          <w:lang w:val="en" w:eastAsia="en-AU"/>
        </w:rPr>
        <w:t>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policy on </w:t>
      </w:r>
      <w:hyperlink r:id="rId172" w:history="1">
        <w:r w:rsidRPr="004D307F">
          <w:rPr>
            <w:rStyle w:val="Hyperlink"/>
            <w:rFonts w:ascii="VIC" w:eastAsia="Times New Roman" w:hAnsi="VIC" w:cs="Times New Roman"/>
            <w:lang w:val="en" w:eastAsia="en-AU"/>
          </w:rPr>
          <w:t>Middle Years Literacy and Numeracy Support initiative</w:t>
        </w:r>
      </w:hyperlink>
      <w:r w:rsidRPr="004D307F">
        <w:rPr>
          <w:rFonts w:ascii="VIC" w:eastAsia="Times New Roman" w:hAnsi="VIC" w:cs="Times New Roman"/>
          <w:color w:val="011A3C"/>
          <w:sz w:val="24"/>
          <w:szCs w:val="24"/>
          <w:lang w:val="en" w:eastAsia="en-AU"/>
        </w:rPr>
        <w:t xml:space="preserve"> for further information on </w:t>
      </w:r>
      <w:r w:rsidRPr="004D307F">
        <w:rPr>
          <w:rFonts w:ascii="VIC" w:eastAsia="Times New Roman" w:hAnsi="VIC" w:cs="Times New Roman"/>
          <w:i/>
          <w:iCs/>
          <w:color w:val="011A3C"/>
          <w:sz w:val="24"/>
          <w:szCs w:val="24"/>
          <w:lang w:val="en" w:eastAsia="en-AU"/>
        </w:rPr>
        <w:t>Funding allocation</w:t>
      </w:r>
      <w:r w:rsidRPr="004D307F">
        <w:rPr>
          <w:rFonts w:ascii="VIC" w:eastAsia="Times New Roman" w:hAnsi="VIC" w:cs="Times New Roman"/>
          <w:color w:val="011A3C"/>
          <w:sz w:val="24"/>
          <w:szCs w:val="24"/>
          <w:lang w:val="en" w:eastAsia="en-AU"/>
        </w:rPr>
        <w:t>.</w:t>
      </w:r>
    </w:p>
    <w:p w14:paraId="485A870B" w14:textId="110B3BDB"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amounts are expressed as </w:t>
      </w:r>
      <w:r w:rsidR="00E67D70" w:rsidRPr="004D307F">
        <w:rPr>
          <w:rFonts w:ascii="VIC" w:eastAsia="Times New Roman" w:hAnsi="VIC" w:cs="Times New Roman"/>
          <w:color w:val="011A3C"/>
          <w:sz w:val="24"/>
          <w:szCs w:val="24"/>
          <w:lang w:val="en" w:eastAsia="en-AU"/>
        </w:rPr>
        <w:t xml:space="preserve">an </w:t>
      </w:r>
      <w:r w:rsidRPr="004D307F">
        <w:rPr>
          <w:rFonts w:ascii="VIC" w:eastAsia="Times New Roman" w:hAnsi="VIC" w:cs="Times New Roman"/>
          <w:color w:val="011A3C"/>
          <w:sz w:val="24"/>
          <w:szCs w:val="24"/>
          <w:lang w:val="en" w:eastAsia="en-AU"/>
        </w:rPr>
        <w:t>FTE time release and funded at Classroom Teacher 2.5 level.</w:t>
      </w:r>
    </w:p>
    <w:p w14:paraId="53FB9660" w14:textId="4978C159"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for direct</w:t>
      </w:r>
      <w:r w:rsidR="00DD62EE" w:rsidRPr="004D307F">
        <w:rPr>
          <w:rFonts w:ascii="VIC" w:eastAsia="Times New Roman" w:hAnsi="VIC" w:cs="Times New Roman"/>
          <w:color w:val="011A3C"/>
          <w:sz w:val="24"/>
          <w:szCs w:val="24"/>
          <w:lang w:val="en" w:eastAsia="en-AU"/>
        </w:rPr>
        <w:t xml:space="preserve"> teaching</w:t>
      </w:r>
      <w:r w:rsidRPr="004D307F">
        <w:rPr>
          <w:rFonts w:ascii="VIC" w:eastAsia="Times New Roman" w:hAnsi="VIC" w:cs="Times New Roman"/>
          <w:color w:val="011A3C"/>
          <w:sz w:val="24"/>
          <w:szCs w:val="24"/>
          <w:lang w:val="en" w:eastAsia="en-AU"/>
        </w:rPr>
        <w:t xml:space="preserve"> support and teacher capability building are calculated separately.</w:t>
      </w:r>
    </w:p>
    <w:p w14:paraId="75C4B17F" w14:textId="07F2F686"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not re-allocated between schools if students transfer in or out during the school year.</w:t>
      </w:r>
    </w:p>
    <w:p w14:paraId="7B0F7E12" w14:textId="77777777" w:rsidR="00D62581" w:rsidRPr="004D307F" w:rsidRDefault="00D62581" w:rsidP="00D62581">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Student identification in 2022</w:t>
      </w:r>
    </w:p>
    <w:p w14:paraId="1C64742C" w14:textId="77777777" w:rsidR="00D62581" w:rsidRPr="004D307F" w:rsidRDefault="00D62581" w:rsidP="00D62581">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2022, schools will support students in:</w:t>
      </w:r>
    </w:p>
    <w:p w14:paraId="54C98ABC" w14:textId="121DD5EB" w:rsidR="00D62581" w:rsidRPr="004D307F" w:rsidRDefault="00D62581" w:rsidP="00ED0863">
      <w:pPr>
        <w:pStyle w:val="ListParagraph"/>
        <w:numPr>
          <w:ilvl w:val="0"/>
          <w:numId w:val="16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Years 8 and 10 who were identified as </w:t>
      </w:r>
      <w:r w:rsidR="00E67D70"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elow National Minimum Standard in Reading and/or Numeracy as per 2021 NAPLAN results, and</w:t>
      </w:r>
    </w:p>
    <w:p w14:paraId="52DC2477" w14:textId="77777777" w:rsidR="00D62581" w:rsidRPr="004D307F" w:rsidRDefault="00D62581" w:rsidP="00ED0863">
      <w:pPr>
        <w:pStyle w:val="ListParagraph"/>
        <w:numPr>
          <w:ilvl w:val="0"/>
          <w:numId w:val="163"/>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Year 9 who were supported through MYLNS in 2021 as Year 8 students, unless there is evidence that they no longer need support. </w:t>
      </w:r>
    </w:p>
    <w:p w14:paraId="626FBEB9" w14:textId="77777777" w:rsidR="00D62581" w:rsidRPr="004D307F" w:rsidRDefault="00D62581" w:rsidP="00D62581">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may also choose to support additional students up to the maximum number funded, based on student data.</w:t>
      </w:r>
    </w:p>
    <w:p w14:paraId="0EE8263C" w14:textId="73F4A2B5" w:rsidR="00D62581" w:rsidRPr="004D307F" w:rsidRDefault="00D62581" w:rsidP="00D62581">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Refer to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policy on </w:t>
      </w:r>
      <w:hyperlink r:id="rId173" w:history="1">
        <w:r w:rsidRPr="004D307F">
          <w:rPr>
            <w:rStyle w:val="Hyperlink"/>
            <w:rFonts w:ascii="VIC" w:eastAsia="Times New Roman" w:hAnsi="VIC" w:cs="Times New Roman"/>
            <w:lang w:val="en" w:eastAsia="en-AU"/>
          </w:rPr>
          <w:t>Middle Years Literacy and Numeracy Support initiative</w:t>
        </w:r>
      </w:hyperlink>
      <w:r w:rsidRPr="004D307F">
        <w:rPr>
          <w:rFonts w:ascii="VIC" w:eastAsia="Times New Roman" w:hAnsi="VIC" w:cs="Times New Roman"/>
          <w:color w:val="011A3C"/>
          <w:sz w:val="24"/>
          <w:szCs w:val="24"/>
          <w:lang w:val="en" w:eastAsia="en-AU"/>
        </w:rPr>
        <w:t xml:space="preserve"> for further information on </w:t>
      </w:r>
      <w:proofErr w:type="spellStart"/>
      <w:r w:rsidRPr="004D307F">
        <w:rPr>
          <w:rFonts w:ascii="VIC" w:eastAsia="Times New Roman" w:hAnsi="VIC" w:cs="Times New Roman"/>
          <w:i/>
          <w:iCs/>
          <w:color w:val="011A3C"/>
          <w:sz w:val="24"/>
          <w:szCs w:val="24"/>
          <w:lang w:val="en" w:eastAsia="en-AU"/>
        </w:rPr>
        <w:t>Prioritised</w:t>
      </w:r>
      <w:proofErr w:type="spellEnd"/>
      <w:r w:rsidRPr="004D307F">
        <w:rPr>
          <w:rFonts w:ascii="VIC" w:eastAsia="Times New Roman" w:hAnsi="VIC" w:cs="Times New Roman"/>
          <w:i/>
          <w:iCs/>
          <w:color w:val="011A3C"/>
          <w:sz w:val="24"/>
          <w:szCs w:val="24"/>
          <w:lang w:val="en" w:eastAsia="en-AU"/>
        </w:rPr>
        <w:t xml:space="preserve"> students</w:t>
      </w:r>
      <w:r w:rsidRPr="004D307F">
        <w:rPr>
          <w:rFonts w:ascii="VIC" w:eastAsia="Times New Roman" w:hAnsi="VIC" w:cs="Times New Roman"/>
          <w:color w:val="011A3C"/>
          <w:sz w:val="24"/>
          <w:szCs w:val="24"/>
          <w:lang w:val="en" w:eastAsia="en-AU"/>
        </w:rPr>
        <w:t>.</w:t>
      </w:r>
    </w:p>
    <w:p w14:paraId="15DA4010"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Time-release funding for Improvement Teachers</w:t>
      </w:r>
    </w:p>
    <w:p w14:paraId="70D86114" w14:textId="2E79E865"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Time-release funding for Improvement Teachers will be provided as a cash line under Targeted Initiatives. Funding for teachers starting in 202</w:t>
      </w:r>
      <w:r w:rsidR="00D62581"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commences on 1 January 202</w:t>
      </w:r>
      <w:r w:rsidR="00D62581" w:rsidRPr="004D307F">
        <w:rPr>
          <w:rFonts w:ascii="VIC" w:eastAsia="Times New Roman" w:hAnsi="VIC" w:cs="Times New Roman"/>
          <w:color w:val="011A3C"/>
          <w:sz w:val="24"/>
          <w:szCs w:val="24"/>
          <w:lang w:val="en" w:eastAsia="en-AU"/>
        </w:rPr>
        <w:t>2.</w:t>
      </w:r>
    </w:p>
    <w:p w14:paraId="21A8C544" w14:textId="15D548BB" w:rsidR="00EA34C0" w:rsidRPr="004D307F" w:rsidRDefault="00D62581" w:rsidP="00DD62EE">
      <w:pPr>
        <w:spacing w:before="100" w:beforeAutospacing="1" w:after="100" w:afterAutospacing="1" w:line="360" w:lineRule="atLeast"/>
        <w:rPr>
          <w:rFonts w:ascii="VIC" w:hAnsi="VIC"/>
          <w:color w:val="323E4F" w:themeColor="text2" w:themeShade="BF"/>
        </w:rPr>
      </w:pPr>
      <w:r w:rsidRPr="004D307F">
        <w:rPr>
          <w:rFonts w:ascii="VIC" w:eastAsia="Times New Roman" w:hAnsi="VIC" w:cs="Times New Roman"/>
          <w:color w:val="011A3C"/>
          <w:sz w:val="24"/>
          <w:szCs w:val="24"/>
          <w:lang w:val="en" w:eastAsia="en-AU"/>
        </w:rPr>
        <w:t>For f</w:t>
      </w:r>
      <w:r w:rsidR="00EA34C0" w:rsidRPr="004D307F">
        <w:rPr>
          <w:rFonts w:ascii="VIC" w:eastAsia="Times New Roman" w:hAnsi="VIC" w:cs="Times New Roman"/>
          <w:color w:val="011A3C"/>
          <w:sz w:val="24"/>
          <w:szCs w:val="24"/>
          <w:lang w:val="en" w:eastAsia="en-AU"/>
        </w:rPr>
        <w:t xml:space="preserve">urther </w:t>
      </w:r>
      <w:r w:rsidR="00EA34C0" w:rsidRPr="004D307F">
        <w:rPr>
          <w:rFonts w:ascii="VIC" w:eastAsia="Times New Roman" w:hAnsi="VIC" w:cs="Times New Roman"/>
          <w:color w:val="323E4F" w:themeColor="text2" w:themeShade="BF"/>
          <w:sz w:val="24"/>
          <w:szCs w:val="24"/>
          <w:lang w:val="en" w:eastAsia="en-AU"/>
        </w:rPr>
        <w:t xml:space="preserve">information contact </w:t>
      </w:r>
      <w:r w:rsidR="00DD62EE" w:rsidRPr="004D307F">
        <w:rPr>
          <w:rFonts w:ascii="VIC" w:hAnsi="VIC"/>
          <w:color w:val="323E4F" w:themeColor="text2" w:themeShade="BF"/>
        </w:rPr>
        <w:t>MYLNS@education.vic.gov.au</w:t>
      </w:r>
    </w:p>
    <w:p w14:paraId="62A47F24" w14:textId="77777777" w:rsidR="00EA34C0" w:rsidRPr="004D307F" w:rsidRDefault="00EA34C0" w:rsidP="00EA34C0">
      <w:pPr>
        <w:rPr>
          <w:rFonts w:ascii="VIC" w:hAnsi="VIC"/>
        </w:rPr>
      </w:pPr>
      <w:r w:rsidRPr="004D307F">
        <w:rPr>
          <w:rFonts w:ascii="VIC" w:hAnsi="VIC"/>
        </w:rPr>
        <w:br w:type="page"/>
      </w:r>
    </w:p>
    <w:p w14:paraId="5BAE862E" w14:textId="117A5758" w:rsidR="00EA34C0" w:rsidRPr="004D307F" w:rsidRDefault="00EA34C0" w:rsidP="00B566E7">
      <w:pPr>
        <w:pStyle w:val="Heading2"/>
      </w:pPr>
      <w:bookmarkStart w:id="111" w:name="_Toc99882781"/>
      <w:r w:rsidRPr="004D307F">
        <w:lastRenderedPageBreak/>
        <w:t>Student Excellence Program Funding (Ref</w:t>
      </w:r>
      <w:r w:rsidR="003E5908" w:rsidRPr="004D307F">
        <w:t xml:space="preserve">erence </w:t>
      </w:r>
      <w:r w:rsidRPr="004D307F">
        <w:t>120)</w:t>
      </w:r>
      <w:bookmarkEnd w:id="111"/>
    </w:p>
    <w:p w14:paraId="515E8773"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Student Excellence Program (SEP) funding will support schools to implement the Student Excellence Program reform package.</w:t>
      </w:r>
    </w:p>
    <w:p w14:paraId="327F2078" w14:textId="3253DFD6"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r w:rsidR="006618E7" w:rsidRPr="004D307F">
        <w:rPr>
          <w:rFonts w:ascii="VIC" w:eastAsia="Times New Roman" w:hAnsi="VIC" w:cs="Times New Roman"/>
          <w:color w:val="011A3C"/>
          <w:sz w:val="24"/>
          <w:szCs w:val="24"/>
          <w:lang w:val="en" w:eastAsia="en-AU"/>
        </w:rPr>
        <w:t xml:space="preserve">SEP </w:t>
      </w:r>
      <w:r w:rsidRPr="004D307F">
        <w:rPr>
          <w:rFonts w:ascii="VIC" w:eastAsia="Times New Roman" w:hAnsi="VIC" w:cs="Times New Roman"/>
          <w:color w:val="011A3C"/>
          <w:sz w:val="24"/>
          <w:szCs w:val="24"/>
          <w:lang w:val="en" w:eastAsia="en-AU"/>
        </w:rPr>
        <w:t>provides supports and programs for Victoria</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high-ability students to reach their full potential through:</w:t>
      </w:r>
    </w:p>
    <w:p w14:paraId="520D5F54" w14:textId="77777777" w:rsidR="00EA34C0" w:rsidRPr="004D307F" w:rsidRDefault="00EA34C0" w:rsidP="00ED0863">
      <w:pPr>
        <w:numPr>
          <w:ilvl w:val="0"/>
          <w:numId w:val="7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structured learning extension programs for high-ability students</w:t>
      </w:r>
    </w:p>
    <w:p w14:paraId="660EFB25" w14:textId="77777777" w:rsidR="00EA34C0" w:rsidRPr="004D307F" w:rsidRDefault="00EA34C0" w:rsidP="00ED0863">
      <w:pPr>
        <w:numPr>
          <w:ilvl w:val="0"/>
          <w:numId w:val="7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upskilling classroom teachers to better support their high-ability students</w:t>
      </w:r>
    </w:p>
    <w:p w14:paraId="67C5AE47" w14:textId="77777777" w:rsidR="00EA34C0" w:rsidRPr="004D307F" w:rsidRDefault="00EA34C0" w:rsidP="00ED0863">
      <w:pPr>
        <w:numPr>
          <w:ilvl w:val="0"/>
          <w:numId w:val="7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more resources for government schools to build their programs for high-ability students</w:t>
      </w:r>
    </w:p>
    <w:p w14:paraId="25BBD2F4" w14:textId="765F9812"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can decide how to use the funding allocation to best meet the needs of their high-ability students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where relevant, schools can pool funds, for example in collaborative delivery of masterclasses. Many schools are already running programs for high-ability students, and this funding can </w:t>
      </w:r>
      <w:r w:rsidR="00B241D3" w:rsidRPr="004D307F">
        <w:rPr>
          <w:rFonts w:ascii="VIC" w:eastAsia="Times New Roman" w:hAnsi="VIC" w:cs="Times New Roman"/>
          <w:color w:val="011A3C"/>
          <w:sz w:val="24"/>
          <w:szCs w:val="24"/>
          <w:lang w:val="en" w:eastAsia="en-AU"/>
        </w:rPr>
        <w:t xml:space="preserve">be </w:t>
      </w:r>
      <w:r w:rsidRPr="004D307F">
        <w:rPr>
          <w:rFonts w:ascii="VIC" w:eastAsia="Times New Roman" w:hAnsi="VIC" w:cs="Times New Roman"/>
          <w:color w:val="011A3C"/>
          <w:sz w:val="24"/>
          <w:szCs w:val="24"/>
          <w:lang w:val="en" w:eastAsia="en-AU"/>
        </w:rPr>
        <w:t>used to support these programs.</w:t>
      </w:r>
    </w:p>
    <w:p w14:paraId="44610ABB" w14:textId="71E7064C" w:rsidR="00073C34" w:rsidRPr="004D307F" w:rsidRDefault="00073C34" w:rsidP="006E043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Accountability</w:t>
      </w:r>
    </w:p>
    <w:p w14:paraId="3E80FE2E" w14:textId="4EF32795" w:rsidR="00052385" w:rsidRDefault="00EA34C0" w:rsidP="00052385">
      <w:pPr>
        <w:spacing w:before="100" w:beforeAutospacing="1" w:after="100" w:afterAutospacing="1" w:line="360" w:lineRule="atLeast"/>
        <w:rPr>
          <w:rFonts w:ascii="VIC-Regular" w:eastAsia="Times New Roman" w:hAnsi="VIC-Regular" w:cs="Arial"/>
          <w:color w:val="011A3C"/>
          <w:sz w:val="24"/>
          <w:szCs w:val="24"/>
          <w:lang w:val="en" w:eastAsia="en-AU"/>
        </w:rPr>
      </w:pPr>
      <w:r w:rsidRPr="004D307F">
        <w:rPr>
          <w:rFonts w:ascii="VIC" w:eastAsia="Times New Roman" w:hAnsi="VIC" w:cs="Times New Roman"/>
          <w:color w:val="011A3C"/>
          <w:sz w:val="24"/>
          <w:szCs w:val="24"/>
          <w:lang w:val="en" w:eastAsia="en-AU"/>
        </w:rPr>
        <w:t xml:space="preserve">Schools are responsible for using the funds within the guidelines provided by the </w:t>
      </w:r>
      <w:r w:rsidR="00232BBD">
        <w:rPr>
          <w:rFonts w:ascii="VIC" w:eastAsia="Times New Roman" w:hAnsi="VIC" w:cs="Times New Roman"/>
          <w:color w:val="011A3C"/>
          <w:sz w:val="24"/>
          <w:szCs w:val="24"/>
          <w:lang w:val="en" w:eastAsia="en-AU"/>
        </w:rPr>
        <w:t>d</w:t>
      </w:r>
      <w:r w:rsidRPr="004D307F">
        <w:rPr>
          <w:rFonts w:ascii="VIC" w:eastAsia="Times New Roman" w:hAnsi="VIC" w:cs="Times New Roman"/>
          <w:color w:val="011A3C"/>
          <w:sz w:val="24"/>
          <w:szCs w:val="24"/>
          <w:lang w:val="en" w:eastAsia="en-AU"/>
        </w:rPr>
        <w:t>epartment</w:t>
      </w:r>
      <w:r w:rsidR="00052385">
        <w:rPr>
          <w:rFonts w:ascii="VIC" w:eastAsia="Times New Roman" w:hAnsi="VIC" w:cs="Times New Roman"/>
          <w:color w:val="011A3C"/>
          <w:sz w:val="24"/>
          <w:szCs w:val="24"/>
          <w:lang w:val="en" w:eastAsia="en-AU"/>
        </w:rPr>
        <w:t xml:space="preserve"> </w:t>
      </w:r>
      <w:r w:rsidR="00052385">
        <w:rPr>
          <w:rFonts w:ascii="VIC-Regular" w:eastAsia="Times New Roman" w:hAnsi="VIC-Regular" w:cs="Arial"/>
          <w:color w:val="011A3C"/>
          <w:sz w:val="24"/>
          <w:szCs w:val="24"/>
          <w:lang w:val="en" w:eastAsia="en-AU"/>
        </w:rPr>
        <w:t xml:space="preserve">– </w:t>
      </w:r>
      <w:r w:rsidR="00232BBD">
        <w:rPr>
          <w:rFonts w:ascii="VIC-Regular" w:eastAsia="Times New Roman" w:hAnsi="VIC-Regular" w:cs="Arial"/>
          <w:color w:val="011A3C"/>
          <w:sz w:val="24"/>
          <w:szCs w:val="24"/>
          <w:lang w:val="en" w:eastAsia="en-AU"/>
        </w:rPr>
        <w:t>refer to the</w:t>
      </w:r>
      <w:r w:rsidR="00052385">
        <w:rPr>
          <w:rFonts w:ascii="VIC-Regular" w:eastAsia="Times New Roman" w:hAnsi="VIC-Regular" w:cs="Arial"/>
          <w:color w:val="011A3C"/>
          <w:sz w:val="24"/>
          <w:szCs w:val="24"/>
          <w:lang w:val="en" w:eastAsia="en-AU"/>
        </w:rPr>
        <w:t xml:space="preserve"> </w:t>
      </w:r>
      <w:hyperlink r:id="rId174" w:history="1">
        <w:r w:rsidR="00052385" w:rsidRPr="00190EFD">
          <w:rPr>
            <w:rStyle w:val="Hyperlink"/>
            <w:rFonts w:ascii="VIC-Regular" w:eastAsia="Times New Roman" w:hAnsi="VIC-Regular" w:cs="Arial"/>
            <w:sz w:val="24"/>
            <w:szCs w:val="24"/>
            <w:lang w:val="en" w:eastAsia="en-AU"/>
          </w:rPr>
          <w:t>Resources tab</w:t>
        </w:r>
      </w:hyperlink>
      <w:r w:rsidR="00052385">
        <w:rPr>
          <w:rFonts w:ascii="VIC-Regular" w:eastAsia="Times New Roman" w:hAnsi="VIC-Regular" w:cs="Arial"/>
          <w:color w:val="011A3C"/>
          <w:sz w:val="24"/>
          <w:szCs w:val="24"/>
          <w:lang w:val="en" w:eastAsia="en-AU"/>
        </w:rPr>
        <w:t>.</w:t>
      </w:r>
    </w:p>
    <w:p w14:paraId="75A40A3E" w14:textId="77777777" w:rsidR="00052385" w:rsidRDefault="00052385" w:rsidP="00052385">
      <w:pPr>
        <w:spacing w:before="100" w:beforeAutospacing="1" w:after="100" w:afterAutospacing="1" w:line="360" w:lineRule="atLeast"/>
        <w:rPr>
          <w:rFonts w:ascii="VIC-Regular" w:eastAsia="Times New Roman" w:hAnsi="VIC-Regular" w:cs="Arial"/>
          <w:color w:val="011A3C"/>
          <w:sz w:val="24"/>
          <w:szCs w:val="24"/>
          <w:lang w:val="en" w:eastAsia="en-AU"/>
        </w:rPr>
      </w:pPr>
      <w:r w:rsidRPr="00D23664">
        <w:rPr>
          <w:rFonts w:ascii="VIC-Regular" w:eastAsia="Times New Roman" w:hAnsi="VIC-Regular" w:cs="Arial"/>
          <w:color w:val="011A3C"/>
          <w:sz w:val="24"/>
          <w:szCs w:val="24"/>
          <w:lang w:val="en" w:eastAsia="en-AU"/>
        </w:rPr>
        <w:t xml:space="preserve">Schools must code any expenditure of </w:t>
      </w:r>
      <w:r>
        <w:rPr>
          <w:rFonts w:ascii="VIC-Regular" w:eastAsia="Times New Roman" w:hAnsi="VIC-Regular" w:cs="Arial"/>
          <w:color w:val="011A3C"/>
          <w:sz w:val="24"/>
          <w:szCs w:val="24"/>
          <w:lang w:val="en" w:eastAsia="en-AU"/>
        </w:rPr>
        <w:t>SEP</w:t>
      </w:r>
      <w:r w:rsidRPr="00D23664">
        <w:rPr>
          <w:rFonts w:ascii="VIC-Regular" w:eastAsia="Times New Roman" w:hAnsi="VIC-Regular" w:cs="Arial"/>
          <w:color w:val="011A3C"/>
          <w:sz w:val="24"/>
          <w:szCs w:val="24"/>
          <w:lang w:val="en" w:eastAsia="en-AU"/>
        </w:rPr>
        <w:t xml:space="preserve"> funding to the sub-program code 8502 on CASES21.</w:t>
      </w:r>
    </w:p>
    <w:p w14:paraId="3198A977" w14:textId="1DC5DFCC" w:rsidR="00EA34C0" w:rsidRPr="00052385" w:rsidRDefault="00052385" w:rsidP="00EA34C0">
      <w:pPr>
        <w:spacing w:before="100" w:beforeAutospacing="1" w:after="100" w:afterAutospacing="1" w:line="360" w:lineRule="atLeast"/>
        <w:rPr>
          <w:rFonts w:ascii="VIC-Regular" w:eastAsia="Times New Roman" w:hAnsi="VIC-Regular" w:cs="Arial"/>
          <w:color w:val="011A3C"/>
          <w:sz w:val="24"/>
          <w:szCs w:val="24"/>
          <w:lang w:val="en" w:eastAsia="en-AU"/>
        </w:rPr>
      </w:pPr>
      <w:r>
        <w:rPr>
          <w:rFonts w:ascii="VIC-Regular" w:eastAsia="Times New Roman" w:hAnsi="VIC-Regular" w:cs="Arial"/>
          <w:color w:val="011A3C"/>
          <w:sz w:val="24"/>
          <w:szCs w:val="24"/>
          <w:lang w:val="en" w:eastAsia="en-AU"/>
        </w:rPr>
        <w:t>W</w:t>
      </w:r>
      <w:r w:rsidRPr="00D23664">
        <w:rPr>
          <w:rFonts w:ascii="VIC-Regular" w:eastAsia="Times New Roman" w:hAnsi="VIC-Regular" w:cs="Arial"/>
          <w:color w:val="011A3C"/>
          <w:sz w:val="24"/>
          <w:szCs w:val="24"/>
          <w:lang w:val="en" w:eastAsia="en-AU"/>
        </w:rPr>
        <w:t xml:space="preserve">here a school </w:t>
      </w:r>
      <w:r>
        <w:rPr>
          <w:rFonts w:ascii="VIC-Regular" w:eastAsia="Times New Roman" w:hAnsi="VIC-Regular" w:cs="Arial"/>
          <w:color w:val="011A3C"/>
          <w:sz w:val="24"/>
          <w:szCs w:val="24"/>
          <w:lang w:val="en" w:eastAsia="en-AU"/>
        </w:rPr>
        <w:t>uses</w:t>
      </w:r>
      <w:r w:rsidRPr="00D23664">
        <w:rPr>
          <w:rFonts w:ascii="VIC-Regular" w:eastAsia="Times New Roman" w:hAnsi="VIC-Regular" w:cs="Arial"/>
          <w:color w:val="011A3C"/>
          <w:sz w:val="24"/>
          <w:szCs w:val="24"/>
          <w:lang w:val="en" w:eastAsia="en-AU"/>
        </w:rPr>
        <w:t xml:space="preserve"> </w:t>
      </w:r>
      <w:r>
        <w:rPr>
          <w:rFonts w:ascii="VIC-Regular" w:eastAsia="Times New Roman" w:hAnsi="VIC-Regular" w:cs="Arial"/>
          <w:color w:val="011A3C"/>
          <w:sz w:val="24"/>
          <w:szCs w:val="24"/>
          <w:lang w:val="en" w:eastAsia="en-AU"/>
        </w:rPr>
        <w:t>SEP</w:t>
      </w:r>
      <w:r w:rsidRPr="00D23664">
        <w:rPr>
          <w:rFonts w:ascii="VIC-Regular" w:eastAsia="Times New Roman" w:hAnsi="VIC-Regular" w:cs="Arial"/>
          <w:color w:val="011A3C"/>
          <w:sz w:val="24"/>
          <w:szCs w:val="24"/>
          <w:lang w:val="en" w:eastAsia="en-AU"/>
        </w:rPr>
        <w:t xml:space="preserve"> funding to either employ a high-ability practice leader, pay a special </w:t>
      </w:r>
      <w:proofErr w:type="gramStart"/>
      <w:r w:rsidRPr="00D23664">
        <w:rPr>
          <w:rFonts w:ascii="VIC-Regular" w:eastAsia="Times New Roman" w:hAnsi="VIC-Regular" w:cs="Arial"/>
          <w:color w:val="011A3C"/>
          <w:sz w:val="24"/>
          <w:szCs w:val="24"/>
          <w:lang w:val="en" w:eastAsia="en-AU"/>
        </w:rPr>
        <w:t>payment</w:t>
      </w:r>
      <w:proofErr w:type="gramEnd"/>
      <w:r w:rsidRPr="00D23664">
        <w:rPr>
          <w:rFonts w:ascii="VIC-Regular" w:eastAsia="Times New Roman" w:hAnsi="VIC-Regular" w:cs="Arial"/>
          <w:color w:val="011A3C"/>
          <w:sz w:val="24"/>
          <w:szCs w:val="24"/>
          <w:lang w:val="en" w:eastAsia="en-AU"/>
        </w:rPr>
        <w:t xml:space="preserve"> or support the release of a teacher, this expense will be managed through </w:t>
      </w:r>
      <w:proofErr w:type="spellStart"/>
      <w:r w:rsidRPr="00D23664">
        <w:rPr>
          <w:rFonts w:ascii="VIC-Regular" w:eastAsia="Times New Roman" w:hAnsi="VIC-Regular" w:cs="Arial"/>
          <w:color w:val="011A3C"/>
          <w:sz w:val="24"/>
          <w:szCs w:val="24"/>
          <w:lang w:val="en" w:eastAsia="en-AU"/>
        </w:rPr>
        <w:t>eduPay</w:t>
      </w:r>
      <w:proofErr w:type="spellEnd"/>
      <w:r w:rsidRPr="00D23664">
        <w:rPr>
          <w:rFonts w:ascii="VIC-Regular" w:eastAsia="Times New Roman" w:hAnsi="VIC-Regular" w:cs="Arial"/>
          <w:color w:val="011A3C"/>
          <w:sz w:val="24"/>
          <w:szCs w:val="24"/>
          <w:lang w:val="en" w:eastAsia="en-AU"/>
        </w:rPr>
        <w:t xml:space="preserve"> and will not appear in the CASES21 ledger.</w:t>
      </w:r>
    </w:p>
    <w:p w14:paraId="48AA175E"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4026F3A1" w14:textId="16E30B79" w:rsidR="00EA34C0" w:rsidRPr="004D307F" w:rsidRDefault="00EA34C0" w:rsidP="00052385">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do not have to apply for funding. </w:t>
      </w:r>
      <w:r w:rsidR="00052385" w:rsidRPr="007F2C62">
        <w:rPr>
          <w:rFonts w:ascii="VIC-Regular" w:eastAsia="Times New Roman" w:hAnsi="VIC-Regular" w:cs="Arial"/>
          <w:color w:val="011A3C"/>
          <w:sz w:val="24"/>
          <w:szCs w:val="24"/>
          <w:lang w:val="en" w:eastAsia="en-AU"/>
        </w:rPr>
        <w:t xml:space="preserve">All eligible schools receive a </w:t>
      </w:r>
      <w:r w:rsidR="00052385">
        <w:rPr>
          <w:rFonts w:ascii="VIC-Regular" w:eastAsia="Times New Roman" w:hAnsi="VIC-Regular" w:cs="Arial"/>
          <w:color w:val="011A3C"/>
          <w:sz w:val="24"/>
          <w:szCs w:val="24"/>
          <w:lang w:val="en" w:eastAsia="en-AU"/>
        </w:rPr>
        <w:t>SEP</w:t>
      </w:r>
      <w:r w:rsidR="00052385" w:rsidRPr="007F2C62">
        <w:rPr>
          <w:rFonts w:ascii="VIC-Regular" w:eastAsia="Times New Roman" w:hAnsi="VIC-Regular" w:cs="Arial"/>
          <w:color w:val="011A3C"/>
          <w:sz w:val="24"/>
          <w:szCs w:val="24"/>
          <w:lang w:val="en" w:eastAsia="en-AU"/>
        </w:rPr>
        <w:t xml:space="preserve"> funding allocation through the Student Resource Package to support them in implementing the initiative in their school.</w:t>
      </w:r>
      <w:r w:rsidR="00052385">
        <w:rPr>
          <w:rFonts w:ascii="VIC-Regular" w:eastAsia="Times New Roman" w:hAnsi="VIC-Regular" w:cs="Arial"/>
          <w:color w:val="011A3C"/>
          <w:sz w:val="24"/>
          <w:szCs w:val="24"/>
          <w:lang w:val="en" w:eastAsia="en-AU"/>
        </w:rPr>
        <w:t xml:space="preserve"> </w:t>
      </w:r>
    </w:p>
    <w:p w14:paraId="1D0908BE" w14:textId="77777777" w:rsidR="00052385" w:rsidRPr="00D23664" w:rsidRDefault="00052385" w:rsidP="00052385">
      <w:pPr>
        <w:rPr>
          <w:rFonts w:ascii="VIC-Regular" w:eastAsia="Times New Roman" w:hAnsi="VIC-Regular" w:cs="Arial"/>
          <w:color w:val="011A3C"/>
          <w:sz w:val="24"/>
          <w:szCs w:val="24"/>
          <w:lang w:val="en" w:eastAsia="en-AU"/>
        </w:rPr>
      </w:pPr>
      <w:bookmarkStart w:id="112" w:name="_Hlk47892426"/>
      <w:r w:rsidRPr="00D23664">
        <w:rPr>
          <w:rFonts w:ascii="VIC-Regular" w:eastAsia="Times New Roman" w:hAnsi="VIC-Regular" w:cs="Arial"/>
          <w:color w:val="011A3C"/>
          <w:sz w:val="24"/>
          <w:szCs w:val="24"/>
          <w:lang w:val="en" w:eastAsia="en-AU"/>
        </w:rPr>
        <w:t xml:space="preserve">Selective entry high schools, English language schools, camp/outdoor schools and the Victorian School of Languages are not eligible for SEP </w:t>
      </w:r>
      <w:r w:rsidRPr="00D23664">
        <w:rPr>
          <w:rFonts w:ascii="VIC-Regular" w:eastAsia="Times New Roman" w:hAnsi="VIC-Regular" w:cs="Arial"/>
          <w:color w:val="011A3C"/>
          <w:sz w:val="24"/>
          <w:szCs w:val="24"/>
          <w:lang w:val="en" w:eastAsia="en-AU"/>
        </w:rPr>
        <w:lastRenderedPageBreak/>
        <w:t>funding. Specialist schools will not automatically receive funding but can submit a request to the Student Excellence Unit for consideration.</w:t>
      </w:r>
    </w:p>
    <w:p w14:paraId="1D7445BB" w14:textId="5600D01B" w:rsidR="0073330A" w:rsidRPr="004D307F" w:rsidRDefault="0073330A" w:rsidP="00052385">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is calculated at the Indicative, Confirmed and Revised cycles</w:t>
      </w:r>
      <w:r w:rsidR="00190EFD">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w:t>
      </w:r>
      <w:r w:rsidR="00190EFD">
        <w:rPr>
          <w:rFonts w:ascii="VIC" w:eastAsia="Times New Roman" w:hAnsi="VIC" w:cs="Times New Roman"/>
          <w:color w:val="011A3C"/>
          <w:sz w:val="24"/>
          <w:szCs w:val="24"/>
          <w:lang w:val="en" w:eastAsia="en-AU"/>
        </w:rPr>
        <w:t>F</w:t>
      </w:r>
      <w:r w:rsidRPr="004D307F">
        <w:rPr>
          <w:rFonts w:ascii="VIC" w:eastAsia="Times New Roman" w:hAnsi="VIC" w:cs="Times New Roman"/>
          <w:color w:val="011A3C"/>
          <w:sz w:val="24"/>
          <w:szCs w:val="24"/>
          <w:lang w:val="en" w:eastAsia="en-AU"/>
        </w:rPr>
        <w:t>unding is allocated through credit and cash funding.</w:t>
      </w:r>
    </w:p>
    <w:bookmarkEnd w:id="112"/>
    <w:p w14:paraId="61A8A4CC"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color w:val="011A3C"/>
          <w:sz w:val="27"/>
          <w:szCs w:val="27"/>
          <w:lang w:val="en" w:eastAsia="en-AU"/>
        </w:rPr>
      </w:pPr>
      <w:r w:rsidRPr="004D307F">
        <w:rPr>
          <w:rFonts w:ascii="VIC" w:eastAsia="Times New Roman" w:hAnsi="VIC" w:cs="Times New Roman"/>
          <w:color w:val="011A3C"/>
          <w:sz w:val="27"/>
          <w:szCs w:val="27"/>
          <w:lang w:val="en" w:eastAsia="en-AU"/>
        </w:rPr>
        <w:t>Funding</w:t>
      </w:r>
    </w:p>
    <w:p w14:paraId="1DC71980"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SEP funding is allocated based on the number of student enrolments in Victorian government primary and secondary schools.</w:t>
      </w:r>
    </w:p>
    <w:p w14:paraId="7A2A12D9" w14:textId="789BB8B1"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will receive a per school allocation related to their cohort size </w:t>
      </w:r>
      <w:proofErr w:type="spellStart"/>
      <w:r w:rsidRPr="004D307F">
        <w:rPr>
          <w:rFonts w:ascii="VIC" w:eastAsia="Times New Roman" w:hAnsi="VIC" w:cs="Times New Roman"/>
          <w:color w:val="011A3C"/>
          <w:sz w:val="24"/>
          <w:szCs w:val="24"/>
          <w:lang w:val="en" w:eastAsia="en-AU"/>
        </w:rPr>
        <w:t>categorisation</w:t>
      </w:r>
      <w:proofErr w:type="spellEnd"/>
      <w:r w:rsidRPr="004D307F">
        <w:rPr>
          <w:rFonts w:ascii="VIC" w:eastAsia="Times New Roman" w:hAnsi="VIC" w:cs="Times New Roman"/>
          <w:color w:val="011A3C"/>
          <w:sz w:val="24"/>
          <w:szCs w:val="24"/>
          <w:lang w:val="en" w:eastAsia="en-AU"/>
        </w:rPr>
        <w:t xml:space="preserve">. </w:t>
      </w:r>
      <w:r w:rsidRPr="004D307F">
        <w:rPr>
          <w:rFonts w:ascii="Calibri" w:eastAsia="Times New Roman" w:hAnsi="Calibri" w:cs="Calibri" w:hint="eastAsia"/>
          <w:color w:val="011A3C"/>
          <w:sz w:val="24"/>
          <w:szCs w:val="24"/>
          <w:lang w:val="en" w:eastAsia="en-AU"/>
        </w:rPr>
        <w:t> </w:t>
      </w:r>
    </w:p>
    <w:p w14:paraId="460B5D2A" w14:textId="77777777" w:rsidR="00073C34" w:rsidRPr="004D307F" w:rsidRDefault="00073C34" w:rsidP="00073C34">
      <w:pPr>
        <w:pStyle w:val="Heading3"/>
        <w:spacing w:line="360" w:lineRule="auto"/>
        <w:rPr>
          <w:rFonts w:ascii="VIC" w:eastAsia="Times New Roman" w:hAnsi="VIC"/>
          <w:lang w:eastAsia="en-AU"/>
        </w:rPr>
      </w:pPr>
      <w:r w:rsidRPr="004D307F">
        <w:rPr>
          <w:rFonts w:ascii="VIC" w:eastAsia="Times New Roman" w:hAnsi="VIC" w:cs="Times New Roman"/>
          <w:color w:val="011A3C"/>
          <w:sz w:val="27"/>
          <w:szCs w:val="27"/>
          <w:lang w:val="en" w:eastAsia="en-AU"/>
        </w:rPr>
        <w:t>Use of SEP funding</w:t>
      </w:r>
    </w:p>
    <w:p w14:paraId="3D01EB06" w14:textId="1AC1BF0A" w:rsidR="00073C34" w:rsidRPr="004D307F" w:rsidRDefault="00073C34" w:rsidP="00073C34">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will make local decisions as to how the SEP funding allocation will be used to best meet the needs of their high-ability students. For example</w:t>
      </w:r>
      <w:r w:rsidR="00052385">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t xml:space="preserve"> the funding may be used for:</w:t>
      </w:r>
    </w:p>
    <w:p w14:paraId="0DA22C0F" w14:textId="445D4619"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appointment of a </w:t>
      </w:r>
      <w:hyperlink r:id="rId175" w:history="1">
        <w:r w:rsidRPr="00052385">
          <w:rPr>
            <w:rStyle w:val="Hyperlink"/>
            <w:rFonts w:ascii="VIC" w:eastAsia="Times New Roman" w:hAnsi="VIC" w:cs="Times New Roman"/>
            <w:sz w:val="24"/>
            <w:szCs w:val="24"/>
            <w:lang w:val="en" w:eastAsia="en-AU"/>
          </w:rPr>
          <w:t>High-Ability Practice Leader</w:t>
        </w:r>
      </w:hyperlink>
    </w:p>
    <w:p w14:paraId="2180FDFD"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Casual Relief Teachers</w:t>
      </w:r>
    </w:p>
    <w:p w14:paraId="6C9C91C6"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delivery of masterclasses for students in the Victorian High-Ability Program</w:t>
      </w:r>
    </w:p>
    <w:p w14:paraId="4D9141FB"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other programs for high-ability students </w:t>
      </w:r>
    </w:p>
    <w:p w14:paraId="589D0722"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co-ordination time for high-ability programs</w:t>
      </w:r>
    </w:p>
    <w:p w14:paraId="1B279219"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parent information evenings </w:t>
      </w:r>
    </w:p>
    <w:p w14:paraId="581C8E64" w14:textId="7777777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guest speakers for high-ability students</w:t>
      </w:r>
    </w:p>
    <w:p w14:paraId="090954EA" w14:textId="10B927A7" w:rsidR="00073C34" w:rsidRPr="004D307F" w:rsidRDefault="00073C34" w:rsidP="00ED0863">
      <w:pPr>
        <w:pStyle w:val="ListParagraph"/>
        <w:numPr>
          <w:ilvl w:val="0"/>
          <w:numId w:val="130"/>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classroom resources for extension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0"/>
        <w:gridCol w:w="3496"/>
      </w:tblGrid>
      <w:tr w:rsidR="00EA34C0" w:rsidRPr="004D307F" w14:paraId="20F5E8A4" w14:textId="77777777" w:rsidTr="00541C39">
        <w:trPr>
          <w:tblHeader/>
        </w:trPr>
        <w:tc>
          <w:tcPr>
            <w:tcW w:w="0" w:type="auto"/>
            <w:gridSpan w:val="2"/>
            <w:vAlign w:val="center"/>
            <w:hideMark/>
          </w:tcPr>
          <w:p w14:paraId="3B21F662" w14:textId="56BEED88" w:rsidR="00EA34C0" w:rsidRPr="004D307F" w:rsidRDefault="00EA34C0" w:rsidP="00EA34C0">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 xml:space="preserve">Per School Allocation </w:t>
            </w:r>
            <w:r w:rsidRPr="004D307F">
              <w:rPr>
                <w:rFonts w:ascii="VIC" w:eastAsia="Times New Roman" w:hAnsi="VIC" w:cs="Times New Roman" w:hint="eastAsia"/>
                <w:b/>
                <w:bCs/>
                <w:color w:val="323E4F" w:themeColor="text2" w:themeShade="BF"/>
                <w:sz w:val="24"/>
                <w:szCs w:val="24"/>
                <w:lang w:eastAsia="en-AU"/>
              </w:rPr>
              <w:t>—</w:t>
            </w:r>
            <w:r w:rsidRPr="004D307F">
              <w:rPr>
                <w:rFonts w:ascii="VIC" w:eastAsia="Times New Roman" w:hAnsi="VIC" w:cs="Times New Roman"/>
                <w:b/>
                <w:bCs/>
                <w:color w:val="323E4F" w:themeColor="text2" w:themeShade="BF"/>
                <w:sz w:val="24"/>
                <w:szCs w:val="24"/>
                <w:lang w:eastAsia="en-AU"/>
              </w:rPr>
              <w:t>202</w:t>
            </w:r>
            <w:r w:rsidR="00000FDE" w:rsidRPr="004D307F">
              <w:rPr>
                <w:rFonts w:ascii="VIC" w:eastAsia="Times New Roman" w:hAnsi="VIC" w:cs="Times New Roman"/>
                <w:b/>
                <w:bCs/>
                <w:color w:val="323E4F" w:themeColor="text2" w:themeShade="BF"/>
                <w:sz w:val="24"/>
                <w:szCs w:val="24"/>
                <w:lang w:eastAsia="en-AU"/>
              </w:rPr>
              <w:t>2</w:t>
            </w:r>
          </w:p>
        </w:tc>
      </w:tr>
      <w:tr w:rsidR="00EA34C0" w:rsidRPr="004D307F" w14:paraId="5AB30C0D" w14:textId="77777777" w:rsidTr="00541C39">
        <w:trPr>
          <w:tblHeader/>
        </w:trPr>
        <w:tc>
          <w:tcPr>
            <w:tcW w:w="0" w:type="auto"/>
            <w:hideMark/>
          </w:tcPr>
          <w:p w14:paraId="14EAA9A8" w14:textId="77777777" w:rsidR="00EA34C0" w:rsidRPr="004D307F" w:rsidRDefault="00EA34C0" w:rsidP="00EA34C0">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School Cohort (as per student enrolments)</w:t>
            </w:r>
          </w:p>
        </w:tc>
        <w:tc>
          <w:tcPr>
            <w:tcW w:w="0" w:type="auto"/>
            <w:hideMark/>
          </w:tcPr>
          <w:p w14:paraId="097B4FDA" w14:textId="55F6FC06" w:rsidR="00EA34C0" w:rsidRPr="004D307F" w:rsidRDefault="00EA34C0" w:rsidP="00EA34C0">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Per School Cash Allocation </w:t>
            </w:r>
          </w:p>
        </w:tc>
      </w:tr>
      <w:tr w:rsidR="004131AD" w:rsidRPr="004D307F" w14:paraId="2AE374C1" w14:textId="77777777" w:rsidTr="00541C39">
        <w:tc>
          <w:tcPr>
            <w:tcW w:w="0" w:type="auto"/>
            <w:hideMark/>
          </w:tcPr>
          <w:p w14:paraId="21E22EDC"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39</w:t>
            </w:r>
          </w:p>
        </w:tc>
        <w:tc>
          <w:tcPr>
            <w:tcW w:w="0" w:type="auto"/>
            <w:hideMark/>
          </w:tcPr>
          <w:p w14:paraId="7D2C631E" w14:textId="7F2F66FD"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w:t>
            </w:r>
            <w:r w:rsidR="00A158D2" w:rsidRPr="004D307F">
              <w:rPr>
                <w:rFonts w:ascii="VIC" w:hAnsi="VIC"/>
              </w:rPr>
              <w:t>650.00</w:t>
            </w:r>
          </w:p>
        </w:tc>
      </w:tr>
      <w:tr w:rsidR="004131AD" w:rsidRPr="004D307F" w14:paraId="2339A05A" w14:textId="77777777" w:rsidTr="00541C39">
        <w:tc>
          <w:tcPr>
            <w:tcW w:w="0" w:type="auto"/>
            <w:hideMark/>
          </w:tcPr>
          <w:p w14:paraId="7302D784"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40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79</w:t>
            </w:r>
          </w:p>
        </w:tc>
        <w:tc>
          <w:tcPr>
            <w:tcW w:w="0" w:type="auto"/>
            <w:hideMark/>
          </w:tcPr>
          <w:p w14:paraId="4F12E720" w14:textId="588EFEEE"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w:t>
            </w:r>
            <w:r w:rsidR="00A158D2" w:rsidRPr="004D307F">
              <w:rPr>
                <w:rFonts w:ascii="VIC" w:hAnsi="VIC"/>
              </w:rPr>
              <w:t>695.00</w:t>
            </w:r>
          </w:p>
        </w:tc>
      </w:tr>
      <w:tr w:rsidR="004131AD" w:rsidRPr="004D307F" w14:paraId="607170FC" w14:textId="77777777" w:rsidTr="00541C39">
        <w:tc>
          <w:tcPr>
            <w:tcW w:w="0" w:type="auto"/>
            <w:hideMark/>
          </w:tcPr>
          <w:p w14:paraId="74C95B7B"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80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99</w:t>
            </w:r>
          </w:p>
        </w:tc>
        <w:tc>
          <w:tcPr>
            <w:tcW w:w="0" w:type="auto"/>
            <w:hideMark/>
          </w:tcPr>
          <w:p w14:paraId="6BC78620" w14:textId="00D6D698"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$2,</w:t>
            </w:r>
            <w:r w:rsidR="00A158D2" w:rsidRPr="004D307F">
              <w:rPr>
                <w:rFonts w:ascii="VIC" w:hAnsi="VIC"/>
              </w:rPr>
              <w:t>135.00</w:t>
            </w:r>
          </w:p>
        </w:tc>
      </w:tr>
      <w:tr w:rsidR="004131AD" w:rsidRPr="004D307F" w14:paraId="2267AEB5" w14:textId="77777777" w:rsidTr="00541C39">
        <w:tc>
          <w:tcPr>
            <w:tcW w:w="0" w:type="auto"/>
            <w:hideMark/>
          </w:tcPr>
          <w:p w14:paraId="7B085B05"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149</w:t>
            </w:r>
          </w:p>
        </w:tc>
        <w:tc>
          <w:tcPr>
            <w:tcW w:w="0" w:type="auto"/>
            <w:hideMark/>
          </w:tcPr>
          <w:p w14:paraId="0A98C91A" w14:textId="4CF3286F"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w:t>
            </w:r>
            <w:r w:rsidR="00A158D2" w:rsidRPr="004D307F">
              <w:rPr>
                <w:rFonts w:ascii="VIC" w:hAnsi="VIC"/>
              </w:rPr>
              <w:t>3,005.00</w:t>
            </w:r>
          </w:p>
        </w:tc>
      </w:tr>
      <w:tr w:rsidR="004131AD" w:rsidRPr="004D307F" w14:paraId="11DDDEB5" w14:textId="77777777" w:rsidTr="00541C39">
        <w:tc>
          <w:tcPr>
            <w:tcW w:w="0" w:type="auto"/>
            <w:hideMark/>
          </w:tcPr>
          <w:p w14:paraId="7EA61B6F"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150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199</w:t>
            </w:r>
          </w:p>
        </w:tc>
        <w:tc>
          <w:tcPr>
            <w:tcW w:w="0" w:type="auto"/>
            <w:hideMark/>
          </w:tcPr>
          <w:p w14:paraId="45776EAE" w14:textId="2763126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$4,</w:t>
            </w:r>
            <w:r w:rsidR="00A158D2" w:rsidRPr="004D307F">
              <w:rPr>
                <w:rFonts w:ascii="VIC" w:hAnsi="VIC"/>
              </w:rPr>
              <w:t>140.00</w:t>
            </w:r>
          </w:p>
        </w:tc>
      </w:tr>
      <w:tr w:rsidR="004131AD" w:rsidRPr="004D307F" w14:paraId="0951A719" w14:textId="77777777" w:rsidTr="00541C39">
        <w:tc>
          <w:tcPr>
            <w:tcW w:w="0" w:type="auto"/>
            <w:hideMark/>
          </w:tcPr>
          <w:p w14:paraId="07B582E6"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200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249</w:t>
            </w:r>
          </w:p>
        </w:tc>
        <w:tc>
          <w:tcPr>
            <w:tcW w:w="0" w:type="auto"/>
            <w:hideMark/>
          </w:tcPr>
          <w:p w14:paraId="596B6D6C" w14:textId="1EC5C3D3"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$5,</w:t>
            </w:r>
            <w:r w:rsidR="00A158D2" w:rsidRPr="004D307F">
              <w:rPr>
                <w:rFonts w:ascii="VIC" w:hAnsi="VIC"/>
              </w:rPr>
              <w:t>350.00</w:t>
            </w:r>
          </w:p>
        </w:tc>
      </w:tr>
      <w:tr w:rsidR="004131AD" w:rsidRPr="004D307F" w14:paraId="22063B8F" w14:textId="77777777" w:rsidTr="00541C39">
        <w:tc>
          <w:tcPr>
            <w:tcW w:w="0" w:type="auto"/>
            <w:hideMark/>
          </w:tcPr>
          <w:p w14:paraId="1C841BE9"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250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299</w:t>
            </w:r>
          </w:p>
        </w:tc>
        <w:tc>
          <w:tcPr>
            <w:tcW w:w="0" w:type="auto"/>
            <w:hideMark/>
          </w:tcPr>
          <w:p w14:paraId="132F8B78" w14:textId="23F6374B"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$6,</w:t>
            </w:r>
            <w:r w:rsidR="00A158D2" w:rsidRPr="004D307F">
              <w:rPr>
                <w:rFonts w:ascii="VIC" w:hAnsi="VIC"/>
              </w:rPr>
              <w:t>615.00</w:t>
            </w:r>
          </w:p>
        </w:tc>
      </w:tr>
      <w:tr w:rsidR="004131AD" w:rsidRPr="004D307F" w14:paraId="76C89672" w14:textId="77777777" w:rsidTr="00541C39">
        <w:tc>
          <w:tcPr>
            <w:tcW w:w="0" w:type="auto"/>
            <w:hideMark/>
          </w:tcPr>
          <w:p w14:paraId="6427A2EE"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300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399</w:t>
            </w:r>
          </w:p>
        </w:tc>
        <w:tc>
          <w:tcPr>
            <w:tcW w:w="0" w:type="auto"/>
            <w:hideMark/>
          </w:tcPr>
          <w:p w14:paraId="5FA27753" w14:textId="37B3F038"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$8,</w:t>
            </w:r>
            <w:r w:rsidR="00A158D2" w:rsidRPr="004D307F">
              <w:rPr>
                <w:rFonts w:ascii="VIC" w:hAnsi="VIC"/>
              </w:rPr>
              <w:t>390.00</w:t>
            </w:r>
          </w:p>
        </w:tc>
      </w:tr>
      <w:tr w:rsidR="004131AD" w:rsidRPr="004D307F" w14:paraId="55D023AD" w14:textId="77777777" w:rsidTr="00541C39">
        <w:tc>
          <w:tcPr>
            <w:tcW w:w="0" w:type="auto"/>
            <w:hideMark/>
          </w:tcPr>
          <w:p w14:paraId="084097D1"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400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499</w:t>
            </w:r>
          </w:p>
        </w:tc>
        <w:tc>
          <w:tcPr>
            <w:tcW w:w="0" w:type="auto"/>
            <w:hideMark/>
          </w:tcPr>
          <w:p w14:paraId="310CDEE7" w14:textId="0D13621F"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$10,</w:t>
            </w:r>
            <w:r w:rsidR="00A158D2" w:rsidRPr="004D307F">
              <w:rPr>
                <w:rFonts w:ascii="VIC" w:hAnsi="VIC"/>
              </w:rPr>
              <w:t>735.00</w:t>
            </w:r>
          </w:p>
        </w:tc>
      </w:tr>
      <w:tr w:rsidR="004131AD" w:rsidRPr="004D307F" w14:paraId="3DF02068" w14:textId="77777777" w:rsidTr="00541C39">
        <w:tc>
          <w:tcPr>
            <w:tcW w:w="0" w:type="auto"/>
            <w:hideMark/>
          </w:tcPr>
          <w:p w14:paraId="2CF582EF"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 xml:space="preserve">500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699</w:t>
            </w:r>
          </w:p>
        </w:tc>
        <w:tc>
          <w:tcPr>
            <w:tcW w:w="0" w:type="auto"/>
            <w:hideMark/>
          </w:tcPr>
          <w:p w14:paraId="61ACD18E" w14:textId="3BA80791"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w:t>
            </w:r>
            <w:r w:rsidR="00A158D2" w:rsidRPr="004D307F">
              <w:rPr>
                <w:rFonts w:ascii="VIC" w:hAnsi="VIC"/>
              </w:rPr>
              <w:t>14,270.00</w:t>
            </w:r>
          </w:p>
        </w:tc>
      </w:tr>
      <w:tr w:rsidR="004131AD" w:rsidRPr="004D307F" w14:paraId="2E84DC65" w14:textId="77777777" w:rsidTr="00541C39">
        <w:tc>
          <w:tcPr>
            <w:tcW w:w="0" w:type="auto"/>
            <w:hideMark/>
          </w:tcPr>
          <w:p w14:paraId="40181E3B"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700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899</w:t>
            </w:r>
          </w:p>
        </w:tc>
        <w:tc>
          <w:tcPr>
            <w:tcW w:w="0" w:type="auto"/>
            <w:hideMark/>
          </w:tcPr>
          <w:p w14:paraId="784C9F36" w14:textId="38372A61" w:rsidR="004131AD" w:rsidRPr="004D307F" w:rsidRDefault="00A158D2"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$18,870.00</w:t>
            </w:r>
          </w:p>
        </w:tc>
      </w:tr>
      <w:tr w:rsidR="004131AD" w:rsidRPr="004D307F" w14:paraId="021225F7" w14:textId="77777777" w:rsidTr="00541C39">
        <w:tc>
          <w:tcPr>
            <w:tcW w:w="0" w:type="auto"/>
            <w:hideMark/>
          </w:tcPr>
          <w:p w14:paraId="3A07D93F"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900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1199</w:t>
            </w:r>
          </w:p>
        </w:tc>
        <w:tc>
          <w:tcPr>
            <w:tcW w:w="0" w:type="auto"/>
            <w:hideMark/>
          </w:tcPr>
          <w:p w14:paraId="5A261576" w14:textId="3761A9E0"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$24,</w:t>
            </w:r>
            <w:r w:rsidR="00A158D2" w:rsidRPr="004D307F">
              <w:rPr>
                <w:rFonts w:ascii="VIC" w:hAnsi="VIC"/>
              </w:rPr>
              <w:t>925.00</w:t>
            </w:r>
          </w:p>
        </w:tc>
      </w:tr>
      <w:tr w:rsidR="004131AD" w:rsidRPr="004D307F" w14:paraId="4864E0FE" w14:textId="77777777" w:rsidTr="00541C39">
        <w:tc>
          <w:tcPr>
            <w:tcW w:w="0" w:type="auto"/>
            <w:hideMark/>
          </w:tcPr>
          <w:p w14:paraId="0D471CE5"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1200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1499</w:t>
            </w:r>
          </w:p>
        </w:tc>
        <w:tc>
          <w:tcPr>
            <w:tcW w:w="0" w:type="auto"/>
            <w:hideMark/>
          </w:tcPr>
          <w:p w14:paraId="7C2C3E74" w14:textId="38BEB9A9"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w:t>
            </w:r>
            <w:r w:rsidR="00A158D2" w:rsidRPr="004D307F">
              <w:rPr>
                <w:rFonts w:ascii="VIC" w:hAnsi="VIC"/>
              </w:rPr>
              <w:t>32,020.00</w:t>
            </w:r>
          </w:p>
        </w:tc>
      </w:tr>
      <w:tr w:rsidR="004131AD" w:rsidRPr="004D307F" w14:paraId="677E499A" w14:textId="77777777" w:rsidTr="00541C39">
        <w:tc>
          <w:tcPr>
            <w:tcW w:w="0" w:type="auto"/>
            <w:hideMark/>
          </w:tcPr>
          <w:p w14:paraId="61183A60" w14:textId="77777777"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1500 +</w:t>
            </w:r>
          </w:p>
        </w:tc>
        <w:tc>
          <w:tcPr>
            <w:tcW w:w="0" w:type="auto"/>
            <w:hideMark/>
          </w:tcPr>
          <w:p w14:paraId="7984675D" w14:textId="07E56695" w:rsidR="004131AD" w:rsidRPr="004D307F" w:rsidRDefault="004131AD" w:rsidP="004131AD">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w:t>
            </w:r>
            <w:r w:rsidR="00A158D2" w:rsidRPr="004D307F">
              <w:rPr>
                <w:rFonts w:ascii="VIC" w:hAnsi="VIC"/>
              </w:rPr>
              <w:t>37,445.00</w:t>
            </w:r>
          </w:p>
        </w:tc>
      </w:tr>
    </w:tbl>
    <w:p w14:paraId="2BC3E69D" w14:textId="77777777" w:rsidR="00073C34" w:rsidRPr="004D307F" w:rsidRDefault="00073C34" w:rsidP="00073C34">
      <w:pPr>
        <w:rPr>
          <w:rFonts w:ascii="VIC" w:hAnsi="VIC" w:cs="Arial"/>
          <w:color w:val="011A3C"/>
          <w:sz w:val="20"/>
          <w:szCs w:val="20"/>
        </w:rPr>
      </w:pPr>
    </w:p>
    <w:p w14:paraId="0E5C9AE0" w14:textId="7458B7E6" w:rsidR="00073C34" w:rsidRPr="004D307F" w:rsidRDefault="00073C34" w:rsidP="00073C34">
      <w:p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Targeted </w:t>
      </w:r>
      <w:r w:rsidR="00052385">
        <w:rPr>
          <w:rFonts w:ascii="VIC" w:eastAsia="Times New Roman" w:hAnsi="VIC" w:cs="Times New Roman"/>
          <w:color w:val="011A3C"/>
          <w:sz w:val="24"/>
          <w:szCs w:val="24"/>
          <w:lang w:val="en" w:eastAsia="en-AU"/>
        </w:rPr>
        <w:t>SEP</w:t>
      </w:r>
      <w:r w:rsidRPr="004D307F">
        <w:rPr>
          <w:rFonts w:ascii="VIC" w:eastAsia="Times New Roman" w:hAnsi="VIC" w:cs="Times New Roman"/>
          <w:color w:val="011A3C"/>
          <w:sz w:val="24"/>
          <w:szCs w:val="24"/>
          <w:lang w:val="en" w:eastAsia="en-AU"/>
        </w:rPr>
        <w:t xml:space="preserve"> funding operates within a capped budget. This means that cohort allocations may be adjusted up or down depending on both changes in total enrolments from all schools and the spread of these enrolments across cohorts.</w:t>
      </w:r>
    </w:p>
    <w:p w14:paraId="72DA8BA8" w14:textId="0D62B7ED"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Further information</w:t>
      </w:r>
    </w:p>
    <w:p w14:paraId="452CAFC1" w14:textId="3955A450" w:rsidR="00EA34C0" w:rsidRPr="004D307F" w:rsidRDefault="00A35420" w:rsidP="00ED0863">
      <w:pPr>
        <w:numPr>
          <w:ilvl w:val="0"/>
          <w:numId w:val="78"/>
        </w:numPr>
        <w:spacing w:before="100" w:beforeAutospacing="1" w:after="100" w:afterAutospacing="1" w:line="360" w:lineRule="atLeast"/>
        <w:rPr>
          <w:rFonts w:ascii="VIC" w:eastAsia="Times New Roman" w:hAnsi="VIC" w:cs="Times New Roman"/>
          <w:color w:val="011A3C"/>
          <w:sz w:val="24"/>
          <w:szCs w:val="24"/>
          <w:lang w:val="en" w:eastAsia="en-AU"/>
        </w:rPr>
      </w:pPr>
      <w:hyperlink r:id="rId176" w:anchor="/app/content/3162/support_and_service_(schools)%252Flearning_and_teaching%252Fstudent_excellence_program%252Fstudent_excellence_program_overview" w:history="1">
        <w:r w:rsidR="00EA34C0" w:rsidRPr="004D307F">
          <w:rPr>
            <w:rFonts w:ascii="VIC" w:eastAsia="Times New Roman" w:hAnsi="VIC" w:cs="Times New Roman"/>
            <w:color w:val="011A3C"/>
            <w:sz w:val="24"/>
            <w:szCs w:val="24"/>
            <w:lang w:val="en" w:eastAsia="en-AU"/>
          </w:rPr>
          <w:t>Student Excellence Program</w:t>
        </w:r>
      </w:hyperlink>
    </w:p>
    <w:p w14:paraId="539F0615" w14:textId="2BAC4191" w:rsidR="00EA34C0" w:rsidRPr="00190EFD" w:rsidRDefault="00EA34C0" w:rsidP="00190EFD">
      <w:pPr>
        <w:pStyle w:val="ListParagraph"/>
        <w:numPr>
          <w:ilvl w:val="0"/>
          <w:numId w:val="78"/>
        </w:numPr>
        <w:spacing w:before="100" w:beforeAutospacing="1" w:after="100" w:afterAutospacing="1" w:line="360" w:lineRule="atLeast"/>
        <w:rPr>
          <w:rFonts w:ascii="VIC" w:hAnsi="VIC"/>
          <w:sz w:val="24"/>
          <w:szCs w:val="24"/>
        </w:rPr>
      </w:pPr>
      <w:r w:rsidRPr="00190EFD">
        <w:rPr>
          <w:rFonts w:ascii="VIC" w:eastAsia="Times New Roman" w:hAnsi="VIC" w:cs="Times New Roman"/>
          <w:color w:val="011A3C"/>
          <w:sz w:val="24"/>
          <w:szCs w:val="24"/>
          <w:lang w:val="en" w:eastAsia="en-AU"/>
        </w:rPr>
        <w:t xml:space="preserve">Contact: </w:t>
      </w:r>
      <w:hyperlink r:id="rId177" w:history="1">
        <w:r w:rsidR="001A1640" w:rsidRPr="00190EFD">
          <w:rPr>
            <w:rStyle w:val="Hyperlink"/>
            <w:rFonts w:ascii="VIC" w:hAnsi="VIC" w:cs="Arial"/>
            <w:sz w:val="24"/>
            <w:szCs w:val="24"/>
            <w:lang w:eastAsia="en-AU"/>
          </w:rPr>
          <w:t>student.excellence@education.vic.gov.au</w:t>
        </w:r>
      </w:hyperlink>
      <w:r w:rsidR="001A1640" w:rsidRPr="00190EFD">
        <w:rPr>
          <w:rFonts w:ascii="VIC" w:hAnsi="VIC" w:cs="Arial"/>
          <w:sz w:val="24"/>
          <w:szCs w:val="24"/>
          <w:lang w:eastAsia="en-AU"/>
        </w:rPr>
        <w:t xml:space="preserve"> </w:t>
      </w:r>
    </w:p>
    <w:p w14:paraId="16B93A6F" w14:textId="77777777" w:rsidR="00EA34C0" w:rsidRPr="004D307F" w:rsidRDefault="00EA34C0" w:rsidP="00EA34C0">
      <w:pPr>
        <w:rPr>
          <w:rFonts w:ascii="VIC" w:hAnsi="VIC"/>
          <w:sz w:val="24"/>
          <w:szCs w:val="24"/>
        </w:rPr>
      </w:pPr>
      <w:r w:rsidRPr="004D307F">
        <w:rPr>
          <w:rFonts w:ascii="VIC" w:hAnsi="VIC"/>
          <w:sz w:val="24"/>
          <w:szCs w:val="24"/>
        </w:rPr>
        <w:br w:type="page"/>
      </w:r>
    </w:p>
    <w:p w14:paraId="5B036FE4" w14:textId="1034C69E" w:rsidR="00EA34C0" w:rsidRPr="004D307F" w:rsidRDefault="00EA34C0" w:rsidP="00B566E7">
      <w:pPr>
        <w:pStyle w:val="Heading2"/>
      </w:pPr>
      <w:bookmarkStart w:id="113" w:name="_Toc99882782"/>
      <w:bookmarkStart w:id="114" w:name="_Hlk50374925"/>
      <w:r w:rsidRPr="004D307F">
        <w:lastRenderedPageBreak/>
        <w:t>VCE Revision Lectures (Ref</w:t>
      </w:r>
      <w:r w:rsidR="003E5908" w:rsidRPr="004D307F">
        <w:t>erence</w:t>
      </w:r>
      <w:r w:rsidRPr="004D307F">
        <w:t xml:space="preserve"> 121)</w:t>
      </w:r>
      <w:bookmarkEnd w:id="113"/>
    </w:p>
    <w:p w14:paraId="2DE8672E" w14:textId="77777777" w:rsidR="00EA34C0" w:rsidRPr="004D307F" w:rsidRDefault="00EA34C0" w:rsidP="004D307F">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VCE Revision Lectures initiative </w:t>
      </w:r>
      <w:proofErr w:type="spellStart"/>
      <w:r w:rsidRPr="004D307F">
        <w:rPr>
          <w:rFonts w:ascii="VIC" w:eastAsia="Times New Roman" w:hAnsi="VIC" w:cs="Times New Roman"/>
          <w:color w:val="011A3C"/>
          <w:sz w:val="24"/>
          <w:szCs w:val="24"/>
          <w:lang w:val="en" w:eastAsia="en-AU"/>
        </w:rPr>
        <w:t>recognises</w:t>
      </w:r>
      <w:proofErr w:type="spellEnd"/>
      <w:r w:rsidRPr="004D307F">
        <w:rPr>
          <w:rFonts w:ascii="VIC" w:eastAsia="Times New Roman" w:hAnsi="VIC" w:cs="Times New Roman"/>
          <w:color w:val="011A3C"/>
          <w:sz w:val="24"/>
          <w:szCs w:val="24"/>
          <w:lang w:val="en" w:eastAsia="en-AU"/>
        </w:rPr>
        <w:t xml:space="preserve"> that VCE revision lectures are often out of reach for rural and regional students due to the additional travel and accommodation cost.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This initiative is part of the Victorian Government</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s investment of $82.8 million in rural and regional education to bridge the divide between country and metropolitan schools.</w:t>
      </w:r>
    </w:p>
    <w:p w14:paraId="47CB1206" w14:textId="0EC8D16D"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VCE revision lectures targeted funding is to support </w:t>
      </w:r>
      <w:r w:rsidR="009E32AE" w:rsidRPr="004D307F">
        <w:rPr>
          <w:rFonts w:ascii="VIC" w:eastAsia="Times New Roman" w:hAnsi="VIC" w:cs="Times New Roman"/>
          <w:color w:val="011A3C"/>
          <w:sz w:val="24"/>
          <w:szCs w:val="24"/>
          <w:lang w:val="en" w:eastAsia="en-AU"/>
        </w:rPr>
        <w:t xml:space="preserve">government </w:t>
      </w:r>
      <w:r w:rsidRPr="004D307F">
        <w:rPr>
          <w:rFonts w:ascii="VIC" w:eastAsia="Times New Roman" w:hAnsi="VIC" w:cs="Times New Roman"/>
          <w:color w:val="011A3C"/>
          <w:sz w:val="24"/>
          <w:szCs w:val="24"/>
          <w:lang w:val="en" w:eastAsia="en-AU"/>
        </w:rPr>
        <w:t xml:space="preserve">senior secondary rural and regional students access to VCE revision lectures across the state and in </w:t>
      </w:r>
      <w:r w:rsidR="009E32AE" w:rsidRPr="004D307F">
        <w:rPr>
          <w:rFonts w:ascii="VIC" w:eastAsia="Times New Roman" w:hAnsi="VIC" w:cs="Times New Roman"/>
          <w:color w:val="011A3C"/>
          <w:sz w:val="24"/>
          <w:szCs w:val="24"/>
          <w:lang w:val="en" w:eastAsia="en-AU"/>
        </w:rPr>
        <w:t xml:space="preserve">a </w:t>
      </w:r>
      <w:r w:rsidRPr="004D307F">
        <w:rPr>
          <w:rFonts w:ascii="VIC" w:eastAsia="Times New Roman" w:hAnsi="VIC" w:cs="Times New Roman"/>
          <w:color w:val="011A3C"/>
          <w:sz w:val="24"/>
          <w:szCs w:val="24"/>
          <w:lang w:val="en" w:eastAsia="en-AU"/>
        </w:rPr>
        <w:t>range of subjects.</w:t>
      </w:r>
    </w:p>
    <w:p w14:paraId="547F4080"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Accountability</w:t>
      </w:r>
      <w:r w:rsidRPr="004D307F">
        <w:rPr>
          <w:rFonts w:ascii="Calibri" w:eastAsia="Times New Roman" w:hAnsi="Calibri" w:cs="Calibri" w:hint="eastAsia"/>
          <w:b/>
          <w:bCs/>
          <w:color w:val="011A3C"/>
          <w:sz w:val="27"/>
          <w:szCs w:val="27"/>
          <w:lang w:val="en" w:eastAsia="en-AU"/>
        </w:rPr>
        <w:t> </w:t>
      </w:r>
    </w:p>
    <w:p w14:paraId="205AD57A" w14:textId="77777777" w:rsidR="00EA7A43" w:rsidRPr="004D307F" w:rsidRDefault="00EA7A43" w:rsidP="00EA7A43">
      <w:pPr>
        <w:spacing w:before="100" w:beforeAutospacing="1" w:after="100" w:afterAutospacing="1" w:line="360" w:lineRule="atLeast"/>
        <w:rPr>
          <w:rFonts w:ascii="VIC" w:hAnsi="VIC"/>
          <w:color w:val="011A3C"/>
          <w:sz w:val="24"/>
          <w:szCs w:val="24"/>
          <w:lang w:val="en" w:eastAsia="en-AU"/>
        </w:rPr>
      </w:pPr>
      <w:bookmarkStart w:id="115" w:name="_Hlk78901233"/>
      <w:r w:rsidRPr="004D307F">
        <w:rPr>
          <w:rFonts w:ascii="VIC" w:hAnsi="VIC"/>
          <w:color w:val="011A3C"/>
          <w:sz w:val="24"/>
          <w:szCs w:val="24"/>
          <w:lang w:val="en" w:eastAsia="en-AU"/>
        </w:rPr>
        <w:t xml:space="preserve">Schools are responsible for using the funds within the </w:t>
      </w:r>
      <w:hyperlink r:id="rId178" w:history="1">
        <w:r w:rsidRPr="004D307F">
          <w:rPr>
            <w:rStyle w:val="Hyperlink"/>
            <w:rFonts w:ascii="VIC" w:hAnsi="VIC"/>
            <w:sz w:val="24"/>
            <w:szCs w:val="24"/>
            <w:lang w:val="en"/>
          </w:rPr>
          <w:t>school implementation guidelines</w:t>
        </w:r>
      </w:hyperlink>
      <w:r w:rsidRPr="004D307F">
        <w:rPr>
          <w:rFonts w:ascii="VIC" w:hAnsi="VIC"/>
          <w:color w:val="011A3C"/>
          <w:sz w:val="24"/>
          <w:szCs w:val="24"/>
          <w:lang w:val="en" w:eastAsia="en-AU"/>
        </w:rPr>
        <w:t xml:space="preserve"> provided by the Department. Schools are required to complete an annual survey at the end of each calendar year. Schools will be notified via email about how to complete the survey. </w:t>
      </w:r>
      <w:bookmarkEnd w:id="115"/>
    </w:p>
    <w:p w14:paraId="4537D3AF"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r w:rsidRPr="004D307F">
        <w:rPr>
          <w:rFonts w:ascii="Calibri" w:eastAsia="Times New Roman" w:hAnsi="Calibri" w:cs="Calibri" w:hint="eastAsia"/>
          <w:b/>
          <w:bCs/>
          <w:color w:val="011A3C"/>
          <w:sz w:val="27"/>
          <w:szCs w:val="27"/>
          <w:lang w:val="en" w:eastAsia="en-AU"/>
        </w:rPr>
        <w:t> </w:t>
      </w:r>
    </w:p>
    <w:p w14:paraId="09C0CBF3" w14:textId="0CC4F390"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funding is only applicable to rural and regional government schools with senior secondary graded enrolments (Year 11 and Year 12</w:t>
      </w:r>
      <w:proofErr w:type="gramStart"/>
      <w:r w:rsidRPr="004D307F">
        <w:rPr>
          <w:rFonts w:ascii="VIC" w:eastAsia="Times New Roman" w:hAnsi="VIC" w:cs="Times New Roman"/>
          <w:color w:val="011A3C"/>
          <w:sz w:val="24"/>
          <w:szCs w:val="24"/>
          <w:lang w:val="en" w:eastAsia="en-AU"/>
        </w:rPr>
        <w:t>) .</w:t>
      </w:r>
      <w:proofErr w:type="gramEnd"/>
      <w:r w:rsidRPr="004D307F">
        <w:rPr>
          <w:rFonts w:ascii="VIC" w:eastAsia="Times New Roman" w:hAnsi="VIC" w:cs="Times New Roman"/>
          <w:color w:val="011A3C"/>
          <w:sz w:val="24"/>
          <w:szCs w:val="24"/>
          <w:lang w:val="en" w:eastAsia="en-AU"/>
        </w:rPr>
        <w:t xml:space="preserve"> Schools do not have to apply for funding. Eligibility will be determined using data from the February School Census. </w:t>
      </w:r>
    </w:p>
    <w:p w14:paraId="5BF8ED7F" w14:textId="3715FAD5" w:rsidR="0003626E" w:rsidRPr="004D307F" w:rsidRDefault="0003626E" w:rsidP="0003626E">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initiative defines rural and regional government schools as those in Local Government Areas (LGAs) outside of the metropolitan LGAs. Rural and regional LGAs are aligned with the following Department</w:t>
      </w:r>
      <w:r w:rsidR="006618E7"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Areas: Mallee, Loddon Campaspe, Central Highlands, Wimmera South-West, Barwon, Ovens Murray, Goulburn, Inner </w:t>
      </w:r>
      <w:proofErr w:type="gramStart"/>
      <w:r w:rsidRPr="004D307F">
        <w:rPr>
          <w:rFonts w:ascii="VIC" w:eastAsia="Times New Roman" w:hAnsi="VIC" w:cs="Times New Roman"/>
          <w:color w:val="011A3C"/>
          <w:sz w:val="24"/>
          <w:szCs w:val="24"/>
          <w:lang w:val="en" w:eastAsia="en-AU"/>
        </w:rPr>
        <w:t>Gippsland</w:t>
      </w:r>
      <w:proofErr w:type="gramEnd"/>
      <w:r w:rsidRPr="004D307F">
        <w:rPr>
          <w:rFonts w:ascii="VIC" w:eastAsia="Times New Roman" w:hAnsi="VIC" w:cs="Times New Roman"/>
          <w:color w:val="011A3C"/>
          <w:sz w:val="24"/>
          <w:szCs w:val="24"/>
          <w:lang w:val="en" w:eastAsia="en-AU"/>
        </w:rPr>
        <w:t xml:space="preserve"> and Outer Gippsland. The schools in these DET Areas are eligible for the VCE revision lecture funding. </w:t>
      </w:r>
    </w:p>
    <w:p w14:paraId="445CE7EB" w14:textId="7AC08472" w:rsidR="00EA34C0" w:rsidRPr="004D307F" w:rsidRDefault="0003626E"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Rural and regional s</w:t>
      </w:r>
      <w:r w:rsidR="00EA34C0" w:rsidRPr="004D307F">
        <w:rPr>
          <w:rFonts w:ascii="VIC" w:eastAsia="Times New Roman" w:hAnsi="VIC" w:cs="Times New Roman"/>
          <w:color w:val="011A3C"/>
          <w:sz w:val="24"/>
          <w:szCs w:val="24"/>
          <w:lang w:val="en" w:eastAsia="en-AU"/>
        </w:rPr>
        <w:t>chools with the following campus types are eligible for VCE Revision Lecture funding at campus level.</w:t>
      </w:r>
    </w:p>
    <w:p w14:paraId="3B39F684" w14:textId="77777777" w:rsidR="00EA34C0" w:rsidRPr="004D307F" w:rsidRDefault="00EA34C0" w:rsidP="00ED0863">
      <w:pPr>
        <w:numPr>
          <w:ilvl w:val="0"/>
          <w:numId w:val="7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39B2FF1E" w14:textId="77777777" w:rsidR="00EA34C0" w:rsidRPr="004D307F" w:rsidRDefault="00EA34C0" w:rsidP="00ED0863">
      <w:pPr>
        <w:numPr>
          <w:ilvl w:val="0"/>
          <w:numId w:val="7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7693FA4C" w14:textId="1CD33F8D" w:rsidR="006A743D" w:rsidRPr="004D307F" w:rsidRDefault="0073330A" w:rsidP="0073330A">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Funding is calculated at the Indicative, Confirmed and Revised </w:t>
      </w:r>
      <w:r w:rsidR="0003626E" w:rsidRPr="004D307F">
        <w:rPr>
          <w:rFonts w:ascii="VIC" w:eastAsia="Times New Roman" w:hAnsi="VIC" w:cs="Times New Roman"/>
          <w:color w:val="011A3C"/>
          <w:sz w:val="24"/>
          <w:szCs w:val="24"/>
          <w:lang w:val="en" w:eastAsia="en-AU"/>
        </w:rPr>
        <w:t>cycles;</w:t>
      </w:r>
      <w:r w:rsidRPr="004D307F">
        <w:rPr>
          <w:rFonts w:ascii="VIC" w:eastAsia="Times New Roman" w:hAnsi="VIC" w:cs="Times New Roman"/>
          <w:color w:val="011A3C"/>
          <w:sz w:val="24"/>
          <w:szCs w:val="24"/>
          <w:lang w:val="en" w:eastAsia="en-AU"/>
        </w:rPr>
        <w:t xml:space="preserve"> funding is allocated through cash funding.</w:t>
      </w:r>
    </w:p>
    <w:p w14:paraId="092500BE"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lastRenderedPageBreak/>
        <w:t>How funding is calculated</w:t>
      </w:r>
      <w:r w:rsidRPr="004D307F">
        <w:rPr>
          <w:rFonts w:ascii="Calibri" w:eastAsia="Times New Roman" w:hAnsi="Calibri" w:cs="Calibri" w:hint="eastAsia"/>
          <w:b/>
          <w:bCs/>
          <w:color w:val="011A3C"/>
          <w:sz w:val="27"/>
          <w:szCs w:val="27"/>
          <w:lang w:val="en" w:eastAsia="en-AU"/>
        </w:rPr>
        <w:t> </w:t>
      </w:r>
    </w:p>
    <w:p w14:paraId="6B9A3E1B" w14:textId="77777777"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funding formula </w:t>
      </w:r>
      <w:proofErr w:type="gramStart"/>
      <w:r w:rsidRPr="004D307F">
        <w:rPr>
          <w:rFonts w:ascii="VIC" w:eastAsia="Times New Roman" w:hAnsi="VIC" w:cs="Times New Roman"/>
          <w:color w:val="011A3C"/>
          <w:sz w:val="24"/>
          <w:szCs w:val="24"/>
          <w:lang w:val="en" w:eastAsia="en-AU"/>
        </w:rPr>
        <w:t>takes into account</w:t>
      </w:r>
      <w:proofErr w:type="gramEnd"/>
      <w:r w:rsidRPr="004D307F">
        <w:rPr>
          <w:rFonts w:ascii="VIC" w:eastAsia="Times New Roman" w:hAnsi="VIC" w:cs="Times New Roman"/>
          <w:color w:val="011A3C"/>
          <w:sz w:val="24"/>
          <w:szCs w:val="24"/>
          <w:lang w:val="en" w:eastAsia="en-AU"/>
        </w:rPr>
        <w:t xml:space="preserve"> the number of Year 11 and 12 enrolments and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location, with those schools furthest from Melbourne and other major </w:t>
      </w:r>
      <w:proofErr w:type="spellStart"/>
      <w:r w:rsidRPr="004D307F">
        <w:rPr>
          <w:rFonts w:ascii="VIC" w:eastAsia="Times New Roman" w:hAnsi="VIC" w:cs="Times New Roman"/>
          <w:color w:val="011A3C"/>
          <w:sz w:val="24"/>
          <w:szCs w:val="24"/>
          <w:lang w:val="en" w:eastAsia="en-AU"/>
        </w:rPr>
        <w:t>centres</w:t>
      </w:r>
      <w:proofErr w:type="spellEnd"/>
      <w:r w:rsidRPr="004D307F">
        <w:rPr>
          <w:rFonts w:ascii="VIC" w:eastAsia="Times New Roman" w:hAnsi="VIC" w:cs="Times New Roman"/>
          <w:color w:val="011A3C"/>
          <w:sz w:val="24"/>
          <w:szCs w:val="24"/>
          <w:lang w:val="en" w:eastAsia="en-AU"/>
        </w:rPr>
        <w:t xml:space="preserve"> receiving a higher subsidy to account for the higher costs.</w:t>
      </w:r>
    </w:p>
    <w:p w14:paraId="174D7DC8" w14:textId="6C880EB0"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funding is calculated using the percentage of Year 11 and 12 student enrolments, </w:t>
      </w:r>
      <w:r w:rsidR="0003626E" w:rsidRPr="004D307F">
        <w:rPr>
          <w:rFonts w:ascii="VIC" w:eastAsia="Times New Roman" w:hAnsi="VIC" w:cs="Times New Roman"/>
          <w:color w:val="011A3C"/>
          <w:sz w:val="24"/>
          <w:szCs w:val="24"/>
          <w:lang w:val="en" w:eastAsia="en-AU"/>
        </w:rPr>
        <w:t xml:space="preserve">base </w:t>
      </w:r>
      <w:r w:rsidRPr="004D307F">
        <w:rPr>
          <w:rFonts w:ascii="VIC" w:eastAsia="Times New Roman" w:hAnsi="VIC" w:cs="Times New Roman"/>
          <w:color w:val="011A3C"/>
          <w:sz w:val="24"/>
          <w:szCs w:val="24"/>
          <w:lang w:val="en" w:eastAsia="en-AU"/>
        </w:rPr>
        <w:t xml:space="preserve">student rate and location indexed funding. The percentages of Year 11 (15%) and Year 12 (30%) student enrolments are estimates of rural and regional students who will access VCE revision lectures. The </w:t>
      </w:r>
      <w:r w:rsidR="0003626E" w:rsidRPr="004D307F">
        <w:rPr>
          <w:rFonts w:ascii="VIC" w:eastAsia="Times New Roman" w:hAnsi="VIC" w:cs="Times New Roman"/>
          <w:color w:val="011A3C"/>
          <w:sz w:val="24"/>
          <w:szCs w:val="24"/>
          <w:lang w:val="en" w:eastAsia="en-AU"/>
        </w:rPr>
        <w:t xml:space="preserve">base </w:t>
      </w:r>
      <w:r w:rsidRPr="004D307F">
        <w:rPr>
          <w:rFonts w:ascii="VIC" w:eastAsia="Times New Roman" w:hAnsi="VIC" w:cs="Times New Roman"/>
          <w:color w:val="011A3C"/>
          <w:sz w:val="24"/>
          <w:szCs w:val="24"/>
          <w:lang w:val="en" w:eastAsia="en-AU"/>
        </w:rPr>
        <w:t>student rate may differ from year to year.</w:t>
      </w:r>
    </w:p>
    <w:p w14:paraId="12DF31C2" w14:textId="19BBF8D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 xml:space="preserve">Rates </w:t>
      </w:r>
      <w:r w:rsidRPr="004D307F">
        <w:rPr>
          <w:rFonts w:ascii="VIC" w:eastAsia="Times New Roman" w:hAnsi="VIC" w:cs="Times New Roman" w:hint="eastAsia"/>
          <w:b/>
          <w:bCs/>
          <w:color w:val="011A3C"/>
          <w:sz w:val="27"/>
          <w:szCs w:val="27"/>
          <w:lang w:val="en" w:eastAsia="en-AU"/>
        </w:rPr>
        <w:t>—</w:t>
      </w:r>
      <w:r w:rsidRPr="004D307F">
        <w:rPr>
          <w:rFonts w:ascii="VIC" w:eastAsia="Times New Roman" w:hAnsi="VIC" w:cs="Times New Roman"/>
          <w:b/>
          <w:bCs/>
          <w:color w:val="011A3C"/>
          <w:sz w:val="27"/>
          <w:szCs w:val="27"/>
          <w:lang w:val="en" w:eastAsia="en-AU"/>
        </w:rPr>
        <w:t xml:space="preserve"> </w:t>
      </w:r>
      <w:r w:rsidR="00A641BD" w:rsidRPr="004D307F">
        <w:rPr>
          <w:rFonts w:ascii="VIC" w:eastAsia="Times New Roman" w:hAnsi="VIC" w:cs="Times New Roman"/>
          <w:b/>
          <w:bCs/>
          <w:color w:val="011A3C"/>
          <w:sz w:val="27"/>
          <w:szCs w:val="27"/>
          <w:lang w:val="en" w:eastAsia="en-AU"/>
        </w:rPr>
        <w:t>2022</w:t>
      </w:r>
    </w:p>
    <w:p w14:paraId="178499A0" w14:textId="7D071323"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[(15% x Year 11 enrolments) x $150] + [(30% x Year 12 enrolments) x</w:t>
      </w:r>
      <w:r w:rsidR="0003626E" w:rsidRPr="004D307F">
        <w:rPr>
          <w:rFonts w:ascii="VIC" w:eastAsia="Times New Roman" w:hAnsi="VIC" w:cs="Times New Roman"/>
          <w:color w:val="011A3C"/>
          <w:sz w:val="24"/>
          <w:szCs w:val="24"/>
          <w:lang w:val="en" w:eastAsia="en-AU"/>
        </w:rPr>
        <w:t>$780</w:t>
      </w:r>
      <w:r w:rsidRPr="004D307F">
        <w:rPr>
          <w:rFonts w:ascii="VIC" w:eastAsia="Times New Roman" w:hAnsi="VIC" w:cs="Times New Roman"/>
          <w:color w:val="011A3C"/>
          <w:sz w:val="24"/>
          <w:szCs w:val="24"/>
          <w:lang w:val="en" w:eastAsia="en-AU"/>
        </w:rPr>
        <w:t xml:space="preserve">] + [Location index base </w:t>
      </w:r>
      <w:r w:rsidR="00ED2F0A" w:rsidRPr="004D307F">
        <w:rPr>
          <w:rFonts w:ascii="VIC" w:eastAsia="Times New Roman" w:hAnsi="VIC" w:cs="Times New Roman"/>
          <w:color w:val="011A3C"/>
          <w:sz w:val="24"/>
          <w:szCs w:val="24"/>
          <w:lang w:val="en" w:eastAsia="en-AU"/>
        </w:rPr>
        <w:t xml:space="preserve">$677.76 </w:t>
      </w:r>
      <w:r w:rsidRPr="004D307F">
        <w:rPr>
          <w:rFonts w:ascii="VIC" w:eastAsia="Times New Roman" w:hAnsi="VIC" w:cs="Times New Roman"/>
          <w:color w:val="011A3C"/>
          <w:sz w:val="24"/>
          <w:szCs w:val="24"/>
          <w:lang w:val="en" w:eastAsia="en-AU"/>
        </w:rPr>
        <w:t>+ (Location index x Senior secondary enrol</w:t>
      </w:r>
      <w:r w:rsidR="009E32AE" w:rsidRPr="004D307F">
        <w:rPr>
          <w:rFonts w:ascii="VIC" w:eastAsia="Times New Roman" w:hAnsi="VIC" w:cs="Times New Roman"/>
          <w:color w:val="011A3C"/>
          <w:sz w:val="24"/>
          <w:szCs w:val="24"/>
          <w:lang w:val="en" w:eastAsia="en-AU"/>
        </w:rPr>
        <w:t>ments</w:t>
      </w:r>
      <w:r w:rsidRPr="004D307F">
        <w:rPr>
          <w:rFonts w:ascii="VIC" w:eastAsia="Times New Roman" w:hAnsi="VIC" w:cs="Times New Roman"/>
          <w:color w:val="011A3C"/>
          <w:sz w:val="24"/>
          <w:szCs w:val="24"/>
          <w:lang w:val="en" w:eastAsia="en-AU"/>
        </w:rPr>
        <w:t xml:space="preserve"> x Location index per student rate</w:t>
      </w:r>
      <w:r w:rsidR="00ED2F0A" w:rsidRPr="004D307F">
        <w:rPr>
          <w:rFonts w:ascii="VIC" w:eastAsia="Times New Roman" w:hAnsi="VIC" w:cs="Times New Roman"/>
          <w:color w:val="011A3C"/>
          <w:sz w:val="24"/>
          <w:szCs w:val="24"/>
          <w:lang w:val="en" w:eastAsia="en-AU"/>
        </w:rPr>
        <w:t>$107.26</w:t>
      </w:r>
      <w:r w:rsidRPr="004D307F">
        <w:rPr>
          <w:rFonts w:ascii="VIC" w:eastAsia="Times New Roman" w:hAnsi="VIC" w:cs="Times New Roman"/>
          <w:color w:val="011A3C"/>
          <w:sz w:val="24"/>
          <w:szCs w:val="24"/>
          <w:lang w:val="en" w:eastAsia="en-AU"/>
        </w:rPr>
        <w:t>)]</w:t>
      </w:r>
    </w:p>
    <w:p w14:paraId="550640CD" w14:textId="0D527E30"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Please note that while this formula is used to allocate funding to schools, schools have discretion regarding how they use the funding to support students studying VCE </w:t>
      </w:r>
      <w:r w:rsidR="009E32AE" w:rsidRPr="004D307F">
        <w:rPr>
          <w:rFonts w:ascii="VIC" w:eastAsia="Times New Roman" w:hAnsi="VIC" w:cs="Times New Roman"/>
          <w:color w:val="011A3C"/>
          <w:sz w:val="24"/>
          <w:szCs w:val="24"/>
          <w:lang w:val="en" w:eastAsia="en-AU"/>
        </w:rPr>
        <w:t xml:space="preserve">Unit </w:t>
      </w:r>
      <w:r w:rsidRPr="004D307F">
        <w:rPr>
          <w:rFonts w:ascii="VIC" w:eastAsia="Times New Roman" w:hAnsi="VIC" w:cs="Times New Roman"/>
          <w:color w:val="011A3C"/>
          <w:sz w:val="24"/>
          <w:szCs w:val="24"/>
          <w:lang w:val="en" w:eastAsia="en-AU"/>
        </w:rPr>
        <w:t>3/4 to access VCE revision lectures.</w:t>
      </w:r>
      <w:r w:rsidR="009E32AE" w:rsidRPr="004D307F">
        <w:rPr>
          <w:rFonts w:ascii="VIC" w:eastAsia="Times New Roman" w:hAnsi="VIC" w:cs="Times New Roman"/>
          <w:color w:val="011A3C"/>
          <w:sz w:val="24"/>
          <w:szCs w:val="24"/>
          <w:lang w:val="en" w:eastAsia="en-AU"/>
        </w:rPr>
        <w:t>,</w:t>
      </w:r>
    </w:p>
    <w:p w14:paraId="3629D6C1" w14:textId="77777777" w:rsidR="00EA34C0" w:rsidRPr="004D307F" w:rsidRDefault="00EA34C0" w:rsidP="00EA34C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Further information</w:t>
      </w:r>
    </w:p>
    <w:p w14:paraId="7E208B38" w14:textId="7F1B4519" w:rsidR="00EA34C0" w:rsidRPr="004D307F" w:rsidRDefault="00EA34C0" w:rsidP="00EA34C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more information about the initiative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contact</w:t>
      </w:r>
      <w:r w:rsidRPr="004D307F">
        <w:rPr>
          <w:rFonts w:ascii="Calibri" w:eastAsia="Times New Roman" w:hAnsi="Calibri" w:cs="Calibri" w:hint="eastAsia"/>
          <w:color w:val="011A3C"/>
          <w:sz w:val="24"/>
          <w:szCs w:val="24"/>
          <w:lang w:val="en" w:eastAsia="en-AU"/>
        </w:rPr>
        <w:t> </w:t>
      </w:r>
      <w:hyperlink r:id="rId179" w:history="1">
        <w:r w:rsidR="0003626E" w:rsidRPr="004D307F">
          <w:rPr>
            <w:rStyle w:val="Hyperlink"/>
            <w:rFonts w:ascii="VIC" w:eastAsia="Times New Roman" w:hAnsi="VIC" w:cs="Times New Roman"/>
            <w:sz w:val="24"/>
            <w:szCs w:val="24"/>
            <w:lang w:val="en" w:eastAsia="en-AU"/>
          </w:rPr>
          <w:t>rural.regional.reform@education.vic.gov.au</w:t>
        </w:r>
      </w:hyperlink>
    </w:p>
    <w:p w14:paraId="4189CCC5" w14:textId="77777777" w:rsidR="00EA34C0" w:rsidRPr="004D307F" w:rsidRDefault="00EA34C0" w:rsidP="00EA34C0"/>
    <w:p w14:paraId="5E816AEB" w14:textId="77777777" w:rsidR="00EA34C0" w:rsidRPr="004D307F" w:rsidRDefault="00EA34C0" w:rsidP="00EA34C0">
      <w:r w:rsidRPr="004D307F">
        <w:br w:type="page"/>
      </w:r>
    </w:p>
    <w:p w14:paraId="62FD62DF" w14:textId="120144A3" w:rsidR="004A6878" w:rsidRPr="004D307F" w:rsidRDefault="00EA34C0" w:rsidP="00B566E7">
      <w:pPr>
        <w:pStyle w:val="Heading2"/>
      </w:pPr>
      <w:bookmarkStart w:id="116" w:name="_Toc99882783"/>
      <w:bookmarkStart w:id="117" w:name="_Hlk48819430"/>
      <w:bookmarkEnd w:id="114"/>
      <w:r w:rsidRPr="004D307F">
        <w:lastRenderedPageBreak/>
        <w:t>Professional Learning Communities (PLC) Link Schools</w:t>
      </w:r>
      <w:r w:rsidR="003C4725" w:rsidRPr="004D307F">
        <w:t xml:space="preserve"> (Reference 122)</w:t>
      </w:r>
      <w:bookmarkEnd w:id="116"/>
      <w:r w:rsidRPr="004D307F">
        <w:t xml:space="preserve"> </w:t>
      </w:r>
    </w:p>
    <w:p w14:paraId="11476EE7" w14:textId="46417449" w:rsidR="00954B65" w:rsidRPr="004D307F"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w:t>
      </w:r>
      <w:r w:rsidR="006E113F" w:rsidRPr="004D307F">
        <w:rPr>
          <w:rFonts w:ascii="VIC-Regular" w:eastAsia="Times New Roman" w:hAnsi="VIC-Regular" w:cs="Times New Roman"/>
          <w:color w:val="011A3C"/>
          <w:sz w:val="24"/>
          <w:szCs w:val="24"/>
          <w:lang w:val="en" w:eastAsia="en-AU"/>
        </w:rPr>
        <w:t xml:space="preserve">rofessional </w:t>
      </w:r>
      <w:r w:rsidRPr="004D307F">
        <w:rPr>
          <w:rFonts w:ascii="VIC-Regular" w:eastAsia="Times New Roman" w:hAnsi="VIC-Regular" w:cs="Times New Roman"/>
          <w:color w:val="011A3C"/>
          <w:sz w:val="24"/>
          <w:szCs w:val="24"/>
          <w:lang w:val="en" w:eastAsia="en-AU"/>
        </w:rPr>
        <w:t>L</w:t>
      </w:r>
      <w:r w:rsidR="006E113F" w:rsidRPr="004D307F">
        <w:rPr>
          <w:rFonts w:ascii="VIC-Regular" w:eastAsia="Times New Roman" w:hAnsi="VIC-Regular" w:cs="Times New Roman"/>
          <w:color w:val="011A3C"/>
          <w:sz w:val="24"/>
          <w:szCs w:val="24"/>
          <w:lang w:val="en" w:eastAsia="en-AU"/>
        </w:rPr>
        <w:t xml:space="preserve">earning </w:t>
      </w:r>
      <w:r w:rsidRPr="004D307F">
        <w:rPr>
          <w:rFonts w:ascii="VIC-Regular" w:eastAsia="Times New Roman" w:hAnsi="VIC-Regular" w:cs="Times New Roman"/>
          <w:color w:val="011A3C"/>
          <w:sz w:val="24"/>
          <w:szCs w:val="24"/>
          <w:lang w:val="en" w:eastAsia="en-AU"/>
        </w:rPr>
        <w:t>C</w:t>
      </w:r>
      <w:r w:rsidR="006E113F" w:rsidRPr="004D307F">
        <w:rPr>
          <w:rFonts w:ascii="VIC-Regular" w:eastAsia="Times New Roman" w:hAnsi="VIC-Regular" w:cs="Times New Roman"/>
          <w:color w:val="011A3C"/>
          <w:sz w:val="24"/>
          <w:szCs w:val="24"/>
          <w:lang w:val="en" w:eastAsia="en-AU"/>
        </w:rPr>
        <w:t>ommunities (PLC)</w:t>
      </w:r>
      <w:r w:rsidRPr="004D307F">
        <w:rPr>
          <w:rFonts w:ascii="VIC-Regular" w:eastAsia="Times New Roman" w:hAnsi="VIC-Regular" w:cs="Times New Roman"/>
          <w:color w:val="011A3C"/>
          <w:sz w:val="24"/>
          <w:szCs w:val="24"/>
          <w:lang w:val="en" w:eastAsia="en-AU"/>
        </w:rPr>
        <w:t xml:space="preserve"> Link Schools are funded to engage in cross school collaboration activities to support the system-wide spreading of effective and impactful PLC practices.</w:t>
      </w:r>
    </w:p>
    <w:p w14:paraId="7C765AC2" w14:textId="6F39B3CD" w:rsidR="00954B65" w:rsidRPr="004D307F"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384CDEE" w14:textId="1CD16FD8" w:rsidR="00954B65" w:rsidRPr="004D307F" w:rsidRDefault="007653AF"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49</w:t>
      </w:r>
      <w:r w:rsidR="00954B65" w:rsidRPr="004D307F">
        <w:rPr>
          <w:rFonts w:ascii="VIC-Regular" w:eastAsia="Times New Roman" w:hAnsi="VIC-Regular" w:cs="Times New Roman"/>
          <w:color w:val="011A3C"/>
          <w:sz w:val="24"/>
          <w:szCs w:val="24"/>
          <w:lang w:val="en" w:eastAsia="en-AU"/>
        </w:rPr>
        <w:t xml:space="preserve"> schools (distributed evenly across the state) have been selected as PLC Link Schools for 202</w:t>
      </w:r>
      <w:r w:rsidR="00961B80" w:rsidRPr="004D307F">
        <w:rPr>
          <w:rFonts w:ascii="VIC-Regular" w:eastAsia="Times New Roman" w:hAnsi="VIC-Regular" w:cs="Times New Roman"/>
          <w:color w:val="011A3C"/>
          <w:sz w:val="24"/>
          <w:szCs w:val="24"/>
          <w:lang w:val="en" w:eastAsia="en-AU"/>
        </w:rPr>
        <w:t>2</w:t>
      </w:r>
      <w:r w:rsidR="00954B65" w:rsidRPr="004D307F">
        <w:rPr>
          <w:rFonts w:ascii="VIC-Regular" w:eastAsia="Times New Roman" w:hAnsi="VIC-Regular" w:cs="Times New Roman"/>
          <w:color w:val="011A3C"/>
          <w:sz w:val="24"/>
          <w:szCs w:val="24"/>
          <w:lang w:val="en" w:eastAsia="en-AU"/>
        </w:rPr>
        <w:t>. This includes a combination of Primary, Secondary</w:t>
      </w:r>
      <w:r w:rsidR="00961B80" w:rsidRPr="004D307F">
        <w:rPr>
          <w:rFonts w:ascii="VIC-Regular" w:eastAsia="Times New Roman" w:hAnsi="VIC-Regular" w:cs="Times New Roman"/>
          <w:color w:val="011A3C"/>
          <w:sz w:val="24"/>
          <w:szCs w:val="24"/>
          <w:lang w:val="en" w:eastAsia="en-AU"/>
        </w:rPr>
        <w:t>, P-12</w:t>
      </w:r>
      <w:r w:rsidR="00954B65" w:rsidRPr="004D307F">
        <w:rPr>
          <w:rFonts w:ascii="VIC-Regular" w:eastAsia="Times New Roman" w:hAnsi="VIC-Regular" w:cs="Times New Roman"/>
          <w:color w:val="011A3C"/>
          <w:sz w:val="24"/>
          <w:szCs w:val="24"/>
          <w:lang w:val="en" w:eastAsia="en-AU"/>
        </w:rPr>
        <w:t xml:space="preserve"> and Specialist</w:t>
      </w:r>
      <w:r w:rsidR="00961B80" w:rsidRPr="004D307F">
        <w:rPr>
          <w:rFonts w:ascii="VIC-Regular" w:eastAsia="Times New Roman" w:hAnsi="VIC-Regular" w:cs="Times New Roman"/>
          <w:color w:val="011A3C"/>
          <w:sz w:val="24"/>
          <w:szCs w:val="24"/>
          <w:lang w:val="en" w:eastAsia="en-AU"/>
        </w:rPr>
        <w:t xml:space="preserve"> schools</w:t>
      </w:r>
      <w:r w:rsidR="00954B65" w:rsidRPr="004D307F">
        <w:rPr>
          <w:rFonts w:ascii="VIC-Regular" w:eastAsia="Times New Roman" w:hAnsi="VIC-Regular" w:cs="Times New Roman"/>
          <w:color w:val="011A3C"/>
          <w:sz w:val="24"/>
          <w:szCs w:val="24"/>
          <w:lang w:val="en" w:eastAsia="en-AU"/>
        </w:rPr>
        <w:t xml:space="preserve">. </w:t>
      </w:r>
    </w:p>
    <w:p w14:paraId="2709CD43" w14:textId="77777777" w:rsidR="00961B80" w:rsidRPr="004D307F" w:rsidRDefault="00961B80" w:rsidP="00961B8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PLC Link Schools are:</w:t>
      </w:r>
    </w:p>
    <w:p w14:paraId="3E143DB6" w14:textId="77777777" w:rsidR="00961B80" w:rsidRPr="004D307F" w:rsidRDefault="00961B80" w:rsidP="00ED0863">
      <w:pPr>
        <w:pStyle w:val="ListParagraph"/>
        <w:numPr>
          <w:ilvl w:val="0"/>
          <w:numId w:val="1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selected based on a rigorous selection criterion led by the Executive Directors, School Improvement in consultation with the Senior School improvement Practice Leads (SSIPLs), Senior Education Leaders (SEILs) and PLC Managers</w:t>
      </w:r>
    </w:p>
    <w:p w14:paraId="299035B4" w14:textId="13B3A66D" w:rsidR="00961B80" w:rsidRPr="004D307F" w:rsidRDefault="00961B80" w:rsidP="00ED0863">
      <w:pPr>
        <w:pStyle w:val="ListParagraph"/>
        <w:numPr>
          <w:ilvl w:val="0"/>
          <w:numId w:val="1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endorsed by the Deputy Secretary, </w:t>
      </w:r>
      <w:proofErr w:type="gramStart"/>
      <w:r w:rsidRPr="004D307F">
        <w:rPr>
          <w:rFonts w:ascii="VIC-Regular" w:eastAsia="Times New Roman" w:hAnsi="VIC-Regular" w:cs="Times New Roman"/>
          <w:color w:val="011A3C"/>
          <w:sz w:val="24"/>
          <w:szCs w:val="24"/>
          <w:lang w:val="en" w:eastAsia="en-AU"/>
        </w:rPr>
        <w:t>Schools</w:t>
      </w:r>
      <w:proofErr w:type="gramEnd"/>
      <w:r w:rsidRPr="004D307F">
        <w:rPr>
          <w:rFonts w:ascii="VIC-Regular" w:eastAsia="Times New Roman" w:hAnsi="VIC-Regular" w:cs="Times New Roman"/>
          <w:color w:val="011A3C"/>
          <w:sz w:val="24"/>
          <w:szCs w:val="24"/>
          <w:lang w:val="en" w:eastAsia="en-AU"/>
        </w:rPr>
        <w:t xml:space="preserve"> and Regional Services </w:t>
      </w:r>
      <w:r w:rsidR="00ED4653" w:rsidRPr="004D307F">
        <w:rPr>
          <w:rFonts w:ascii="VIC-Regular" w:eastAsia="Times New Roman" w:hAnsi="VIC-Regular" w:cs="Times New Roman"/>
          <w:color w:val="011A3C"/>
          <w:sz w:val="24"/>
          <w:szCs w:val="24"/>
          <w:lang w:val="en" w:eastAsia="en-AU"/>
        </w:rPr>
        <w:t>(SRS)</w:t>
      </w:r>
    </w:p>
    <w:p w14:paraId="1C68F1EA" w14:textId="77777777" w:rsidR="00961B80" w:rsidRPr="004D307F" w:rsidRDefault="00961B80" w:rsidP="00961B8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Implementation support and monitoring</w:t>
      </w:r>
    </w:p>
    <w:p w14:paraId="01156857" w14:textId="77777777" w:rsidR="00961B80" w:rsidRPr="004D307F" w:rsidRDefault="00961B80" w:rsidP="00ED0863">
      <w:pPr>
        <w:pStyle w:val="ListParagraph"/>
        <w:numPr>
          <w:ilvl w:val="0"/>
          <w:numId w:val="1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Professional Learning Communities Unit, SRS facilitates state-wide capability building and resources for PLC Link Schools, and monitors impact at a system level.</w:t>
      </w:r>
    </w:p>
    <w:p w14:paraId="2D508C47" w14:textId="77777777" w:rsidR="00961B80" w:rsidRPr="004D307F" w:rsidRDefault="00961B80" w:rsidP="00ED0863">
      <w:pPr>
        <w:pStyle w:val="ListParagraph"/>
        <w:numPr>
          <w:ilvl w:val="0"/>
          <w:numId w:val="162"/>
        </w:num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PLC Link Schools are supported and monitored by the Area’s PLC Manager, with whom they evaluate and diagnose area needs, set goals for impact, develop and plan intended supports to other PLC schools, and implement and monitor the impact of the plan.</w:t>
      </w:r>
    </w:p>
    <w:p w14:paraId="5CAA0F29" w14:textId="6E046D40" w:rsidR="00954B65" w:rsidRPr="004D307F"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03147B41" w14:textId="2C34C36B" w:rsidR="00954B65" w:rsidRPr="004D307F"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Credit – </w:t>
      </w:r>
      <w:r w:rsidR="00E42675" w:rsidRPr="004D307F">
        <w:rPr>
          <w:rFonts w:ascii="VIC-Regular" w:eastAsia="Times New Roman" w:hAnsi="VIC-Regular" w:cs="Times New Roman"/>
          <w:color w:val="011A3C"/>
          <w:sz w:val="24"/>
          <w:szCs w:val="24"/>
          <w:lang w:val="en" w:eastAsia="en-AU"/>
        </w:rPr>
        <w:t xml:space="preserve">Approx. </w:t>
      </w:r>
      <w:r w:rsidRPr="004D307F">
        <w:rPr>
          <w:rFonts w:ascii="VIC-Regular" w:eastAsia="Times New Roman" w:hAnsi="VIC-Regular" w:cs="Times New Roman"/>
          <w:color w:val="011A3C"/>
          <w:sz w:val="24"/>
          <w:szCs w:val="24"/>
          <w:lang w:val="en" w:eastAsia="en-AU"/>
        </w:rPr>
        <w:t>0.6 annual salary plus on-costs for 202</w:t>
      </w:r>
      <w:r w:rsidR="00961B80"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school </w:t>
      </w:r>
      <w:proofErr w:type="gramStart"/>
      <w:r w:rsidRPr="004D307F">
        <w:rPr>
          <w:rFonts w:ascii="VIC-Regular" w:eastAsia="Times New Roman" w:hAnsi="VIC-Regular" w:cs="Times New Roman"/>
          <w:color w:val="011A3C"/>
          <w:sz w:val="24"/>
          <w:szCs w:val="24"/>
          <w:lang w:val="en" w:eastAsia="en-AU"/>
        </w:rPr>
        <w:t>year</w:t>
      </w:r>
      <w:r w:rsidR="00961B80" w:rsidRPr="004D307F">
        <w:rPr>
          <w:rFonts w:ascii="VIC-Regular" w:eastAsia="Times New Roman" w:hAnsi="VIC-Regular" w:cs="Times New Roman"/>
          <w:color w:val="011A3C"/>
          <w:sz w:val="24"/>
          <w:szCs w:val="24"/>
          <w:lang w:val="en" w:eastAsia="en-AU"/>
        </w:rPr>
        <w:t>(</w:t>
      </w:r>
      <w:proofErr w:type="gramEnd"/>
      <w:r w:rsidR="00961B80" w:rsidRPr="004D307F">
        <w:rPr>
          <w:rFonts w:ascii="VIC-Regular" w:eastAsia="Times New Roman" w:hAnsi="VIC-Regular" w:cs="Times New Roman"/>
          <w:color w:val="011A3C"/>
          <w:sz w:val="24"/>
          <w:szCs w:val="24"/>
          <w:lang w:val="en" w:eastAsia="en-AU"/>
        </w:rPr>
        <w:t>$</w:t>
      </w:r>
      <w:r w:rsidR="009508E3" w:rsidRPr="004D307F">
        <w:rPr>
          <w:rFonts w:ascii="VIC-Regular" w:eastAsia="Times New Roman" w:hAnsi="VIC-Regular" w:cs="Times New Roman"/>
          <w:color w:val="011A3C"/>
          <w:sz w:val="24"/>
          <w:szCs w:val="24"/>
          <w:lang w:val="en" w:eastAsia="en-AU"/>
        </w:rPr>
        <w:t>75,234.89</w:t>
      </w:r>
      <w:r w:rsidR="00961B80" w:rsidRPr="004D307F">
        <w:rPr>
          <w:rFonts w:ascii="VIC-Regular" w:eastAsia="Times New Roman" w:hAnsi="VIC-Regular" w:cs="Times New Roman"/>
          <w:color w:val="011A3C"/>
          <w:sz w:val="24"/>
          <w:szCs w:val="24"/>
          <w:lang w:val="en" w:eastAsia="en-AU"/>
        </w:rPr>
        <w:t xml:space="preserve"> total)</w:t>
      </w:r>
    </w:p>
    <w:p w14:paraId="43C91A8B" w14:textId="6F63DBF7" w:rsidR="00954B65" w:rsidRPr="004D307F"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Cash – </w:t>
      </w:r>
      <w:proofErr w:type="spellStart"/>
      <w:r w:rsidRPr="004D307F">
        <w:rPr>
          <w:rFonts w:ascii="VIC-Regular" w:eastAsia="Times New Roman" w:hAnsi="VIC-Regular" w:cs="Times New Roman"/>
          <w:color w:val="011A3C"/>
          <w:sz w:val="24"/>
          <w:szCs w:val="24"/>
          <w:lang w:val="en" w:eastAsia="en-AU"/>
        </w:rPr>
        <w:t>standardi</w:t>
      </w:r>
      <w:r w:rsidR="00961B80" w:rsidRPr="004D307F">
        <w:rPr>
          <w:rFonts w:ascii="VIC-Regular" w:eastAsia="Times New Roman" w:hAnsi="VIC-Regular" w:cs="Times New Roman"/>
          <w:color w:val="011A3C"/>
          <w:sz w:val="24"/>
          <w:szCs w:val="24"/>
          <w:lang w:val="en" w:eastAsia="en-AU"/>
        </w:rPr>
        <w:t>s</w:t>
      </w:r>
      <w:r w:rsidRPr="004D307F">
        <w:rPr>
          <w:rFonts w:ascii="VIC-Regular" w:eastAsia="Times New Roman" w:hAnsi="VIC-Regular" w:cs="Times New Roman"/>
          <w:color w:val="011A3C"/>
          <w:sz w:val="24"/>
          <w:szCs w:val="24"/>
          <w:lang w:val="en" w:eastAsia="en-AU"/>
        </w:rPr>
        <w:t>ed</w:t>
      </w:r>
      <w:proofErr w:type="spellEnd"/>
      <w:r w:rsidRPr="004D307F">
        <w:rPr>
          <w:rFonts w:ascii="VIC-Regular" w:eastAsia="Times New Roman" w:hAnsi="VIC-Regular" w:cs="Times New Roman"/>
          <w:color w:val="011A3C"/>
          <w:sz w:val="24"/>
          <w:szCs w:val="24"/>
          <w:lang w:val="en" w:eastAsia="en-AU"/>
        </w:rPr>
        <w:t xml:space="preserve"> for all participating schools at $</w:t>
      </w:r>
      <w:r w:rsidR="009508E3" w:rsidRPr="004D307F">
        <w:rPr>
          <w:rFonts w:ascii="VIC-Regular" w:eastAsia="Times New Roman" w:hAnsi="VIC-Regular" w:cs="Times New Roman"/>
          <w:color w:val="011A3C"/>
          <w:sz w:val="24"/>
          <w:szCs w:val="24"/>
          <w:lang w:val="en" w:eastAsia="en-AU"/>
        </w:rPr>
        <w:t>24,765.11</w:t>
      </w:r>
      <w:r w:rsidRPr="004D307F">
        <w:rPr>
          <w:rFonts w:ascii="VIC-Regular" w:eastAsia="Times New Roman" w:hAnsi="VIC-Regular" w:cs="Times New Roman"/>
          <w:color w:val="011A3C"/>
          <w:sz w:val="24"/>
          <w:szCs w:val="24"/>
          <w:lang w:val="en" w:eastAsia="en-AU"/>
        </w:rPr>
        <w:t xml:space="preserve"> for the 202</w:t>
      </w:r>
      <w:r w:rsidR="00961B80" w:rsidRPr="004D307F">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school year</w:t>
      </w:r>
    </w:p>
    <w:p w14:paraId="150C2D9A" w14:textId="3AE01F4B" w:rsidR="00954B65" w:rsidRPr="004D307F" w:rsidRDefault="00954B65" w:rsidP="0057195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p>
    <w:p w14:paraId="0F3E3508" w14:textId="419BA4E0" w:rsidR="00954B65" w:rsidRPr="004D307F" w:rsidRDefault="00954B65"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lastRenderedPageBreak/>
        <w:t>Classroom Teacher Classification 2-6 annual salary $108,003.00 — pro-rata for 0.</w:t>
      </w:r>
      <w:r w:rsidR="00961B80" w:rsidRPr="004D307F">
        <w:rPr>
          <w:rFonts w:ascii="VIC-Regular" w:eastAsia="Times New Roman" w:hAnsi="VIC-Regular" w:cs="Times New Roman"/>
          <w:color w:val="011A3C"/>
          <w:sz w:val="24"/>
          <w:szCs w:val="24"/>
          <w:lang w:val="en" w:eastAsia="en-AU"/>
        </w:rPr>
        <w:t>6</w:t>
      </w:r>
      <w:r w:rsidRPr="004D307F">
        <w:rPr>
          <w:rFonts w:ascii="VIC-Regular" w:eastAsia="Times New Roman" w:hAnsi="VIC-Regular" w:cs="Times New Roman"/>
          <w:color w:val="011A3C"/>
          <w:sz w:val="24"/>
          <w:szCs w:val="24"/>
          <w:lang w:val="en" w:eastAsia="en-AU"/>
        </w:rPr>
        <w:t xml:space="preserve"> FTE.</w:t>
      </w:r>
    </w:p>
    <w:p w14:paraId="0B11012A" w14:textId="46588B93" w:rsidR="00ED4653" w:rsidRPr="004D307F" w:rsidRDefault="00ED4653" w:rsidP="00954B65">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More </w:t>
      </w:r>
      <w:r w:rsidR="004A380C">
        <w:rPr>
          <w:rFonts w:ascii="VIC-Regular" w:eastAsia="Times New Roman" w:hAnsi="VIC-Regular" w:cs="Times New Roman"/>
          <w:color w:val="011A3C"/>
          <w:sz w:val="24"/>
          <w:szCs w:val="24"/>
          <w:lang w:val="en" w:eastAsia="en-AU"/>
        </w:rPr>
        <w:t>i</w:t>
      </w:r>
      <w:r w:rsidRPr="004D307F">
        <w:rPr>
          <w:rFonts w:ascii="VIC-Regular" w:eastAsia="Times New Roman" w:hAnsi="VIC-Regular" w:cs="Times New Roman"/>
          <w:color w:val="011A3C"/>
          <w:sz w:val="24"/>
          <w:szCs w:val="24"/>
          <w:lang w:val="en" w:eastAsia="en-AU"/>
        </w:rPr>
        <w:t>nformation</w:t>
      </w:r>
    </w:p>
    <w:p w14:paraId="1A1DCF7B" w14:textId="65663E42" w:rsidR="00ED4653" w:rsidRPr="004D307F" w:rsidRDefault="00A35420"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hyperlink r:id="rId180" w:history="1">
        <w:r w:rsidR="00ED4653" w:rsidRPr="004D307F">
          <w:rPr>
            <w:rStyle w:val="Hyperlink"/>
            <w:rFonts w:ascii="VIC-Regular" w:eastAsia="Times New Roman" w:hAnsi="VIC-Regular" w:cs="Times New Roman"/>
            <w:sz w:val="24"/>
            <w:szCs w:val="24"/>
            <w:lang w:val="en" w:eastAsia="en-AU"/>
          </w:rPr>
          <w:t>PLC Link Schools Handbook 202</w:t>
        </w:r>
        <w:r w:rsidR="004A380C">
          <w:rPr>
            <w:rStyle w:val="Hyperlink"/>
            <w:rFonts w:ascii="VIC-Regular" w:eastAsia="Times New Roman" w:hAnsi="VIC-Regular" w:cs="Times New Roman"/>
            <w:sz w:val="24"/>
            <w:szCs w:val="24"/>
            <w:lang w:val="en" w:eastAsia="en-AU"/>
          </w:rPr>
          <w:t>2 (</w:t>
        </w:r>
        <w:r w:rsidR="00A257E0">
          <w:rPr>
            <w:rStyle w:val="Hyperlink"/>
            <w:rFonts w:ascii="VIC-Regular" w:eastAsia="Times New Roman" w:hAnsi="VIC-Regular" w:cs="Times New Roman"/>
            <w:sz w:val="24"/>
            <w:szCs w:val="24"/>
            <w:lang w:val="en" w:eastAsia="en-AU"/>
          </w:rPr>
          <w:t>PDF</w:t>
        </w:r>
        <w:r w:rsidR="004A380C">
          <w:rPr>
            <w:rStyle w:val="Hyperlink"/>
            <w:rFonts w:ascii="VIC-Regular" w:eastAsia="Times New Roman" w:hAnsi="VIC-Regular" w:cs="Times New Roman"/>
            <w:sz w:val="24"/>
            <w:szCs w:val="24"/>
            <w:lang w:val="en" w:eastAsia="en-AU"/>
          </w:rPr>
          <w:t>)</w:t>
        </w:r>
      </w:hyperlink>
    </w:p>
    <w:bookmarkEnd w:id="117"/>
    <w:p w14:paraId="0DA4130D" w14:textId="4FB026DA" w:rsidR="00734929" w:rsidRPr="004D307F" w:rsidRDefault="00734929" w:rsidP="002F58F8"/>
    <w:p w14:paraId="33CF4FE3" w14:textId="33389760" w:rsidR="009508E3" w:rsidRPr="004D307F" w:rsidRDefault="009508E3" w:rsidP="002F58F8"/>
    <w:p w14:paraId="1D140489" w14:textId="23FEBA43" w:rsidR="009508E3" w:rsidRPr="004D307F" w:rsidRDefault="009508E3" w:rsidP="002F58F8"/>
    <w:p w14:paraId="08218DCE" w14:textId="77777777" w:rsidR="00CB38EB" w:rsidRPr="004D307F" w:rsidRDefault="00CB38EB">
      <w:pPr>
        <w:rPr>
          <w:rFonts w:asciiTheme="majorHAnsi" w:eastAsia="Calibri" w:hAnsiTheme="majorHAnsi" w:cstheme="majorBidi"/>
          <w:b/>
          <w:color w:val="2F5496" w:themeColor="accent1" w:themeShade="BF"/>
          <w:sz w:val="36"/>
          <w:szCs w:val="26"/>
          <w:lang w:val="en" w:eastAsia="en-AU"/>
        </w:rPr>
      </w:pPr>
      <w:bookmarkStart w:id="118" w:name="_Toc75180317"/>
      <w:r w:rsidRPr="004D307F">
        <w:br w:type="page"/>
      </w:r>
    </w:p>
    <w:p w14:paraId="4A36EF07" w14:textId="2A80E23E" w:rsidR="00BA2190" w:rsidRPr="004D307F" w:rsidRDefault="00BB6150" w:rsidP="004D307F">
      <w:pPr>
        <w:pStyle w:val="Heading2"/>
      </w:pPr>
      <w:bookmarkStart w:id="119" w:name="_Toc99882784"/>
      <w:r w:rsidRPr="004D307F">
        <w:lastRenderedPageBreak/>
        <w:t>Primary Mathematics and Science Specialist</w:t>
      </w:r>
      <w:r w:rsidR="00996321">
        <w:t>s</w:t>
      </w:r>
      <w:r w:rsidRPr="004D307F">
        <w:t xml:space="preserve"> Initiative (Reference 125)</w:t>
      </w:r>
      <w:bookmarkEnd w:id="118"/>
      <w:bookmarkEnd w:id="119"/>
    </w:p>
    <w:p w14:paraId="176367A9" w14:textId="3C548A67" w:rsidR="00BB6150" w:rsidRPr="004D307F" w:rsidRDefault="00BB6150"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Primary Mathematics and Science Specialists (PMSS) initiative is a </w:t>
      </w:r>
      <w:proofErr w:type="gramStart"/>
      <w:r w:rsidR="00996321">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xml:space="preserve"> year</w:t>
      </w:r>
      <w:proofErr w:type="gramEnd"/>
      <w:r w:rsidRPr="004D307F">
        <w:rPr>
          <w:rFonts w:ascii="VIC-Regular" w:eastAsia="Times New Roman" w:hAnsi="VIC-Regular" w:cs="Times New Roman"/>
          <w:color w:val="011A3C"/>
          <w:sz w:val="24"/>
          <w:szCs w:val="24"/>
          <w:lang w:val="en" w:eastAsia="en-AU"/>
        </w:rPr>
        <w:t xml:space="preserve"> program designed to drive whole school change through, generally </w:t>
      </w:r>
      <w:r w:rsidR="00996321">
        <w:rPr>
          <w:rFonts w:ascii="VIC-Regular" w:eastAsia="Times New Roman" w:hAnsi="VIC-Regular" w:cs="Times New Roman"/>
          <w:color w:val="011A3C"/>
          <w:sz w:val="24"/>
          <w:szCs w:val="24"/>
          <w:lang w:val="en" w:eastAsia="en-AU"/>
        </w:rPr>
        <w:t>2</w:t>
      </w:r>
      <w:r w:rsidRPr="004D307F">
        <w:rPr>
          <w:rFonts w:ascii="VIC-Regular" w:eastAsia="Times New Roman" w:hAnsi="VIC-Regular" w:cs="Times New Roman"/>
          <w:color w:val="011A3C"/>
          <w:sz w:val="24"/>
          <w:szCs w:val="24"/>
          <w:lang w:val="en" w:eastAsia="en-AU"/>
        </w:rPr>
        <w:t>, teachers from a primary school training to become specialists in either science or mathematics.</w:t>
      </w:r>
    </w:p>
    <w:p w14:paraId="5B8C7384" w14:textId="65FCAE91" w:rsidR="00BB6150" w:rsidRPr="004D307F" w:rsidRDefault="00BB6150" w:rsidP="004D307F">
      <w:pPr>
        <w:spacing w:line="360" w:lineRule="atLeast"/>
        <w:rPr>
          <w:rFonts w:ascii="VIC" w:hAnsi="VIC"/>
        </w:rPr>
      </w:pPr>
      <w:r w:rsidRPr="004D307F">
        <w:rPr>
          <w:rFonts w:ascii="VIC" w:hAnsi="VIC"/>
        </w:rPr>
        <w:t xml:space="preserve">The program provides high quality face to face and online professional learning across the </w:t>
      </w:r>
      <w:r w:rsidR="00996321">
        <w:rPr>
          <w:rFonts w:ascii="VIC" w:hAnsi="VIC"/>
        </w:rPr>
        <w:t>2</w:t>
      </w:r>
      <w:r w:rsidRPr="004D307F">
        <w:rPr>
          <w:rFonts w:ascii="VIC" w:hAnsi="VIC"/>
        </w:rPr>
        <w:t xml:space="preserve"> years, including: </w:t>
      </w:r>
    </w:p>
    <w:p w14:paraId="363886D7" w14:textId="0FE99D6C" w:rsidR="00BB6150" w:rsidRPr="004D307F" w:rsidRDefault="00996321" w:rsidP="00ED0863">
      <w:pPr>
        <w:numPr>
          <w:ilvl w:val="0"/>
          <w:numId w:val="81"/>
        </w:numPr>
        <w:spacing w:after="0" w:line="360" w:lineRule="atLeast"/>
        <w:rPr>
          <w:rFonts w:ascii="VIC" w:eastAsia="Times New Roman" w:hAnsi="VIC"/>
        </w:rPr>
      </w:pPr>
      <w:r>
        <w:rPr>
          <w:rFonts w:ascii="VIC" w:eastAsia="Times New Roman" w:hAnsi="VIC"/>
        </w:rPr>
        <w:t>d</w:t>
      </w:r>
      <w:r w:rsidR="00BB6150" w:rsidRPr="004D307F">
        <w:rPr>
          <w:rFonts w:ascii="VIC" w:eastAsia="Times New Roman" w:hAnsi="VIC"/>
        </w:rPr>
        <w:t>evelopment of the individual specialists’ learning and knowledge about the important and key concepts and pedagogies in mathematics / science learning</w:t>
      </w:r>
    </w:p>
    <w:p w14:paraId="3199B18F" w14:textId="5A5C01B5" w:rsidR="00BB6150" w:rsidRPr="004D307F" w:rsidRDefault="00996321" w:rsidP="00ED0863">
      <w:pPr>
        <w:numPr>
          <w:ilvl w:val="0"/>
          <w:numId w:val="81"/>
        </w:numPr>
        <w:spacing w:after="0" w:line="360" w:lineRule="atLeast"/>
        <w:rPr>
          <w:rFonts w:ascii="VIC" w:eastAsia="Times New Roman" w:hAnsi="VIC"/>
        </w:rPr>
      </w:pPr>
      <w:r>
        <w:rPr>
          <w:rFonts w:ascii="VIC" w:eastAsia="Times New Roman" w:hAnsi="VIC"/>
        </w:rPr>
        <w:t>d</w:t>
      </w:r>
      <w:r w:rsidR="00BB6150" w:rsidRPr="004D307F">
        <w:rPr>
          <w:rFonts w:ascii="VIC" w:eastAsia="Times New Roman" w:hAnsi="VIC"/>
        </w:rPr>
        <w:t>evelopment of others – working with teachers at the school level to further develop their practice</w:t>
      </w:r>
    </w:p>
    <w:p w14:paraId="050080E1" w14:textId="5CDC196E" w:rsidR="00BB6150" w:rsidRPr="004D307F" w:rsidRDefault="00996321" w:rsidP="00ED0863">
      <w:pPr>
        <w:numPr>
          <w:ilvl w:val="0"/>
          <w:numId w:val="81"/>
        </w:numPr>
        <w:spacing w:after="0" w:line="360" w:lineRule="atLeast"/>
        <w:rPr>
          <w:rFonts w:ascii="VIC" w:hAnsi="VIC"/>
        </w:rPr>
      </w:pPr>
      <w:r>
        <w:rPr>
          <w:rFonts w:ascii="VIC" w:eastAsia="Times New Roman" w:hAnsi="VIC"/>
        </w:rPr>
        <w:t>d</w:t>
      </w:r>
      <w:r w:rsidR="00BB6150" w:rsidRPr="004D307F">
        <w:rPr>
          <w:rFonts w:ascii="VIC" w:eastAsia="Times New Roman" w:hAnsi="VIC"/>
        </w:rPr>
        <w:t>evelopment of whole school level improvements</w:t>
      </w:r>
      <w:r>
        <w:rPr>
          <w:rFonts w:ascii="VIC" w:eastAsia="Times New Roman" w:hAnsi="VIC"/>
        </w:rPr>
        <w:t>.</w:t>
      </w:r>
    </w:p>
    <w:p w14:paraId="7F5CE478" w14:textId="77777777" w:rsidR="00BB6150" w:rsidRPr="004D307F" w:rsidRDefault="00BB6150" w:rsidP="004D307F">
      <w:pPr>
        <w:spacing w:before="100" w:beforeAutospacing="1" w:after="100" w:afterAutospacing="1" w:line="360"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29B5BA4B" w14:textId="77777777" w:rsidR="00BB6150" w:rsidRPr="004D307F" w:rsidRDefault="00BB6150" w:rsidP="004D307F">
      <w:pPr>
        <w:spacing w:line="360" w:lineRule="atLeast"/>
        <w:rPr>
          <w:rFonts w:ascii="VIC" w:hAnsi="VIC"/>
        </w:rPr>
      </w:pPr>
      <w:r w:rsidRPr="004D307F">
        <w:rPr>
          <w:rFonts w:ascii="VIC" w:hAnsi="VIC"/>
        </w:rPr>
        <w:t>Each cohort of PMSS is subject to State Budget funding.</w:t>
      </w:r>
    </w:p>
    <w:p w14:paraId="3BB89BE6" w14:textId="77777777" w:rsidR="00BB6150" w:rsidRPr="004D307F" w:rsidRDefault="00BB6150" w:rsidP="004D307F">
      <w:pPr>
        <w:spacing w:line="360" w:lineRule="atLeast"/>
        <w:rPr>
          <w:rFonts w:ascii="VIC" w:hAnsi="VIC"/>
        </w:rPr>
      </w:pPr>
      <w:r w:rsidRPr="004D307F">
        <w:rPr>
          <w:rFonts w:ascii="VIC" w:hAnsi="VIC"/>
        </w:rPr>
        <w:t xml:space="preserve">Schools are selected to be invited to participate in the initiative through school level data and consultation with regional executives. </w:t>
      </w:r>
    </w:p>
    <w:p w14:paraId="3441996D" w14:textId="77777777" w:rsidR="00BB6150" w:rsidRPr="004D307F" w:rsidRDefault="00BB6150" w:rsidP="004D307F">
      <w:pPr>
        <w:spacing w:line="360" w:lineRule="atLeast"/>
        <w:rPr>
          <w:rFonts w:ascii="VIC" w:hAnsi="VIC"/>
        </w:rPr>
      </w:pPr>
      <w:r w:rsidRPr="004D307F">
        <w:rPr>
          <w:rFonts w:ascii="VIC" w:hAnsi="VIC"/>
        </w:rPr>
        <w:t>All schools identified to be invited to participate are formally approved by the Minister for Education.</w:t>
      </w:r>
    </w:p>
    <w:p w14:paraId="53A7C064" w14:textId="77777777" w:rsidR="00BB6150" w:rsidRPr="004D307F" w:rsidRDefault="00BB6150" w:rsidP="004D307F">
      <w:pPr>
        <w:autoSpaceDE w:val="0"/>
        <w:autoSpaceDN w:val="0"/>
        <w:adjustRightInd w:val="0"/>
        <w:spacing w:after="0" w:line="360" w:lineRule="atLeast"/>
        <w:rPr>
          <w:rFonts w:ascii="VIC" w:hAnsi="VIC" w:cs="Calibri"/>
          <w:sz w:val="21"/>
          <w:szCs w:val="21"/>
        </w:rPr>
      </w:pPr>
      <w:r w:rsidRPr="004D307F">
        <w:rPr>
          <w:rFonts w:ascii="VIC" w:hAnsi="VIC" w:cs="Calibri"/>
          <w:sz w:val="21"/>
          <w:szCs w:val="21"/>
        </w:rPr>
        <w:t>Schools for Cohort 6 of this initiative have already undertaken a selection process.</w:t>
      </w:r>
    </w:p>
    <w:p w14:paraId="5D4A22B7" w14:textId="4A2B5ADE" w:rsidR="00BB6150" w:rsidRPr="004D307F" w:rsidRDefault="00BB6150" w:rsidP="004D307F">
      <w:pPr>
        <w:autoSpaceDE w:val="0"/>
        <w:autoSpaceDN w:val="0"/>
        <w:adjustRightInd w:val="0"/>
        <w:spacing w:after="0" w:line="360" w:lineRule="atLeast"/>
        <w:rPr>
          <w:rFonts w:ascii="VIC" w:hAnsi="VIC"/>
        </w:rPr>
      </w:pPr>
      <w:r w:rsidRPr="004D307F">
        <w:rPr>
          <w:rFonts w:ascii="VIC" w:hAnsi="VIC" w:cs="Calibri"/>
          <w:sz w:val="21"/>
          <w:szCs w:val="21"/>
        </w:rPr>
        <w:t>Schools must remain active in the professional learning and evaluation programs and allocate funds as set out in the Letter of Agreement</w:t>
      </w:r>
    </w:p>
    <w:p w14:paraId="0022A6D8" w14:textId="77777777" w:rsidR="00BB6150" w:rsidRPr="004D307F" w:rsidRDefault="00BB6150" w:rsidP="004D307F">
      <w:pPr>
        <w:spacing w:before="100" w:beforeAutospacing="1" w:after="100" w:afterAutospacing="1" w:line="360"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Funding</w:t>
      </w:r>
    </w:p>
    <w:p w14:paraId="4C675036" w14:textId="6284076E" w:rsidR="00BB6150" w:rsidRPr="004D307F" w:rsidRDefault="00BB6150" w:rsidP="004D307F">
      <w:pPr>
        <w:spacing w:line="360" w:lineRule="atLeast"/>
        <w:rPr>
          <w:rFonts w:ascii="VIC" w:hAnsi="VIC"/>
        </w:rPr>
      </w:pPr>
      <w:r w:rsidRPr="004D307F">
        <w:rPr>
          <w:rFonts w:ascii="VIC" w:hAnsi="VIC"/>
        </w:rPr>
        <w:t xml:space="preserve">Schools that are invited to participate in PMSS are provided funding via the Student Resource Package (SRP) to release each participating teacher 0.5 FTE for the </w:t>
      </w:r>
      <w:r w:rsidR="00996321">
        <w:rPr>
          <w:rFonts w:ascii="VIC" w:hAnsi="VIC"/>
        </w:rPr>
        <w:t>2</w:t>
      </w:r>
      <w:r w:rsidRPr="004D307F">
        <w:rPr>
          <w:rFonts w:ascii="VIC" w:hAnsi="VIC"/>
        </w:rPr>
        <w:t xml:space="preserve"> years to support their roles as specialists.</w:t>
      </w:r>
    </w:p>
    <w:p w14:paraId="327CF3BF" w14:textId="7E1DE824" w:rsidR="00BB6150" w:rsidRPr="004D307F" w:rsidRDefault="00BB6150" w:rsidP="004D307F">
      <w:pPr>
        <w:spacing w:line="360" w:lineRule="atLeast"/>
        <w:rPr>
          <w:rFonts w:ascii="VIC" w:hAnsi="VIC"/>
        </w:rPr>
      </w:pPr>
      <w:r w:rsidRPr="004D307F">
        <w:rPr>
          <w:rFonts w:ascii="VIC" w:hAnsi="VIC"/>
        </w:rPr>
        <w:t>Where face to face professional learning occurs, participants from schools that are more than 100</w:t>
      </w:r>
      <w:r w:rsidR="00996321">
        <w:rPr>
          <w:rFonts w:ascii="VIC" w:hAnsi="VIC"/>
        </w:rPr>
        <w:t xml:space="preserve"> </w:t>
      </w:r>
      <w:r w:rsidRPr="004D307F">
        <w:rPr>
          <w:rFonts w:ascii="VIC" w:hAnsi="VIC"/>
        </w:rPr>
        <w:t xml:space="preserve">km from Melbourne are eligible for reimbursement of costs for travel, </w:t>
      </w:r>
      <w:proofErr w:type="gramStart"/>
      <w:r w:rsidRPr="004D307F">
        <w:rPr>
          <w:rFonts w:ascii="VIC" w:hAnsi="VIC"/>
        </w:rPr>
        <w:t>meals</w:t>
      </w:r>
      <w:proofErr w:type="gramEnd"/>
      <w:r w:rsidRPr="004D307F">
        <w:rPr>
          <w:rFonts w:ascii="VIC" w:hAnsi="VIC"/>
        </w:rPr>
        <w:t xml:space="preserve"> and accommodation to the value of $320 per day. Reimbursements are managed through the </w:t>
      </w:r>
    </w:p>
    <w:p w14:paraId="7E9FBD3A" w14:textId="77777777" w:rsidR="00BB6150" w:rsidRPr="004D307F" w:rsidRDefault="00A35420" w:rsidP="004D307F">
      <w:pPr>
        <w:spacing w:line="360" w:lineRule="atLeast"/>
        <w:rPr>
          <w:rFonts w:ascii="VIC" w:hAnsi="VIC"/>
        </w:rPr>
      </w:pPr>
      <w:hyperlink r:id="rId181" w:history="1">
        <w:r w:rsidR="00BB6150" w:rsidRPr="004D307F">
          <w:rPr>
            <w:rFonts w:ascii="VIC" w:hAnsi="VIC"/>
            <w:color w:val="0563C1" w:themeColor="hyperlink"/>
            <w:u w:val="single"/>
          </w:rPr>
          <w:t>Schools Targeted Funding Portal</w:t>
        </w:r>
      </w:hyperlink>
      <w:r w:rsidR="00BB6150" w:rsidRPr="004D307F">
        <w:rPr>
          <w:rFonts w:ascii="VIC" w:hAnsi="VIC"/>
        </w:rPr>
        <w:t xml:space="preserve"> </w:t>
      </w:r>
    </w:p>
    <w:p w14:paraId="512B47EA" w14:textId="77777777" w:rsidR="00BB6150" w:rsidRPr="004D307F" w:rsidRDefault="00BB6150" w:rsidP="004D307F">
      <w:pPr>
        <w:spacing w:before="100" w:beforeAutospacing="1" w:after="100" w:afterAutospacing="1" w:line="360"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 xml:space="preserve">Calculation </w:t>
      </w:r>
    </w:p>
    <w:p w14:paraId="0472C0F1" w14:textId="77777777" w:rsidR="00BB6150" w:rsidRPr="004D307F" w:rsidRDefault="00BB6150" w:rsidP="004D307F">
      <w:pPr>
        <w:autoSpaceDE w:val="0"/>
        <w:autoSpaceDN w:val="0"/>
        <w:adjustRightInd w:val="0"/>
        <w:spacing w:after="0" w:line="360" w:lineRule="atLeast"/>
        <w:rPr>
          <w:rFonts w:ascii="VIC" w:hAnsi="VIC" w:cs="Calibri"/>
          <w:sz w:val="21"/>
          <w:szCs w:val="21"/>
        </w:rPr>
      </w:pPr>
      <w:r w:rsidRPr="004D307F">
        <w:rPr>
          <w:rFonts w:ascii="VIC" w:hAnsi="VIC" w:cs="Calibri"/>
          <w:sz w:val="21"/>
          <w:szCs w:val="21"/>
        </w:rPr>
        <w:t>Allocation = number of participating teachers x 0.5 x level 2</w:t>
      </w:r>
      <w:r w:rsidRPr="004D307F">
        <w:rPr>
          <w:rFonts w:ascii="Cambria Math" w:hAnsi="Cambria Math" w:cs="Cambria Math"/>
          <w:sz w:val="21"/>
          <w:szCs w:val="21"/>
        </w:rPr>
        <w:t>‐</w:t>
      </w:r>
      <w:r w:rsidRPr="004D307F">
        <w:rPr>
          <w:rFonts w:ascii="VIC" w:hAnsi="VIC" w:cs="Calibri"/>
          <w:sz w:val="21"/>
          <w:szCs w:val="21"/>
        </w:rPr>
        <w:t>6 salary + on</w:t>
      </w:r>
      <w:r w:rsidRPr="004D307F">
        <w:rPr>
          <w:rFonts w:ascii="Cambria Math" w:hAnsi="Cambria Math" w:cs="Cambria Math"/>
          <w:sz w:val="21"/>
          <w:szCs w:val="21"/>
        </w:rPr>
        <w:t>‐</w:t>
      </w:r>
      <w:r w:rsidRPr="004D307F">
        <w:rPr>
          <w:rFonts w:ascii="VIC" w:hAnsi="VIC" w:cs="Calibri"/>
          <w:sz w:val="21"/>
          <w:szCs w:val="21"/>
        </w:rPr>
        <w:t>costs</w:t>
      </w:r>
    </w:p>
    <w:p w14:paraId="4160845D" w14:textId="77777777" w:rsidR="00BB6150" w:rsidRPr="004D307F" w:rsidRDefault="00BB6150" w:rsidP="004D307F">
      <w:pPr>
        <w:spacing w:line="360" w:lineRule="atLeast"/>
        <w:rPr>
          <w:rFonts w:ascii="VIC" w:hAnsi="VIC"/>
        </w:rPr>
      </w:pPr>
      <w:r w:rsidRPr="004D307F">
        <w:rPr>
          <w:rFonts w:ascii="VIC" w:hAnsi="VIC" w:cs="Calibri"/>
          <w:sz w:val="21"/>
          <w:szCs w:val="21"/>
        </w:rPr>
        <w:t>That is $65,695 per year for each participating teacher.</w:t>
      </w:r>
    </w:p>
    <w:p w14:paraId="2EC2C112" w14:textId="77777777" w:rsidR="00BB6150" w:rsidRPr="004D307F" w:rsidRDefault="00BB6150" w:rsidP="00BB6150"/>
    <w:p w14:paraId="0075AEDA" w14:textId="77777777" w:rsidR="00BB6150" w:rsidRPr="004D307F" w:rsidRDefault="00BB6150" w:rsidP="00BB6150"/>
    <w:p w14:paraId="206845B4" w14:textId="77777777" w:rsidR="00CB38EB" w:rsidRPr="004D307F" w:rsidRDefault="00CB38EB">
      <w:pPr>
        <w:rPr>
          <w:rFonts w:asciiTheme="majorHAnsi" w:eastAsia="Calibri" w:hAnsiTheme="majorHAnsi" w:cstheme="majorBidi"/>
          <w:b/>
          <w:color w:val="2F5496" w:themeColor="accent1" w:themeShade="BF"/>
          <w:sz w:val="36"/>
          <w:szCs w:val="26"/>
          <w:lang w:val="en" w:eastAsia="en-AU"/>
        </w:rPr>
      </w:pPr>
      <w:bookmarkStart w:id="120" w:name="_Toc75180325"/>
      <w:r w:rsidRPr="004D307F">
        <w:br w:type="page"/>
      </w:r>
    </w:p>
    <w:p w14:paraId="3DC19678" w14:textId="1BE0F6C9" w:rsidR="00BB6150" w:rsidRPr="004D307F" w:rsidRDefault="00BB6150" w:rsidP="004D307F">
      <w:pPr>
        <w:pStyle w:val="Heading2"/>
      </w:pPr>
      <w:bookmarkStart w:id="121" w:name="_Toc99882785"/>
      <w:r w:rsidRPr="004D307F">
        <w:lastRenderedPageBreak/>
        <w:t>Secondary Mathematics and Science Initiative (Reference 133)</w:t>
      </w:r>
      <w:bookmarkEnd w:id="120"/>
      <w:bookmarkEnd w:id="121"/>
    </w:p>
    <w:p w14:paraId="5C833CC2" w14:textId="77777777" w:rsidR="00BB6150" w:rsidRPr="004D307F" w:rsidRDefault="00BB6150"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Secondary Mathematics and Science Initiative is for out</w:t>
      </w: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of</w:t>
      </w: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field teachers. It has been developed to help address current workforce challenges in the teaching of mathematics and science in secondary schools.  </w:t>
      </w:r>
    </w:p>
    <w:p w14:paraId="31BED40A" w14:textId="77777777" w:rsidR="00BB6150" w:rsidRPr="004D307F" w:rsidRDefault="00BB6150" w:rsidP="00BB6150">
      <w:pPr>
        <w:autoSpaceDE w:val="0"/>
        <w:autoSpaceDN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Teachers who are currently teaching out</w:t>
      </w: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of</w:t>
      </w:r>
      <w:r w:rsidRPr="004D307F">
        <w:rPr>
          <w:rFonts w:ascii="Cambria Math" w:eastAsia="Times New Roman" w:hAnsi="Cambria Math" w:cs="Cambria Math"/>
          <w:color w:val="011A3C"/>
          <w:sz w:val="24"/>
          <w:szCs w:val="24"/>
          <w:lang w:val="en" w:eastAsia="en-AU"/>
        </w:rPr>
        <w:t>‐</w:t>
      </w:r>
      <w:r w:rsidRPr="004D307F">
        <w:rPr>
          <w:rFonts w:ascii="VIC-Regular" w:eastAsia="Times New Roman" w:hAnsi="VIC-Regular" w:cs="Times New Roman"/>
          <w:color w:val="011A3C"/>
          <w:sz w:val="24"/>
          <w:szCs w:val="24"/>
          <w:lang w:val="en" w:eastAsia="en-AU"/>
        </w:rPr>
        <w:t>field will be supported to become in field in 2022. Over 2022, teachers will undertake a graduate certificate in mathematics or science education.</w:t>
      </w:r>
    </w:p>
    <w:p w14:paraId="00D95D40" w14:textId="77777777" w:rsidR="00BB6150" w:rsidRPr="004D307F" w:rsidRDefault="00BB6150" w:rsidP="00BB615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Eligibility</w:t>
      </w:r>
    </w:p>
    <w:p w14:paraId="2DDB1D05" w14:textId="77777777" w:rsidR="00BB6150" w:rsidRPr="004D307F" w:rsidRDefault="00BB6150" w:rsidP="00BB6150">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with the following school type are eligible for the Secondary Mathematics and Science Specialists Initiative at school level.</w:t>
      </w:r>
    </w:p>
    <w:p w14:paraId="49F50835" w14:textId="77777777" w:rsidR="00BB6150" w:rsidRPr="004D307F" w:rsidRDefault="00BB6150" w:rsidP="00BB6150">
      <w:pPr>
        <w:numPr>
          <w:ilvl w:val="0"/>
          <w:numId w:val="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p>
    <w:p w14:paraId="5848B1DB" w14:textId="77777777" w:rsidR="00BB6150" w:rsidRPr="004D307F" w:rsidRDefault="00BB6150" w:rsidP="00BB6150">
      <w:pPr>
        <w:numPr>
          <w:ilvl w:val="0"/>
          <w:numId w:val="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Primary/Secondary Combined</w:t>
      </w:r>
    </w:p>
    <w:p w14:paraId="4E817F75" w14:textId="3C587098" w:rsidR="00BB6150" w:rsidRPr="004D307F" w:rsidRDefault="00BB6150" w:rsidP="004D307F">
      <w:pPr>
        <w:spacing w:before="100" w:beforeAutospacing="1" w:after="100" w:afterAutospacing="1" w:line="360" w:lineRule="atLeast"/>
        <w:rPr>
          <w:rFonts w:ascii="VIC" w:hAnsi="VIC"/>
          <w:sz w:val="21"/>
          <w:szCs w:val="21"/>
        </w:rPr>
      </w:pPr>
      <w:r w:rsidRPr="004D307F">
        <w:rPr>
          <w:rFonts w:ascii="VIC" w:eastAsia="Times New Roman" w:hAnsi="VIC" w:cs="Times New Roman"/>
          <w:color w:val="011A3C"/>
          <w:sz w:val="24"/>
          <w:szCs w:val="24"/>
          <w:lang w:val="en" w:eastAsia="en-AU"/>
        </w:rPr>
        <w:t>Funding is calculated at the Confirmed and Revised budget cycles and provided through credit funding.</w:t>
      </w:r>
    </w:p>
    <w:p w14:paraId="590384BE" w14:textId="77777777" w:rsidR="00BB6150" w:rsidRPr="004D307F" w:rsidRDefault="00BB6150" w:rsidP="00BB6150">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 xml:space="preserve">Calculation </w:t>
      </w:r>
    </w:p>
    <w:p w14:paraId="157EE7D8" w14:textId="3A08B458" w:rsidR="00BB6150" w:rsidRPr="004D307F" w:rsidRDefault="00BB6150" w:rsidP="00BB6150">
      <w:pPr>
        <w:autoSpaceDE w:val="0"/>
        <w:autoSpaceDN w:val="0"/>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Allocation = Number of participating teachers x 0.2 x level 2</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Times New Roman"/>
          <w:color w:val="011A3C"/>
          <w:sz w:val="24"/>
          <w:szCs w:val="24"/>
          <w:lang w:val="en" w:eastAsia="en-AU"/>
        </w:rPr>
        <w:t>6 salary + on</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Times New Roman"/>
          <w:color w:val="011A3C"/>
          <w:sz w:val="24"/>
          <w:szCs w:val="24"/>
          <w:lang w:val="en" w:eastAsia="en-AU"/>
        </w:rPr>
        <w:t>costs. This totals $26,039.52 per year for each participating teacher*.</w:t>
      </w:r>
    </w:p>
    <w:p w14:paraId="06C0705C" w14:textId="7AB710EC" w:rsidR="002F58F8" w:rsidRPr="004D307F" w:rsidRDefault="00BB6150" w:rsidP="002F58F8">
      <w:r w:rsidRPr="004D307F">
        <w:rPr>
          <w:rFonts w:ascii="VIC" w:eastAsia="Times New Roman" w:hAnsi="VIC" w:cs="Times New Roman"/>
          <w:color w:val="011A3C"/>
          <w:sz w:val="24"/>
          <w:szCs w:val="24"/>
          <w:lang w:val="en" w:eastAsia="en-AU"/>
        </w:rPr>
        <w:t xml:space="preserve">*There are </w:t>
      </w:r>
      <w:r w:rsidR="009607D7">
        <w:rPr>
          <w:rFonts w:ascii="VIC" w:eastAsia="Times New Roman" w:hAnsi="VIC" w:cs="Times New Roman"/>
          <w:color w:val="011A3C"/>
          <w:sz w:val="24"/>
          <w:szCs w:val="24"/>
          <w:lang w:val="en" w:eastAsia="en-AU"/>
        </w:rPr>
        <w:t>3</w:t>
      </w:r>
      <w:r w:rsidRPr="004D307F">
        <w:rPr>
          <w:rFonts w:ascii="VIC" w:eastAsia="Times New Roman" w:hAnsi="VIC" w:cs="Times New Roman"/>
          <w:color w:val="011A3C"/>
          <w:sz w:val="24"/>
          <w:szCs w:val="24"/>
          <w:lang w:val="en" w:eastAsia="en-AU"/>
        </w:rPr>
        <w:t xml:space="preserve"> participants who are receiving x 0.1 x level 2</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Times New Roman"/>
          <w:color w:val="011A3C"/>
          <w:sz w:val="24"/>
          <w:szCs w:val="24"/>
          <w:lang w:val="en" w:eastAsia="en-AU"/>
        </w:rPr>
        <w:t>6 salary + on</w:t>
      </w:r>
      <w:r w:rsidRPr="004D307F">
        <w:rPr>
          <w:rFonts w:ascii="Cambria Math" w:eastAsia="Times New Roman" w:hAnsi="Cambria Math" w:cs="Cambria Math"/>
          <w:color w:val="011A3C"/>
          <w:sz w:val="24"/>
          <w:szCs w:val="24"/>
          <w:lang w:val="en" w:eastAsia="en-AU"/>
        </w:rPr>
        <w:t>‐</w:t>
      </w:r>
      <w:r w:rsidRPr="004D307F">
        <w:rPr>
          <w:rFonts w:ascii="VIC" w:eastAsia="Times New Roman" w:hAnsi="VIC" w:cs="Times New Roman"/>
          <w:color w:val="011A3C"/>
          <w:sz w:val="24"/>
          <w:szCs w:val="24"/>
          <w:lang w:val="en" w:eastAsia="en-AU"/>
        </w:rPr>
        <w:t>costs. This totals $12,539.15.</w:t>
      </w:r>
    </w:p>
    <w:p w14:paraId="085BC73F" w14:textId="77777777" w:rsidR="00CB38EB" w:rsidRPr="004D307F" w:rsidRDefault="00CB38EB">
      <w:pPr>
        <w:rPr>
          <w:rFonts w:asciiTheme="majorHAnsi" w:eastAsia="Calibri" w:hAnsiTheme="majorHAnsi" w:cstheme="majorBidi"/>
          <w:b/>
          <w:color w:val="2F5496" w:themeColor="accent1" w:themeShade="BF"/>
          <w:sz w:val="36"/>
          <w:szCs w:val="26"/>
          <w:lang w:val="en" w:eastAsia="en-AU"/>
        </w:rPr>
      </w:pPr>
      <w:r w:rsidRPr="004D307F">
        <w:br w:type="page"/>
      </w:r>
    </w:p>
    <w:p w14:paraId="5159B8E7" w14:textId="7BEB2E4A" w:rsidR="00341AB0" w:rsidRPr="004D307F" w:rsidRDefault="00341AB0" w:rsidP="00B566E7">
      <w:pPr>
        <w:pStyle w:val="Heading2"/>
      </w:pPr>
      <w:bookmarkStart w:id="122" w:name="_Toc99882786"/>
      <w:r w:rsidRPr="004D307F">
        <w:lastRenderedPageBreak/>
        <w:t>Transition Funding (Rural) (Ref</w:t>
      </w:r>
      <w:r w:rsidR="004A6878" w:rsidRPr="004D307F">
        <w:t>erence</w:t>
      </w:r>
      <w:r w:rsidRPr="004D307F">
        <w:t xml:space="preserve"> 126)</w:t>
      </w:r>
      <w:bookmarkEnd w:id="122"/>
    </w:p>
    <w:p w14:paraId="617A0951" w14:textId="77777777" w:rsidR="007E0BC0" w:rsidRPr="004D307F" w:rsidRDefault="007E0BC0" w:rsidP="004D307F">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Transition Funding (Rural) is intended to provide time-limited support to schools most affected by changes to Rural School Size Adjustment Factor (RSAF), Location Index Funding (LIF) and Country Area Program grant (CAP) eligibility </w:t>
      </w:r>
      <w:proofErr w:type="gramStart"/>
      <w:r w:rsidRPr="004D307F">
        <w:rPr>
          <w:rFonts w:ascii="VIC-Regular" w:eastAsia="Times New Roman" w:hAnsi="VIC-Regular" w:cs="Times New Roman"/>
          <w:color w:val="011A3C"/>
          <w:sz w:val="24"/>
          <w:szCs w:val="24"/>
          <w:lang w:val="en" w:eastAsia="en-AU"/>
        </w:rPr>
        <w:t>as a result of</w:t>
      </w:r>
      <w:proofErr w:type="gramEnd"/>
      <w:r w:rsidRPr="004D307F">
        <w:rPr>
          <w:rFonts w:ascii="VIC-Regular" w:eastAsia="Times New Roman" w:hAnsi="VIC-Regular" w:cs="Times New Roman"/>
          <w:color w:val="011A3C"/>
          <w:sz w:val="24"/>
          <w:szCs w:val="24"/>
          <w:lang w:val="en" w:eastAsia="en-AU"/>
        </w:rPr>
        <w:t xml:space="preserve"> updated geographic boundaries.</w:t>
      </w:r>
    </w:p>
    <w:p w14:paraId="21C45719" w14:textId="77777777" w:rsidR="007E0BC0" w:rsidRPr="004D307F" w:rsidRDefault="007E0BC0" w:rsidP="007E0BC0">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and Eligibility</w:t>
      </w:r>
    </w:p>
    <w:p w14:paraId="044E186D"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Schools are eligible to receive Transition Funding (Rural) if they meet all the following eligibility criteria:</w:t>
      </w:r>
    </w:p>
    <w:p w14:paraId="430BC5DE"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face a reduction in funding of greater than $25,000 in 2021 </w:t>
      </w:r>
      <w:proofErr w:type="gramStart"/>
      <w:r w:rsidRPr="004D307F">
        <w:rPr>
          <w:rFonts w:ascii="VIC-Regular" w:eastAsia="Times New Roman" w:hAnsi="VIC-Regular" w:cs="Times New Roman"/>
          <w:color w:val="011A3C"/>
          <w:sz w:val="24"/>
          <w:szCs w:val="24"/>
          <w:lang w:val="en" w:eastAsia="en-AU"/>
        </w:rPr>
        <w:t>as a result of</w:t>
      </w:r>
      <w:proofErr w:type="gramEnd"/>
      <w:r w:rsidRPr="004D307F">
        <w:rPr>
          <w:rFonts w:ascii="VIC-Regular" w:eastAsia="Times New Roman" w:hAnsi="VIC-Regular" w:cs="Times New Roman"/>
          <w:color w:val="011A3C"/>
          <w:sz w:val="24"/>
          <w:szCs w:val="24"/>
          <w:lang w:val="en" w:eastAsia="en-AU"/>
        </w:rPr>
        <w:t xml:space="preserve"> changes to RSAF, LIF and CAP eligibility from the use of updated geographic boundaries</w:t>
      </w:r>
    </w:p>
    <w:p w14:paraId="35B2BF4C" w14:textId="00E98DFE"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their 2021 </w:t>
      </w:r>
      <w:r w:rsidR="009A130D" w:rsidRPr="004D307F">
        <w:rPr>
          <w:rFonts w:ascii="VIC-Regular" w:eastAsia="Times New Roman" w:hAnsi="VIC-Regular" w:cs="Times New Roman"/>
          <w:color w:val="011A3C"/>
          <w:sz w:val="24"/>
          <w:szCs w:val="24"/>
          <w:lang w:val="en" w:eastAsia="en-AU"/>
        </w:rPr>
        <w:t>Student Resource Package (</w:t>
      </w:r>
      <w:r w:rsidRPr="004D307F">
        <w:rPr>
          <w:rFonts w:ascii="VIC-Regular" w:eastAsia="Times New Roman" w:hAnsi="VIC-Regular" w:cs="Times New Roman"/>
          <w:color w:val="011A3C"/>
          <w:sz w:val="24"/>
          <w:szCs w:val="24"/>
          <w:lang w:val="en" w:eastAsia="en-AU"/>
        </w:rPr>
        <w:t>SRP</w:t>
      </w:r>
      <w:r w:rsidR="009A130D"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allocation is less than their 2020 SRP allocation</w:t>
      </w:r>
    </w:p>
    <w:p w14:paraId="2561A4CC"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Calculation and formula</w:t>
      </w:r>
    </w:p>
    <w:p w14:paraId="2DFBE5F3"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Allocation = 2020 SRP (campus level) allocation – 2021 SRP (campus level) allocation</w:t>
      </w:r>
    </w:p>
    <w:p w14:paraId="33B16BD4"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Note: The Transition Funding (Rural) allocation for a school campus has a maximum defined by:</w:t>
      </w:r>
    </w:p>
    <w:p w14:paraId="3882619C"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the funding reduction in 2021 </w:t>
      </w:r>
      <w:proofErr w:type="gramStart"/>
      <w:r w:rsidRPr="004D307F">
        <w:rPr>
          <w:rFonts w:ascii="VIC-Regular" w:eastAsia="Times New Roman" w:hAnsi="VIC-Regular" w:cs="Times New Roman"/>
          <w:color w:val="011A3C"/>
          <w:sz w:val="24"/>
          <w:szCs w:val="24"/>
          <w:lang w:val="en" w:eastAsia="en-AU"/>
        </w:rPr>
        <w:t>as a result of</w:t>
      </w:r>
      <w:proofErr w:type="gramEnd"/>
      <w:r w:rsidRPr="004D307F">
        <w:rPr>
          <w:rFonts w:ascii="VIC-Regular" w:eastAsia="Times New Roman" w:hAnsi="VIC-Regular" w:cs="Times New Roman"/>
          <w:color w:val="011A3C"/>
          <w:sz w:val="24"/>
          <w:szCs w:val="24"/>
          <w:lang w:val="en" w:eastAsia="en-AU"/>
        </w:rPr>
        <w:t xml:space="preserve"> changes to RSAF, LIF and CAP eligibility from the use of updated geographic boundaries</w:t>
      </w:r>
    </w:p>
    <w:p w14:paraId="7CE75CFC"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b/>
          <w:bCs/>
          <w:color w:val="011A3C"/>
          <w:sz w:val="24"/>
          <w:szCs w:val="24"/>
          <w:lang w:val="en" w:eastAsia="en-AU"/>
        </w:rPr>
      </w:pPr>
      <w:r w:rsidRPr="004D307F">
        <w:rPr>
          <w:rFonts w:ascii="VIC-Regular" w:eastAsia="Times New Roman" w:hAnsi="VIC-Regular" w:cs="Times New Roman"/>
          <w:b/>
          <w:bCs/>
          <w:color w:val="011A3C"/>
          <w:sz w:val="24"/>
          <w:szCs w:val="24"/>
          <w:lang w:val="en" w:eastAsia="en-AU"/>
        </w:rPr>
        <w:t>Eligible School Types:</w:t>
      </w:r>
    </w:p>
    <w:p w14:paraId="52E71C0B" w14:textId="77777777" w:rsidR="007E0BC0" w:rsidRPr="004D307F" w:rsidRDefault="007E0BC0" w:rsidP="007E0BC0">
      <w:pPr>
        <w:spacing w:before="100" w:beforeAutospacing="1" w:after="100" w:afterAutospacing="1"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As per eligibility for:</w:t>
      </w:r>
    </w:p>
    <w:p w14:paraId="072BAC70"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Rural School Size Adjustment Factor (RSAF), </w:t>
      </w:r>
    </w:p>
    <w:p w14:paraId="31830161"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Location Index Funding (LIF) and </w:t>
      </w:r>
    </w:p>
    <w:p w14:paraId="09D8C507" w14:textId="77777777" w:rsidR="007E0BC0" w:rsidRPr="004D307F" w:rsidRDefault="007E0BC0" w:rsidP="00ED0863">
      <w:pPr>
        <w:numPr>
          <w:ilvl w:val="0"/>
          <w:numId w:val="81"/>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Country Area Program grant (CAP)</w:t>
      </w:r>
    </w:p>
    <w:p w14:paraId="5C0B4867" w14:textId="77777777" w:rsidR="007E0BC0" w:rsidRPr="004D307F" w:rsidRDefault="007E0BC0" w:rsidP="007E0BC0"/>
    <w:p w14:paraId="37E56D5D" w14:textId="77777777" w:rsidR="007E0BC0" w:rsidRPr="004D307F" w:rsidRDefault="007E0BC0" w:rsidP="007E0BC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will be based on the 2021 transitioning position of the eligible school, funding is allocated through a mix of credit and cash funding.</w:t>
      </w:r>
    </w:p>
    <w:p w14:paraId="77A1495F" w14:textId="19915825" w:rsidR="007E0BC0" w:rsidRPr="004D307F" w:rsidRDefault="007E0BC0" w:rsidP="007E0BC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Funding for transition is time limited and will reduce annually. The table below outlines the transition funding reduction over the transition </w:t>
      </w:r>
      <w:r w:rsidR="00E47D1A" w:rsidRPr="004D307F">
        <w:rPr>
          <w:rFonts w:ascii="VIC-Regular" w:eastAsia="Times New Roman" w:hAnsi="VIC-Regular" w:cs="Times New Roman"/>
          <w:color w:val="011A3C"/>
          <w:sz w:val="24"/>
          <w:szCs w:val="24"/>
          <w:lang w:val="en" w:eastAsia="en-AU"/>
        </w:rPr>
        <w:t xml:space="preserve">period, in </w:t>
      </w:r>
      <w:r w:rsidR="00E47D1A" w:rsidRPr="004D307F">
        <w:rPr>
          <w:rFonts w:ascii="VIC-Regular" w:eastAsia="Times New Roman" w:hAnsi="VIC-Regular" w:cs="Times New Roman"/>
          <w:color w:val="011A3C"/>
          <w:sz w:val="24"/>
          <w:szCs w:val="24"/>
          <w:lang w:val="en" w:eastAsia="en-AU"/>
        </w:rPr>
        <w:lastRenderedPageBreak/>
        <w:t>2022 Schools transition funding will represent 75 per cent of the previous year transition</w:t>
      </w:r>
      <w:r w:rsidRPr="004D307F">
        <w:rPr>
          <w:rFonts w:ascii="VIC-Regular" w:eastAsia="Times New Roman" w:hAnsi="VIC-Regular" w:cs="Times New Roman"/>
          <w:color w:val="011A3C"/>
          <w:sz w:val="24"/>
          <w:szCs w:val="24"/>
          <w:lang w:val="en" w:eastAsia="en-AU"/>
        </w:rPr>
        <w:t>:</w:t>
      </w:r>
    </w:p>
    <w:tbl>
      <w:tblPr>
        <w:tblStyle w:val="TableGrid"/>
        <w:tblW w:w="0" w:type="auto"/>
        <w:tblInd w:w="0" w:type="dxa"/>
        <w:tblLook w:val="04A0" w:firstRow="1" w:lastRow="0" w:firstColumn="1" w:lastColumn="0" w:noHBand="0" w:noVBand="1"/>
      </w:tblPr>
      <w:tblGrid>
        <w:gridCol w:w="1459"/>
        <w:gridCol w:w="1459"/>
        <w:gridCol w:w="1459"/>
        <w:gridCol w:w="1459"/>
        <w:gridCol w:w="1459"/>
      </w:tblGrid>
      <w:tr w:rsidR="007E0BC0" w:rsidRPr="004D307F" w14:paraId="0E83405A" w14:textId="77777777" w:rsidTr="00C11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88B162" w14:textId="77777777" w:rsidR="007E0BC0" w:rsidRPr="004D307F" w:rsidRDefault="007E0BC0" w:rsidP="0034555D">
            <w:pPr>
              <w:jc w:val="center"/>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2021 Transition Funding allocated</w:t>
            </w:r>
          </w:p>
        </w:tc>
        <w:tc>
          <w:tcPr>
            <w:tcW w:w="0" w:type="dxa"/>
            <w:shd w:val="clear" w:color="auto" w:fill="00B050"/>
          </w:tcPr>
          <w:p w14:paraId="7409B76B" w14:textId="77777777" w:rsidR="007E0BC0" w:rsidRPr="004D307F"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2022 Transition Funding allocated</w:t>
            </w:r>
          </w:p>
        </w:tc>
        <w:tc>
          <w:tcPr>
            <w:tcW w:w="0" w:type="dxa"/>
          </w:tcPr>
          <w:p w14:paraId="33CE7444" w14:textId="77777777" w:rsidR="007E0BC0" w:rsidRPr="004D307F"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2023 Transition Funding allocated</w:t>
            </w:r>
          </w:p>
        </w:tc>
        <w:tc>
          <w:tcPr>
            <w:tcW w:w="0" w:type="dxa"/>
          </w:tcPr>
          <w:p w14:paraId="124F2567" w14:textId="77777777" w:rsidR="007E0BC0" w:rsidRPr="004D307F"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2024 Transition Funding allocated</w:t>
            </w:r>
          </w:p>
        </w:tc>
        <w:tc>
          <w:tcPr>
            <w:tcW w:w="0" w:type="dxa"/>
          </w:tcPr>
          <w:p w14:paraId="015AABF3" w14:textId="06899DA7" w:rsidR="007E0BC0" w:rsidRPr="004D307F" w:rsidRDefault="007E0BC0" w:rsidP="0034555D">
            <w:pPr>
              <w:jc w:val="center"/>
              <w:cnfStyle w:val="100000000000" w:firstRow="1"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 xml:space="preserve">2025 </w:t>
            </w:r>
            <w:r w:rsidR="00CE4DD7" w:rsidRPr="004D307F">
              <w:rPr>
                <w:rFonts w:ascii="VIC-Regular" w:eastAsia="Times New Roman" w:hAnsi="VIC-Regular" w:cs="Times New Roman"/>
                <w:color w:val="011A3C"/>
                <w:sz w:val="24"/>
                <w:lang w:val="en" w:eastAsia="en-AU"/>
              </w:rPr>
              <w:t>Transition</w:t>
            </w:r>
            <w:r w:rsidRPr="004D307F">
              <w:rPr>
                <w:rFonts w:ascii="VIC-Regular" w:eastAsia="Times New Roman" w:hAnsi="VIC-Regular" w:cs="Times New Roman"/>
                <w:color w:val="011A3C"/>
                <w:sz w:val="24"/>
                <w:lang w:val="en" w:eastAsia="en-AU"/>
              </w:rPr>
              <w:t xml:space="preserve"> Funding allocated</w:t>
            </w:r>
          </w:p>
        </w:tc>
      </w:tr>
      <w:tr w:rsidR="007E0BC0" w:rsidRPr="004D307F" w14:paraId="634119BF" w14:textId="77777777" w:rsidTr="00C116FE">
        <w:tc>
          <w:tcPr>
            <w:cnfStyle w:val="001000000000" w:firstRow="0" w:lastRow="0" w:firstColumn="1" w:lastColumn="0" w:oddVBand="0" w:evenVBand="0" w:oddHBand="0" w:evenHBand="0" w:firstRowFirstColumn="0" w:firstRowLastColumn="0" w:lastRowFirstColumn="0" w:lastRowLastColumn="0"/>
            <w:tcW w:w="0" w:type="dxa"/>
          </w:tcPr>
          <w:p w14:paraId="5C488394" w14:textId="77777777" w:rsidR="007E0BC0" w:rsidRPr="004D307F" w:rsidRDefault="007E0BC0" w:rsidP="0034555D">
            <w:pPr>
              <w:jc w:val="center"/>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100%</w:t>
            </w:r>
          </w:p>
        </w:tc>
        <w:tc>
          <w:tcPr>
            <w:tcW w:w="0" w:type="dxa"/>
            <w:shd w:val="clear" w:color="auto" w:fill="00B050"/>
          </w:tcPr>
          <w:p w14:paraId="64ECA3A9" w14:textId="77777777" w:rsidR="007E0BC0" w:rsidRPr="004D307F"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75%</w:t>
            </w:r>
          </w:p>
        </w:tc>
        <w:tc>
          <w:tcPr>
            <w:tcW w:w="0" w:type="dxa"/>
          </w:tcPr>
          <w:p w14:paraId="654F7949" w14:textId="77777777" w:rsidR="007E0BC0" w:rsidRPr="004D307F"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50%</w:t>
            </w:r>
          </w:p>
        </w:tc>
        <w:tc>
          <w:tcPr>
            <w:tcW w:w="0" w:type="dxa"/>
          </w:tcPr>
          <w:p w14:paraId="34ECDF21" w14:textId="77777777" w:rsidR="007E0BC0" w:rsidRPr="004D307F"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25%</w:t>
            </w:r>
          </w:p>
        </w:tc>
        <w:tc>
          <w:tcPr>
            <w:tcW w:w="0" w:type="dxa"/>
          </w:tcPr>
          <w:p w14:paraId="7E38C742" w14:textId="77777777" w:rsidR="007E0BC0" w:rsidRPr="004D307F" w:rsidRDefault="007E0BC0" w:rsidP="0034555D">
            <w:pPr>
              <w:jc w:val="center"/>
              <w:cnfStyle w:val="000000000000" w:firstRow="0" w:lastRow="0" w:firstColumn="0" w:lastColumn="0" w:oddVBand="0" w:evenVBand="0" w:oddHBand="0" w:evenHBand="0" w:firstRowFirstColumn="0" w:firstRowLastColumn="0" w:lastRowFirstColumn="0" w:lastRowLastColumn="0"/>
              <w:rPr>
                <w:rFonts w:ascii="VIC-Regular" w:eastAsia="Times New Roman" w:hAnsi="VIC-Regular" w:cs="Times New Roman"/>
                <w:color w:val="011A3C"/>
                <w:sz w:val="24"/>
                <w:lang w:val="en" w:eastAsia="en-AU"/>
              </w:rPr>
            </w:pPr>
            <w:r w:rsidRPr="004D307F">
              <w:rPr>
                <w:rFonts w:ascii="VIC-Regular" w:eastAsia="Times New Roman" w:hAnsi="VIC-Regular" w:cs="Times New Roman"/>
                <w:color w:val="011A3C"/>
                <w:sz w:val="24"/>
                <w:lang w:val="en" w:eastAsia="en-AU"/>
              </w:rPr>
              <w:t>0%</w:t>
            </w:r>
          </w:p>
        </w:tc>
      </w:tr>
    </w:tbl>
    <w:p w14:paraId="5385AE72" w14:textId="77777777" w:rsidR="007E0BC0" w:rsidRPr="004D307F" w:rsidRDefault="007E0BC0" w:rsidP="007E0BC0">
      <w:pPr>
        <w:rPr>
          <w:rFonts w:ascii="VIC-Regular" w:eastAsia="Times New Roman" w:hAnsi="VIC-Regular" w:cs="Times New Roman"/>
          <w:color w:val="011A3C"/>
          <w:sz w:val="24"/>
          <w:szCs w:val="24"/>
          <w:lang w:val="en" w:eastAsia="en-AU"/>
        </w:rPr>
      </w:pPr>
    </w:p>
    <w:p w14:paraId="4A822122" w14:textId="77777777" w:rsidR="007E0BC0" w:rsidRPr="004D307F" w:rsidRDefault="007E0BC0" w:rsidP="007E0BC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Example: Transition Funding (Rural) for a school is calculated as follows:</w:t>
      </w:r>
    </w:p>
    <w:p w14:paraId="7D3DE765" w14:textId="77777777" w:rsidR="007E0BC0" w:rsidRPr="004D307F" w:rsidRDefault="007E0BC0" w:rsidP="007E0BC0">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A school with numbers in the table below satisfies the eligibility conditions.</w:t>
      </w:r>
    </w:p>
    <w:tbl>
      <w:tblPr>
        <w:tblW w:w="0" w:type="auto"/>
        <w:tblLook w:val="04A0" w:firstRow="1" w:lastRow="0" w:firstColumn="1" w:lastColumn="0" w:noHBand="0" w:noVBand="1"/>
      </w:tblPr>
      <w:tblGrid>
        <w:gridCol w:w="1164"/>
        <w:gridCol w:w="4596"/>
        <w:gridCol w:w="1495"/>
        <w:gridCol w:w="1761"/>
      </w:tblGrid>
      <w:tr w:rsidR="007E0BC0" w:rsidRPr="004D307F" w14:paraId="6CB5EA81" w14:textId="77777777" w:rsidTr="0034555D">
        <w:trPr>
          <w:trHeight w:val="300"/>
        </w:trPr>
        <w:tc>
          <w:tcPr>
            <w:tcW w:w="0" w:type="auto"/>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AE309EC"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2020</w:t>
            </w:r>
          </w:p>
        </w:tc>
        <w:tc>
          <w:tcPr>
            <w:tcW w:w="0" w:type="auto"/>
            <w:tcBorders>
              <w:top w:val="single" w:sz="4" w:space="0" w:color="BFBFBF"/>
              <w:left w:val="nil"/>
              <w:bottom w:val="single" w:sz="4" w:space="0" w:color="BFBFBF"/>
              <w:right w:val="single" w:sz="4" w:space="0" w:color="BFBFBF"/>
            </w:tcBorders>
            <w:shd w:val="clear" w:color="auto" w:fill="auto"/>
            <w:noWrap/>
            <w:vAlign w:val="bottom"/>
            <w:hideMark/>
          </w:tcPr>
          <w:p w14:paraId="030082DF"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Total SRP less rural items</w:t>
            </w:r>
          </w:p>
        </w:tc>
        <w:tc>
          <w:tcPr>
            <w:tcW w:w="0" w:type="auto"/>
            <w:tcBorders>
              <w:top w:val="single" w:sz="4" w:space="0" w:color="BFBFBF"/>
              <w:left w:val="nil"/>
              <w:bottom w:val="single" w:sz="4" w:space="0" w:color="BFBFBF"/>
              <w:right w:val="single" w:sz="4" w:space="0" w:color="BFBFBF"/>
            </w:tcBorders>
            <w:shd w:val="clear" w:color="auto" w:fill="auto"/>
            <w:noWrap/>
            <w:vAlign w:val="center"/>
            <w:hideMark/>
          </w:tcPr>
          <w:p w14:paraId="45A95A36"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w:t>
            </w:r>
            <w:proofErr w:type="gramStart"/>
            <w:r w:rsidRPr="004D307F">
              <w:rPr>
                <w:rFonts w:eastAsia="Times New Roman" w:cs="Calibri"/>
                <w:color w:val="000000"/>
                <w:sz w:val="24"/>
                <w:szCs w:val="24"/>
                <w:lang w:eastAsia="en-AU"/>
              </w:rPr>
              <w:t>$  1,300,000</w:t>
            </w:r>
            <w:proofErr w:type="gramEnd"/>
            <w:r w:rsidRPr="004D307F">
              <w:rPr>
                <w:rFonts w:eastAsia="Times New Roman" w:cs="Calibri"/>
                <w:color w:val="000000"/>
                <w:sz w:val="24"/>
                <w:szCs w:val="24"/>
                <w:lang w:eastAsia="en-AU"/>
              </w:rPr>
              <w:t xml:space="preserve"> </w:t>
            </w:r>
          </w:p>
        </w:tc>
        <w:tc>
          <w:tcPr>
            <w:tcW w:w="0" w:type="auto"/>
            <w:tcBorders>
              <w:top w:val="single" w:sz="4" w:space="0" w:color="BFBFBF"/>
              <w:left w:val="nil"/>
              <w:bottom w:val="single" w:sz="4" w:space="0" w:color="BFBFBF"/>
              <w:right w:val="single" w:sz="4" w:space="0" w:color="BFBFBF"/>
            </w:tcBorders>
            <w:shd w:val="clear" w:color="auto" w:fill="auto"/>
            <w:noWrap/>
            <w:vAlign w:val="bottom"/>
            <w:hideMark/>
          </w:tcPr>
          <w:p w14:paraId="0CF6A21D"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A</w:t>
            </w:r>
          </w:p>
        </w:tc>
      </w:tr>
      <w:tr w:rsidR="007E0BC0" w:rsidRPr="004D307F" w14:paraId="2E4C2851" w14:textId="77777777" w:rsidTr="0034555D">
        <w:trPr>
          <w:trHeight w:val="300"/>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19F24B01"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7F342DD1"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Rural items no longer eligible (RSAF/LIF/CAP)</w:t>
            </w:r>
          </w:p>
        </w:tc>
        <w:tc>
          <w:tcPr>
            <w:tcW w:w="0" w:type="auto"/>
            <w:tcBorders>
              <w:top w:val="nil"/>
              <w:left w:val="nil"/>
              <w:bottom w:val="single" w:sz="4" w:space="0" w:color="BFBFBF"/>
              <w:right w:val="single" w:sz="4" w:space="0" w:color="BFBFBF"/>
            </w:tcBorders>
            <w:shd w:val="clear" w:color="auto" w:fill="auto"/>
            <w:noWrap/>
            <w:vAlign w:val="center"/>
            <w:hideMark/>
          </w:tcPr>
          <w:p w14:paraId="0FCE9D92"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200,000 </w:t>
            </w:r>
          </w:p>
        </w:tc>
        <w:tc>
          <w:tcPr>
            <w:tcW w:w="0" w:type="auto"/>
            <w:tcBorders>
              <w:top w:val="nil"/>
              <w:left w:val="nil"/>
              <w:bottom w:val="single" w:sz="4" w:space="0" w:color="BFBFBF"/>
              <w:right w:val="single" w:sz="4" w:space="0" w:color="BFBFBF"/>
            </w:tcBorders>
            <w:shd w:val="clear" w:color="auto" w:fill="auto"/>
            <w:noWrap/>
            <w:vAlign w:val="bottom"/>
            <w:hideMark/>
          </w:tcPr>
          <w:p w14:paraId="047F9A39"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B</w:t>
            </w:r>
          </w:p>
        </w:tc>
      </w:tr>
      <w:tr w:rsidR="007E0BC0" w:rsidRPr="004D307F" w14:paraId="2A47A357" w14:textId="77777777" w:rsidTr="0034555D">
        <w:trPr>
          <w:trHeight w:val="300"/>
        </w:trPr>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3AB37A53"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1268A642"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Total SRP 2020</w:t>
            </w:r>
          </w:p>
        </w:tc>
        <w:tc>
          <w:tcPr>
            <w:tcW w:w="0" w:type="auto"/>
            <w:tcBorders>
              <w:top w:val="nil"/>
              <w:left w:val="nil"/>
              <w:bottom w:val="single" w:sz="4" w:space="0" w:color="BFBFBF"/>
              <w:right w:val="single" w:sz="4" w:space="0" w:color="BFBFBF"/>
            </w:tcBorders>
            <w:shd w:val="clear" w:color="auto" w:fill="auto"/>
            <w:noWrap/>
            <w:vAlign w:val="center"/>
            <w:hideMark/>
          </w:tcPr>
          <w:p w14:paraId="53BEFF3A"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w:t>
            </w:r>
            <w:proofErr w:type="gramStart"/>
            <w:r w:rsidRPr="004D307F">
              <w:rPr>
                <w:rFonts w:eastAsia="Times New Roman" w:cs="Calibri"/>
                <w:color w:val="000000"/>
                <w:sz w:val="24"/>
                <w:szCs w:val="24"/>
                <w:lang w:eastAsia="en-AU"/>
              </w:rPr>
              <w:t>$  1,500,000</w:t>
            </w:r>
            <w:proofErr w:type="gramEnd"/>
            <w:r w:rsidRPr="004D307F">
              <w:rPr>
                <w:rFonts w:eastAsia="Times New Roman" w:cs="Calibri"/>
                <w:color w:val="000000"/>
                <w:sz w:val="24"/>
                <w:szCs w:val="24"/>
                <w:lang w:eastAsia="en-AU"/>
              </w:rPr>
              <w:t xml:space="preserve"> </w:t>
            </w:r>
          </w:p>
        </w:tc>
        <w:tc>
          <w:tcPr>
            <w:tcW w:w="0" w:type="auto"/>
            <w:tcBorders>
              <w:top w:val="nil"/>
              <w:left w:val="nil"/>
              <w:bottom w:val="single" w:sz="4" w:space="0" w:color="BFBFBF"/>
              <w:right w:val="single" w:sz="4" w:space="0" w:color="BFBFBF"/>
            </w:tcBorders>
            <w:shd w:val="clear" w:color="auto" w:fill="auto"/>
            <w:noWrap/>
            <w:vAlign w:val="bottom"/>
            <w:hideMark/>
          </w:tcPr>
          <w:p w14:paraId="61523853"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C</w:t>
            </w:r>
          </w:p>
        </w:tc>
      </w:tr>
      <w:tr w:rsidR="007E0BC0" w:rsidRPr="004D307F" w14:paraId="4C7DE936" w14:textId="77777777" w:rsidTr="0034555D">
        <w:trPr>
          <w:trHeight w:val="300"/>
        </w:trPr>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14:paraId="19521C9F"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 xml:space="preserve">2021 </w:t>
            </w:r>
            <w:r w:rsidRPr="004D307F">
              <w:rPr>
                <w:rFonts w:eastAsia="Times New Roman" w:cs="Arial"/>
                <w:sz w:val="24"/>
                <w:szCs w:val="24"/>
                <w:lang w:eastAsia="en-AU"/>
              </w:rPr>
              <w:br/>
              <w:t>Indicative</w:t>
            </w:r>
          </w:p>
        </w:tc>
        <w:tc>
          <w:tcPr>
            <w:tcW w:w="0" w:type="auto"/>
            <w:tcBorders>
              <w:top w:val="nil"/>
              <w:left w:val="nil"/>
              <w:bottom w:val="single" w:sz="4" w:space="0" w:color="BFBFBF"/>
              <w:right w:val="single" w:sz="4" w:space="0" w:color="BFBFBF"/>
            </w:tcBorders>
            <w:shd w:val="clear" w:color="auto" w:fill="auto"/>
            <w:noWrap/>
            <w:vAlign w:val="bottom"/>
            <w:hideMark/>
          </w:tcPr>
          <w:p w14:paraId="7E20B555"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Total SRP before Transition 2021</w:t>
            </w:r>
          </w:p>
        </w:tc>
        <w:tc>
          <w:tcPr>
            <w:tcW w:w="0" w:type="auto"/>
            <w:tcBorders>
              <w:top w:val="nil"/>
              <w:left w:val="nil"/>
              <w:bottom w:val="single" w:sz="4" w:space="0" w:color="BFBFBF"/>
              <w:right w:val="single" w:sz="4" w:space="0" w:color="BFBFBF"/>
            </w:tcBorders>
            <w:shd w:val="clear" w:color="auto" w:fill="auto"/>
            <w:noWrap/>
            <w:vAlign w:val="center"/>
            <w:hideMark/>
          </w:tcPr>
          <w:p w14:paraId="47D97936"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w:t>
            </w:r>
            <w:proofErr w:type="gramStart"/>
            <w:r w:rsidRPr="004D307F">
              <w:rPr>
                <w:rFonts w:eastAsia="Times New Roman" w:cs="Calibri"/>
                <w:color w:val="000000"/>
                <w:sz w:val="24"/>
                <w:szCs w:val="24"/>
                <w:lang w:eastAsia="en-AU"/>
              </w:rPr>
              <w:t>$  1,200,000</w:t>
            </w:r>
            <w:proofErr w:type="gramEnd"/>
            <w:r w:rsidRPr="004D307F">
              <w:rPr>
                <w:rFonts w:eastAsia="Times New Roman" w:cs="Calibri"/>
                <w:color w:val="000000"/>
                <w:sz w:val="24"/>
                <w:szCs w:val="24"/>
                <w:lang w:eastAsia="en-AU"/>
              </w:rPr>
              <w:t xml:space="preserve"> </w:t>
            </w:r>
          </w:p>
        </w:tc>
        <w:tc>
          <w:tcPr>
            <w:tcW w:w="0" w:type="auto"/>
            <w:tcBorders>
              <w:top w:val="nil"/>
              <w:left w:val="nil"/>
              <w:bottom w:val="single" w:sz="4" w:space="0" w:color="BFBFBF"/>
              <w:right w:val="single" w:sz="4" w:space="0" w:color="BFBFBF"/>
            </w:tcBorders>
            <w:shd w:val="clear" w:color="auto" w:fill="auto"/>
            <w:noWrap/>
            <w:vAlign w:val="bottom"/>
            <w:hideMark/>
          </w:tcPr>
          <w:p w14:paraId="7D0BE5DA"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D</w:t>
            </w:r>
          </w:p>
        </w:tc>
      </w:tr>
      <w:tr w:rsidR="007E0BC0" w:rsidRPr="004D307F" w14:paraId="38A0472D"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156890C4"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67866201"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2020 SRP - 2021 SRP (w/o transition)</w:t>
            </w:r>
          </w:p>
        </w:tc>
        <w:tc>
          <w:tcPr>
            <w:tcW w:w="0" w:type="auto"/>
            <w:tcBorders>
              <w:top w:val="nil"/>
              <w:left w:val="nil"/>
              <w:bottom w:val="single" w:sz="4" w:space="0" w:color="BFBFBF"/>
              <w:right w:val="single" w:sz="4" w:space="0" w:color="BFBFBF"/>
            </w:tcBorders>
            <w:shd w:val="clear" w:color="auto" w:fill="auto"/>
            <w:noWrap/>
            <w:vAlign w:val="center"/>
            <w:hideMark/>
          </w:tcPr>
          <w:p w14:paraId="296AA00C"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300,000 </w:t>
            </w:r>
          </w:p>
        </w:tc>
        <w:tc>
          <w:tcPr>
            <w:tcW w:w="0" w:type="auto"/>
            <w:tcBorders>
              <w:top w:val="nil"/>
              <w:left w:val="nil"/>
              <w:bottom w:val="single" w:sz="4" w:space="0" w:color="BFBFBF"/>
              <w:right w:val="single" w:sz="4" w:space="0" w:color="BFBFBF"/>
            </w:tcBorders>
            <w:shd w:val="clear" w:color="auto" w:fill="auto"/>
            <w:noWrap/>
            <w:vAlign w:val="bottom"/>
            <w:hideMark/>
          </w:tcPr>
          <w:p w14:paraId="7A8AC479"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E</w:t>
            </w:r>
          </w:p>
        </w:tc>
      </w:tr>
      <w:tr w:rsidR="007E0BC0" w:rsidRPr="004D307F" w14:paraId="55393AF9"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77D74E81"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19EB9DCE"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Amount</w:t>
            </w:r>
          </w:p>
        </w:tc>
        <w:tc>
          <w:tcPr>
            <w:tcW w:w="0" w:type="auto"/>
            <w:tcBorders>
              <w:top w:val="nil"/>
              <w:left w:val="nil"/>
              <w:bottom w:val="single" w:sz="4" w:space="0" w:color="BFBFBF"/>
              <w:right w:val="single" w:sz="4" w:space="0" w:color="BFBFBF"/>
            </w:tcBorders>
            <w:shd w:val="clear" w:color="auto" w:fill="auto"/>
            <w:noWrap/>
            <w:vAlign w:val="center"/>
            <w:hideMark/>
          </w:tcPr>
          <w:p w14:paraId="7F11B3E2"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200,000 </w:t>
            </w:r>
          </w:p>
        </w:tc>
        <w:tc>
          <w:tcPr>
            <w:tcW w:w="0" w:type="auto"/>
            <w:tcBorders>
              <w:top w:val="nil"/>
              <w:left w:val="nil"/>
              <w:bottom w:val="single" w:sz="4" w:space="0" w:color="BFBFBF"/>
              <w:right w:val="single" w:sz="4" w:space="0" w:color="BFBFBF"/>
            </w:tcBorders>
            <w:shd w:val="clear" w:color="auto" w:fill="auto"/>
            <w:noWrap/>
            <w:vAlign w:val="bottom"/>
            <w:hideMark/>
          </w:tcPr>
          <w:p w14:paraId="652EF350"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F</w:t>
            </w:r>
          </w:p>
        </w:tc>
      </w:tr>
      <w:tr w:rsidR="007E0BC0" w:rsidRPr="004D307F" w14:paraId="6A31AF8F" w14:textId="77777777" w:rsidTr="0034555D">
        <w:trPr>
          <w:trHeight w:val="300"/>
        </w:trPr>
        <w:tc>
          <w:tcPr>
            <w:tcW w:w="0" w:type="auto"/>
            <w:vMerge/>
            <w:tcBorders>
              <w:top w:val="nil"/>
              <w:left w:val="single" w:sz="4" w:space="0" w:color="BFBFBF"/>
              <w:bottom w:val="single" w:sz="4" w:space="0" w:color="BFBFBF"/>
              <w:right w:val="single" w:sz="4" w:space="0" w:color="BFBFBF"/>
            </w:tcBorders>
            <w:vAlign w:val="center"/>
            <w:hideMark/>
          </w:tcPr>
          <w:p w14:paraId="0F98466A" w14:textId="77777777" w:rsidR="007E0BC0" w:rsidRPr="004D307F" w:rsidRDefault="007E0BC0" w:rsidP="0034555D">
            <w:pPr>
              <w:spacing w:after="0" w:line="240" w:lineRule="auto"/>
              <w:rPr>
                <w:rFonts w:eastAsia="Times New Roman" w:cs="Arial"/>
                <w:sz w:val="24"/>
                <w:szCs w:val="24"/>
                <w:lang w:eastAsia="en-AU"/>
              </w:rPr>
            </w:pPr>
          </w:p>
        </w:tc>
        <w:tc>
          <w:tcPr>
            <w:tcW w:w="0" w:type="auto"/>
            <w:tcBorders>
              <w:top w:val="nil"/>
              <w:left w:val="nil"/>
              <w:bottom w:val="single" w:sz="4" w:space="0" w:color="BFBFBF"/>
              <w:right w:val="single" w:sz="4" w:space="0" w:color="BFBFBF"/>
            </w:tcBorders>
            <w:shd w:val="clear" w:color="auto" w:fill="auto"/>
            <w:noWrap/>
            <w:vAlign w:val="bottom"/>
            <w:hideMark/>
          </w:tcPr>
          <w:p w14:paraId="5FD20FD2"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Total 2021 SRP with NEW TRANSITION</w:t>
            </w:r>
          </w:p>
        </w:tc>
        <w:tc>
          <w:tcPr>
            <w:tcW w:w="0" w:type="auto"/>
            <w:tcBorders>
              <w:top w:val="nil"/>
              <w:left w:val="nil"/>
              <w:bottom w:val="single" w:sz="4" w:space="0" w:color="BFBFBF"/>
              <w:right w:val="single" w:sz="4" w:space="0" w:color="BFBFBF"/>
            </w:tcBorders>
            <w:shd w:val="clear" w:color="auto" w:fill="auto"/>
            <w:noWrap/>
            <w:vAlign w:val="center"/>
            <w:hideMark/>
          </w:tcPr>
          <w:p w14:paraId="18B5D7CA"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w:t>
            </w:r>
            <w:proofErr w:type="gramStart"/>
            <w:r w:rsidRPr="004D307F">
              <w:rPr>
                <w:rFonts w:eastAsia="Times New Roman" w:cs="Calibri"/>
                <w:color w:val="000000"/>
                <w:sz w:val="24"/>
                <w:szCs w:val="24"/>
                <w:lang w:eastAsia="en-AU"/>
              </w:rPr>
              <w:t>$  1,400,000</w:t>
            </w:r>
            <w:proofErr w:type="gramEnd"/>
            <w:r w:rsidRPr="004D307F">
              <w:rPr>
                <w:rFonts w:eastAsia="Times New Roman" w:cs="Calibri"/>
                <w:color w:val="000000"/>
                <w:sz w:val="24"/>
                <w:szCs w:val="24"/>
                <w:lang w:eastAsia="en-AU"/>
              </w:rPr>
              <w:t xml:space="preserve"> </w:t>
            </w:r>
          </w:p>
        </w:tc>
        <w:tc>
          <w:tcPr>
            <w:tcW w:w="0" w:type="auto"/>
            <w:tcBorders>
              <w:top w:val="nil"/>
              <w:left w:val="nil"/>
              <w:bottom w:val="single" w:sz="4" w:space="0" w:color="BFBFBF"/>
              <w:right w:val="single" w:sz="4" w:space="0" w:color="BFBFBF"/>
            </w:tcBorders>
            <w:shd w:val="clear" w:color="auto" w:fill="auto"/>
            <w:noWrap/>
            <w:vAlign w:val="bottom"/>
            <w:hideMark/>
          </w:tcPr>
          <w:p w14:paraId="13241476" w14:textId="77777777" w:rsidR="007E0BC0" w:rsidRPr="004D307F" w:rsidRDefault="007E0BC0" w:rsidP="0034555D">
            <w:pPr>
              <w:spacing w:after="0" w:line="240" w:lineRule="auto"/>
              <w:jc w:val="center"/>
              <w:rPr>
                <w:rFonts w:eastAsia="Times New Roman" w:cs="Arial"/>
                <w:sz w:val="24"/>
                <w:szCs w:val="24"/>
                <w:lang w:eastAsia="en-AU"/>
              </w:rPr>
            </w:pPr>
          </w:p>
        </w:tc>
      </w:tr>
      <w:tr w:rsidR="007E0BC0" w:rsidRPr="004D307F" w14:paraId="546DB9F8" w14:textId="77777777" w:rsidTr="00C116FE">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0F28DFBD"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100%</w:t>
            </w:r>
          </w:p>
        </w:tc>
        <w:tc>
          <w:tcPr>
            <w:tcW w:w="0" w:type="auto"/>
            <w:tcBorders>
              <w:top w:val="nil"/>
              <w:left w:val="nil"/>
              <w:bottom w:val="single" w:sz="4" w:space="0" w:color="BFBFBF"/>
              <w:right w:val="single" w:sz="4" w:space="0" w:color="BFBFBF"/>
            </w:tcBorders>
            <w:shd w:val="clear" w:color="auto" w:fill="auto"/>
            <w:noWrap/>
            <w:vAlign w:val="bottom"/>
            <w:hideMark/>
          </w:tcPr>
          <w:p w14:paraId="2E1C0085"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2021</w:t>
            </w:r>
          </w:p>
        </w:tc>
        <w:tc>
          <w:tcPr>
            <w:tcW w:w="0" w:type="auto"/>
            <w:tcBorders>
              <w:top w:val="nil"/>
              <w:left w:val="nil"/>
              <w:bottom w:val="single" w:sz="4" w:space="0" w:color="BFBFBF"/>
              <w:right w:val="single" w:sz="4" w:space="0" w:color="BFBFBF"/>
            </w:tcBorders>
            <w:shd w:val="clear" w:color="auto" w:fill="auto"/>
            <w:noWrap/>
            <w:vAlign w:val="center"/>
            <w:hideMark/>
          </w:tcPr>
          <w:p w14:paraId="034CC443"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200,000 </w:t>
            </w:r>
          </w:p>
        </w:tc>
        <w:tc>
          <w:tcPr>
            <w:tcW w:w="0" w:type="auto"/>
            <w:vMerge w:val="restart"/>
            <w:tcBorders>
              <w:top w:val="nil"/>
              <w:left w:val="single" w:sz="4" w:space="0" w:color="BFBFBF"/>
              <w:bottom w:val="single" w:sz="4" w:space="0" w:color="BFBFBF"/>
              <w:right w:val="single" w:sz="4" w:space="0" w:color="BFBFBF"/>
            </w:tcBorders>
            <w:shd w:val="clear" w:color="auto" w:fill="auto"/>
            <w:vAlign w:val="center"/>
            <w:hideMark/>
          </w:tcPr>
          <w:p w14:paraId="3311FEEE"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Transition Funding reduces over 5 years</w:t>
            </w:r>
          </w:p>
        </w:tc>
      </w:tr>
      <w:tr w:rsidR="007E0BC0" w:rsidRPr="004D307F" w14:paraId="00B416F9" w14:textId="77777777" w:rsidTr="00C116FE">
        <w:trPr>
          <w:trHeight w:val="300"/>
        </w:trPr>
        <w:tc>
          <w:tcPr>
            <w:tcW w:w="0" w:type="auto"/>
            <w:tcBorders>
              <w:top w:val="single" w:sz="4" w:space="0" w:color="BFBFBF"/>
              <w:left w:val="single" w:sz="4" w:space="0" w:color="BFBFBF"/>
              <w:bottom w:val="single" w:sz="4" w:space="0" w:color="BFBFBF"/>
              <w:right w:val="single" w:sz="4" w:space="0" w:color="BFBFBF"/>
            </w:tcBorders>
            <w:shd w:val="clear" w:color="auto" w:fill="00B050"/>
            <w:noWrap/>
            <w:vAlign w:val="bottom"/>
            <w:hideMark/>
          </w:tcPr>
          <w:p w14:paraId="108430D8"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75%</w:t>
            </w:r>
          </w:p>
        </w:tc>
        <w:tc>
          <w:tcPr>
            <w:tcW w:w="0" w:type="auto"/>
            <w:tcBorders>
              <w:top w:val="single" w:sz="4" w:space="0" w:color="BFBFBF"/>
              <w:left w:val="nil"/>
              <w:bottom w:val="single" w:sz="4" w:space="0" w:color="BFBFBF"/>
              <w:right w:val="single" w:sz="4" w:space="0" w:color="BFBFBF"/>
            </w:tcBorders>
            <w:shd w:val="clear" w:color="auto" w:fill="00B050"/>
            <w:noWrap/>
            <w:vAlign w:val="bottom"/>
            <w:hideMark/>
          </w:tcPr>
          <w:p w14:paraId="3A528877"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2022</w:t>
            </w:r>
          </w:p>
        </w:tc>
        <w:tc>
          <w:tcPr>
            <w:tcW w:w="0" w:type="auto"/>
            <w:tcBorders>
              <w:top w:val="single" w:sz="4" w:space="0" w:color="BFBFBF"/>
              <w:left w:val="nil"/>
              <w:bottom w:val="single" w:sz="4" w:space="0" w:color="BFBFBF"/>
              <w:right w:val="single" w:sz="4" w:space="0" w:color="BFBFBF"/>
            </w:tcBorders>
            <w:shd w:val="clear" w:color="auto" w:fill="00B050"/>
            <w:noWrap/>
            <w:vAlign w:val="center"/>
            <w:hideMark/>
          </w:tcPr>
          <w:p w14:paraId="0B4A0757"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150,000 </w:t>
            </w:r>
          </w:p>
        </w:tc>
        <w:tc>
          <w:tcPr>
            <w:tcW w:w="0" w:type="auto"/>
            <w:vMerge/>
            <w:tcBorders>
              <w:top w:val="nil"/>
              <w:left w:val="single" w:sz="4" w:space="0" w:color="BFBFBF"/>
              <w:bottom w:val="single" w:sz="4" w:space="0" w:color="BFBFBF"/>
              <w:right w:val="single" w:sz="4" w:space="0" w:color="BFBFBF"/>
            </w:tcBorders>
            <w:vAlign w:val="center"/>
            <w:hideMark/>
          </w:tcPr>
          <w:p w14:paraId="32083A5F" w14:textId="77777777" w:rsidR="007E0BC0" w:rsidRPr="004D307F" w:rsidRDefault="007E0BC0" w:rsidP="0034555D">
            <w:pPr>
              <w:spacing w:after="0" w:line="240" w:lineRule="auto"/>
              <w:rPr>
                <w:rFonts w:eastAsia="Times New Roman" w:cs="Arial"/>
                <w:sz w:val="24"/>
                <w:szCs w:val="24"/>
                <w:lang w:eastAsia="en-AU"/>
              </w:rPr>
            </w:pPr>
          </w:p>
        </w:tc>
      </w:tr>
      <w:tr w:rsidR="007E0BC0" w:rsidRPr="004D307F" w14:paraId="1B7DD451"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17E1F460"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50%</w:t>
            </w:r>
          </w:p>
        </w:tc>
        <w:tc>
          <w:tcPr>
            <w:tcW w:w="0" w:type="auto"/>
            <w:tcBorders>
              <w:top w:val="nil"/>
              <w:left w:val="nil"/>
              <w:bottom w:val="single" w:sz="4" w:space="0" w:color="BFBFBF"/>
              <w:right w:val="single" w:sz="4" w:space="0" w:color="BFBFBF"/>
            </w:tcBorders>
            <w:shd w:val="clear" w:color="auto" w:fill="auto"/>
            <w:noWrap/>
            <w:vAlign w:val="bottom"/>
            <w:hideMark/>
          </w:tcPr>
          <w:p w14:paraId="5268B6E8"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2023</w:t>
            </w:r>
          </w:p>
        </w:tc>
        <w:tc>
          <w:tcPr>
            <w:tcW w:w="0" w:type="auto"/>
            <w:tcBorders>
              <w:top w:val="nil"/>
              <w:left w:val="nil"/>
              <w:bottom w:val="single" w:sz="4" w:space="0" w:color="BFBFBF"/>
              <w:right w:val="single" w:sz="4" w:space="0" w:color="BFBFBF"/>
            </w:tcBorders>
            <w:shd w:val="clear" w:color="auto" w:fill="auto"/>
            <w:noWrap/>
            <w:vAlign w:val="center"/>
            <w:hideMark/>
          </w:tcPr>
          <w:p w14:paraId="163DB1D2"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100,000 </w:t>
            </w:r>
          </w:p>
        </w:tc>
        <w:tc>
          <w:tcPr>
            <w:tcW w:w="0" w:type="auto"/>
            <w:vMerge/>
            <w:tcBorders>
              <w:top w:val="nil"/>
              <w:left w:val="single" w:sz="4" w:space="0" w:color="BFBFBF"/>
              <w:bottom w:val="single" w:sz="4" w:space="0" w:color="BFBFBF"/>
              <w:right w:val="single" w:sz="4" w:space="0" w:color="BFBFBF"/>
            </w:tcBorders>
            <w:vAlign w:val="center"/>
            <w:hideMark/>
          </w:tcPr>
          <w:p w14:paraId="57DB84AD" w14:textId="77777777" w:rsidR="007E0BC0" w:rsidRPr="004D307F" w:rsidRDefault="007E0BC0" w:rsidP="0034555D">
            <w:pPr>
              <w:spacing w:after="0" w:line="240" w:lineRule="auto"/>
              <w:rPr>
                <w:rFonts w:eastAsia="Times New Roman" w:cs="Arial"/>
                <w:sz w:val="24"/>
                <w:szCs w:val="24"/>
                <w:lang w:eastAsia="en-AU"/>
              </w:rPr>
            </w:pPr>
          </w:p>
        </w:tc>
      </w:tr>
      <w:tr w:rsidR="007E0BC0" w:rsidRPr="004D307F" w14:paraId="72186BF1"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4546D761"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25%</w:t>
            </w:r>
          </w:p>
        </w:tc>
        <w:tc>
          <w:tcPr>
            <w:tcW w:w="0" w:type="auto"/>
            <w:tcBorders>
              <w:top w:val="nil"/>
              <w:left w:val="nil"/>
              <w:bottom w:val="single" w:sz="4" w:space="0" w:color="BFBFBF"/>
              <w:right w:val="single" w:sz="4" w:space="0" w:color="BFBFBF"/>
            </w:tcBorders>
            <w:shd w:val="clear" w:color="auto" w:fill="auto"/>
            <w:noWrap/>
            <w:vAlign w:val="bottom"/>
            <w:hideMark/>
          </w:tcPr>
          <w:p w14:paraId="49C187AB"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2024</w:t>
            </w:r>
          </w:p>
        </w:tc>
        <w:tc>
          <w:tcPr>
            <w:tcW w:w="0" w:type="auto"/>
            <w:tcBorders>
              <w:top w:val="nil"/>
              <w:left w:val="nil"/>
              <w:bottom w:val="single" w:sz="4" w:space="0" w:color="BFBFBF"/>
              <w:right w:val="single" w:sz="4" w:space="0" w:color="BFBFBF"/>
            </w:tcBorders>
            <w:shd w:val="clear" w:color="auto" w:fill="auto"/>
            <w:noWrap/>
            <w:vAlign w:val="center"/>
            <w:hideMark/>
          </w:tcPr>
          <w:p w14:paraId="207E8663"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50,000 </w:t>
            </w:r>
          </w:p>
        </w:tc>
        <w:tc>
          <w:tcPr>
            <w:tcW w:w="0" w:type="auto"/>
            <w:vMerge/>
            <w:tcBorders>
              <w:top w:val="nil"/>
              <w:left w:val="single" w:sz="4" w:space="0" w:color="BFBFBF"/>
              <w:bottom w:val="single" w:sz="4" w:space="0" w:color="BFBFBF"/>
              <w:right w:val="single" w:sz="4" w:space="0" w:color="BFBFBF"/>
            </w:tcBorders>
            <w:vAlign w:val="center"/>
            <w:hideMark/>
          </w:tcPr>
          <w:p w14:paraId="30F64095" w14:textId="77777777" w:rsidR="007E0BC0" w:rsidRPr="004D307F" w:rsidRDefault="007E0BC0" w:rsidP="0034555D">
            <w:pPr>
              <w:spacing w:after="0" w:line="240" w:lineRule="auto"/>
              <w:rPr>
                <w:rFonts w:eastAsia="Times New Roman" w:cs="Arial"/>
                <w:sz w:val="24"/>
                <w:szCs w:val="24"/>
                <w:lang w:eastAsia="en-AU"/>
              </w:rPr>
            </w:pPr>
          </w:p>
        </w:tc>
      </w:tr>
      <w:tr w:rsidR="007E0BC0" w:rsidRPr="004D307F" w14:paraId="05CF2555" w14:textId="77777777" w:rsidTr="0034555D">
        <w:trPr>
          <w:trHeight w:val="300"/>
        </w:trPr>
        <w:tc>
          <w:tcPr>
            <w:tcW w:w="0" w:type="auto"/>
            <w:tcBorders>
              <w:top w:val="nil"/>
              <w:left w:val="single" w:sz="4" w:space="0" w:color="BFBFBF"/>
              <w:bottom w:val="single" w:sz="4" w:space="0" w:color="BFBFBF"/>
              <w:right w:val="single" w:sz="4" w:space="0" w:color="BFBFBF"/>
            </w:tcBorders>
            <w:shd w:val="clear" w:color="auto" w:fill="auto"/>
            <w:noWrap/>
            <w:vAlign w:val="bottom"/>
            <w:hideMark/>
          </w:tcPr>
          <w:p w14:paraId="2DF1F842" w14:textId="77777777" w:rsidR="007E0BC0" w:rsidRPr="004D307F" w:rsidRDefault="007E0BC0" w:rsidP="0034555D">
            <w:pPr>
              <w:spacing w:after="0" w:line="240" w:lineRule="auto"/>
              <w:jc w:val="center"/>
              <w:rPr>
                <w:rFonts w:eastAsia="Times New Roman" w:cs="Arial"/>
                <w:sz w:val="24"/>
                <w:szCs w:val="24"/>
                <w:lang w:eastAsia="en-AU"/>
              </w:rPr>
            </w:pPr>
            <w:r w:rsidRPr="004D307F">
              <w:rPr>
                <w:rFonts w:eastAsia="Times New Roman" w:cs="Arial"/>
                <w:sz w:val="24"/>
                <w:szCs w:val="24"/>
                <w:lang w:eastAsia="en-AU"/>
              </w:rPr>
              <w:t>0%</w:t>
            </w:r>
          </w:p>
        </w:tc>
        <w:tc>
          <w:tcPr>
            <w:tcW w:w="0" w:type="auto"/>
            <w:tcBorders>
              <w:top w:val="nil"/>
              <w:left w:val="nil"/>
              <w:bottom w:val="single" w:sz="4" w:space="0" w:color="BFBFBF"/>
              <w:right w:val="single" w:sz="4" w:space="0" w:color="BFBFBF"/>
            </w:tcBorders>
            <w:shd w:val="clear" w:color="auto" w:fill="auto"/>
            <w:noWrap/>
            <w:vAlign w:val="bottom"/>
            <w:hideMark/>
          </w:tcPr>
          <w:p w14:paraId="36CDD19F" w14:textId="77777777" w:rsidR="007E0BC0" w:rsidRPr="004D307F" w:rsidRDefault="007E0BC0" w:rsidP="0034555D">
            <w:pPr>
              <w:spacing w:after="0" w:line="240" w:lineRule="auto"/>
              <w:rPr>
                <w:rFonts w:eastAsia="Times New Roman" w:cs="Arial"/>
                <w:sz w:val="24"/>
                <w:szCs w:val="24"/>
                <w:lang w:eastAsia="en-AU"/>
              </w:rPr>
            </w:pPr>
            <w:r w:rsidRPr="004D307F">
              <w:rPr>
                <w:rFonts w:eastAsia="Times New Roman" w:cs="Arial"/>
                <w:sz w:val="24"/>
                <w:szCs w:val="24"/>
                <w:lang w:eastAsia="en-AU"/>
              </w:rPr>
              <w:t>Transition Amt 2025</w:t>
            </w:r>
          </w:p>
        </w:tc>
        <w:tc>
          <w:tcPr>
            <w:tcW w:w="0" w:type="auto"/>
            <w:tcBorders>
              <w:top w:val="nil"/>
              <w:left w:val="nil"/>
              <w:bottom w:val="single" w:sz="4" w:space="0" w:color="BFBFBF"/>
              <w:right w:val="single" w:sz="4" w:space="0" w:color="BFBFBF"/>
            </w:tcBorders>
            <w:shd w:val="clear" w:color="auto" w:fill="auto"/>
            <w:noWrap/>
            <w:vAlign w:val="center"/>
            <w:hideMark/>
          </w:tcPr>
          <w:p w14:paraId="10EF8BD8" w14:textId="77777777" w:rsidR="007E0BC0" w:rsidRPr="004D307F" w:rsidRDefault="007E0BC0" w:rsidP="0034555D">
            <w:pPr>
              <w:spacing w:after="0" w:line="240" w:lineRule="auto"/>
              <w:rPr>
                <w:rFonts w:eastAsia="Times New Roman" w:cs="Calibri"/>
                <w:color w:val="000000"/>
                <w:sz w:val="24"/>
                <w:szCs w:val="24"/>
                <w:lang w:eastAsia="en-AU"/>
              </w:rPr>
            </w:pPr>
            <w:r w:rsidRPr="004D307F">
              <w:rPr>
                <w:rFonts w:eastAsia="Times New Roman" w:cs="Calibri"/>
                <w:color w:val="000000"/>
                <w:sz w:val="24"/>
                <w:szCs w:val="24"/>
                <w:lang w:eastAsia="en-AU"/>
              </w:rPr>
              <w:t xml:space="preserve"> $                 -   </w:t>
            </w:r>
          </w:p>
        </w:tc>
        <w:tc>
          <w:tcPr>
            <w:tcW w:w="0" w:type="auto"/>
            <w:vMerge/>
            <w:tcBorders>
              <w:top w:val="nil"/>
              <w:left w:val="single" w:sz="4" w:space="0" w:color="BFBFBF"/>
              <w:bottom w:val="single" w:sz="4" w:space="0" w:color="BFBFBF"/>
              <w:right w:val="single" w:sz="4" w:space="0" w:color="BFBFBF"/>
            </w:tcBorders>
            <w:vAlign w:val="center"/>
            <w:hideMark/>
          </w:tcPr>
          <w:p w14:paraId="50D49118" w14:textId="77777777" w:rsidR="007E0BC0" w:rsidRPr="004D307F" w:rsidRDefault="007E0BC0" w:rsidP="0034555D">
            <w:pPr>
              <w:spacing w:after="0" w:line="240" w:lineRule="auto"/>
              <w:rPr>
                <w:rFonts w:eastAsia="Times New Roman" w:cs="Arial"/>
                <w:sz w:val="24"/>
                <w:szCs w:val="24"/>
                <w:lang w:eastAsia="en-AU"/>
              </w:rPr>
            </w:pPr>
          </w:p>
        </w:tc>
      </w:tr>
    </w:tbl>
    <w:p w14:paraId="76D7D8A9" w14:textId="77777777" w:rsidR="007E0BC0" w:rsidRPr="004D307F" w:rsidRDefault="007E0BC0" w:rsidP="007E0BC0">
      <w:pPr>
        <w:rPr>
          <w:sz w:val="24"/>
          <w:szCs w:val="24"/>
        </w:rPr>
      </w:pPr>
    </w:p>
    <w:tbl>
      <w:tblPr>
        <w:tblW w:w="9350" w:type="dxa"/>
        <w:tblLook w:val="04A0" w:firstRow="1" w:lastRow="0" w:firstColumn="1" w:lastColumn="0" w:noHBand="0" w:noVBand="1"/>
      </w:tblPr>
      <w:tblGrid>
        <w:gridCol w:w="1696"/>
        <w:gridCol w:w="7654"/>
      </w:tblGrid>
      <w:tr w:rsidR="007E0BC0" w:rsidRPr="004D307F" w14:paraId="53E62299" w14:textId="77777777" w:rsidTr="0034555D">
        <w:trPr>
          <w:trHeight w:val="255"/>
        </w:trPr>
        <w:tc>
          <w:tcPr>
            <w:tcW w:w="1696"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519FC0BB" w14:textId="77777777" w:rsidR="007E0BC0" w:rsidRPr="004D307F" w:rsidRDefault="007E0BC0" w:rsidP="0034555D">
            <w:pPr>
              <w:spacing w:after="0" w:line="240" w:lineRule="auto"/>
              <w:rPr>
                <w:rFonts w:ascii="Arial" w:eastAsia="Times New Roman" w:hAnsi="Arial" w:cs="Arial"/>
                <w:b/>
                <w:bCs/>
                <w:sz w:val="20"/>
                <w:szCs w:val="20"/>
                <w:lang w:eastAsia="en-AU"/>
              </w:rPr>
            </w:pPr>
            <w:r w:rsidRPr="004D307F">
              <w:rPr>
                <w:rFonts w:ascii="Arial" w:eastAsia="Times New Roman" w:hAnsi="Arial" w:cs="Arial"/>
                <w:b/>
                <w:bCs/>
                <w:sz w:val="20"/>
                <w:szCs w:val="20"/>
                <w:lang w:eastAsia="en-AU"/>
              </w:rPr>
              <w:t>Formula</w:t>
            </w:r>
          </w:p>
        </w:tc>
        <w:tc>
          <w:tcPr>
            <w:tcW w:w="7654" w:type="dxa"/>
            <w:tcBorders>
              <w:top w:val="single" w:sz="4" w:space="0" w:color="BFBFBF"/>
              <w:left w:val="nil"/>
              <w:bottom w:val="single" w:sz="4" w:space="0" w:color="BFBFBF"/>
              <w:right w:val="single" w:sz="4" w:space="0" w:color="BFBFBF"/>
            </w:tcBorders>
            <w:shd w:val="clear" w:color="auto" w:fill="auto"/>
            <w:noWrap/>
            <w:vAlign w:val="bottom"/>
            <w:hideMark/>
          </w:tcPr>
          <w:p w14:paraId="78B1B127" w14:textId="77777777" w:rsidR="007E0BC0" w:rsidRPr="004D307F" w:rsidRDefault="007E0BC0" w:rsidP="0034555D">
            <w:pPr>
              <w:spacing w:after="0" w:line="240" w:lineRule="auto"/>
              <w:rPr>
                <w:rFonts w:ascii="Arial" w:eastAsia="Times New Roman" w:hAnsi="Arial" w:cs="Arial"/>
                <w:b/>
                <w:bCs/>
                <w:sz w:val="20"/>
                <w:szCs w:val="20"/>
                <w:lang w:eastAsia="en-AU"/>
              </w:rPr>
            </w:pPr>
            <w:r w:rsidRPr="004D307F">
              <w:rPr>
                <w:rFonts w:ascii="Arial" w:eastAsia="Times New Roman" w:hAnsi="Arial" w:cs="Arial"/>
                <w:b/>
                <w:bCs/>
                <w:sz w:val="20"/>
                <w:szCs w:val="20"/>
                <w:lang w:eastAsia="en-AU"/>
              </w:rPr>
              <w:t>Explanation</w:t>
            </w:r>
          </w:p>
        </w:tc>
      </w:tr>
      <w:tr w:rsidR="007E0BC0" w:rsidRPr="004D307F" w14:paraId="6AB06ABB"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3ECA241E"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B =</w:t>
            </w:r>
          </w:p>
        </w:tc>
        <w:tc>
          <w:tcPr>
            <w:tcW w:w="7654" w:type="dxa"/>
            <w:tcBorders>
              <w:top w:val="nil"/>
              <w:left w:val="nil"/>
              <w:bottom w:val="single" w:sz="4" w:space="0" w:color="BFBFBF"/>
              <w:right w:val="single" w:sz="4" w:space="0" w:color="BFBFBF"/>
            </w:tcBorders>
            <w:shd w:val="clear" w:color="auto" w:fill="auto"/>
            <w:noWrap/>
            <w:vAlign w:val="bottom"/>
            <w:hideMark/>
          </w:tcPr>
          <w:p w14:paraId="6BD87940"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2020 funding under rural items (RSAF, LIF and CAP) for which the school is no longer eligible</w:t>
            </w:r>
          </w:p>
        </w:tc>
      </w:tr>
      <w:tr w:rsidR="007E0BC0" w:rsidRPr="004D307F" w14:paraId="2F180883"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0CFB8A16"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C =</w:t>
            </w:r>
          </w:p>
        </w:tc>
        <w:tc>
          <w:tcPr>
            <w:tcW w:w="7654" w:type="dxa"/>
            <w:tcBorders>
              <w:top w:val="nil"/>
              <w:left w:val="nil"/>
              <w:bottom w:val="single" w:sz="4" w:space="0" w:color="BFBFBF"/>
              <w:right w:val="single" w:sz="4" w:space="0" w:color="BFBFBF"/>
            </w:tcBorders>
            <w:shd w:val="clear" w:color="auto" w:fill="auto"/>
            <w:noWrap/>
            <w:vAlign w:val="bottom"/>
            <w:hideMark/>
          </w:tcPr>
          <w:p w14:paraId="28ED3507"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2020 Revised Total SRP</w:t>
            </w:r>
          </w:p>
        </w:tc>
      </w:tr>
      <w:tr w:rsidR="007E0BC0" w:rsidRPr="004D307F" w14:paraId="5F5F7CF9"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480B618E"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D =</w:t>
            </w:r>
          </w:p>
        </w:tc>
        <w:tc>
          <w:tcPr>
            <w:tcW w:w="7654" w:type="dxa"/>
            <w:tcBorders>
              <w:top w:val="nil"/>
              <w:left w:val="nil"/>
              <w:bottom w:val="single" w:sz="4" w:space="0" w:color="BFBFBF"/>
              <w:right w:val="single" w:sz="4" w:space="0" w:color="BFBFBF"/>
            </w:tcBorders>
            <w:shd w:val="clear" w:color="auto" w:fill="auto"/>
            <w:noWrap/>
            <w:vAlign w:val="bottom"/>
            <w:hideMark/>
          </w:tcPr>
          <w:p w14:paraId="77AA67DD"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2021 Indicative SRP without the rurality transition funding</w:t>
            </w:r>
          </w:p>
        </w:tc>
      </w:tr>
      <w:tr w:rsidR="007E0BC0" w:rsidRPr="004D307F" w14:paraId="5DB34154"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6D4A47AD"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E = C - D</w:t>
            </w:r>
          </w:p>
        </w:tc>
        <w:tc>
          <w:tcPr>
            <w:tcW w:w="7654" w:type="dxa"/>
            <w:tcBorders>
              <w:top w:val="nil"/>
              <w:left w:val="nil"/>
              <w:bottom w:val="single" w:sz="4" w:space="0" w:color="BFBFBF"/>
              <w:right w:val="single" w:sz="4" w:space="0" w:color="BFBFBF"/>
            </w:tcBorders>
            <w:shd w:val="clear" w:color="auto" w:fill="auto"/>
            <w:noWrap/>
            <w:vAlign w:val="bottom"/>
            <w:hideMark/>
          </w:tcPr>
          <w:p w14:paraId="55ACB547"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2020 SRP - 2021 SRP</w:t>
            </w:r>
          </w:p>
        </w:tc>
      </w:tr>
      <w:tr w:rsidR="007E0BC0" w:rsidRPr="004D307F" w14:paraId="61DD4C10" w14:textId="77777777" w:rsidTr="0034555D">
        <w:trPr>
          <w:trHeight w:val="300"/>
        </w:trPr>
        <w:tc>
          <w:tcPr>
            <w:tcW w:w="1696" w:type="dxa"/>
            <w:tcBorders>
              <w:top w:val="nil"/>
              <w:left w:val="single" w:sz="4" w:space="0" w:color="BFBFBF"/>
              <w:bottom w:val="single" w:sz="4" w:space="0" w:color="BFBFBF"/>
              <w:right w:val="single" w:sz="4" w:space="0" w:color="BFBFBF"/>
            </w:tcBorders>
            <w:shd w:val="clear" w:color="auto" w:fill="auto"/>
            <w:noWrap/>
            <w:vAlign w:val="bottom"/>
            <w:hideMark/>
          </w:tcPr>
          <w:p w14:paraId="40DE19DE" w14:textId="77777777" w:rsidR="007E0BC0" w:rsidRPr="004D307F" w:rsidRDefault="007E0BC0" w:rsidP="0034555D">
            <w:pPr>
              <w:spacing w:after="0" w:line="240" w:lineRule="auto"/>
              <w:ind w:firstLineChars="100" w:firstLine="220"/>
              <w:rPr>
                <w:rFonts w:ascii="Calibri" w:eastAsia="Times New Roman" w:hAnsi="Calibri" w:cs="Calibri"/>
                <w:color w:val="000000"/>
                <w:lang w:eastAsia="en-AU"/>
              </w:rPr>
            </w:pPr>
            <w:r w:rsidRPr="004D307F">
              <w:rPr>
                <w:rFonts w:ascii="Calibri" w:eastAsia="Times New Roman" w:hAnsi="Calibri" w:cs="Calibri"/>
                <w:color w:val="000000"/>
                <w:lang w:eastAsia="en-AU"/>
              </w:rPr>
              <w:t>F = Min (</w:t>
            </w:r>
            <w:proofErr w:type="gramStart"/>
            <w:r w:rsidRPr="004D307F">
              <w:rPr>
                <w:rFonts w:ascii="Calibri" w:eastAsia="Times New Roman" w:hAnsi="Calibri" w:cs="Calibri"/>
                <w:color w:val="000000"/>
                <w:lang w:eastAsia="en-AU"/>
              </w:rPr>
              <w:t>B,E</w:t>
            </w:r>
            <w:proofErr w:type="gramEnd"/>
            <w:r w:rsidRPr="004D307F">
              <w:rPr>
                <w:rFonts w:ascii="Calibri" w:eastAsia="Times New Roman" w:hAnsi="Calibri" w:cs="Calibri"/>
                <w:color w:val="000000"/>
                <w:lang w:eastAsia="en-AU"/>
              </w:rPr>
              <w:t>)</w:t>
            </w:r>
          </w:p>
        </w:tc>
        <w:tc>
          <w:tcPr>
            <w:tcW w:w="7654" w:type="dxa"/>
            <w:tcBorders>
              <w:top w:val="nil"/>
              <w:left w:val="nil"/>
              <w:bottom w:val="single" w:sz="4" w:space="0" w:color="BFBFBF"/>
              <w:right w:val="single" w:sz="4" w:space="0" w:color="BFBFBF"/>
            </w:tcBorders>
            <w:shd w:val="clear" w:color="auto" w:fill="auto"/>
            <w:noWrap/>
            <w:vAlign w:val="bottom"/>
            <w:hideMark/>
          </w:tcPr>
          <w:p w14:paraId="23933823" w14:textId="77777777" w:rsidR="007E0BC0" w:rsidRPr="004D307F" w:rsidRDefault="007E0BC0" w:rsidP="0034555D">
            <w:pPr>
              <w:spacing w:after="0" w:line="240" w:lineRule="auto"/>
              <w:rPr>
                <w:rFonts w:ascii="Calibri" w:eastAsia="Times New Roman" w:hAnsi="Calibri" w:cs="Calibri"/>
                <w:color w:val="000000"/>
                <w:lang w:eastAsia="en-AU"/>
              </w:rPr>
            </w:pPr>
            <w:r w:rsidRPr="004D307F">
              <w:rPr>
                <w:rFonts w:ascii="Calibri" w:eastAsia="Times New Roman" w:hAnsi="Calibri" w:cs="Calibri"/>
                <w:color w:val="000000"/>
                <w:lang w:eastAsia="en-AU"/>
              </w:rPr>
              <w:t xml:space="preserve">Transition </w:t>
            </w:r>
            <w:proofErr w:type="gramStart"/>
            <w:r w:rsidRPr="004D307F">
              <w:rPr>
                <w:rFonts w:ascii="Calibri" w:eastAsia="Times New Roman" w:hAnsi="Calibri" w:cs="Calibri"/>
                <w:color w:val="000000"/>
                <w:lang w:eastAsia="en-AU"/>
              </w:rPr>
              <w:t>=  2020</w:t>
            </w:r>
            <w:proofErr w:type="gramEnd"/>
            <w:r w:rsidRPr="004D307F">
              <w:rPr>
                <w:rFonts w:ascii="Calibri" w:eastAsia="Times New Roman" w:hAnsi="Calibri" w:cs="Calibri"/>
                <w:color w:val="000000"/>
                <w:lang w:eastAsia="en-AU"/>
              </w:rPr>
              <w:t xml:space="preserve"> SRP - 2021 SRP = (E) but capped at the loss of Rural Items (B)</w:t>
            </w:r>
          </w:p>
        </w:tc>
      </w:tr>
    </w:tbl>
    <w:p w14:paraId="23F1DBC2" w14:textId="49A25093" w:rsidR="000012C9" w:rsidRPr="004D307F" w:rsidRDefault="000012C9">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68079E05" w14:textId="1D48F85E" w:rsidR="006F7D3A" w:rsidRPr="004D307F" w:rsidRDefault="000012C9" w:rsidP="00B566E7">
      <w:pPr>
        <w:pStyle w:val="Heading2"/>
      </w:pPr>
      <w:bookmarkStart w:id="123" w:name="_Toc99882787"/>
      <w:r w:rsidRPr="004D307F">
        <w:lastRenderedPageBreak/>
        <w:t xml:space="preserve">Jobs, </w:t>
      </w:r>
      <w:proofErr w:type="gramStart"/>
      <w:r w:rsidRPr="004D307F">
        <w:t>Skills</w:t>
      </w:r>
      <w:proofErr w:type="gramEnd"/>
      <w:r w:rsidRPr="004D307F">
        <w:t xml:space="preserve"> and Pathways (JSP) coordination (Reference </w:t>
      </w:r>
      <w:r w:rsidR="002D5222" w:rsidRPr="004D307F">
        <w:t>127</w:t>
      </w:r>
      <w:r w:rsidRPr="004D307F">
        <w:t>)</w:t>
      </w:r>
      <w:bookmarkEnd w:id="123"/>
    </w:p>
    <w:p w14:paraId="15FDB571" w14:textId="77777777" w:rsidR="00FF5368" w:rsidRPr="004D307F" w:rsidRDefault="00FF5368" w:rsidP="000012C9">
      <w:pPr>
        <w:spacing w:after="0" w:line="240" w:lineRule="auto"/>
        <w:rPr>
          <w:rFonts w:ascii="VIC-Regular" w:eastAsia="Times New Roman" w:hAnsi="VIC-Regular" w:cs="Times New Roman"/>
          <w:color w:val="011A3C"/>
          <w:sz w:val="24"/>
          <w:szCs w:val="24"/>
          <w:lang w:val="en" w:eastAsia="en-AU"/>
        </w:rPr>
      </w:pPr>
    </w:p>
    <w:p w14:paraId="1618A129" w14:textId="06877770"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This program – Jobs, Skills and Pathways (JSP) coordination – provides funding for schools to help with the coordination and delivery of vocational and applied learning programs (</w:t>
      </w:r>
      <w:proofErr w:type="gramStart"/>
      <w:r w:rsidRPr="004D307F">
        <w:rPr>
          <w:rFonts w:ascii="VIC-Regular" w:eastAsia="Times New Roman" w:hAnsi="VIC-Regular" w:cs="Times New Roman"/>
          <w:color w:val="011A3C"/>
          <w:sz w:val="24"/>
          <w:szCs w:val="24"/>
          <w:lang w:val="en" w:eastAsia="en-AU"/>
        </w:rPr>
        <w:t>i.e.</w:t>
      </w:r>
      <w:proofErr w:type="gramEnd"/>
      <w:r w:rsidRPr="004D307F">
        <w:rPr>
          <w:rFonts w:ascii="VIC-Regular" w:eastAsia="Times New Roman" w:hAnsi="VIC-Regular" w:cs="Times New Roman"/>
          <w:color w:val="011A3C"/>
          <w:sz w:val="24"/>
          <w:szCs w:val="24"/>
          <w:lang w:val="en" w:eastAsia="en-AU"/>
        </w:rPr>
        <w:t xml:space="preserve"> Vocational Education and Training Delivered to Secondary Students (VDSS) and the current Victorian Certificate of Applied Learning (VCAL) as well as work related learning and School Based Apprenticeships and Traineeships (SBATs)). </w:t>
      </w:r>
    </w:p>
    <w:p w14:paraId="49EB6927"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672DCD0A"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key objectives of JSP coordination funding are to:</w:t>
      </w:r>
    </w:p>
    <w:p w14:paraId="631FEA99" w14:textId="7777777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support schools with the administrative burden of delivering vocational and applied learning</w:t>
      </w:r>
    </w:p>
    <w:p w14:paraId="5A77D3FC" w14:textId="6A27266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provide schools with additional support to deliver high-quality offerings.</w:t>
      </w:r>
    </w:p>
    <w:p w14:paraId="7AF926B0" w14:textId="434E3602" w:rsidR="00E96E5D" w:rsidRPr="004D307F" w:rsidRDefault="00E96E5D" w:rsidP="00E96E5D">
      <w:pPr>
        <w:spacing w:after="0" w:line="240" w:lineRule="auto"/>
        <w:rPr>
          <w:rFonts w:ascii="VIC-Regular" w:eastAsia="Times New Roman" w:hAnsi="VIC-Regular" w:cs="Times New Roman"/>
          <w:color w:val="011A3C"/>
          <w:sz w:val="24"/>
          <w:szCs w:val="24"/>
          <w:lang w:val="en" w:eastAsia="en-AU"/>
        </w:rPr>
      </w:pPr>
    </w:p>
    <w:p w14:paraId="2A7ABF2C" w14:textId="1080889F" w:rsidR="00E96E5D" w:rsidRPr="004D307F" w:rsidRDefault="00E96E5D" w:rsidP="004363C4">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For further information, refer to the Department’s policy on Vocational and Applied Learning Coordination and Delivery Support for Schools.</w:t>
      </w:r>
    </w:p>
    <w:p w14:paraId="420C53AC"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6DF2C140"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following schools are eligible for an amount equivalent to 0.2 FTE of a Classroom Teacher Grade 2 mid-point salary:</w:t>
      </w:r>
    </w:p>
    <w:p w14:paraId="14ECB74D"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5840D2F9" w14:textId="7777777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In 2021, all government secondary schools with a senior secondary program and that offer VET to their students, including specialist schools. This will include </w:t>
      </w:r>
      <w:proofErr w:type="gramStart"/>
      <w:r w:rsidRPr="004D307F">
        <w:rPr>
          <w:rFonts w:ascii="VIC-Regular" w:eastAsia="Times New Roman" w:hAnsi="VIC-Regular" w:cs="Times New Roman"/>
          <w:color w:val="011A3C"/>
          <w:sz w:val="24"/>
          <w:szCs w:val="24"/>
          <w:lang w:val="en" w:eastAsia="en-AU"/>
        </w:rPr>
        <w:t>a number of</w:t>
      </w:r>
      <w:proofErr w:type="gramEnd"/>
      <w:r w:rsidRPr="004D307F">
        <w:rPr>
          <w:rFonts w:ascii="VIC-Regular" w:eastAsia="Times New Roman" w:hAnsi="VIC-Regular" w:cs="Times New Roman"/>
          <w:color w:val="011A3C"/>
          <w:sz w:val="24"/>
          <w:szCs w:val="24"/>
          <w:lang w:val="en" w:eastAsia="en-AU"/>
        </w:rPr>
        <w:t xml:space="preserve"> 7-10 schools that offer VET.</w:t>
      </w:r>
    </w:p>
    <w:p w14:paraId="49EA77AB" w14:textId="7777777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In 2022, all government secondary schools with a senior secondary program, including specialist schools. </w:t>
      </w:r>
    </w:p>
    <w:p w14:paraId="42FDB376"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19DA95A1"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Funding is calculated at the Confirmed cycles through cash funding.</w:t>
      </w:r>
    </w:p>
    <w:p w14:paraId="71AAFA35"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0A733228"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0057EA9F"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Each school will receive a flat amount equivalent to 0.2 FTE of a Classroom Teacher Grade 2 mid-point salary.</w:t>
      </w:r>
    </w:p>
    <w:p w14:paraId="47D0912E"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w:t>
      </w:r>
    </w:p>
    <w:p w14:paraId="275E6D20" w14:textId="1C02CA96"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Rate = $ </w:t>
      </w:r>
      <w:r w:rsidR="00ED2F0A" w:rsidRPr="004D307F">
        <w:rPr>
          <w:rFonts w:ascii="VIC-Regular" w:eastAsia="Times New Roman" w:hAnsi="VIC-Regular" w:cs="Times New Roman"/>
          <w:color w:val="011A3C"/>
          <w:sz w:val="24"/>
          <w:szCs w:val="24"/>
          <w:lang w:val="en" w:eastAsia="en-AU"/>
        </w:rPr>
        <w:t>130,960.55</w:t>
      </w:r>
      <w:r w:rsidRPr="004D307F">
        <w:rPr>
          <w:rFonts w:ascii="VIC-Regular" w:eastAsia="Times New Roman" w:hAnsi="VIC-Regular" w:cs="Times New Roman"/>
          <w:color w:val="011A3C"/>
          <w:sz w:val="24"/>
          <w:szCs w:val="24"/>
          <w:lang w:val="en" w:eastAsia="en-AU"/>
        </w:rPr>
        <w:t xml:space="preserve"> (Midpoint of a Classroom Teacher Grade 2 salary, including school </w:t>
      </w:r>
      <w:r w:rsidR="000623AA" w:rsidRPr="004D307F">
        <w:rPr>
          <w:rFonts w:ascii="VIC-Regular" w:eastAsia="Times New Roman" w:hAnsi="VIC-Regular" w:cs="Times New Roman"/>
          <w:color w:val="011A3C"/>
          <w:sz w:val="24"/>
          <w:szCs w:val="24"/>
          <w:lang w:val="en" w:eastAsia="en-AU"/>
        </w:rPr>
        <w:t>Student Resource Package (</w:t>
      </w:r>
      <w:r w:rsidRPr="004D307F">
        <w:rPr>
          <w:rFonts w:ascii="VIC-Regular" w:eastAsia="Times New Roman" w:hAnsi="VIC-Regular" w:cs="Times New Roman"/>
          <w:color w:val="011A3C"/>
          <w:sz w:val="24"/>
          <w:szCs w:val="24"/>
          <w:lang w:val="en" w:eastAsia="en-AU"/>
        </w:rPr>
        <w:t>SRP</w:t>
      </w:r>
      <w:r w:rsidR="000623AA" w:rsidRPr="004D307F">
        <w:rPr>
          <w:rFonts w:ascii="VIC-Regular" w:eastAsia="Times New Roman" w:hAnsi="VIC-Regular" w:cs="Times New Roman"/>
          <w:color w:val="011A3C"/>
          <w:sz w:val="24"/>
          <w:szCs w:val="24"/>
          <w:lang w:val="en" w:eastAsia="en-AU"/>
        </w:rPr>
        <w:t>)</w:t>
      </w:r>
      <w:r w:rsidRPr="004D307F">
        <w:rPr>
          <w:rFonts w:ascii="VIC-Regular" w:eastAsia="Times New Roman" w:hAnsi="VIC-Regular" w:cs="Times New Roman"/>
          <w:color w:val="011A3C"/>
          <w:sz w:val="24"/>
          <w:szCs w:val="24"/>
          <w:lang w:val="en" w:eastAsia="en-AU"/>
        </w:rPr>
        <w:t xml:space="preserve"> on-costs).</w:t>
      </w:r>
    </w:p>
    <w:p w14:paraId="6D482EAD" w14:textId="053389F4" w:rsidR="006A743D" w:rsidRPr="004D307F" w:rsidRDefault="006A743D" w:rsidP="000012C9">
      <w:pPr>
        <w:spacing w:after="0" w:line="240" w:lineRule="auto"/>
        <w:rPr>
          <w:rFonts w:ascii="VIC-Regular" w:eastAsia="Times New Roman" w:hAnsi="VIC-Regular" w:cs="Times New Roman"/>
          <w:color w:val="011A3C"/>
          <w:sz w:val="24"/>
          <w:szCs w:val="24"/>
          <w:lang w:val="en" w:eastAsia="en-AU"/>
        </w:rPr>
      </w:pPr>
    </w:p>
    <w:p w14:paraId="4AE535AF" w14:textId="77777777" w:rsidR="000B4666" w:rsidRPr="004D307F" w:rsidRDefault="000B4666" w:rsidP="000012C9">
      <w:pPr>
        <w:spacing w:after="0" w:line="240" w:lineRule="auto"/>
        <w:rPr>
          <w:rFonts w:ascii="VIC-Regular" w:eastAsia="Times New Roman" w:hAnsi="VIC-Regular" w:cs="Times New Roman"/>
          <w:color w:val="011A3C"/>
          <w:sz w:val="24"/>
          <w:szCs w:val="24"/>
          <w:lang w:val="en" w:eastAsia="en-AU"/>
        </w:rPr>
      </w:pPr>
    </w:p>
    <w:p w14:paraId="6C8D3D90"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lastRenderedPageBreak/>
        <w:t xml:space="preserve">Further Information </w:t>
      </w:r>
    </w:p>
    <w:p w14:paraId="017FAE75" w14:textId="32229943" w:rsidR="000012C9" w:rsidRPr="004D307F" w:rsidRDefault="000012C9" w:rsidP="000012C9">
      <w:pPr>
        <w:spacing w:after="0" w:line="240" w:lineRule="auto"/>
      </w:pPr>
      <w:r w:rsidRPr="004D307F">
        <w:rPr>
          <w:rFonts w:ascii="VIC-Regular" w:eastAsia="Times New Roman" w:hAnsi="VIC-Regular" w:cs="Times New Roman"/>
          <w:color w:val="011A3C"/>
          <w:sz w:val="24"/>
          <w:szCs w:val="24"/>
          <w:lang w:val="en" w:eastAsia="en-AU"/>
        </w:rPr>
        <w:t xml:space="preserve">Further information about the functions the funding can be used for and some examples of how the funding can be used are available at: </w:t>
      </w:r>
      <w:hyperlink r:id="rId182" w:history="1">
        <w:r w:rsidR="00683C9C" w:rsidRPr="004D307F">
          <w:rPr>
            <w:rStyle w:val="Hyperlink"/>
          </w:rPr>
          <w:t>Vocational and Applied Learning Coordination and Delivery Support for Schools.</w:t>
        </w:r>
      </w:hyperlink>
    </w:p>
    <w:p w14:paraId="20B61E8C" w14:textId="77777777" w:rsidR="00683C9C" w:rsidRPr="004D307F" w:rsidRDefault="00683C9C" w:rsidP="00683C9C">
      <w:pPr>
        <w:pStyle w:val="mld-paragraph"/>
        <w:spacing w:before="0" w:beforeAutospacing="0" w:after="0" w:afterAutospacing="0" w:line="315" w:lineRule="exact"/>
        <w:rPr>
          <w:rFonts w:ascii="VIC-Regular" w:hAnsi="VIC-Regular" w:cs="Arial"/>
          <w:color w:val="53565A"/>
          <w:sz w:val="24"/>
          <w:szCs w:val="24"/>
        </w:rPr>
      </w:pPr>
      <w:r w:rsidRPr="004D307F">
        <w:rPr>
          <w:rFonts w:ascii="VIC-Regular" w:hAnsi="VIC-Regular" w:cs="Arial"/>
          <w:color w:val="53565A"/>
          <w:sz w:val="24"/>
          <w:szCs w:val="24"/>
        </w:rPr>
        <w:t>To record expenditure against this funding, schools should activate a CASES21 code within the 8950-8999 range (Vocational Ed and Training) and add the title ‘JSP Coordination’.</w:t>
      </w:r>
    </w:p>
    <w:p w14:paraId="1A547CC6"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p>
    <w:p w14:paraId="3643693C" w14:textId="77777777" w:rsidR="000012C9" w:rsidRPr="004D307F" w:rsidRDefault="000012C9" w:rsidP="000012C9">
      <w:p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The funding is currently available for 2021 and 2022 only. Please note when using the JSP coordination funding in the employment of new staff in one or multiple schools, consideration must be made on the employment conditions of fixed term and ongoing staff and the implications for the school/s with funding only given to the role for 1 or 2 years.</w:t>
      </w:r>
    </w:p>
    <w:p w14:paraId="5328F5B4" w14:textId="77777777" w:rsidR="000012C9" w:rsidRPr="004D307F" w:rsidRDefault="000012C9" w:rsidP="000012C9">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Contact Information</w:t>
      </w:r>
    </w:p>
    <w:p w14:paraId="6566E6E3" w14:textId="77777777" w:rsidR="000012C9" w:rsidRPr="004D307F" w:rsidRDefault="000012C9" w:rsidP="00ED0863">
      <w:pPr>
        <w:numPr>
          <w:ilvl w:val="0"/>
          <w:numId w:val="134"/>
        </w:numPr>
        <w:spacing w:after="0" w:line="240" w:lineRule="auto"/>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Senior Secondary Pathways Reform Taskforce</w:t>
      </w:r>
    </w:p>
    <w:p w14:paraId="1FC2BCFA" w14:textId="37903055" w:rsidR="00CA677C" w:rsidRPr="004D307F" w:rsidRDefault="00A35420" w:rsidP="00ED0863">
      <w:pPr>
        <w:numPr>
          <w:ilvl w:val="0"/>
          <w:numId w:val="134"/>
        </w:numPr>
        <w:spacing w:after="0" w:line="240" w:lineRule="auto"/>
        <w:rPr>
          <w:rFonts w:ascii="VIC-Regular" w:eastAsia="Times New Roman" w:hAnsi="VIC-Regular" w:cs="Times New Roman"/>
          <w:color w:val="011A3C"/>
          <w:sz w:val="24"/>
          <w:szCs w:val="24"/>
          <w:lang w:val="en" w:eastAsia="en-AU"/>
        </w:rPr>
      </w:pPr>
      <w:hyperlink r:id="rId183" w:history="1">
        <w:r w:rsidR="000012C9" w:rsidRPr="004D307F">
          <w:rPr>
            <w:rFonts w:ascii="VIC-Regular" w:eastAsia="Times New Roman" w:hAnsi="VIC-Regular" w:cs="Times New Roman"/>
            <w:color w:val="011A3C"/>
            <w:sz w:val="24"/>
            <w:szCs w:val="24"/>
            <w:lang w:val="en" w:eastAsia="en-AU"/>
          </w:rPr>
          <w:t>pathways.reform@education.vic.gov.au</w:t>
        </w:r>
      </w:hyperlink>
    </w:p>
    <w:p w14:paraId="6A2F23D8" w14:textId="77777777" w:rsidR="001D7476" w:rsidRPr="004D307F" w:rsidRDefault="001D7476">
      <w:pPr>
        <w:rPr>
          <w:rFonts w:ascii="VIC-Regular" w:eastAsia="Times New Roman" w:hAnsi="VIC-Regular" w:cs="Times New Roman"/>
          <w:color w:val="011A3C"/>
          <w:sz w:val="24"/>
          <w:szCs w:val="24"/>
          <w:lang w:val="en" w:eastAsia="en-AU"/>
        </w:rPr>
      </w:pPr>
    </w:p>
    <w:p w14:paraId="7CEE35FE" w14:textId="77777777" w:rsidR="001D7476" w:rsidRPr="004D307F" w:rsidRDefault="001D7476">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0C0CCA7B" w14:textId="77777777" w:rsidR="008205DE" w:rsidRPr="004D307F" w:rsidRDefault="008205DE" w:rsidP="00B566E7">
      <w:pPr>
        <w:pStyle w:val="Heading2"/>
      </w:pPr>
      <w:bookmarkStart w:id="124" w:name="_Toc99882788"/>
      <w:bookmarkStart w:id="125" w:name="_Hlk83981865"/>
      <w:r w:rsidRPr="004D307F">
        <w:lastRenderedPageBreak/>
        <w:t>Tutor Learning Initiative (Reference 129)</w:t>
      </w:r>
      <w:bookmarkEnd w:id="124"/>
    </w:p>
    <w:p w14:paraId="330ADA04" w14:textId="3A07D176"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The Tutor Learning Initiative (TLI) will ensure that any student who may have fallen behind or become disengaged due to remote learning receives the help they deserve. For further information on the TLI, refer to the </w:t>
      </w:r>
      <w:r w:rsidR="00677474">
        <w:rPr>
          <w:rFonts w:ascii="VIC-Regular" w:eastAsia="Times New Roman" w:hAnsi="VIC-Regular" w:cs="Arial"/>
          <w:color w:val="011A3C"/>
          <w:sz w:val="24"/>
          <w:szCs w:val="24"/>
          <w:lang w:val="en" w:eastAsia="en-AU"/>
        </w:rPr>
        <w:t>d</w:t>
      </w:r>
      <w:r w:rsidRPr="004D307F">
        <w:rPr>
          <w:rFonts w:ascii="VIC-Regular" w:eastAsia="Times New Roman" w:hAnsi="VIC-Regular" w:cs="Arial"/>
          <w:color w:val="011A3C"/>
          <w:sz w:val="24"/>
          <w:szCs w:val="24"/>
          <w:lang w:val="en" w:eastAsia="en-AU"/>
        </w:rPr>
        <w:t>epartment</w:t>
      </w:r>
      <w:r w:rsidRPr="004D307F">
        <w:rPr>
          <w:rFonts w:ascii="VIC-Regular" w:eastAsia="Times New Roman" w:hAnsi="VIC-Regular" w:cs="Arial" w:hint="eastAsia"/>
          <w:color w:val="011A3C"/>
          <w:sz w:val="24"/>
          <w:szCs w:val="24"/>
          <w:lang w:val="en" w:eastAsia="en-AU"/>
        </w:rPr>
        <w:t>’</w:t>
      </w:r>
      <w:r w:rsidRPr="004D307F">
        <w:rPr>
          <w:rFonts w:ascii="VIC-Regular" w:eastAsia="Times New Roman" w:hAnsi="VIC-Regular" w:cs="Arial"/>
          <w:color w:val="011A3C"/>
          <w:sz w:val="24"/>
          <w:szCs w:val="24"/>
          <w:lang w:val="en" w:eastAsia="en-AU"/>
        </w:rPr>
        <w:t xml:space="preserve">s policy on the </w:t>
      </w:r>
      <w:hyperlink r:id="rId184" w:history="1">
        <w:r w:rsidRPr="004D307F">
          <w:rPr>
            <w:rFonts w:ascii="VIC-Regular" w:eastAsia="Times New Roman" w:hAnsi="VIC-Regular" w:cs="Arial"/>
            <w:color w:val="011A3C"/>
            <w:sz w:val="24"/>
            <w:szCs w:val="24"/>
            <w:u w:val="single"/>
            <w:lang w:val="en" w:eastAsia="en-AU"/>
          </w:rPr>
          <w:t>Tutor Learning Initiative 2022</w:t>
        </w:r>
      </w:hyperlink>
      <w:r w:rsidRPr="004D307F">
        <w:rPr>
          <w:rFonts w:ascii="VIC-Regular" w:eastAsia="Times New Roman" w:hAnsi="VIC-Regular" w:cs="Arial"/>
          <w:color w:val="011A3C"/>
          <w:sz w:val="24"/>
          <w:szCs w:val="24"/>
          <w:lang w:val="en" w:eastAsia="en-AU"/>
        </w:rPr>
        <w:t>.</w:t>
      </w:r>
    </w:p>
    <w:p w14:paraId="425A8812"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Schools do not have to apply for TLI funding. Funding will be provided directly to schools as a specific purpose payment through a Student Resource Package (SRP) credit allocation. Schools are required to spend and acquit the TLI allocation during the 2022 calendar year. Schools must only use their funding for the provision of the TLI in schools which is to provide targeted teaching by a tutor to students identified as needing support. </w:t>
      </w:r>
    </w:p>
    <w:p w14:paraId="2622F25B"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25B86267"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All government schools, except ‘Camp’ and ‘Language’ school types are eligible for TLI funding, including:</w:t>
      </w:r>
    </w:p>
    <w:p w14:paraId="2DA3DEFD" w14:textId="77777777" w:rsidR="008205DE" w:rsidRPr="004D307F" w:rsidRDefault="008205DE" w:rsidP="00ED0863">
      <w:pPr>
        <w:numPr>
          <w:ilvl w:val="0"/>
          <w:numId w:val="164"/>
        </w:num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w:t>
      </w:r>
    </w:p>
    <w:p w14:paraId="02AE5406" w14:textId="77777777" w:rsidR="008205DE" w:rsidRPr="004D307F" w:rsidRDefault="008205DE" w:rsidP="00ED0863">
      <w:pPr>
        <w:numPr>
          <w:ilvl w:val="0"/>
          <w:numId w:val="164"/>
        </w:num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Secondary</w:t>
      </w:r>
    </w:p>
    <w:p w14:paraId="74DA21EC" w14:textId="77777777" w:rsidR="008205DE" w:rsidRPr="004D307F" w:rsidRDefault="008205DE" w:rsidP="00ED0863">
      <w:pPr>
        <w:numPr>
          <w:ilvl w:val="0"/>
          <w:numId w:val="164"/>
        </w:num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Primary/Secondary</w:t>
      </w:r>
    </w:p>
    <w:p w14:paraId="6F546055" w14:textId="77777777" w:rsidR="008205DE" w:rsidRPr="004D307F" w:rsidRDefault="008205DE" w:rsidP="00ED0863">
      <w:pPr>
        <w:numPr>
          <w:ilvl w:val="0"/>
          <w:numId w:val="164"/>
        </w:num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Specialist.</w:t>
      </w:r>
    </w:p>
    <w:p w14:paraId="1300888E"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Funding allocations</w:t>
      </w:r>
    </w:p>
    <w:p w14:paraId="168363D0" w14:textId="463A7FA8"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In October 202</w:t>
      </w:r>
      <w:r w:rsidR="00ED2F0A" w:rsidRPr="004D307F">
        <w:rPr>
          <w:rFonts w:ascii="VIC-Regular" w:eastAsia="Times New Roman" w:hAnsi="VIC-Regular" w:cs="Arial"/>
          <w:color w:val="011A3C"/>
          <w:sz w:val="24"/>
          <w:szCs w:val="24"/>
          <w:lang w:val="en" w:eastAsia="en-AU"/>
        </w:rPr>
        <w:t>1</w:t>
      </w:r>
      <w:r w:rsidRPr="004D307F">
        <w:rPr>
          <w:rFonts w:ascii="VIC-Regular" w:eastAsia="Times New Roman" w:hAnsi="VIC-Regular" w:cs="Arial"/>
          <w:color w:val="011A3C"/>
          <w:sz w:val="24"/>
          <w:szCs w:val="24"/>
          <w:lang w:val="en" w:eastAsia="en-AU"/>
        </w:rPr>
        <w:t>,</w:t>
      </w:r>
      <w:r w:rsidR="00ED2F0A" w:rsidRPr="004D307F">
        <w:rPr>
          <w:rFonts w:ascii="VIC-Regular" w:eastAsia="Times New Roman" w:hAnsi="VIC-Regular" w:cs="Arial"/>
          <w:color w:val="011A3C"/>
          <w:sz w:val="24"/>
          <w:szCs w:val="24"/>
          <w:lang w:val="en" w:eastAsia="en-AU"/>
        </w:rPr>
        <w:t xml:space="preserve"> s</w:t>
      </w:r>
      <w:r w:rsidRPr="004D307F">
        <w:rPr>
          <w:rFonts w:ascii="VIC-Regular" w:eastAsia="Times New Roman" w:hAnsi="VIC-Regular" w:cs="Arial"/>
          <w:color w:val="011A3C"/>
          <w:sz w:val="24"/>
          <w:szCs w:val="24"/>
          <w:lang w:val="en" w:eastAsia="en-AU"/>
        </w:rPr>
        <w:t xml:space="preserve">chools are to be advised of their indicative TLI funding, the equivalent FTE and number of students this was expected to support, and their expected 2021 SRP credit surplus contribution where applicable. Enrolments collected during February 2022 census will be used to </w:t>
      </w:r>
      <w:proofErr w:type="spellStart"/>
      <w:r w:rsidRPr="004D307F">
        <w:rPr>
          <w:rFonts w:ascii="VIC-Regular" w:eastAsia="Times New Roman" w:hAnsi="VIC-Regular" w:cs="Arial"/>
          <w:color w:val="011A3C"/>
          <w:sz w:val="24"/>
          <w:szCs w:val="24"/>
          <w:lang w:val="en" w:eastAsia="en-AU"/>
        </w:rPr>
        <w:t>finalise</w:t>
      </w:r>
      <w:proofErr w:type="spellEnd"/>
      <w:r w:rsidRPr="004D307F">
        <w:rPr>
          <w:rFonts w:ascii="VIC-Regular" w:eastAsia="Times New Roman" w:hAnsi="VIC-Regular" w:cs="Arial"/>
          <w:color w:val="011A3C"/>
          <w:sz w:val="24"/>
          <w:szCs w:val="24"/>
          <w:lang w:val="en" w:eastAsia="en-AU"/>
        </w:rPr>
        <w:t xml:space="preserve"> the 2022 TLI allocation to schools. Based on that calculation, each school will receive a confirmed TLI allocation equal to or greater than the amount that was advised in October 202</w:t>
      </w:r>
      <w:r w:rsidR="00ED2F0A" w:rsidRPr="004D307F">
        <w:rPr>
          <w:rFonts w:ascii="VIC-Regular" w:eastAsia="Times New Roman" w:hAnsi="VIC-Regular" w:cs="Arial"/>
          <w:color w:val="011A3C"/>
          <w:sz w:val="24"/>
          <w:szCs w:val="24"/>
          <w:lang w:val="en" w:eastAsia="en-AU"/>
        </w:rPr>
        <w:t>1</w:t>
      </w:r>
      <w:r w:rsidRPr="004D307F">
        <w:rPr>
          <w:rFonts w:ascii="VIC-Regular" w:eastAsia="Times New Roman" w:hAnsi="VIC-Regular" w:cs="Arial"/>
          <w:color w:val="011A3C"/>
          <w:sz w:val="24"/>
          <w:szCs w:val="24"/>
          <w:lang w:val="en" w:eastAsia="en-AU"/>
        </w:rPr>
        <w:t>.</w:t>
      </w:r>
    </w:p>
    <w:p w14:paraId="4998ED31"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0AD04759"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To ensure schools can participate effectively in the TLI, each eligible school campus will receive a base level allocation of $25,000 for primary enrolments and $25,000 for secondary enrolments, with additional loadings based on student enrolments and disadvantage.</w:t>
      </w:r>
    </w:p>
    <w:p w14:paraId="734DCCF0" w14:textId="77777777" w:rsidR="008205DE" w:rsidRPr="004D307F" w:rsidRDefault="008205DE" w:rsidP="004D307F">
      <w:pPr>
        <w:spacing w:before="120" w:after="120" w:line="360" w:lineRule="atLeast"/>
        <w:outlineLvl w:val="3"/>
        <w:rPr>
          <w:rFonts w:ascii="VIC-Bold" w:eastAsia="Times New Roman" w:hAnsi="VIC-Bold" w:cs="Arial"/>
          <w:color w:val="011A3C"/>
          <w:sz w:val="24"/>
          <w:szCs w:val="24"/>
          <w:lang w:val="en" w:eastAsia="en-AU"/>
        </w:rPr>
      </w:pPr>
      <w:r w:rsidRPr="004D307F">
        <w:rPr>
          <w:rFonts w:ascii="VIC-Bold" w:eastAsia="Times New Roman" w:hAnsi="VIC-Bold" w:cs="Arial"/>
          <w:color w:val="011A3C"/>
          <w:sz w:val="24"/>
          <w:szCs w:val="24"/>
          <w:lang w:val="en" w:eastAsia="en-AU"/>
        </w:rPr>
        <w:t>For each eligible campus</w:t>
      </w:r>
    </w:p>
    <w:p w14:paraId="0ABC0874" w14:textId="77777777" w:rsidR="008205DE" w:rsidRPr="004D307F" w:rsidRDefault="008205DE" w:rsidP="004D307F">
      <w:pPr>
        <w:spacing w:before="120" w:after="120" w:line="360" w:lineRule="atLeast"/>
        <w:outlineLvl w:val="4"/>
        <w:rPr>
          <w:rFonts w:ascii="VIC-Bold" w:eastAsia="Times New Roman" w:hAnsi="VIC-Bold" w:cs="Arial"/>
          <w:color w:val="011A3C"/>
          <w:sz w:val="20"/>
          <w:szCs w:val="20"/>
          <w:lang w:val="en" w:eastAsia="en-AU"/>
        </w:rPr>
      </w:pPr>
      <w:r w:rsidRPr="004D307F">
        <w:rPr>
          <w:rFonts w:ascii="VIC-Bold" w:eastAsia="Times New Roman" w:hAnsi="VIC-Bold" w:cs="Arial"/>
          <w:color w:val="011A3C"/>
          <w:sz w:val="20"/>
          <w:szCs w:val="20"/>
          <w:lang w:val="en" w:eastAsia="en-AU"/>
        </w:rPr>
        <w:lastRenderedPageBreak/>
        <w:t>a) Primary allocation</w:t>
      </w:r>
    </w:p>
    <w:p w14:paraId="6A9D07F4"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Provided if Primary Enrolment &gt; 0</w:t>
      </w:r>
    </w:p>
    <w:p w14:paraId="2547163A"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Formula:</w:t>
      </w:r>
    </w:p>
    <w:p w14:paraId="332C68D7"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Max of</w:t>
      </w:r>
    </w:p>
    <w:p w14:paraId="49BEDBAB"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[Floor 25K]</w:t>
      </w:r>
    </w:p>
    <w:p w14:paraId="39FE079D"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or</w:t>
      </w:r>
    </w:p>
    <w:p w14:paraId="6176D95D"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w:t>
      </w:r>
      <w:proofErr w:type="spellStart"/>
      <w:r w:rsidRPr="004D307F">
        <w:rPr>
          <w:rFonts w:ascii="VIC-Regular" w:eastAsia="Times New Roman" w:hAnsi="VIC-Regular" w:cs="Arial"/>
          <w:color w:val="011A3C"/>
          <w:sz w:val="24"/>
          <w:szCs w:val="24"/>
          <w:lang w:val="en" w:eastAsia="en-AU"/>
        </w:rPr>
        <w:t>pri_total_enrol</w:t>
      </w:r>
      <w:proofErr w:type="spellEnd"/>
      <w:r w:rsidRPr="004D307F">
        <w:rPr>
          <w:rFonts w:ascii="VIC-Regular" w:eastAsia="Times New Roman" w:hAnsi="VIC-Regular" w:cs="Arial"/>
          <w:color w:val="011A3C"/>
          <w:sz w:val="24"/>
          <w:szCs w:val="24"/>
          <w:lang w:val="en" w:eastAsia="en-AU"/>
        </w:rPr>
        <w:t xml:space="preserve"> × </w:t>
      </w:r>
      <w:proofErr w:type="spellStart"/>
      <w:r w:rsidRPr="004D307F">
        <w:rPr>
          <w:rFonts w:ascii="VIC-Regular" w:eastAsia="Times New Roman" w:hAnsi="VIC-Regular" w:cs="Arial"/>
          <w:color w:val="011A3C"/>
          <w:sz w:val="24"/>
          <w:szCs w:val="24"/>
          <w:lang w:val="en" w:eastAsia="en-AU"/>
        </w:rPr>
        <w:t>pri_enrol_rate</w:t>
      </w:r>
      <w:proofErr w:type="spellEnd"/>
      <w:r w:rsidRPr="004D307F">
        <w:rPr>
          <w:rFonts w:ascii="VIC-Regular" w:eastAsia="Times New Roman" w:hAnsi="VIC-Regular" w:cs="Arial"/>
          <w:color w:val="011A3C"/>
          <w:sz w:val="24"/>
          <w:szCs w:val="24"/>
          <w:lang w:val="en" w:eastAsia="en-AU"/>
        </w:rPr>
        <w:t> + </w:t>
      </w:r>
      <w:proofErr w:type="spellStart"/>
      <w:r w:rsidRPr="004D307F">
        <w:rPr>
          <w:rFonts w:ascii="VIC-Regular" w:eastAsia="Times New Roman" w:hAnsi="VIC-Regular" w:cs="Arial"/>
          <w:color w:val="011A3C"/>
          <w:sz w:val="24"/>
          <w:szCs w:val="24"/>
          <w:lang w:val="en" w:eastAsia="en-AU"/>
        </w:rPr>
        <w:t>pri_SD_enrol</w:t>
      </w:r>
      <w:proofErr w:type="spellEnd"/>
      <w:r w:rsidRPr="004D307F">
        <w:rPr>
          <w:rFonts w:ascii="VIC-Regular" w:eastAsia="Times New Roman" w:hAnsi="VIC-Regular" w:cs="Arial"/>
          <w:color w:val="011A3C"/>
          <w:sz w:val="24"/>
          <w:szCs w:val="24"/>
          <w:lang w:val="en" w:eastAsia="en-AU"/>
        </w:rPr>
        <w:t> × </w:t>
      </w:r>
      <w:proofErr w:type="spellStart"/>
      <w:r w:rsidRPr="004D307F">
        <w:rPr>
          <w:rFonts w:ascii="VIC-Regular" w:eastAsia="Times New Roman" w:hAnsi="VIC-Regular" w:cs="Arial"/>
          <w:color w:val="011A3C"/>
          <w:sz w:val="24"/>
          <w:szCs w:val="24"/>
          <w:lang w:val="en" w:eastAsia="en-AU"/>
        </w:rPr>
        <w:t>pri_SD_enrol_rate</w:t>
      </w:r>
      <w:proofErr w:type="spellEnd"/>
      <w:r w:rsidRPr="004D307F">
        <w:rPr>
          <w:rFonts w:ascii="VIC-Regular" w:eastAsia="Times New Roman" w:hAnsi="VIC-Regular" w:cs="Arial"/>
          <w:color w:val="011A3C"/>
          <w:sz w:val="24"/>
          <w:szCs w:val="24"/>
          <w:lang w:val="en" w:eastAsia="en-AU"/>
        </w:rPr>
        <w:t>]</w:t>
      </w:r>
    </w:p>
    <w:p w14:paraId="277DC1FE" w14:textId="77777777" w:rsidR="008205DE" w:rsidRPr="004D307F" w:rsidRDefault="008205DE" w:rsidP="004D307F">
      <w:pPr>
        <w:spacing w:before="120" w:after="120" w:line="360" w:lineRule="atLeast"/>
        <w:outlineLvl w:val="4"/>
        <w:rPr>
          <w:rFonts w:ascii="VIC-Bold" w:eastAsia="Times New Roman" w:hAnsi="VIC-Bold" w:cs="Arial"/>
          <w:color w:val="011A3C"/>
          <w:sz w:val="20"/>
          <w:szCs w:val="20"/>
          <w:lang w:val="en" w:eastAsia="en-AU"/>
        </w:rPr>
      </w:pPr>
      <w:r w:rsidRPr="004D307F">
        <w:rPr>
          <w:rFonts w:ascii="VIC-Bold" w:eastAsia="Times New Roman" w:hAnsi="VIC-Bold" w:cs="Arial"/>
          <w:color w:val="011A3C"/>
          <w:sz w:val="20"/>
          <w:szCs w:val="20"/>
          <w:lang w:val="en" w:eastAsia="en-AU"/>
        </w:rPr>
        <w:t>b) Secondary allocation</w:t>
      </w:r>
    </w:p>
    <w:p w14:paraId="1E87F4C2"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Provided if Secondary Enrolment &gt; 0</w:t>
      </w:r>
    </w:p>
    <w:p w14:paraId="60C574E4"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Formula:</w:t>
      </w:r>
    </w:p>
    <w:p w14:paraId="1222346F"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Max of   </w:t>
      </w:r>
    </w:p>
    <w:p w14:paraId="4542457D"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[Floor 25K] </w:t>
      </w:r>
    </w:p>
    <w:p w14:paraId="1A70AAF9"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or       </w:t>
      </w:r>
    </w:p>
    <w:p w14:paraId="6F5BCEC6"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[sec_total_enrol × sec_enrol_rate + sec_SD_enrol × sec_SD_enrol_rate]</w:t>
      </w:r>
    </w:p>
    <w:p w14:paraId="3018643D" w14:textId="77777777" w:rsidR="008205DE" w:rsidRPr="004D307F" w:rsidRDefault="008205DE" w:rsidP="004D307F">
      <w:pPr>
        <w:spacing w:before="120" w:after="120" w:line="360" w:lineRule="atLeast"/>
        <w:outlineLvl w:val="4"/>
        <w:rPr>
          <w:rFonts w:ascii="VIC-Bold" w:eastAsia="Times New Roman" w:hAnsi="VIC-Bold" w:cs="Arial"/>
          <w:color w:val="011A3C"/>
          <w:sz w:val="20"/>
          <w:szCs w:val="20"/>
          <w:lang w:val="en" w:eastAsia="en-AU"/>
        </w:rPr>
      </w:pPr>
      <w:r w:rsidRPr="004D307F">
        <w:rPr>
          <w:rFonts w:ascii="VIC-Bold" w:eastAsia="Times New Roman" w:hAnsi="VIC-Bold" w:cs="Arial"/>
          <w:color w:val="011A3C"/>
          <w:sz w:val="20"/>
          <w:szCs w:val="20"/>
          <w:lang w:val="en" w:eastAsia="en-AU"/>
        </w:rPr>
        <w:t>c) Total Allocation = (a) + (b)</w:t>
      </w:r>
    </w:p>
    <w:p w14:paraId="12C4C933"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Rates</w:t>
      </w:r>
    </w:p>
    <w:p w14:paraId="2267555D"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Primary year level (Prep to Year 6 including primary ungraded or age equivalents) per student rate - $172(referenced as </w:t>
      </w:r>
      <w:proofErr w:type="spellStart"/>
      <w:r w:rsidRPr="004D307F">
        <w:rPr>
          <w:rFonts w:ascii="VIC-Regular" w:eastAsia="Times New Roman" w:hAnsi="VIC-Regular" w:cs="Arial"/>
          <w:color w:val="011A3C"/>
          <w:sz w:val="24"/>
          <w:szCs w:val="24"/>
          <w:lang w:val="en" w:eastAsia="en-AU"/>
        </w:rPr>
        <w:t>pri_total_enrol</w:t>
      </w:r>
      <w:proofErr w:type="spellEnd"/>
      <w:r w:rsidRPr="004D307F">
        <w:rPr>
          <w:rFonts w:ascii="VIC-Regular" w:eastAsia="Times New Roman" w:hAnsi="VIC-Regular" w:cs="Arial"/>
          <w:color w:val="011A3C"/>
          <w:sz w:val="24"/>
          <w:szCs w:val="24"/>
          <w:lang w:val="en" w:eastAsia="en-AU"/>
        </w:rPr>
        <w:t xml:space="preserve"> in calculation above).</w:t>
      </w:r>
    </w:p>
    <w:p w14:paraId="71428E39"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Secondary (Year 7 to Year 12 including secondary ungraded or age equivalents) per student rate - 1194(referenced as </w:t>
      </w:r>
      <w:proofErr w:type="spellStart"/>
      <w:r w:rsidRPr="004D307F">
        <w:rPr>
          <w:rFonts w:ascii="VIC-Regular" w:eastAsia="Times New Roman" w:hAnsi="VIC-Regular" w:cs="Arial"/>
          <w:color w:val="011A3C"/>
          <w:sz w:val="24"/>
          <w:szCs w:val="24"/>
          <w:lang w:val="en" w:eastAsia="en-AU"/>
        </w:rPr>
        <w:t>sec_total_enrol</w:t>
      </w:r>
      <w:proofErr w:type="spellEnd"/>
      <w:r w:rsidRPr="004D307F">
        <w:rPr>
          <w:rFonts w:ascii="VIC-Regular" w:eastAsia="Times New Roman" w:hAnsi="VIC-Regular" w:cs="Arial"/>
          <w:color w:val="011A3C"/>
          <w:sz w:val="24"/>
          <w:szCs w:val="24"/>
          <w:lang w:val="en" w:eastAsia="en-AU"/>
        </w:rPr>
        <w:t xml:space="preserve"> in calculation above).</w:t>
      </w:r>
    </w:p>
    <w:p w14:paraId="21571ED0"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Primary and special eligible social disadvantage per student rate - $464 (referenced as </w:t>
      </w:r>
      <w:proofErr w:type="spellStart"/>
      <w:r w:rsidRPr="004D307F">
        <w:rPr>
          <w:rFonts w:ascii="VIC-Regular" w:eastAsia="Times New Roman" w:hAnsi="VIC-Regular" w:cs="Arial"/>
          <w:color w:val="011A3C"/>
          <w:sz w:val="24"/>
          <w:szCs w:val="24"/>
          <w:lang w:val="en" w:eastAsia="en-AU"/>
        </w:rPr>
        <w:t>pri_SD_enrol_rate</w:t>
      </w:r>
      <w:proofErr w:type="spellEnd"/>
      <w:r w:rsidRPr="004D307F">
        <w:rPr>
          <w:rFonts w:ascii="VIC-Regular" w:eastAsia="Times New Roman" w:hAnsi="VIC-Regular" w:cs="Arial"/>
          <w:color w:val="011A3C"/>
          <w:sz w:val="24"/>
          <w:szCs w:val="24"/>
          <w:lang w:val="en" w:eastAsia="en-AU"/>
        </w:rPr>
        <w:t xml:space="preserve"> in calculation above).</w:t>
      </w:r>
    </w:p>
    <w:p w14:paraId="2645E004"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Secondary social disadvantage per student rate - $522 (referenced as </w:t>
      </w:r>
      <w:proofErr w:type="spellStart"/>
      <w:r w:rsidRPr="004D307F">
        <w:rPr>
          <w:rFonts w:ascii="VIC-Regular" w:eastAsia="Times New Roman" w:hAnsi="VIC-Regular" w:cs="Arial"/>
          <w:color w:val="011A3C"/>
          <w:sz w:val="24"/>
          <w:szCs w:val="24"/>
          <w:lang w:val="en" w:eastAsia="en-AU"/>
        </w:rPr>
        <w:t>sec_SD_enrol_rate</w:t>
      </w:r>
      <w:proofErr w:type="spellEnd"/>
      <w:r w:rsidRPr="004D307F">
        <w:rPr>
          <w:rFonts w:ascii="VIC-Regular" w:eastAsia="Times New Roman" w:hAnsi="VIC-Regular" w:cs="Arial"/>
          <w:color w:val="011A3C"/>
          <w:sz w:val="24"/>
          <w:szCs w:val="24"/>
          <w:lang w:val="en" w:eastAsia="en-AU"/>
        </w:rPr>
        <w:t xml:space="preserve"> in calculation above).</w:t>
      </w:r>
    </w:p>
    <w:p w14:paraId="61AFB3BF" w14:textId="77777777" w:rsidR="008205DE" w:rsidRPr="004D307F" w:rsidRDefault="008205DE"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Contact information</w:t>
      </w:r>
    </w:p>
    <w:p w14:paraId="2C8F8C5E" w14:textId="77777777" w:rsidR="008205DE" w:rsidRPr="004D307F" w:rsidRDefault="008205DE" w:rsidP="004D307F">
      <w:pPr>
        <w:spacing w:before="120" w:after="120" w:line="360" w:lineRule="atLeast"/>
        <w:rPr>
          <w:rFonts w:ascii="VIC-Regular" w:eastAsia="Times New Roman" w:hAnsi="VIC-Regular" w:cs="Arial"/>
          <w:color w:val="011A3C"/>
          <w:sz w:val="24"/>
          <w:szCs w:val="24"/>
          <w:lang w:val="en" w:eastAsia="en-AU"/>
        </w:rPr>
      </w:pPr>
      <w:r w:rsidRPr="004D307F">
        <w:rPr>
          <w:rFonts w:ascii="VIC-Regular" w:eastAsia="Times New Roman" w:hAnsi="VIC-Regular" w:cs="Arial"/>
          <w:color w:val="011A3C"/>
          <w:sz w:val="24"/>
          <w:szCs w:val="24"/>
          <w:lang w:val="en" w:eastAsia="en-AU"/>
        </w:rPr>
        <w:t xml:space="preserve">For further information contact your Student Achievement Manager, or </w:t>
      </w:r>
      <w:hyperlink r:id="rId185" w:tgtFrame="_blank" w:history="1">
        <w:r w:rsidRPr="004D307F">
          <w:rPr>
            <w:rFonts w:ascii="VIC-Regular" w:eastAsia="Times New Roman" w:hAnsi="VIC-Regular" w:cs="Arial"/>
            <w:color w:val="011A3C"/>
            <w:sz w:val="24"/>
            <w:szCs w:val="24"/>
            <w:lang w:val="en" w:eastAsia="en-AU"/>
          </w:rPr>
          <w:t>tutor@education.vic.gov.au</w:t>
        </w:r>
      </w:hyperlink>
    </w:p>
    <w:bookmarkEnd w:id="125"/>
    <w:p w14:paraId="76D9873B" w14:textId="77777777" w:rsidR="00E42436" w:rsidRPr="004D307F" w:rsidRDefault="00E42436" w:rsidP="004D307F">
      <w:pPr>
        <w:spacing w:before="120" w:after="120" w:line="360" w:lineRule="atLeast"/>
      </w:pPr>
    </w:p>
    <w:p w14:paraId="5F3CECCD" w14:textId="72BED3FF" w:rsidR="00CA677C" w:rsidRPr="004D307F" w:rsidRDefault="00CA677C" w:rsidP="005722F0">
      <w:r w:rsidRPr="004D307F">
        <w:lastRenderedPageBreak/>
        <w:br w:type="page"/>
      </w:r>
    </w:p>
    <w:p w14:paraId="58EDD84F" w14:textId="38862871" w:rsidR="000012C9" w:rsidRPr="004D307F" w:rsidRDefault="00CA677C" w:rsidP="00B566E7">
      <w:pPr>
        <w:pStyle w:val="Heading2"/>
      </w:pPr>
      <w:bookmarkStart w:id="126" w:name="_Toc99882789"/>
      <w:r w:rsidRPr="004D307F">
        <w:lastRenderedPageBreak/>
        <w:t>Mental Health in Primary Schools</w:t>
      </w:r>
      <w:r w:rsidR="0062549B" w:rsidRPr="004D307F">
        <w:t xml:space="preserve"> </w:t>
      </w:r>
      <w:r w:rsidR="0081228D" w:rsidRPr="004D307F">
        <w:t xml:space="preserve">Pilot </w:t>
      </w:r>
      <w:r w:rsidR="0062549B" w:rsidRPr="004D307F">
        <w:t>(Ref</w:t>
      </w:r>
      <w:r w:rsidR="004A6878" w:rsidRPr="004D307F">
        <w:t>erence 130</w:t>
      </w:r>
      <w:r w:rsidR="0062549B" w:rsidRPr="004D307F">
        <w:t>)</w:t>
      </w:r>
      <w:bookmarkEnd w:id="126"/>
    </w:p>
    <w:p w14:paraId="41B64AF1" w14:textId="3ADC644A" w:rsidR="00E923C4" w:rsidRPr="004D307F" w:rsidRDefault="00E923C4" w:rsidP="004D307F">
      <w:pPr>
        <w:spacing w:before="120" w:after="120" w:line="360" w:lineRule="atLeast"/>
        <w:rPr>
          <w:rFonts w:ascii="VIC-Regular" w:eastAsia="Times New Roman" w:hAnsi="VIC-Regular" w:cs="Times New Roman"/>
          <w:color w:val="011A3C"/>
          <w:sz w:val="24"/>
          <w:szCs w:val="24"/>
        </w:rPr>
      </w:pPr>
      <w:r w:rsidRPr="004D307F">
        <w:rPr>
          <w:rFonts w:ascii="VIC-Regular" w:eastAsia="Times New Roman" w:hAnsi="VIC-Regular" w:cs="Times New Roman"/>
          <w:color w:val="011A3C"/>
          <w:sz w:val="24"/>
          <w:szCs w:val="24"/>
        </w:rPr>
        <w:t xml:space="preserve">The </w:t>
      </w:r>
      <w:r w:rsidR="00E75F12">
        <w:rPr>
          <w:rFonts w:ascii="VIC-Regular" w:eastAsia="Times New Roman" w:hAnsi="VIC-Regular" w:cs="Times New Roman"/>
          <w:color w:val="011A3C"/>
          <w:sz w:val="24"/>
          <w:szCs w:val="24"/>
        </w:rPr>
        <w:t>d</w:t>
      </w:r>
      <w:r w:rsidRPr="004D307F">
        <w:rPr>
          <w:rFonts w:ascii="VIC-Regular" w:eastAsia="Times New Roman" w:hAnsi="VIC-Regular" w:cs="Times New Roman"/>
          <w:color w:val="011A3C"/>
          <w:sz w:val="24"/>
          <w:szCs w:val="24"/>
        </w:rPr>
        <w:t xml:space="preserve">epartment has partnered with the Murdoch Children’s Research Institute to deliver the Mental Health in Primary Schools Pilot (Pilot) to provide more mental health support in primary schools. </w:t>
      </w:r>
    </w:p>
    <w:p w14:paraId="0965D14D" w14:textId="77777777" w:rsidR="00E923C4" w:rsidRPr="004D307F" w:rsidRDefault="00E923C4" w:rsidP="004D307F">
      <w:pPr>
        <w:spacing w:before="120" w:after="120" w:line="360" w:lineRule="atLeast"/>
        <w:rPr>
          <w:rFonts w:ascii="VIC-Regular" w:eastAsia="Times New Roman" w:hAnsi="VIC-Regular" w:cs="Times New Roman"/>
          <w:color w:val="011A3C"/>
          <w:sz w:val="24"/>
          <w:szCs w:val="24"/>
        </w:rPr>
      </w:pPr>
      <w:r w:rsidRPr="004D307F">
        <w:rPr>
          <w:rFonts w:ascii="VIC-Regular" w:eastAsia="Times New Roman" w:hAnsi="VIC-Regular" w:cs="Times New Roman"/>
          <w:color w:val="011A3C"/>
          <w:sz w:val="24"/>
          <w:szCs w:val="24"/>
        </w:rPr>
        <w:t xml:space="preserve">Participating schools receive funding to employ a Mental Health and Wellbeing Coordinator (MHWC). The role of the MHWC is to implement a whole-school approach to mental health and wellbeing, build the capability of teaching/education support staff to identify and support students with mental health concerns, and support schools to create clear referral pathways for students needing further assessment and intervention. </w:t>
      </w:r>
    </w:p>
    <w:p w14:paraId="01EDB3AB" w14:textId="701EB856" w:rsidR="00F20EC8" w:rsidRPr="004D307F" w:rsidRDefault="00E923C4" w:rsidP="004D307F">
      <w:pPr>
        <w:spacing w:before="120" w:after="120" w:line="360" w:lineRule="atLeast"/>
        <w:rPr>
          <w:sz w:val="21"/>
          <w:szCs w:val="21"/>
        </w:rPr>
      </w:pPr>
      <w:r w:rsidRPr="004D307F">
        <w:rPr>
          <w:rFonts w:ascii="VIC-Regular" w:eastAsia="Times New Roman" w:hAnsi="VIC-Regular" w:cs="Times New Roman"/>
          <w:color w:val="011A3C"/>
          <w:sz w:val="24"/>
          <w:szCs w:val="24"/>
        </w:rPr>
        <w:t>Each participating region has a Pilot Coordinator to support implementation and be in regular contact with schools.</w:t>
      </w:r>
    </w:p>
    <w:p w14:paraId="35BD362C" w14:textId="5F7110D3" w:rsidR="00F20EC8" w:rsidRPr="004D307F" w:rsidRDefault="00F20EC8" w:rsidP="004D307F">
      <w:pPr>
        <w:spacing w:before="360" w:after="120" w:line="360"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Eligibility</w:t>
      </w:r>
    </w:p>
    <w:p w14:paraId="5FBF6C6D" w14:textId="3C8EFC6A" w:rsidR="006A4A67" w:rsidRPr="004D307F" w:rsidRDefault="00E75F12" w:rsidP="006A4A67">
      <w:pPr>
        <w:spacing w:before="360" w:after="120" w:line="360" w:lineRule="atLeast"/>
        <w:outlineLvl w:val="2"/>
        <w:rPr>
          <w:rFonts w:ascii="VIC-Regular" w:eastAsia="Times New Roman" w:hAnsi="VIC-Regular" w:cs="Times New Roman"/>
          <w:color w:val="011A3C"/>
          <w:sz w:val="24"/>
          <w:szCs w:val="24"/>
          <w:lang w:val="en" w:eastAsia="en-AU"/>
        </w:rPr>
      </w:pPr>
      <w:r>
        <w:rPr>
          <w:rFonts w:ascii="VIC-Regular" w:eastAsia="Times New Roman" w:hAnsi="VIC-Regular" w:cs="Times New Roman"/>
          <w:color w:val="011A3C"/>
          <w:sz w:val="24"/>
          <w:szCs w:val="24"/>
          <w:lang w:val="en" w:eastAsia="en-AU"/>
        </w:rPr>
        <w:t>One hundred</w:t>
      </w:r>
      <w:r w:rsidR="006A4A67" w:rsidRPr="004D307F">
        <w:rPr>
          <w:rFonts w:ascii="VIC-Regular" w:eastAsia="Times New Roman" w:hAnsi="VIC-Regular" w:cs="Times New Roman"/>
          <w:color w:val="011A3C"/>
          <w:sz w:val="24"/>
          <w:szCs w:val="24"/>
          <w:lang w:val="en" w:eastAsia="en-AU"/>
        </w:rPr>
        <w:t xml:space="preserve"> primary schools have been selected to participate in the Mental Health in Primary Schools Pilot (the Pilot) in 2022. </w:t>
      </w:r>
    </w:p>
    <w:p w14:paraId="4DAF7720" w14:textId="77777777" w:rsidR="006A4A67" w:rsidRPr="004D307F" w:rsidRDefault="006A4A67" w:rsidP="006A4A67">
      <w:pPr>
        <w:spacing w:before="360" w:after="120" w:line="360" w:lineRule="atLeast"/>
        <w:outlineLvl w:val="2"/>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were selected based on a selection </w:t>
      </w:r>
      <w:proofErr w:type="gramStart"/>
      <w:r w:rsidRPr="004D307F">
        <w:rPr>
          <w:rFonts w:ascii="VIC-Regular" w:eastAsia="Times New Roman" w:hAnsi="VIC-Regular" w:cs="Times New Roman"/>
          <w:color w:val="011A3C"/>
          <w:sz w:val="24"/>
          <w:szCs w:val="24"/>
          <w:lang w:val="en" w:eastAsia="en-AU"/>
        </w:rPr>
        <w:t>criteria</w:t>
      </w:r>
      <w:proofErr w:type="gramEnd"/>
      <w:r w:rsidRPr="004D307F">
        <w:rPr>
          <w:rFonts w:ascii="VIC-Regular" w:eastAsia="Times New Roman" w:hAnsi="VIC-Regular" w:cs="Times New Roman"/>
          <w:color w:val="011A3C"/>
          <w:sz w:val="24"/>
          <w:szCs w:val="24"/>
          <w:lang w:val="en" w:eastAsia="en-AU"/>
        </w:rPr>
        <w:t xml:space="preserve">: </w:t>
      </w:r>
    </w:p>
    <w:p w14:paraId="5F79E52F" w14:textId="57E7D9D5"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DET </w:t>
      </w:r>
      <w:r w:rsidR="00E75F12">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 xml:space="preserve">egion: schools based in DET’s </w:t>
      </w:r>
      <w:proofErr w:type="gramStart"/>
      <w:r w:rsidRPr="004D307F">
        <w:rPr>
          <w:rFonts w:ascii="VIC-Regular" w:eastAsia="Times New Roman" w:hAnsi="VIC-Regular" w:cs="Times New Roman"/>
          <w:color w:val="011A3C"/>
          <w:sz w:val="24"/>
          <w:szCs w:val="24"/>
          <w:lang w:val="en" w:eastAsia="en-AU"/>
        </w:rPr>
        <w:t>North Western</w:t>
      </w:r>
      <w:proofErr w:type="gramEnd"/>
      <w:r w:rsidRPr="004D307F">
        <w:rPr>
          <w:rFonts w:ascii="VIC-Regular" w:eastAsia="Times New Roman" w:hAnsi="VIC-Regular" w:cs="Times New Roman"/>
          <w:color w:val="011A3C"/>
          <w:sz w:val="24"/>
          <w:szCs w:val="24"/>
          <w:lang w:val="en" w:eastAsia="en-AU"/>
        </w:rPr>
        <w:t xml:space="preserve"> or South Western Victoria regions, which is where the pilot is based </w:t>
      </w:r>
    </w:p>
    <w:p w14:paraId="625A1EC1" w14:textId="77777777"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Need: using mental health and wellbeing data and DET region knowledge </w:t>
      </w:r>
    </w:p>
    <w:p w14:paraId="365AB46C" w14:textId="77777777"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Readiness: schools with the capacity and willingness to participate </w:t>
      </w:r>
    </w:p>
    <w:p w14:paraId="50C852B3" w14:textId="77777777"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Diversity of locations: selecting schools from metropolitan, </w:t>
      </w:r>
      <w:proofErr w:type="gramStart"/>
      <w:r w:rsidRPr="004D307F">
        <w:rPr>
          <w:rFonts w:ascii="VIC-Regular" w:eastAsia="Times New Roman" w:hAnsi="VIC-Regular" w:cs="Times New Roman"/>
          <w:color w:val="011A3C"/>
          <w:sz w:val="24"/>
          <w:szCs w:val="24"/>
          <w:lang w:val="en" w:eastAsia="en-AU"/>
        </w:rPr>
        <w:t>regional</w:t>
      </w:r>
      <w:proofErr w:type="gramEnd"/>
      <w:r w:rsidRPr="004D307F">
        <w:rPr>
          <w:rFonts w:ascii="VIC-Regular" w:eastAsia="Times New Roman" w:hAnsi="VIC-Regular" w:cs="Times New Roman"/>
          <w:color w:val="011A3C"/>
          <w:sz w:val="24"/>
          <w:szCs w:val="24"/>
          <w:lang w:val="en" w:eastAsia="en-AU"/>
        </w:rPr>
        <w:t xml:space="preserve"> and rural areas</w:t>
      </w:r>
    </w:p>
    <w:p w14:paraId="5B149E47" w14:textId="35C03AE4" w:rsidR="006A4A67" w:rsidRPr="004D307F" w:rsidRDefault="006A4A67" w:rsidP="00ED0863">
      <w:pPr>
        <w:pStyle w:val="ListParagraph"/>
        <w:numPr>
          <w:ilvl w:val="0"/>
          <w:numId w:val="135"/>
        </w:numPr>
        <w:spacing w:before="120" w:after="120" w:line="360" w:lineRule="atLeast"/>
        <w:contextualSpacing w:val="0"/>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Local clusters: to support schools to work together in a Community of Practice</w:t>
      </w:r>
    </w:p>
    <w:p w14:paraId="4108ED99" w14:textId="6CD03D8C" w:rsidR="006A4A67" w:rsidRPr="004D307F" w:rsidRDefault="006A4A67" w:rsidP="004D307F">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were endorsed for participation by their </w:t>
      </w:r>
      <w:r w:rsidR="00E75F12">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 xml:space="preserve">egion’s </w:t>
      </w:r>
      <w:r w:rsidR="00E75F12">
        <w:rPr>
          <w:rFonts w:ascii="VIC-Regular" w:eastAsia="Times New Roman" w:hAnsi="VIC-Regular" w:cs="Times New Roman"/>
          <w:color w:val="011A3C"/>
          <w:sz w:val="24"/>
          <w:szCs w:val="24"/>
          <w:lang w:val="en" w:eastAsia="en-AU"/>
        </w:rPr>
        <w:t>r</w:t>
      </w:r>
      <w:r w:rsidRPr="004D307F">
        <w:rPr>
          <w:rFonts w:ascii="VIC-Regular" w:eastAsia="Times New Roman" w:hAnsi="VIC-Regular" w:cs="Times New Roman"/>
          <w:color w:val="011A3C"/>
          <w:sz w:val="24"/>
          <w:szCs w:val="24"/>
          <w:lang w:val="en" w:eastAsia="en-AU"/>
        </w:rPr>
        <w:t xml:space="preserve">egional </w:t>
      </w:r>
      <w:r w:rsidR="00E75F12">
        <w:rPr>
          <w:rFonts w:ascii="VIC-Regular" w:eastAsia="Times New Roman" w:hAnsi="VIC-Regular" w:cs="Times New Roman"/>
          <w:color w:val="011A3C"/>
          <w:sz w:val="24"/>
          <w:szCs w:val="24"/>
          <w:lang w:val="en" w:eastAsia="en-AU"/>
        </w:rPr>
        <w:t>d</w:t>
      </w:r>
      <w:r w:rsidRPr="004D307F">
        <w:rPr>
          <w:rFonts w:ascii="VIC-Regular" w:eastAsia="Times New Roman" w:hAnsi="VIC-Regular" w:cs="Times New Roman"/>
          <w:color w:val="011A3C"/>
          <w:sz w:val="24"/>
          <w:szCs w:val="24"/>
          <w:lang w:val="en" w:eastAsia="en-AU"/>
        </w:rPr>
        <w:t xml:space="preserve">irector and Executive Director of School Support. </w:t>
      </w:r>
    </w:p>
    <w:p w14:paraId="08C45D00" w14:textId="77777777" w:rsidR="00371D05" w:rsidRPr="004D307F" w:rsidRDefault="00371D05">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64A39514" w14:textId="6327CA4C" w:rsidR="00F20EC8" w:rsidRPr="004D307F" w:rsidRDefault="00F20EC8" w:rsidP="004D307F">
      <w:pPr>
        <w:spacing w:before="360" w:after="120" w:line="360" w:lineRule="atLeast"/>
        <w:outlineLvl w:val="2"/>
        <w:rPr>
          <w:sz w:val="21"/>
          <w:szCs w:val="21"/>
        </w:rPr>
      </w:pPr>
      <w:r w:rsidRPr="004D307F">
        <w:rPr>
          <w:rFonts w:ascii="VIC-Bold" w:eastAsia="Times New Roman" w:hAnsi="VIC-Bold" w:cs="Times New Roman"/>
          <w:b/>
          <w:bCs/>
          <w:color w:val="011A3C"/>
          <w:sz w:val="27"/>
          <w:szCs w:val="27"/>
          <w:lang w:val="en" w:eastAsia="en-AU"/>
        </w:rPr>
        <w:lastRenderedPageBreak/>
        <w:t xml:space="preserve">Calculation </w:t>
      </w:r>
    </w:p>
    <w:p w14:paraId="69CE4B7D" w14:textId="77777777" w:rsidR="000F69C8" w:rsidRPr="004D307F" w:rsidRDefault="000F69C8" w:rsidP="000F69C8">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 xml:space="preserve">Schools will be funded for a MHWC from January to December 2022, ranging from a minimum of 0.4 FTE to 1.0 FTE. This will be at the Classroom Teacher 2-4 salary, plus on-costs. </w:t>
      </w:r>
    </w:p>
    <w:p w14:paraId="2A32E57C" w14:textId="77777777" w:rsidR="000F69C8" w:rsidRPr="004D307F" w:rsidRDefault="000F69C8" w:rsidP="000F69C8">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MHWC FTE allocation will depend on primary school enrolment, (see Table 1). Schools with a location index of 0.2 and above will receive a rural loading of an additional 0.1 FTE, in recognition of the challenges these schools face in recruiting.</w:t>
      </w:r>
    </w:p>
    <w:p w14:paraId="25C7E710" w14:textId="7D9A8F2C" w:rsidR="000F69C8" w:rsidRPr="004D307F" w:rsidRDefault="000F69C8" w:rsidP="00885B2C">
      <w:pPr>
        <w:spacing w:before="120" w:after="120" w:line="360" w:lineRule="atLeast"/>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t>Multi-campus school funding will be provided based on school-level rather than campus-level enrolment numbers. Multi-campus schools will have flexibility in how they allocate FTE and share learnings across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491"/>
        <w:gridCol w:w="3525"/>
      </w:tblGrid>
      <w:tr w:rsidR="00487B08" w:rsidRPr="004D307F" w14:paraId="2046F600" w14:textId="77777777" w:rsidTr="00885B2C">
        <w:trPr>
          <w:tblHeader/>
        </w:trPr>
        <w:tc>
          <w:tcPr>
            <w:tcW w:w="0" w:type="auto"/>
            <w:hideMark/>
          </w:tcPr>
          <w:p w14:paraId="58BDF694" w14:textId="4C4D1CA9" w:rsidR="00CA6F96" w:rsidRPr="004D307F" w:rsidRDefault="00CC32D2" w:rsidP="006A68F1">
            <w:pPr>
              <w:spacing w:after="0" w:line="240" w:lineRule="atLeast"/>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School enrolment</w:t>
            </w:r>
          </w:p>
        </w:tc>
        <w:tc>
          <w:tcPr>
            <w:tcW w:w="0" w:type="auto"/>
            <w:hideMark/>
          </w:tcPr>
          <w:p w14:paraId="0AA969A8" w14:textId="67E6D332" w:rsidR="00CA6F96" w:rsidRPr="004D307F" w:rsidRDefault="00EF40DA" w:rsidP="006A68F1">
            <w:pPr>
              <w:spacing w:after="0" w:line="240" w:lineRule="atLeast"/>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MHWC FTE</w:t>
            </w:r>
          </w:p>
        </w:tc>
      </w:tr>
      <w:tr w:rsidR="00487B08" w:rsidRPr="004D307F" w14:paraId="6B4F0D2A" w14:textId="77777777" w:rsidTr="00885B2C">
        <w:tc>
          <w:tcPr>
            <w:tcW w:w="0" w:type="auto"/>
            <w:hideMark/>
          </w:tcPr>
          <w:p w14:paraId="5D5818AB" w14:textId="5EBA2D45"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0</w:t>
            </w:r>
            <w:r w:rsidR="00E75F12">
              <w:rPr>
                <w:rFonts w:ascii="VIC" w:hAnsi="VIC"/>
              </w:rPr>
              <w:t xml:space="preserve"> to </w:t>
            </w:r>
            <w:r w:rsidRPr="004D307F">
              <w:rPr>
                <w:rFonts w:ascii="VIC" w:hAnsi="VIC"/>
              </w:rPr>
              <w:t>150</w:t>
            </w:r>
          </w:p>
        </w:tc>
        <w:tc>
          <w:tcPr>
            <w:tcW w:w="0" w:type="auto"/>
            <w:hideMark/>
          </w:tcPr>
          <w:p w14:paraId="17B73A94" w14:textId="07ACB0F5"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Calibri"/>
                <w:sz w:val="21"/>
                <w:szCs w:val="21"/>
              </w:rPr>
              <w:t>0.4</w:t>
            </w:r>
          </w:p>
        </w:tc>
      </w:tr>
      <w:tr w:rsidR="00487B08" w:rsidRPr="004D307F" w14:paraId="0A23B17C" w14:textId="77777777" w:rsidTr="004D307F">
        <w:tc>
          <w:tcPr>
            <w:tcW w:w="0" w:type="auto"/>
          </w:tcPr>
          <w:p w14:paraId="081002B6" w14:textId="1BB15A44"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150</w:t>
            </w:r>
            <w:r w:rsidR="00E75F12">
              <w:rPr>
                <w:rFonts w:ascii="VIC" w:hAnsi="VIC"/>
              </w:rPr>
              <w:t xml:space="preserve"> to </w:t>
            </w:r>
            <w:r w:rsidRPr="004D307F">
              <w:rPr>
                <w:rFonts w:ascii="VIC" w:hAnsi="VIC"/>
              </w:rPr>
              <w:t>300</w:t>
            </w:r>
          </w:p>
        </w:tc>
        <w:tc>
          <w:tcPr>
            <w:tcW w:w="0" w:type="auto"/>
          </w:tcPr>
          <w:p w14:paraId="6944A967" w14:textId="070D4E7F" w:rsidR="00487B08" w:rsidRPr="004D307F" w:rsidRDefault="00487B08" w:rsidP="00487B08">
            <w:pPr>
              <w:spacing w:after="0" w:line="360" w:lineRule="atLeast"/>
              <w:rPr>
                <w:rFonts w:ascii="VIC" w:hAnsi="VIC"/>
              </w:rPr>
            </w:pPr>
            <w:r w:rsidRPr="004D307F">
              <w:rPr>
                <w:rFonts w:ascii="VIC" w:eastAsia="Times New Roman" w:hAnsi="VIC" w:cs="Calibri"/>
                <w:sz w:val="21"/>
                <w:szCs w:val="21"/>
              </w:rPr>
              <w:t>0.6</w:t>
            </w:r>
          </w:p>
        </w:tc>
      </w:tr>
      <w:tr w:rsidR="00487B08" w:rsidRPr="004D307F" w14:paraId="6D6788D6" w14:textId="77777777" w:rsidTr="004D307F">
        <w:tc>
          <w:tcPr>
            <w:tcW w:w="0" w:type="auto"/>
          </w:tcPr>
          <w:p w14:paraId="129DBD9D" w14:textId="55103360"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300</w:t>
            </w:r>
            <w:r w:rsidR="00E75F12">
              <w:rPr>
                <w:rFonts w:ascii="VIC" w:hAnsi="VIC"/>
              </w:rPr>
              <w:t xml:space="preserve"> to </w:t>
            </w:r>
            <w:r w:rsidRPr="004D307F">
              <w:rPr>
                <w:rFonts w:ascii="VIC" w:hAnsi="VIC"/>
              </w:rPr>
              <w:t>450</w:t>
            </w:r>
          </w:p>
        </w:tc>
        <w:tc>
          <w:tcPr>
            <w:tcW w:w="0" w:type="auto"/>
          </w:tcPr>
          <w:p w14:paraId="487FE456" w14:textId="2489070D" w:rsidR="00487B08" w:rsidRPr="004D307F" w:rsidRDefault="00487B08" w:rsidP="00487B08">
            <w:pPr>
              <w:spacing w:after="0" w:line="360" w:lineRule="atLeast"/>
              <w:rPr>
                <w:rFonts w:ascii="VIC" w:hAnsi="VIC"/>
              </w:rPr>
            </w:pPr>
            <w:r w:rsidRPr="004D307F">
              <w:rPr>
                <w:rFonts w:ascii="VIC" w:eastAsia="Times New Roman" w:hAnsi="VIC" w:cs="Calibri"/>
                <w:sz w:val="21"/>
                <w:szCs w:val="21"/>
              </w:rPr>
              <w:t>0.8</w:t>
            </w:r>
          </w:p>
        </w:tc>
      </w:tr>
      <w:tr w:rsidR="00487B08" w:rsidRPr="004D307F" w14:paraId="283F3398" w14:textId="77777777" w:rsidTr="004D307F">
        <w:tc>
          <w:tcPr>
            <w:tcW w:w="0" w:type="auto"/>
          </w:tcPr>
          <w:p w14:paraId="6683AB01" w14:textId="56411964" w:rsidR="00487B08" w:rsidRPr="004D307F" w:rsidRDefault="00487B08" w:rsidP="00487B08">
            <w:pPr>
              <w:spacing w:after="0" w:line="360" w:lineRule="atLeast"/>
              <w:rPr>
                <w:rFonts w:ascii="VIC" w:eastAsia="Times New Roman" w:hAnsi="VIC" w:cs="Times New Roman"/>
                <w:color w:val="323E4F" w:themeColor="text2" w:themeShade="BF"/>
                <w:sz w:val="24"/>
                <w:szCs w:val="24"/>
                <w:lang w:eastAsia="en-AU"/>
              </w:rPr>
            </w:pPr>
            <w:r w:rsidRPr="004D307F">
              <w:rPr>
                <w:rFonts w:ascii="VIC" w:hAnsi="VIC"/>
              </w:rPr>
              <w:t>&gt;450</w:t>
            </w:r>
          </w:p>
        </w:tc>
        <w:tc>
          <w:tcPr>
            <w:tcW w:w="0" w:type="auto"/>
          </w:tcPr>
          <w:p w14:paraId="644438AD" w14:textId="37E037F1" w:rsidR="00487B08" w:rsidRPr="004D307F" w:rsidRDefault="00487B08" w:rsidP="00487B08">
            <w:pPr>
              <w:spacing w:after="0" w:line="360" w:lineRule="atLeast"/>
              <w:rPr>
                <w:rFonts w:ascii="VIC" w:hAnsi="VIC"/>
              </w:rPr>
            </w:pPr>
            <w:r w:rsidRPr="004D307F">
              <w:rPr>
                <w:rFonts w:ascii="VIC" w:eastAsia="Times New Roman" w:hAnsi="VIC" w:cs="Calibri"/>
                <w:sz w:val="21"/>
                <w:szCs w:val="21"/>
              </w:rPr>
              <w:t>1.0</w:t>
            </w:r>
          </w:p>
        </w:tc>
      </w:tr>
    </w:tbl>
    <w:p w14:paraId="50561295" w14:textId="77777777" w:rsidR="001A073E" w:rsidRPr="004D307F" w:rsidRDefault="001A073E" w:rsidP="004D307F">
      <w:pPr>
        <w:spacing w:before="120" w:after="120" w:line="360" w:lineRule="atLeast"/>
        <w:rPr>
          <w:rFonts w:ascii="VIC-Regular" w:eastAsia="Times New Roman" w:hAnsi="VIC-Regular" w:cs="Times New Roman"/>
          <w:color w:val="011A3C"/>
          <w:sz w:val="24"/>
          <w:szCs w:val="24"/>
          <w:lang w:val="en" w:eastAsia="en-AU"/>
        </w:rPr>
      </w:pPr>
      <w:bookmarkStart w:id="127" w:name="_Hlk80192439"/>
      <w:r w:rsidRPr="004D307F">
        <w:rPr>
          <w:rFonts w:ascii="VIC-Regular" w:eastAsia="Times New Roman" w:hAnsi="VIC-Regular" w:cs="Times New Roman"/>
          <w:color w:val="011A3C"/>
          <w:sz w:val="24"/>
          <w:szCs w:val="24"/>
          <w:lang w:val="en" w:eastAsia="en-AU"/>
        </w:rPr>
        <w:t xml:space="preserve">Note: the rural FTE loading is in addition to these rates. </w:t>
      </w:r>
      <w:bookmarkEnd w:id="127"/>
    </w:p>
    <w:p w14:paraId="2A8C13BC" w14:textId="77777777" w:rsidR="00F20EC8" w:rsidRPr="004D307F" w:rsidRDefault="00F20EC8" w:rsidP="00F20EC8">
      <w:pPr>
        <w:spacing w:after="0"/>
        <w:rPr>
          <w:sz w:val="21"/>
          <w:szCs w:val="21"/>
        </w:rPr>
      </w:pPr>
    </w:p>
    <w:p w14:paraId="6C16CD0C" w14:textId="77777777" w:rsidR="006F7D3A" w:rsidRPr="004D307F" w:rsidRDefault="006F7D3A">
      <w:pPr>
        <w:rPr>
          <w:rFonts w:ascii="VIC-Regular" w:eastAsia="Times New Roman" w:hAnsi="VIC-Regular" w:cs="Times New Roman"/>
          <w:color w:val="011A3C"/>
          <w:sz w:val="24"/>
          <w:szCs w:val="24"/>
          <w:lang w:val="en" w:eastAsia="en-AU"/>
        </w:rPr>
      </w:pPr>
      <w:r w:rsidRPr="004D307F">
        <w:rPr>
          <w:rFonts w:ascii="VIC-Regular" w:eastAsia="Times New Roman" w:hAnsi="VIC-Regular" w:cs="Times New Roman"/>
          <w:color w:val="011A3C"/>
          <w:sz w:val="24"/>
          <w:szCs w:val="24"/>
          <w:lang w:val="en" w:eastAsia="en-AU"/>
        </w:rPr>
        <w:br w:type="page"/>
      </w:r>
    </w:p>
    <w:p w14:paraId="3B6D9411" w14:textId="28F803E6" w:rsidR="004A5C17" w:rsidRPr="004D307F" w:rsidRDefault="006F7D3A" w:rsidP="00B566E7">
      <w:pPr>
        <w:pStyle w:val="Heading2"/>
      </w:pPr>
      <w:bookmarkStart w:id="128" w:name="_Toc99882790"/>
      <w:r w:rsidRPr="004D307F">
        <w:lastRenderedPageBreak/>
        <w:t>Mental Health Practitioners in Specialist Schools (Ref</w:t>
      </w:r>
      <w:r w:rsidR="0013300F" w:rsidRPr="004D307F">
        <w:t>erence 131</w:t>
      </w:r>
      <w:r w:rsidRPr="004D307F">
        <w:t>)</w:t>
      </w:r>
      <w:bookmarkEnd w:id="128"/>
    </w:p>
    <w:p w14:paraId="19EE09D2" w14:textId="77777777" w:rsidR="00FF32A4" w:rsidRPr="004D307F" w:rsidRDefault="00FF32A4" w:rsidP="00182B9B">
      <w:pPr>
        <w:rPr>
          <w:lang w:val="en" w:eastAsia="en-AU"/>
        </w:rPr>
      </w:pPr>
    </w:p>
    <w:p w14:paraId="63968CF5" w14:textId="2A92D068" w:rsidR="006F7D3A" w:rsidRPr="004D307F" w:rsidRDefault="006F7D3A" w:rsidP="004D307F">
      <w:pPr>
        <w:spacing w:before="120" w:after="120" w:line="360" w:lineRule="atLeast"/>
        <w:jc w:val="both"/>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Mental Health Practitioners in Specialist Schools (SSMHP) initiative provides funding to government specialist school campuses with secondary-aged enrolments (12 years+) to employ a suitably qualified Mental Health Practitioner (</w:t>
      </w:r>
      <w:proofErr w:type="gramStart"/>
      <w:r w:rsidRPr="004D307F">
        <w:rPr>
          <w:rFonts w:ascii="VIC" w:eastAsia="Times New Roman" w:hAnsi="VIC" w:cs="Times New Roman"/>
          <w:color w:val="011A3C"/>
          <w:sz w:val="24"/>
          <w:szCs w:val="24"/>
          <w:lang w:val="en" w:eastAsia="en-AU"/>
        </w:rPr>
        <w:t>i.e.</w:t>
      </w:r>
      <w:proofErr w:type="gramEnd"/>
      <w:r w:rsidRPr="004D307F">
        <w:rPr>
          <w:rFonts w:ascii="VIC" w:eastAsia="Times New Roman" w:hAnsi="VIC" w:cs="Times New Roman"/>
          <w:color w:val="011A3C"/>
          <w:sz w:val="24"/>
          <w:szCs w:val="24"/>
          <w:lang w:val="en" w:eastAsia="en-AU"/>
        </w:rPr>
        <w:t xml:space="preserve"> a fully registered Mental Health Nurse, Occupational Therapist, Psychologist or Social Worker) for between one and four days a week.</w:t>
      </w:r>
    </w:p>
    <w:p w14:paraId="4AEF33DA" w14:textId="4A5BC8F6" w:rsidR="00E96E5D" w:rsidRPr="004D307F" w:rsidRDefault="006F7D3A" w:rsidP="004D307F">
      <w:pPr>
        <w:spacing w:before="120" w:after="120" w:line="360" w:lineRule="atLeast"/>
        <w:jc w:val="both"/>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Mental Health Practitioners provide direct counselling support to students, early intervention services and whole-school mental health and wellbeing promotion and prevention activities. They also coordinate supports for students with complex needs.</w:t>
      </w:r>
    </w:p>
    <w:p w14:paraId="263D5CAE" w14:textId="03E3D3B3" w:rsidR="006F7D3A" w:rsidRPr="004D307F" w:rsidRDefault="00E96E5D" w:rsidP="004D307F">
      <w:pPr>
        <w:spacing w:before="120" w:after="120" w:line="360" w:lineRule="atLeast"/>
        <w:jc w:val="both"/>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further information on the SSMHP, refer to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Mental Health Toolkit. </w:t>
      </w:r>
    </w:p>
    <w:p w14:paraId="1B194858" w14:textId="563D275C" w:rsidR="006F7D3A" w:rsidRPr="004D307F" w:rsidRDefault="000623AA" w:rsidP="004D307F">
      <w:pPr>
        <w:spacing w:before="120" w:after="120" w:line="360" w:lineRule="atLeast"/>
        <w:jc w:val="both"/>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Resource Package (</w:t>
      </w:r>
      <w:r w:rsidR="006F7D3A" w:rsidRPr="004D307F">
        <w:rPr>
          <w:rFonts w:ascii="VIC" w:eastAsia="Times New Roman" w:hAnsi="VIC" w:cs="Times New Roman"/>
          <w:color w:val="011A3C"/>
          <w:sz w:val="24"/>
          <w:szCs w:val="24"/>
          <w:lang w:val="en" w:eastAsia="en-AU"/>
        </w:rPr>
        <w:t>SRP</w:t>
      </w:r>
      <w:r w:rsidRPr="004D307F">
        <w:rPr>
          <w:rFonts w:ascii="VIC" w:eastAsia="Times New Roman" w:hAnsi="VIC" w:cs="Times New Roman"/>
          <w:color w:val="011A3C"/>
          <w:sz w:val="24"/>
          <w:szCs w:val="24"/>
          <w:lang w:val="en" w:eastAsia="en-AU"/>
        </w:rPr>
        <w:t>)</w:t>
      </w:r>
      <w:r w:rsidR="006F7D3A" w:rsidRPr="004D307F">
        <w:rPr>
          <w:rFonts w:ascii="VIC" w:eastAsia="Times New Roman" w:hAnsi="VIC" w:cs="Times New Roman"/>
          <w:color w:val="011A3C"/>
          <w:sz w:val="24"/>
          <w:szCs w:val="24"/>
          <w:lang w:val="en" w:eastAsia="en-AU"/>
        </w:rPr>
        <w:t xml:space="preserve"> funding is provided to cover the salary of a </w:t>
      </w:r>
      <w:r w:rsidR="00B63F2C" w:rsidRPr="004D307F">
        <w:rPr>
          <w:rFonts w:ascii="VIC" w:eastAsia="Times New Roman" w:hAnsi="VIC" w:cs="Times New Roman"/>
          <w:color w:val="011A3C"/>
          <w:sz w:val="24"/>
          <w:szCs w:val="24"/>
          <w:lang w:val="en" w:eastAsia="en-AU"/>
        </w:rPr>
        <w:t>fixed term</w:t>
      </w:r>
      <w:r w:rsidR="006F7D3A" w:rsidRPr="004D307F">
        <w:rPr>
          <w:rFonts w:ascii="VIC" w:eastAsia="Times New Roman" w:hAnsi="VIC" w:cs="Times New Roman"/>
          <w:color w:val="011A3C"/>
          <w:sz w:val="24"/>
          <w:szCs w:val="24"/>
          <w:lang w:val="en" w:eastAsia="en-AU"/>
        </w:rPr>
        <w:t xml:space="preserve"> school-based Mental Health Practitioner. Participating specialist schools receive between a minimum of 0.2 FTE and a maximum of 0.8 FTE, depending on their secondary-aged student enrolments. </w:t>
      </w:r>
    </w:p>
    <w:p w14:paraId="33F9163C" w14:textId="7E88A5B6" w:rsidR="006F7D3A" w:rsidRPr="004D307F" w:rsidRDefault="006F7D3A"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 xml:space="preserve">SSMHP initiative funding eligibility for schools with combined Primary /Secondary-aged enrolments </w:t>
      </w:r>
    </w:p>
    <w:p w14:paraId="75D6D376" w14:textId="4A052D6E" w:rsidR="006F7D3A" w:rsidRPr="004D307F" w:rsidRDefault="006F7D3A"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All participating specialist schools will receive funding from the beginning of Term 1, 2021 so funding allocations will not be adjusted or differentiated across schools. For specialist schools with both primary and secondary-aged student enrolments, funding allocations will be determined based on secondary-aged</w:t>
      </w:r>
      <w:r w:rsidR="00006721" w:rsidRPr="004D307F">
        <w:rPr>
          <w:rFonts w:ascii="VIC" w:eastAsia="Times New Roman" w:hAnsi="VIC" w:cs="Times New Roman"/>
          <w:color w:val="011A3C"/>
          <w:sz w:val="24"/>
          <w:szCs w:val="24"/>
          <w:lang w:val="en" w:eastAsia="en-AU"/>
        </w:rPr>
        <w:t xml:space="preserve"> (12+ years) </w:t>
      </w:r>
      <w:r w:rsidRPr="004D307F">
        <w:rPr>
          <w:rFonts w:ascii="VIC" w:eastAsia="Times New Roman" w:hAnsi="VIC" w:cs="Times New Roman"/>
          <w:color w:val="011A3C"/>
          <w:sz w:val="24"/>
          <w:szCs w:val="24"/>
          <w:lang w:val="en" w:eastAsia="en-AU"/>
        </w:rPr>
        <w:t xml:space="preserve">enrolments only. </w:t>
      </w:r>
    </w:p>
    <w:p w14:paraId="4D7B43A3" w14:textId="43ACA43C" w:rsidR="006F7D3A" w:rsidRPr="004D307F" w:rsidRDefault="006F7D3A"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SSMHP funding will be allocated as credit and cash.</w:t>
      </w:r>
    </w:p>
    <w:p w14:paraId="0CDEA21A" w14:textId="77777777" w:rsidR="006F7D3A" w:rsidRPr="004D307F" w:rsidRDefault="006F7D3A" w:rsidP="006D6E02">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Calculation</w:t>
      </w:r>
    </w:p>
    <w:p w14:paraId="53FD89C6" w14:textId="77777777" w:rsidR="006F7D3A" w:rsidRPr="004D307F" w:rsidRDefault="006F7D3A" w:rsidP="004D307F">
      <w:pPr>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School FTE Allocation (Part 1)</w:t>
      </w:r>
      <w:r w:rsidRPr="004D307F">
        <w:rPr>
          <w:rFonts w:ascii="VIC" w:eastAsia="Times New Roman" w:hAnsi="VIC" w:cs="Times New Roman"/>
          <w:color w:val="44546A" w:themeColor="text2"/>
          <w:sz w:val="24"/>
          <w:szCs w:val="24"/>
          <w:lang w:val="en" w:eastAsia="en-AU"/>
        </w:rPr>
        <w:t xml:space="preserve"> </w:t>
      </w:r>
      <w:r w:rsidRPr="004D307F">
        <w:rPr>
          <w:rFonts w:ascii="VIC" w:hAnsi="VIC"/>
          <w:color w:val="44546A" w:themeColor="text2"/>
          <w:sz w:val="24"/>
          <w:szCs w:val="24"/>
          <w:lang w:val="en-US"/>
        </w:rPr>
        <w:t xml:space="preserve">= </w:t>
      </w:r>
      <w:r w:rsidRPr="004D307F">
        <w:rPr>
          <w:rFonts w:ascii="VIC" w:eastAsia="Times New Roman" w:hAnsi="VIC" w:cs="Times New Roman"/>
          <w:color w:val="011A3C"/>
          <w:sz w:val="24"/>
          <w:szCs w:val="24"/>
          <w:lang w:val="en" w:eastAsia="en-AU"/>
        </w:rPr>
        <w:t>FTE allocated as per below ranges:</w:t>
      </w:r>
    </w:p>
    <w:p w14:paraId="409B51F6" w14:textId="77777777" w:rsidR="006F7D3A" w:rsidRPr="004D307F" w:rsidRDefault="006F7D3A" w:rsidP="004D307F">
      <w:pPr>
        <w:pStyle w:val="NoSpacing"/>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&lt; 50 students = 0.2 FTE</w:t>
      </w:r>
    </w:p>
    <w:p w14:paraId="21A42CD3" w14:textId="51257261" w:rsidR="006F7D3A" w:rsidRPr="004D307F" w:rsidRDefault="00E11795" w:rsidP="004D307F">
      <w:pPr>
        <w:pStyle w:val="NoSpacing"/>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&gt;</w:t>
      </w:r>
      <w:r w:rsidR="006F7D3A" w:rsidRPr="004D307F">
        <w:rPr>
          <w:rFonts w:ascii="VIC" w:eastAsia="Times New Roman" w:hAnsi="VIC" w:cs="Times New Roman"/>
          <w:color w:val="011A3C"/>
          <w:sz w:val="24"/>
          <w:szCs w:val="24"/>
          <w:lang w:val="en" w:eastAsia="en-AU"/>
        </w:rPr>
        <w:t>50-100 students = 0.4 FTE</w:t>
      </w:r>
    </w:p>
    <w:p w14:paraId="3258680E" w14:textId="083E2026" w:rsidR="006F7D3A" w:rsidRPr="004D307F" w:rsidRDefault="00E11795" w:rsidP="004D307F">
      <w:pPr>
        <w:pStyle w:val="NoSpacing"/>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&gt;</w:t>
      </w:r>
      <w:r w:rsidR="006F7D3A" w:rsidRPr="004D307F">
        <w:rPr>
          <w:rFonts w:ascii="VIC" w:eastAsia="Times New Roman" w:hAnsi="VIC" w:cs="Times New Roman"/>
          <w:color w:val="011A3C"/>
          <w:sz w:val="24"/>
          <w:szCs w:val="24"/>
          <w:lang w:val="en" w:eastAsia="en-AU"/>
        </w:rPr>
        <w:t>100-250 students = 0.6 FTE</w:t>
      </w:r>
    </w:p>
    <w:p w14:paraId="049CACEB" w14:textId="24A1D240" w:rsidR="006F7D3A" w:rsidRPr="004D307F" w:rsidRDefault="006F7D3A" w:rsidP="004D307F">
      <w:pPr>
        <w:pStyle w:val="NoSpacing"/>
        <w:spacing w:before="120" w:after="120"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250+ students = 0.8 FTE</w:t>
      </w:r>
    </w:p>
    <w:p w14:paraId="09A25FF5" w14:textId="478BE3DD" w:rsidR="006F7D3A" w:rsidRPr="004D307F" w:rsidRDefault="006F7D3A" w:rsidP="004D307F">
      <w:pPr>
        <w:spacing w:before="120" w:after="120" w:line="360" w:lineRule="atLeast"/>
        <w:rPr>
          <w:rFonts w:ascii="VIC" w:hAnsi="VIC"/>
          <w:color w:val="44546A" w:themeColor="text2"/>
          <w:sz w:val="24"/>
          <w:szCs w:val="24"/>
          <w:lang w:val="en-US"/>
        </w:rPr>
      </w:pPr>
      <w:r w:rsidRPr="004D307F">
        <w:rPr>
          <w:rFonts w:ascii="VIC" w:eastAsia="Times New Roman" w:hAnsi="VIC" w:cs="Times New Roman"/>
          <w:b/>
          <w:bCs/>
          <w:color w:val="011A3C"/>
          <w:sz w:val="24"/>
          <w:szCs w:val="24"/>
          <w:lang w:val="en" w:eastAsia="en-AU"/>
        </w:rPr>
        <w:t>Funding Calculation (Part 2)</w:t>
      </w:r>
      <w:r w:rsidRPr="004D307F">
        <w:rPr>
          <w:rFonts w:ascii="VIC" w:eastAsia="Times New Roman" w:hAnsi="VIC" w:cs="Times New Roman"/>
          <w:color w:val="44546A" w:themeColor="text2"/>
          <w:sz w:val="24"/>
          <w:szCs w:val="24"/>
          <w:lang w:val="en" w:eastAsia="en-AU"/>
        </w:rPr>
        <w:t xml:space="preserve"> = </w:t>
      </w:r>
      <w:r w:rsidRPr="004D307F">
        <w:rPr>
          <w:rFonts w:ascii="VIC" w:hAnsi="VIC"/>
          <w:color w:val="44546A" w:themeColor="text2"/>
          <w:sz w:val="24"/>
          <w:szCs w:val="24"/>
          <w:lang w:val="en-US"/>
        </w:rPr>
        <w:t>School FTE Allocation (rounded to 1 decimal) * Rate</w:t>
      </w:r>
    </w:p>
    <w:p w14:paraId="3547F067" w14:textId="77777777" w:rsidR="006F7D3A" w:rsidRPr="004D307F" w:rsidRDefault="006F7D3A" w:rsidP="004D307F">
      <w:pPr>
        <w:spacing w:before="100" w:beforeAutospacing="1" w:after="100" w:afterAutospacing="1" w:line="288" w:lineRule="atLeast"/>
        <w:outlineLvl w:val="2"/>
        <w:rPr>
          <w:rFonts w:ascii="VIC-Bold" w:eastAsia="Times New Roman" w:hAnsi="VIC-Bold" w:cs="Times New Roman"/>
          <w:b/>
          <w:bCs/>
          <w:color w:val="011A3C"/>
          <w:sz w:val="27"/>
          <w:szCs w:val="27"/>
          <w:lang w:val="en" w:eastAsia="en-AU"/>
        </w:rPr>
      </w:pPr>
      <w:r w:rsidRPr="004D307F">
        <w:rPr>
          <w:rFonts w:ascii="VIC-Bold" w:eastAsia="Times New Roman" w:hAnsi="VIC-Bold" w:cs="Times New Roman"/>
          <w:b/>
          <w:bCs/>
          <w:color w:val="011A3C"/>
          <w:sz w:val="27"/>
          <w:szCs w:val="27"/>
          <w:lang w:val="en" w:eastAsia="en-AU"/>
        </w:rPr>
        <w:t>Rate</w:t>
      </w:r>
    </w:p>
    <w:p w14:paraId="662E6B63" w14:textId="4FCD367F" w:rsidR="005058ED" w:rsidRPr="004D307F" w:rsidRDefault="006F7D3A" w:rsidP="004D307F">
      <w:pPr>
        <w:spacing w:before="120" w:after="120" w:line="360" w:lineRule="atLeast"/>
        <w:rPr>
          <w:rFonts w:ascii="VIC" w:hAnsi="VIC"/>
          <w:sz w:val="24"/>
          <w:szCs w:val="24"/>
        </w:rPr>
      </w:pPr>
      <w:r w:rsidRPr="004D307F">
        <w:rPr>
          <w:rFonts w:ascii="VIC" w:hAnsi="VIC"/>
          <w:sz w:val="24"/>
          <w:szCs w:val="24"/>
        </w:rPr>
        <w:t>Rate = $</w:t>
      </w:r>
      <w:proofErr w:type="gramStart"/>
      <w:r w:rsidR="00B8658A" w:rsidRPr="004D307F">
        <w:rPr>
          <w:rFonts w:ascii="VIC" w:hAnsi="VIC"/>
          <w:sz w:val="24"/>
          <w:szCs w:val="24"/>
        </w:rPr>
        <w:t>109,138.46</w:t>
      </w:r>
      <w:r w:rsidRPr="004D307F">
        <w:rPr>
          <w:rFonts w:ascii="Calibri" w:hAnsi="Calibri" w:cs="Calibri"/>
          <w:sz w:val="24"/>
          <w:szCs w:val="24"/>
        </w:rPr>
        <w:t> </w:t>
      </w:r>
      <w:r w:rsidRPr="004D307F">
        <w:rPr>
          <w:rFonts w:ascii="VIC" w:hAnsi="VIC"/>
          <w:sz w:val="24"/>
          <w:szCs w:val="24"/>
        </w:rPr>
        <w:t xml:space="preserve"> (</w:t>
      </w:r>
      <w:proofErr w:type="gramEnd"/>
      <w:r w:rsidRPr="004D307F">
        <w:rPr>
          <w:rFonts w:ascii="VIC" w:hAnsi="VIC"/>
          <w:sz w:val="24"/>
          <w:szCs w:val="24"/>
        </w:rPr>
        <w:t>Midpoint of an Education Support, Level 1 Range 4, position including school SRP on costs)</w:t>
      </w:r>
    </w:p>
    <w:p w14:paraId="691A732A" w14:textId="77777777" w:rsidR="005058ED" w:rsidRPr="004D307F" w:rsidRDefault="005058ED">
      <w:pPr>
        <w:rPr>
          <w:rFonts w:ascii="VIC" w:hAnsi="VIC"/>
        </w:rPr>
      </w:pPr>
      <w:r w:rsidRPr="004D307F">
        <w:rPr>
          <w:rFonts w:ascii="VIC" w:hAnsi="VIC"/>
        </w:rPr>
        <w:br w:type="page"/>
      </w:r>
    </w:p>
    <w:p w14:paraId="500D3274" w14:textId="506F704C" w:rsidR="00C95C6E" w:rsidRPr="004D307F" w:rsidRDefault="00642F26" w:rsidP="00B566E7">
      <w:pPr>
        <w:pStyle w:val="Heading2"/>
      </w:pPr>
      <w:bookmarkStart w:id="129" w:name="_Toc99882791"/>
      <w:bookmarkStart w:id="130" w:name="_Hlk65761303"/>
      <w:r w:rsidRPr="004D307F">
        <w:lastRenderedPageBreak/>
        <w:t xml:space="preserve">Career Start - </w:t>
      </w:r>
      <w:r w:rsidR="00C95C6E" w:rsidRPr="004D307F">
        <w:t>Transforming the First Years of the Teaching Career (Reference 132)</w:t>
      </w:r>
      <w:bookmarkEnd w:id="129"/>
      <w:r w:rsidR="00C95C6E" w:rsidRPr="004D307F">
        <w:rPr>
          <w:rStyle w:val="Heading2Char"/>
          <w:rFonts w:eastAsiaTheme="majorEastAsia"/>
        </w:rPr>
        <w:t xml:space="preserve"> </w:t>
      </w:r>
    </w:p>
    <w:p w14:paraId="255571E5" w14:textId="77777777" w:rsidR="00C95C6E" w:rsidRPr="004D307F" w:rsidRDefault="00C95C6E" w:rsidP="00C95C6E">
      <w:pPr>
        <w:rPr>
          <w:lang w:val="en" w:eastAsia="en-AU"/>
        </w:rPr>
      </w:pPr>
    </w:p>
    <w:p w14:paraId="59FF2B4B" w14:textId="77777777" w:rsidR="00C95C6E" w:rsidRPr="004D307F" w:rsidRDefault="00C95C6E" w:rsidP="004D307F">
      <w:pPr>
        <w:spacing w:before="120" w:line="360" w:lineRule="atLeast"/>
        <w:jc w:val="both"/>
        <w:rPr>
          <w:rFonts w:ascii="VIC" w:hAnsi="VIC"/>
          <w:sz w:val="24"/>
          <w:szCs w:val="24"/>
        </w:rPr>
      </w:pPr>
      <w:r w:rsidRPr="004D307F">
        <w:rPr>
          <w:rFonts w:ascii="VIC" w:hAnsi="VIC"/>
          <w:sz w:val="24"/>
          <w:szCs w:val="24"/>
        </w:rPr>
        <w:t xml:space="preserve">Funding of $73.4 million has been committed by the State Government for the establishment of a Pilot to transform the first two years of a graduate teacher’s career through a new, nation-leading induction program. </w:t>
      </w:r>
    </w:p>
    <w:p w14:paraId="2D2CB291" w14:textId="0E95B99D" w:rsidR="00C95C6E" w:rsidRPr="004D307F" w:rsidRDefault="00642F26" w:rsidP="004D307F">
      <w:pPr>
        <w:spacing w:before="120" w:line="360" w:lineRule="atLeast"/>
        <w:jc w:val="both"/>
        <w:rPr>
          <w:rFonts w:ascii="VIC" w:hAnsi="VIC"/>
          <w:sz w:val="24"/>
          <w:szCs w:val="24"/>
        </w:rPr>
      </w:pPr>
      <w:r w:rsidRPr="004D307F">
        <w:rPr>
          <w:rFonts w:ascii="VIC" w:hAnsi="VIC"/>
          <w:sz w:val="24"/>
          <w:szCs w:val="24"/>
        </w:rPr>
        <w:t xml:space="preserve">Career Start </w:t>
      </w:r>
      <w:r w:rsidR="00C95C6E" w:rsidRPr="004D307F">
        <w:rPr>
          <w:rFonts w:ascii="VIC" w:hAnsi="VIC"/>
          <w:sz w:val="24"/>
          <w:szCs w:val="24"/>
        </w:rPr>
        <w:t>is a structured two-year pilot program for graduate teachers which aims to improve the experience of graduate teachers as they are inducted in</w:t>
      </w:r>
      <w:r w:rsidR="00C95C6E" w:rsidRPr="004D307F">
        <w:rPr>
          <w:rFonts w:ascii="VIC" w:hAnsi="VIC" w:cstheme="minorHAnsi"/>
          <w:sz w:val="24"/>
          <w:szCs w:val="24"/>
        </w:rPr>
        <w:t>to the profession. I</w:t>
      </w:r>
      <w:r w:rsidR="00C95C6E" w:rsidRPr="004D307F">
        <w:rPr>
          <w:rFonts w:ascii="VIC" w:hAnsi="VIC"/>
          <w:sz w:val="24"/>
          <w:szCs w:val="24"/>
        </w:rPr>
        <w:t xml:space="preserve">t provides new graduate teachers with additional time and support to focus on preparation, learning from others including mentors, targeted professional learning, </w:t>
      </w:r>
      <w:r w:rsidR="00C95C6E" w:rsidRPr="004D307F">
        <w:rPr>
          <w:rFonts w:ascii="VIC" w:eastAsia="Arial" w:hAnsi="VIC" w:cs="Arial"/>
        </w:rPr>
        <w:t>networking opportunities with other graduate teachers through</w:t>
      </w:r>
      <w:r w:rsidR="00C95C6E" w:rsidRPr="004D307F">
        <w:rPr>
          <w:rFonts w:ascii="VIC" w:hAnsi="VIC"/>
          <w:sz w:val="24"/>
          <w:szCs w:val="24"/>
        </w:rPr>
        <w:t xml:space="preserve"> area-based alliances.  </w:t>
      </w:r>
    </w:p>
    <w:p w14:paraId="26CB21BF" w14:textId="7960AA4B" w:rsidR="00C95C6E" w:rsidRPr="004D307F" w:rsidRDefault="00C95C6E" w:rsidP="004D307F">
      <w:pPr>
        <w:spacing w:before="120" w:line="360" w:lineRule="atLeast"/>
        <w:rPr>
          <w:rFonts w:ascii="VIC" w:hAnsi="VIC"/>
          <w:sz w:val="24"/>
          <w:szCs w:val="24"/>
        </w:rPr>
      </w:pPr>
      <w:r w:rsidRPr="004D307F">
        <w:rPr>
          <w:rFonts w:ascii="VIC" w:hAnsi="VIC"/>
          <w:sz w:val="24"/>
          <w:szCs w:val="24"/>
        </w:rPr>
        <w:t>The Pilot is being delivered in primary schools</w:t>
      </w:r>
      <w:r w:rsidR="00331ED3" w:rsidRPr="004D307F">
        <w:rPr>
          <w:rFonts w:ascii="VIC" w:hAnsi="VIC"/>
          <w:sz w:val="24"/>
          <w:szCs w:val="24"/>
        </w:rPr>
        <w:t>, specialist schools</w:t>
      </w:r>
      <w:r w:rsidRPr="004D307F">
        <w:rPr>
          <w:rFonts w:ascii="VIC" w:hAnsi="VIC"/>
          <w:sz w:val="24"/>
          <w:szCs w:val="24"/>
        </w:rPr>
        <w:t xml:space="preserve"> and P-9/P-12 schools in the areas of </w:t>
      </w:r>
      <w:proofErr w:type="gramStart"/>
      <w:r w:rsidRPr="004D307F">
        <w:rPr>
          <w:rFonts w:ascii="VIC" w:hAnsi="VIC"/>
          <w:sz w:val="24"/>
          <w:szCs w:val="24"/>
        </w:rPr>
        <w:t>North Eastern</w:t>
      </w:r>
      <w:proofErr w:type="gramEnd"/>
      <w:r w:rsidRPr="004D307F">
        <w:rPr>
          <w:rFonts w:ascii="VIC" w:hAnsi="VIC"/>
          <w:sz w:val="24"/>
          <w:szCs w:val="24"/>
        </w:rPr>
        <w:t xml:space="preserve"> Melbourne, Western Melbourne and Inner Gippsland.</w:t>
      </w:r>
    </w:p>
    <w:p w14:paraId="59DA5149" w14:textId="77777777" w:rsidR="00C95C6E" w:rsidRPr="004D307F" w:rsidRDefault="00C95C6E" w:rsidP="004D307F">
      <w:pPr>
        <w:spacing w:before="120" w:line="360" w:lineRule="atLeast"/>
        <w:jc w:val="both"/>
        <w:rPr>
          <w:rFonts w:ascii="VIC" w:hAnsi="VIC"/>
          <w:sz w:val="24"/>
          <w:szCs w:val="24"/>
        </w:rPr>
      </w:pPr>
      <w:r w:rsidRPr="004D307F">
        <w:rPr>
          <w:rFonts w:ascii="VIC" w:hAnsi="VIC"/>
          <w:sz w:val="24"/>
          <w:szCs w:val="24"/>
        </w:rPr>
        <w:t xml:space="preserve">A key component of the Pilot is a reduction in face-to-face teaching time for graduate teachers and their mentors. Schools will be funded to </w:t>
      </w:r>
      <w:r w:rsidRPr="004D307F">
        <w:rPr>
          <w:rFonts w:ascii="VIC" w:eastAsia="Arial" w:hAnsi="VIC"/>
          <w:sz w:val="24"/>
          <w:szCs w:val="24"/>
          <w:lang w:val="en-US"/>
        </w:rPr>
        <w:t>employ additional classroom teachers to counteract this reduction and ensure continuity of teaching and learning.</w:t>
      </w:r>
    </w:p>
    <w:p w14:paraId="276D4080"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Teacher Time Release</w:t>
      </w:r>
    </w:p>
    <w:p w14:paraId="25504651" w14:textId="77777777" w:rsidR="00C95C6E" w:rsidRPr="004D307F" w:rsidRDefault="00C95C6E" w:rsidP="004D307F">
      <w:pPr>
        <w:spacing w:line="360" w:lineRule="atLeast"/>
        <w:rPr>
          <w:rFonts w:ascii="VIC" w:hAnsi="VIC"/>
          <w:b/>
          <w:bCs/>
          <w:sz w:val="24"/>
          <w:szCs w:val="24"/>
        </w:rPr>
      </w:pPr>
      <w:r w:rsidRPr="004D307F">
        <w:rPr>
          <w:rFonts w:ascii="VIC" w:hAnsi="VIC"/>
          <w:b/>
          <w:bCs/>
          <w:sz w:val="24"/>
          <w:szCs w:val="24"/>
        </w:rPr>
        <w:t>Graduate teachers</w:t>
      </w:r>
    </w:p>
    <w:p w14:paraId="13A666C6" w14:textId="77777777" w:rsidR="00C95C6E" w:rsidRPr="004D307F" w:rsidRDefault="00C95C6E" w:rsidP="004D307F">
      <w:pPr>
        <w:spacing w:line="360" w:lineRule="atLeast"/>
        <w:rPr>
          <w:rFonts w:ascii="VIC" w:hAnsi="VIC"/>
          <w:sz w:val="24"/>
          <w:szCs w:val="24"/>
        </w:rPr>
      </w:pPr>
      <w:r w:rsidRPr="004D307F">
        <w:rPr>
          <w:rFonts w:ascii="VIC" w:hAnsi="VIC"/>
          <w:sz w:val="24"/>
          <w:szCs w:val="24"/>
        </w:rPr>
        <w:t xml:space="preserve">The work allocated to classroom teachers in the first two years of their teaching should recognise the need for the teacher to perform all their required duties in a reasonable time frame and to participate in induction and development activities. </w:t>
      </w:r>
    </w:p>
    <w:p w14:paraId="71C16922"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The Victorian Government Schools Agreement (VGSA) 2017 provides first year graduates with a 5 per cent reduction on the teaching and learning focus. The Pilot supports an additional 15 per cent reduction in face-to-face teaching time for graduate teachers in their first year of the Pilot and a 10 per cent reduction in their second year.</w:t>
      </w:r>
    </w:p>
    <w:p w14:paraId="23EB27D4" w14:textId="20FE828B"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For graduate teachers participating in the</w:t>
      </w:r>
      <w:r w:rsidR="00642F26" w:rsidRPr="004D307F">
        <w:rPr>
          <w:rFonts w:ascii="VIC" w:hAnsi="VIC" w:cstheme="minorHAnsi"/>
          <w:sz w:val="24"/>
          <w:szCs w:val="24"/>
        </w:rPr>
        <w:t>ir</w:t>
      </w:r>
      <w:r w:rsidRPr="004D307F">
        <w:rPr>
          <w:rFonts w:ascii="VIC" w:hAnsi="VIC" w:cstheme="minorHAnsi"/>
          <w:sz w:val="24"/>
          <w:szCs w:val="24"/>
        </w:rPr>
        <w:t xml:space="preserve"> first year of the Pilot (202</w:t>
      </w:r>
      <w:r w:rsidR="00642F26" w:rsidRPr="004D307F">
        <w:rPr>
          <w:rFonts w:ascii="VIC" w:hAnsi="VIC" w:cstheme="minorHAnsi"/>
          <w:sz w:val="24"/>
          <w:szCs w:val="24"/>
        </w:rPr>
        <w:t>2</w:t>
      </w:r>
      <w:r w:rsidRPr="004D307F">
        <w:rPr>
          <w:rFonts w:ascii="VIC" w:hAnsi="VIC" w:cstheme="minorHAnsi"/>
          <w:sz w:val="24"/>
          <w:szCs w:val="24"/>
        </w:rPr>
        <w:t>), the 20 per cent reduction in face-to-face teaching time is based on:</w:t>
      </w:r>
    </w:p>
    <w:p w14:paraId="0F63A7D7" w14:textId="77777777" w:rsidR="00C95C6E" w:rsidRPr="004D307F" w:rsidRDefault="00C95C6E" w:rsidP="00ED0863">
      <w:pPr>
        <w:pStyle w:val="ListParagraph"/>
        <w:numPr>
          <w:ilvl w:val="0"/>
          <w:numId w:val="146"/>
        </w:numPr>
        <w:spacing w:before="120" w:line="360" w:lineRule="atLeast"/>
        <w:jc w:val="both"/>
        <w:rPr>
          <w:rFonts w:ascii="VIC" w:hAnsi="VIC" w:cstheme="minorHAnsi"/>
          <w:sz w:val="24"/>
          <w:szCs w:val="24"/>
        </w:rPr>
      </w:pPr>
      <w:r w:rsidRPr="004D307F">
        <w:rPr>
          <w:rFonts w:ascii="VIC" w:hAnsi="VIC" w:cstheme="minorHAnsi"/>
          <w:sz w:val="24"/>
          <w:szCs w:val="24"/>
        </w:rPr>
        <w:lastRenderedPageBreak/>
        <w:t>Pilot funding for 15 per cent of a full-time (38-hour week) Classroom Level 2, Range 4 salary for each first-year graduate teacher, plus</w:t>
      </w:r>
    </w:p>
    <w:p w14:paraId="7D2AA2F1" w14:textId="77777777" w:rsidR="00C95C6E" w:rsidRPr="004D307F" w:rsidRDefault="00C95C6E" w:rsidP="00ED0863">
      <w:pPr>
        <w:pStyle w:val="ListParagraph"/>
        <w:numPr>
          <w:ilvl w:val="0"/>
          <w:numId w:val="146"/>
        </w:numPr>
        <w:spacing w:before="120" w:line="360" w:lineRule="atLeast"/>
        <w:jc w:val="both"/>
        <w:rPr>
          <w:rFonts w:ascii="VIC" w:hAnsi="VIC" w:cstheme="minorHAnsi"/>
          <w:sz w:val="24"/>
          <w:szCs w:val="24"/>
        </w:rPr>
      </w:pPr>
      <w:r w:rsidRPr="004D307F">
        <w:rPr>
          <w:rFonts w:ascii="VIC" w:hAnsi="VIC" w:cstheme="minorHAnsi"/>
          <w:sz w:val="24"/>
          <w:szCs w:val="24"/>
        </w:rPr>
        <w:t xml:space="preserve">an additional 5 per cent reduction as per the current arrangements of </w:t>
      </w:r>
      <w:bookmarkStart w:id="131" w:name="_Hlk67572323"/>
      <w:r w:rsidRPr="004D307F">
        <w:rPr>
          <w:rFonts w:ascii="VIC" w:hAnsi="VIC" w:cstheme="minorHAnsi"/>
          <w:sz w:val="24"/>
          <w:szCs w:val="24"/>
        </w:rPr>
        <w:t>the Victorian Government Schools Agreement (VGSA) 2017</w:t>
      </w:r>
      <w:bookmarkEnd w:id="131"/>
      <w:r w:rsidRPr="004D307F">
        <w:rPr>
          <w:rFonts w:ascii="VIC" w:hAnsi="VIC" w:cstheme="minorHAnsi"/>
          <w:sz w:val="24"/>
          <w:szCs w:val="24"/>
        </w:rPr>
        <w:t xml:space="preserve">. </w:t>
      </w:r>
    </w:p>
    <w:p w14:paraId="67B9EE76"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In the second year of the pilot, participating graduate teachers from the 2021 cohort will be funded for a 10 per cent reduction in face-to-face teaching time also at a full-time Classroom Level 2, Range 4 salary. </w:t>
      </w:r>
    </w:p>
    <w:p w14:paraId="62FE08E5" w14:textId="77777777" w:rsidR="00C95C6E" w:rsidRPr="004D307F" w:rsidRDefault="00C95C6E" w:rsidP="004D307F">
      <w:pPr>
        <w:spacing w:line="360" w:lineRule="atLeast"/>
        <w:rPr>
          <w:rFonts w:ascii="VIC" w:hAnsi="VIC"/>
          <w:sz w:val="24"/>
          <w:szCs w:val="24"/>
        </w:rPr>
      </w:pPr>
      <w:r w:rsidRPr="004D307F">
        <w:rPr>
          <w:rFonts w:ascii="VIC" w:hAnsi="VIC"/>
          <w:sz w:val="24"/>
          <w:szCs w:val="24"/>
        </w:rPr>
        <w:t>This time allocation will be used across multiple graduate teacher activities:</w:t>
      </w:r>
    </w:p>
    <w:p w14:paraId="46A825D6" w14:textId="5EE2E569" w:rsidR="00C95C6E" w:rsidRPr="004D307F" w:rsidRDefault="00C95C6E" w:rsidP="00ED0863">
      <w:pPr>
        <w:pStyle w:val="ListParagraph"/>
        <w:numPr>
          <w:ilvl w:val="0"/>
          <w:numId w:val="136"/>
        </w:numPr>
        <w:tabs>
          <w:tab w:val="left" w:pos="591"/>
          <w:tab w:val="left" w:pos="851"/>
          <w:tab w:val="left" w:pos="1418"/>
          <w:tab w:val="left" w:pos="2126"/>
          <w:tab w:val="right" w:pos="9356"/>
        </w:tabs>
        <w:overflowPunct w:val="0"/>
        <w:autoSpaceDE w:val="0"/>
        <w:autoSpaceDN w:val="0"/>
        <w:adjustRightInd w:val="0"/>
        <w:spacing w:after="120" w:line="360" w:lineRule="atLeast"/>
        <w:ind w:left="567" w:hanging="283"/>
        <w:contextualSpacing w:val="0"/>
        <w:textAlignment w:val="baseline"/>
        <w:rPr>
          <w:rFonts w:ascii="VIC" w:hAnsi="VIC"/>
          <w:sz w:val="24"/>
          <w:szCs w:val="24"/>
        </w:rPr>
      </w:pPr>
      <w:r w:rsidRPr="004D307F">
        <w:rPr>
          <w:rFonts w:ascii="VIC" w:hAnsi="VIC"/>
          <w:sz w:val="24"/>
          <w:szCs w:val="24"/>
        </w:rPr>
        <w:t xml:space="preserve">for participation in </w:t>
      </w:r>
      <w:r w:rsidR="00642F26" w:rsidRPr="004D307F">
        <w:rPr>
          <w:rFonts w:ascii="VIC" w:hAnsi="VIC"/>
          <w:sz w:val="24"/>
          <w:szCs w:val="24"/>
        </w:rPr>
        <w:t xml:space="preserve">Career Start </w:t>
      </w:r>
      <w:r w:rsidRPr="004D307F">
        <w:rPr>
          <w:rFonts w:ascii="VIC" w:hAnsi="VIC"/>
          <w:sz w:val="24"/>
          <w:szCs w:val="24"/>
        </w:rPr>
        <w:t>professional learning activities</w:t>
      </w:r>
    </w:p>
    <w:p w14:paraId="3BC06B1E" w14:textId="77777777" w:rsidR="00C95C6E" w:rsidRPr="004D307F" w:rsidRDefault="00C95C6E" w:rsidP="00ED0863">
      <w:pPr>
        <w:pStyle w:val="ListParagraph"/>
        <w:numPr>
          <w:ilvl w:val="0"/>
          <w:numId w:val="136"/>
        </w:numPr>
        <w:tabs>
          <w:tab w:val="left" w:pos="591"/>
          <w:tab w:val="left" w:pos="851"/>
          <w:tab w:val="left" w:pos="1418"/>
          <w:tab w:val="left" w:pos="2126"/>
          <w:tab w:val="right" w:pos="9356"/>
        </w:tabs>
        <w:overflowPunct w:val="0"/>
        <w:autoSpaceDE w:val="0"/>
        <w:autoSpaceDN w:val="0"/>
        <w:adjustRightInd w:val="0"/>
        <w:spacing w:after="120" w:line="360" w:lineRule="atLeast"/>
        <w:ind w:left="567" w:hanging="283"/>
        <w:contextualSpacing w:val="0"/>
        <w:textAlignment w:val="baseline"/>
        <w:rPr>
          <w:rFonts w:ascii="VIC" w:hAnsi="VIC"/>
          <w:sz w:val="24"/>
          <w:szCs w:val="24"/>
        </w:rPr>
      </w:pPr>
      <w:r w:rsidRPr="004D307F">
        <w:rPr>
          <w:rFonts w:ascii="VIC" w:hAnsi="VIC"/>
          <w:sz w:val="24"/>
          <w:szCs w:val="24"/>
        </w:rPr>
        <w:t>for formal and informal mentoring via mentors or school leaders</w:t>
      </w:r>
    </w:p>
    <w:p w14:paraId="5FDA38B6" w14:textId="77777777" w:rsidR="00C95C6E" w:rsidRPr="004D307F" w:rsidRDefault="00C95C6E" w:rsidP="00ED0863">
      <w:pPr>
        <w:pStyle w:val="ListParagraph"/>
        <w:numPr>
          <w:ilvl w:val="0"/>
          <w:numId w:val="136"/>
        </w:numPr>
        <w:tabs>
          <w:tab w:val="left" w:pos="591"/>
          <w:tab w:val="left" w:pos="851"/>
          <w:tab w:val="left" w:pos="1418"/>
          <w:tab w:val="left" w:pos="2126"/>
          <w:tab w:val="right" w:pos="9356"/>
        </w:tabs>
        <w:overflowPunct w:val="0"/>
        <w:autoSpaceDE w:val="0"/>
        <w:autoSpaceDN w:val="0"/>
        <w:adjustRightInd w:val="0"/>
        <w:spacing w:after="120" w:line="360" w:lineRule="atLeast"/>
        <w:ind w:left="567" w:hanging="283"/>
        <w:contextualSpacing w:val="0"/>
        <w:textAlignment w:val="baseline"/>
        <w:rPr>
          <w:rFonts w:ascii="VIC" w:hAnsi="VIC"/>
          <w:sz w:val="24"/>
          <w:szCs w:val="24"/>
        </w:rPr>
      </w:pPr>
      <w:r w:rsidRPr="004D307F">
        <w:rPr>
          <w:rFonts w:ascii="VIC" w:hAnsi="VIC"/>
          <w:sz w:val="24"/>
          <w:szCs w:val="24"/>
        </w:rPr>
        <w:t>for observing lessons</w:t>
      </w:r>
    </w:p>
    <w:p w14:paraId="51BE7DA6" w14:textId="77777777" w:rsidR="00C95C6E" w:rsidRPr="004D307F" w:rsidRDefault="00C95C6E" w:rsidP="00ED0863">
      <w:pPr>
        <w:pStyle w:val="ListParagraph"/>
        <w:numPr>
          <w:ilvl w:val="0"/>
          <w:numId w:val="136"/>
        </w:numPr>
        <w:tabs>
          <w:tab w:val="left" w:pos="591"/>
          <w:tab w:val="left" w:pos="851"/>
          <w:tab w:val="left" w:pos="1418"/>
          <w:tab w:val="left" w:pos="2126"/>
          <w:tab w:val="right" w:pos="9356"/>
        </w:tabs>
        <w:overflowPunct w:val="0"/>
        <w:autoSpaceDE w:val="0"/>
        <w:autoSpaceDN w:val="0"/>
        <w:adjustRightInd w:val="0"/>
        <w:spacing w:after="120" w:line="360" w:lineRule="atLeast"/>
        <w:ind w:left="567" w:hanging="283"/>
        <w:contextualSpacing w:val="0"/>
        <w:textAlignment w:val="baseline"/>
        <w:rPr>
          <w:rFonts w:ascii="VIC" w:hAnsi="VIC"/>
          <w:sz w:val="24"/>
          <w:szCs w:val="24"/>
        </w:rPr>
      </w:pPr>
      <w:r w:rsidRPr="004D307F">
        <w:rPr>
          <w:rFonts w:ascii="VIC" w:hAnsi="VIC"/>
          <w:sz w:val="24"/>
          <w:szCs w:val="24"/>
        </w:rPr>
        <w:t>for participating in activities arranged by their area-based alliance.</w:t>
      </w:r>
    </w:p>
    <w:p w14:paraId="13E739DA" w14:textId="77777777" w:rsidR="00C95C6E" w:rsidRPr="004D307F" w:rsidRDefault="00C95C6E" w:rsidP="004D307F">
      <w:pPr>
        <w:spacing w:line="360" w:lineRule="atLeast"/>
        <w:jc w:val="both"/>
        <w:rPr>
          <w:rFonts w:ascii="VIC" w:hAnsi="VIC" w:cstheme="minorHAnsi"/>
          <w:sz w:val="24"/>
          <w:szCs w:val="24"/>
        </w:rPr>
      </w:pPr>
      <w:r w:rsidRPr="004D307F">
        <w:rPr>
          <w:rFonts w:ascii="VIC" w:hAnsi="VIC" w:cstheme="minorHAnsi"/>
          <w:sz w:val="24"/>
          <w:szCs w:val="24"/>
        </w:rPr>
        <w:t xml:space="preserve">School leaders, mentors and graduate teachers will work collaboratively in planning and allocating the time release to enable full participation in the Pilot. </w:t>
      </w:r>
    </w:p>
    <w:p w14:paraId="28A30CEE" w14:textId="77777777" w:rsidR="00C95C6E" w:rsidRPr="004D307F" w:rsidRDefault="00C95C6E" w:rsidP="004D307F">
      <w:pPr>
        <w:spacing w:line="360" w:lineRule="atLeast"/>
        <w:jc w:val="both"/>
        <w:rPr>
          <w:rFonts w:ascii="VIC" w:hAnsi="VIC" w:cstheme="minorHAnsi"/>
          <w:sz w:val="24"/>
          <w:szCs w:val="24"/>
        </w:rPr>
      </w:pPr>
      <w:r w:rsidRPr="004D307F">
        <w:rPr>
          <w:rFonts w:ascii="VIC" w:hAnsi="VIC" w:cstheme="minorHAnsi"/>
          <w:sz w:val="24"/>
          <w:szCs w:val="24"/>
        </w:rPr>
        <w:t>A pro-rata time allowance will apply to graduate teachers employed on a part-time basis.</w:t>
      </w:r>
    </w:p>
    <w:p w14:paraId="1233CACC" w14:textId="77777777" w:rsidR="00C95C6E" w:rsidRPr="004D307F" w:rsidRDefault="00C95C6E" w:rsidP="004D307F">
      <w:pPr>
        <w:tabs>
          <w:tab w:val="left" w:pos="591"/>
          <w:tab w:val="left" w:pos="709"/>
          <w:tab w:val="left" w:pos="1418"/>
          <w:tab w:val="left" w:pos="2126"/>
          <w:tab w:val="right" w:pos="9356"/>
        </w:tabs>
        <w:overflowPunct w:val="0"/>
        <w:autoSpaceDE w:val="0"/>
        <w:autoSpaceDN w:val="0"/>
        <w:adjustRightInd w:val="0"/>
        <w:spacing w:before="120" w:line="360" w:lineRule="atLeast"/>
        <w:textAlignment w:val="baseline"/>
        <w:rPr>
          <w:rFonts w:ascii="VIC" w:hAnsi="VIC"/>
          <w:b/>
          <w:bCs/>
          <w:sz w:val="24"/>
          <w:szCs w:val="24"/>
        </w:rPr>
      </w:pPr>
      <w:r w:rsidRPr="004D307F">
        <w:rPr>
          <w:rFonts w:ascii="VIC" w:hAnsi="VIC"/>
          <w:b/>
          <w:bCs/>
          <w:sz w:val="24"/>
          <w:szCs w:val="24"/>
        </w:rPr>
        <w:t>Mentor teachers</w:t>
      </w:r>
    </w:p>
    <w:p w14:paraId="67F7C0C2" w14:textId="77777777" w:rsidR="00C95C6E" w:rsidRPr="004D307F" w:rsidRDefault="00C95C6E" w:rsidP="004D307F">
      <w:pPr>
        <w:spacing w:after="120" w:line="360" w:lineRule="atLeast"/>
        <w:jc w:val="both"/>
        <w:rPr>
          <w:rFonts w:ascii="VIC" w:eastAsia="Arial" w:hAnsi="VIC" w:cstheme="minorHAnsi"/>
          <w:sz w:val="24"/>
          <w:szCs w:val="28"/>
          <w:lang w:val="en-GB"/>
        </w:rPr>
      </w:pPr>
      <w:r w:rsidRPr="004D307F">
        <w:rPr>
          <w:rFonts w:ascii="VIC" w:eastAsia="Arial" w:hAnsi="VIC" w:cstheme="minorHAnsi"/>
          <w:sz w:val="24"/>
          <w:szCs w:val="28"/>
          <w:lang w:val="en-GB"/>
        </w:rPr>
        <w:t xml:space="preserve">To enable mentor teachers to fully support graduate teachers with their learning and development, schools will receive funding equivalent to 5 per cent of a Classroom Level 2, Range 6 salary for each graduate teacher they mentor.  </w:t>
      </w:r>
    </w:p>
    <w:p w14:paraId="26AACBB6" w14:textId="77777777" w:rsidR="00C95C6E" w:rsidRPr="004D307F" w:rsidRDefault="00C95C6E" w:rsidP="004D307F">
      <w:pPr>
        <w:spacing w:after="120" w:line="360" w:lineRule="atLeast"/>
        <w:jc w:val="both"/>
        <w:rPr>
          <w:rFonts w:ascii="VIC" w:eastAsia="Arial" w:hAnsi="VIC" w:cstheme="minorHAnsi"/>
          <w:sz w:val="24"/>
          <w:szCs w:val="28"/>
          <w:lang w:val="en-GB"/>
        </w:rPr>
      </w:pPr>
      <w:r w:rsidRPr="004D307F">
        <w:rPr>
          <w:rFonts w:ascii="VIC" w:eastAsia="Arial" w:hAnsi="VIC" w:cstheme="minorHAnsi"/>
          <w:sz w:val="24"/>
          <w:szCs w:val="28"/>
          <w:lang w:val="en-GB"/>
        </w:rPr>
        <w:t xml:space="preserve">The purpose of this funding is to support schools in reducing a mentor’s face-to-face teaching time so they can support the graduate to undertake observational rounds or </w:t>
      </w:r>
      <w:proofErr w:type="gramStart"/>
      <w:r w:rsidRPr="004D307F">
        <w:rPr>
          <w:rFonts w:ascii="VIC" w:eastAsia="Arial" w:hAnsi="VIC" w:cstheme="minorHAnsi"/>
          <w:sz w:val="24"/>
          <w:szCs w:val="28"/>
          <w:lang w:val="en-GB"/>
        </w:rPr>
        <w:t>team teaching</w:t>
      </w:r>
      <w:proofErr w:type="gramEnd"/>
      <w:r w:rsidRPr="004D307F">
        <w:rPr>
          <w:rFonts w:ascii="VIC" w:eastAsia="Arial" w:hAnsi="VIC" w:cstheme="minorHAnsi"/>
          <w:sz w:val="24"/>
          <w:szCs w:val="28"/>
          <w:lang w:val="en-GB"/>
        </w:rPr>
        <w:t xml:space="preserve"> activities, attend workshops and alliance meetings, without feeling overburdened by the role. The reduction is funded for a period of two years, or for as long as the graduate teacher is employed, whichever is shorter.</w:t>
      </w:r>
    </w:p>
    <w:p w14:paraId="0155DAEA"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 xml:space="preserve">Eligibility </w:t>
      </w:r>
    </w:p>
    <w:p w14:paraId="55BBF5A9"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Schools are eligible to receive funding if they employ: </w:t>
      </w:r>
    </w:p>
    <w:p w14:paraId="26CC2625" w14:textId="77777777" w:rsidR="00C95C6E" w:rsidRPr="004D307F" w:rsidRDefault="00C95C6E" w:rsidP="004D307F">
      <w:pPr>
        <w:spacing w:before="120" w:line="360" w:lineRule="atLeast"/>
        <w:jc w:val="both"/>
        <w:rPr>
          <w:rFonts w:ascii="VIC" w:hAnsi="VIC" w:cstheme="minorHAnsi"/>
          <w:b/>
          <w:bCs/>
          <w:sz w:val="24"/>
          <w:szCs w:val="24"/>
          <w:u w:val="single"/>
        </w:rPr>
      </w:pPr>
      <w:r w:rsidRPr="004D307F">
        <w:rPr>
          <w:rFonts w:ascii="VIC" w:hAnsi="VIC" w:cstheme="minorHAnsi"/>
          <w:b/>
          <w:bCs/>
          <w:sz w:val="24"/>
          <w:szCs w:val="24"/>
          <w:u w:val="single"/>
        </w:rPr>
        <w:t>Graduate Teachers</w:t>
      </w:r>
    </w:p>
    <w:p w14:paraId="00E01EE7" w14:textId="6F0BA103" w:rsidR="00C95C6E" w:rsidRPr="004D307F" w:rsidRDefault="00C95C6E" w:rsidP="004D307F">
      <w:pPr>
        <w:spacing w:before="120" w:line="360" w:lineRule="atLeast"/>
        <w:rPr>
          <w:rFonts w:ascii="VIC" w:hAnsi="VIC" w:cstheme="minorHAnsi"/>
          <w:sz w:val="24"/>
          <w:szCs w:val="24"/>
        </w:rPr>
      </w:pPr>
      <w:r w:rsidRPr="004D307F">
        <w:rPr>
          <w:rFonts w:ascii="VIC" w:hAnsi="VIC" w:cstheme="minorHAnsi"/>
          <w:sz w:val="24"/>
          <w:szCs w:val="24"/>
        </w:rPr>
        <w:lastRenderedPageBreak/>
        <w:t xml:space="preserve">The core focus of the Pilot is to provide enhanced induction experiences for new graduates commencing their first substantive teaching position in an eligible school in the Pilot areas. </w:t>
      </w:r>
    </w:p>
    <w:p w14:paraId="796DC33B" w14:textId="77777777" w:rsidR="00331ED3" w:rsidRPr="004D307F" w:rsidRDefault="00331ED3" w:rsidP="004D307F">
      <w:pPr>
        <w:spacing w:before="120" w:line="360" w:lineRule="atLeast"/>
        <w:rPr>
          <w:rFonts w:ascii="VIC" w:hAnsi="VIC" w:cstheme="minorHAnsi"/>
          <w:sz w:val="24"/>
          <w:szCs w:val="24"/>
        </w:rPr>
      </w:pPr>
      <w:r w:rsidRPr="004D307F">
        <w:rPr>
          <w:rFonts w:ascii="VIC" w:hAnsi="VIC" w:cstheme="minorHAnsi"/>
          <w:sz w:val="24"/>
          <w:szCs w:val="24"/>
        </w:rPr>
        <w:t xml:space="preserve">Graduate teachers are eligible to participate in Year 1 of the program if they are employed in a primary, P-9 or P-12 school or specialist school in a Pilot area (Inner Gippsland, </w:t>
      </w:r>
      <w:proofErr w:type="gramStart"/>
      <w:r w:rsidRPr="004D307F">
        <w:rPr>
          <w:rFonts w:ascii="VIC" w:hAnsi="VIC" w:cstheme="minorHAnsi"/>
          <w:sz w:val="24"/>
          <w:szCs w:val="24"/>
        </w:rPr>
        <w:t>North Eastern</w:t>
      </w:r>
      <w:proofErr w:type="gramEnd"/>
      <w:r w:rsidRPr="004D307F">
        <w:rPr>
          <w:rFonts w:ascii="VIC" w:hAnsi="VIC" w:cstheme="minorHAnsi"/>
          <w:sz w:val="24"/>
          <w:szCs w:val="24"/>
        </w:rPr>
        <w:t xml:space="preserve"> Melbourne and Western Melbourne) and:</w:t>
      </w:r>
    </w:p>
    <w:p w14:paraId="02E7B263" w14:textId="77777777" w:rsidR="00331ED3" w:rsidRPr="004D307F" w:rsidRDefault="00331ED3" w:rsidP="00ED0863">
      <w:pPr>
        <w:pStyle w:val="ListParagraph"/>
        <w:numPr>
          <w:ilvl w:val="0"/>
          <w:numId w:val="161"/>
        </w:numPr>
        <w:spacing w:before="120" w:line="360" w:lineRule="atLeast"/>
        <w:rPr>
          <w:rFonts w:ascii="VIC" w:hAnsi="VIC" w:cstheme="minorHAnsi"/>
          <w:sz w:val="24"/>
          <w:szCs w:val="24"/>
        </w:rPr>
      </w:pPr>
      <w:r w:rsidRPr="004D307F">
        <w:rPr>
          <w:rFonts w:ascii="VIC" w:hAnsi="VIC" w:cstheme="minorHAnsi"/>
          <w:sz w:val="24"/>
          <w:szCs w:val="24"/>
        </w:rPr>
        <w:t xml:space="preserve">have graduated with a bachelor or master qualification within the last four years </w:t>
      </w:r>
    </w:p>
    <w:p w14:paraId="0DB32E80" w14:textId="77777777" w:rsidR="00331ED3" w:rsidRPr="004D307F" w:rsidRDefault="00331ED3" w:rsidP="00ED0863">
      <w:pPr>
        <w:pStyle w:val="ListParagraph"/>
        <w:numPr>
          <w:ilvl w:val="0"/>
          <w:numId w:val="161"/>
        </w:numPr>
        <w:spacing w:before="120" w:line="360" w:lineRule="atLeast"/>
        <w:rPr>
          <w:rFonts w:ascii="VIC" w:hAnsi="VIC" w:cstheme="minorHAnsi"/>
          <w:sz w:val="24"/>
          <w:szCs w:val="24"/>
        </w:rPr>
      </w:pPr>
      <w:r w:rsidRPr="004D307F">
        <w:rPr>
          <w:rFonts w:ascii="VIC" w:hAnsi="VIC" w:cstheme="minorHAnsi"/>
          <w:sz w:val="24"/>
          <w:szCs w:val="24"/>
        </w:rPr>
        <w:t xml:space="preserve">are provisionally registered with the Victorian Institute of Teaching (VIT) </w:t>
      </w:r>
    </w:p>
    <w:p w14:paraId="2E0B9043" w14:textId="77777777" w:rsidR="00331ED3" w:rsidRPr="004D307F" w:rsidRDefault="00331ED3" w:rsidP="00ED0863">
      <w:pPr>
        <w:pStyle w:val="ListParagraph"/>
        <w:numPr>
          <w:ilvl w:val="0"/>
          <w:numId w:val="161"/>
        </w:numPr>
        <w:spacing w:before="120" w:line="360" w:lineRule="atLeast"/>
        <w:rPr>
          <w:rFonts w:ascii="VIC" w:hAnsi="VIC" w:cstheme="minorHAnsi"/>
          <w:sz w:val="24"/>
          <w:szCs w:val="24"/>
        </w:rPr>
      </w:pPr>
      <w:r w:rsidRPr="004D307F">
        <w:rPr>
          <w:rFonts w:ascii="VIC" w:hAnsi="VIC" w:cstheme="minorHAnsi"/>
          <w:sz w:val="24"/>
          <w:szCs w:val="24"/>
        </w:rPr>
        <w:t xml:space="preserve">are commencing their first teaching position since gaining VIT provisional registration </w:t>
      </w:r>
    </w:p>
    <w:p w14:paraId="0CAA27D2" w14:textId="77777777" w:rsidR="00331ED3" w:rsidRPr="004D307F" w:rsidRDefault="00331ED3" w:rsidP="00ED0863">
      <w:pPr>
        <w:pStyle w:val="ListParagraph"/>
        <w:numPr>
          <w:ilvl w:val="0"/>
          <w:numId w:val="161"/>
        </w:numPr>
        <w:spacing w:before="120" w:line="360" w:lineRule="atLeast"/>
        <w:rPr>
          <w:rFonts w:ascii="VIC" w:hAnsi="VIC" w:cstheme="minorHAnsi"/>
          <w:sz w:val="24"/>
          <w:szCs w:val="24"/>
        </w:rPr>
      </w:pPr>
      <w:r w:rsidRPr="004D307F">
        <w:rPr>
          <w:rFonts w:ascii="VIC" w:hAnsi="VIC" w:cstheme="minorHAnsi"/>
          <w:sz w:val="24"/>
          <w:szCs w:val="24"/>
        </w:rPr>
        <w:t>are employed at a Classroom Level 1, Range 1 classification</w:t>
      </w:r>
    </w:p>
    <w:p w14:paraId="76C64FB8" w14:textId="77777777" w:rsidR="00331ED3" w:rsidRPr="004D307F" w:rsidRDefault="00331ED3" w:rsidP="004D307F">
      <w:pPr>
        <w:spacing w:before="120" w:line="360" w:lineRule="atLeast"/>
        <w:rPr>
          <w:rFonts w:ascii="VIC" w:hAnsi="VIC" w:cstheme="minorHAnsi"/>
          <w:sz w:val="24"/>
          <w:szCs w:val="24"/>
        </w:rPr>
      </w:pPr>
      <w:r w:rsidRPr="004D307F">
        <w:rPr>
          <w:rFonts w:ascii="VIC" w:hAnsi="VIC" w:cstheme="minorHAnsi"/>
          <w:sz w:val="24"/>
          <w:szCs w:val="24"/>
        </w:rPr>
        <w:t>A provisionally registered teacher (PRT) who has worked as a Casual Relief Teacher (CRT) is eligible.</w:t>
      </w:r>
    </w:p>
    <w:p w14:paraId="30ED3B08" w14:textId="77777777" w:rsidR="00331ED3" w:rsidRPr="004D307F" w:rsidRDefault="00331ED3" w:rsidP="004D307F">
      <w:pPr>
        <w:spacing w:before="120" w:line="360" w:lineRule="atLeast"/>
        <w:rPr>
          <w:rFonts w:ascii="VIC" w:hAnsi="VIC" w:cstheme="minorHAnsi"/>
          <w:sz w:val="24"/>
          <w:szCs w:val="24"/>
        </w:rPr>
      </w:pPr>
      <w:r w:rsidRPr="004D307F">
        <w:rPr>
          <w:rFonts w:ascii="VIC" w:hAnsi="VIC" w:cstheme="minorHAnsi"/>
          <w:sz w:val="24"/>
          <w:szCs w:val="24"/>
        </w:rPr>
        <w:t xml:space="preserve">A provisionally registered teacher (PRT) who has worked as a tutor for the Tutor Learning Initiative in 2021 is eligible.  </w:t>
      </w:r>
    </w:p>
    <w:p w14:paraId="7DE632DD" w14:textId="2C2CE009" w:rsidR="00331ED3" w:rsidRPr="004D307F" w:rsidRDefault="00331ED3" w:rsidP="004D307F">
      <w:pPr>
        <w:spacing w:before="120" w:line="360" w:lineRule="atLeast"/>
        <w:rPr>
          <w:rFonts w:ascii="VIC" w:hAnsi="VIC" w:cstheme="minorHAnsi"/>
          <w:sz w:val="24"/>
          <w:szCs w:val="24"/>
        </w:rPr>
      </w:pPr>
      <w:r w:rsidRPr="004D307F">
        <w:rPr>
          <w:rFonts w:ascii="VIC" w:hAnsi="VIC" w:cstheme="minorHAnsi"/>
          <w:sz w:val="24"/>
          <w:szCs w:val="24"/>
        </w:rPr>
        <w:t xml:space="preserve">Graduate teachers are eligible to participate in Year 2 of the program if they are employed in a primary, P-9 or P-12 school in a Pilot Area (Inner Gippsland, </w:t>
      </w:r>
      <w:proofErr w:type="gramStart"/>
      <w:r w:rsidRPr="004D307F">
        <w:rPr>
          <w:rFonts w:ascii="VIC" w:hAnsi="VIC" w:cstheme="minorHAnsi"/>
          <w:sz w:val="24"/>
          <w:szCs w:val="24"/>
        </w:rPr>
        <w:t>North Eastern</w:t>
      </w:r>
      <w:proofErr w:type="gramEnd"/>
      <w:r w:rsidRPr="004D307F">
        <w:rPr>
          <w:rFonts w:ascii="VIC" w:hAnsi="VIC" w:cstheme="minorHAnsi"/>
          <w:sz w:val="24"/>
          <w:szCs w:val="24"/>
        </w:rPr>
        <w:t xml:space="preserve"> Melbourne and Western Melbourne) and have participated in the Pilot in 2021.</w:t>
      </w:r>
    </w:p>
    <w:p w14:paraId="6400775A" w14:textId="4187E1F5" w:rsidR="00C95C6E" w:rsidRPr="004D307F" w:rsidRDefault="00C95C6E" w:rsidP="004D307F">
      <w:pPr>
        <w:spacing w:before="120" w:line="360" w:lineRule="atLeast"/>
        <w:rPr>
          <w:rFonts w:ascii="VIC" w:hAnsi="VIC"/>
          <w:sz w:val="24"/>
          <w:szCs w:val="24"/>
        </w:rPr>
      </w:pPr>
      <w:r w:rsidRPr="004D307F">
        <w:rPr>
          <w:rFonts w:ascii="VIC" w:hAnsi="VIC"/>
          <w:sz w:val="24"/>
          <w:szCs w:val="24"/>
          <w:lang w:val="en-US"/>
        </w:rPr>
        <w:t xml:space="preserve">Eligible schools can inform the </w:t>
      </w:r>
      <w:r w:rsidR="00642F26" w:rsidRPr="004D307F">
        <w:rPr>
          <w:rFonts w:ascii="VIC" w:hAnsi="VIC"/>
          <w:sz w:val="24"/>
          <w:szCs w:val="24"/>
          <w:lang w:val="en-US"/>
        </w:rPr>
        <w:t>d</w:t>
      </w:r>
      <w:r w:rsidRPr="004D307F">
        <w:rPr>
          <w:rFonts w:ascii="VIC" w:hAnsi="VIC"/>
          <w:sz w:val="24"/>
          <w:szCs w:val="24"/>
          <w:lang w:val="en-US"/>
        </w:rPr>
        <w:t>epartment of the intake of an eligible graduate teacher throughout the two intake years of the Pilot (2021 and 2022). Funds will be released to schools on a pro-rata basis.</w:t>
      </w:r>
    </w:p>
    <w:p w14:paraId="00EF9270"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 xml:space="preserve">Rates </w:t>
      </w:r>
    </w:p>
    <w:p w14:paraId="01D184E5"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The Pilot is funded to allow schools to employ additional classroom teachers to counteract the reduction in teaching time provided to graduate teachers and their mentors. These teachers will be responsible for the teaching duties that graduate teachers and mentors will no longer be able to undertake. </w:t>
      </w:r>
    </w:p>
    <w:p w14:paraId="5DE3ED21"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Schools are provided funding to support the reduction in face-to-face teacher duties: </w:t>
      </w:r>
    </w:p>
    <w:p w14:paraId="0C0CE936"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Graduate Teacher</w:t>
      </w:r>
    </w:p>
    <w:p w14:paraId="665B7C28"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lastRenderedPageBreak/>
        <w:t>Funding provided at the</w:t>
      </w:r>
      <w:r w:rsidRPr="004D307F">
        <w:rPr>
          <w:rFonts w:ascii="VIC" w:hAnsi="VIC" w:cstheme="minorHAnsi"/>
          <w:b/>
          <w:bCs/>
          <w:sz w:val="24"/>
          <w:szCs w:val="24"/>
        </w:rPr>
        <w:t xml:space="preserve"> </w:t>
      </w:r>
      <w:r w:rsidRPr="004D307F">
        <w:rPr>
          <w:rFonts w:ascii="VIC" w:hAnsi="VIC" w:cstheme="minorHAnsi"/>
          <w:sz w:val="24"/>
          <w:szCs w:val="24"/>
        </w:rPr>
        <w:t>Classroom Level 2, Range 4 classification</w:t>
      </w:r>
    </w:p>
    <w:p w14:paraId="5EB6E591"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 xml:space="preserve">Mentor Teacher </w:t>
      </w:r>
    </w:p>
    <w:p w14:paraId="2991E01E"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Funding provided at the Classroom Level 2, Range 6 classification</w:t>
      </w:r>
    </w:p>
    <w:p w14:paraId="5C4F9CB6" w14:textId="77777777" w:rsidR="00C95C6E" w:rsidRPr="004D307F" w:rsidRDefault="00C95C6E" w:rsidP="004D307F">
      <w:pPr>
        <w:spacing w:line="360" w:lineRule="atLeast"/>
        <w:rPr>
          <w:rFonts w:ascii="VIC" w:hAnsi="VIC"/>
          <w:sz w:val="24"/>
          <w:szCs w:val="24"/>
          <w:lang w:val="en-US"/>
        </w:rPr>
      </w:pPr>
      <w:r w:rsidRPr="004D307F">
        <w:rPr>
          <w:rFonts w:ascii="VIC" w:hAnsi="VIC"/>
          <w:sz w:val="24"/>
          <w:szCs w:val="24"/>
          <w:lang w:val="en-US"/>
        </w:rPr>
        <w:t xml:space="preserve">Funds will be transferred to schools through the Student Resource Package (SRP) as a targeted initiative. </w:t>
      </w:r>
    </w:p>
    <w:p w14:paraId="753BECB2"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Calculation</w:t>
      </w:r>
    </w:p>
    <w:p w14:paraId="16F46F2A" w14:textId="77777777" w:rsidR="00C95C6E" w:rsidRPr="004D307F" w:rsidRDefault="00C95C6E" w:rsidP="004D307F">
      <w:pPr>
        <w:pStyle w:val="Heading3"/>
        <w:spacing w:line="360" w:lineRule="atLeast"/>
        <w:rPr>
          <w:rFonts w:ascii="VIC" w:hAnsi="VIC"/>
          <w:sz w:val="28"/>
          <w:szCs w:val="28"/>
        </w:rPr>
      </w:pPr>
      <w:r w:rsidRPr="004D307F">
        <w:rPr>
          <w:rFonts w:ascii="VIC" w:hAnsi="VIC"/>
          <w:sz w:val="28"/>
          <w:szCs w:val="28"/>
        </w:rPr>
        <w:t>Year One</w:t>
      </w:r>
    </w:p>
    <w:p w14:paraId="3A595388"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Graduate Teacher</w:t>
      </w:r>
    </w:p>
    <w:p w14:paraId="0FE667DE" w14:textId="3BAB606F"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(0.15 [% of additional time release] x ([Classroom Level 2, Range 4 classification </w:t>
      </w:r>
      <w:proofErr w:type="gramStart"/>
      <w:r w:rsidRPr="004D307F">
        <w:rPr>
          <w:rFonts w:ascii="VIC" w:hAnsi="VIC" w:cstheme="minorHAnsi"/>
          <w:sz w:val="24"/>
          <w:szCs w:val="24"/>
        </w:rPr>
        <w:t>salary]+</w:t>
      </w:r>
      <w:proofErr w:type="gramEnd"/>
      <w:r w:rsidRPr="004D307F">
        <w:rPr>
          <w:rFonts w:ascii="VIC" w:hAnsi="VIC" w:cstheme="minorHAnsi"/>
          <w:sz w:val="24"/>
          <w:szCs w:val="24"/>
        </w:rPr>
        <w:t xml:space="preserve">[Oncosts]) </w:t>
      </w:r>
    </w:p>
    <w:p w14:paraId="152B72DD"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 xml:space="preserve">Mentor Teacher </w:t>
      </w:r>
    </w:p>
    <w:p w14:paraId="3EE23924"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(0.05 [% of time release, per graduate] x ([Classroom Level 2, Range 6 classification </w:t>
      </w:r>
      <w:proofErr w:type="gramStart"/>
      <w:r w:rsidRPr="004D307F">
        <w:rPr>
          <w:rFonts w:ascii="VIC" w:hAnsi="VIC" w:cstheme="minorHAnsi"/>
          <w:sz w:val="24"/>
          <w:szCs w:val="24"/>
        </w:rPr>
        <w:t>salary]+</w:t>
      </w:r>
      <w:proofErr w:type="gramEnd"/>
      <w:r w:rsidRPr="004D307F">
        <w:rPr>
          <w:rFonts w:ascii="VIC" w:hAnsi="VIC" w:cstheme="minorHAnsi"/>
          <w:sz w:val="24"/>
          <w:szCs w:val="24"/>
        </w:rPr>
        <w:t>[Oncosts]) x [FTE])</w:t>
      </w:r>
    </w:p>
    <w:p w14:paraId="07B6DE0B" w14:textId="77777777" w:rsidR="00C95C6E" w:rsidRPr="004D307F" w:rsidRDefault="00C95C6E" w:rsidP="004D307F">
      <w:pPr>
        <w:pStyle w:val="Heading3"/>
        <w:spacing w:line="360" w:lineRule="atLeast"/>
        <w:rPr>
          <w:rFonts w:ascii="VIC" w:hAnsi="VIC"/>
          <w:sz w:val="28"/>
          <w:szCs w:val="28"/>
        </w:rPr>
      </w:pPr>
      <w:r w:rsidRPr="004D307F">
        <w:rPr>
          <w:rFonts w:ascii="VIC" w:hAnsi="VIC"/>
          <w:sz w:val="28"/>
          <w:szCs w:val="28"/>
        </w:rPr>
        <w:t>Year Two</w:t>
      </w:r>
    </w:p>
    <w:p w14:paraId="0D70F5CF"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Graduate Teacher</w:t>
      </w:r>
    </w:p>
    <w:p w14:paraId="4192C750" w14:textId="77777777"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(0.10 [% of additional time release] x ([Classroom Level 2, Range 4 classification </w:t>
      </w:r>
      <w:proofErr w:type="gramStart"/>
      <w:r w:rsidRPr="004D307F">
        <w:rPr>
          <w:rFonts w:ascii="VIC" w:hAnsi="VIC" w:cstheme="minorHAnsi"/>
          <w:sz w:val="24"/>
          <w:szCs w:val="24"/>
        </w:rPr>
        <w:t>salary]+</w:t>
      </w:r>
      <w:proofErr w:type="gramEnd"/>
      <w:r w:rsidRPr="004D307F">
        <w:rPr>
          <w:rFonts w:ascii="VIC" w:hAnsi="VIC" w:cstheme="minorHAnsi"/>
          <w:sz w:val="24"/>
          <w:szCs w:val="24"/>
        </w:rPr>
        <w:t>[Oncosts]) x [FTE])</w:t>
      </w:r>
    </w:p>
    <w:p w14:paraId="36F51BFC" w14:textId="77777777" w:rsidR="00C95C6E" w:rsidRPr="004D307F" w:rsidRDefault="00C95C6E" w:rsidP="004D307F">
      <w:pPr>
        <w:spacing w:before="120" w:line="360" w:lineRule="atLeast"/>
        <w:jc w:val="both"/>
        <w:rPr>
          <w:rFonts w:ascii="VIC" w:hAnsi="VIC" w:cstheme="minorHAnsi"/>
          <w:b/>
          <w:bCs/>
          <w:sz w:val="24"/>
          <w:szCs w:val="24"/>
        </w:rPr>
      </w:pPr>
      <w:r w:rsidRPr="004D307F">
        <w:rPr>
          <w:rFonts w:ascii="VIC" w:hAnsi="VIC" w:cstheme="minorHAnsi"/>
          <w:b/>
          <w:bCs/>
          <w:sz w:val="24"/>
          <w:szCs w:val="24"/>
        </w:rPr>
        <w:t>Mentor Teacher</w:t>
      </w:r>
    </w:p>
    <w:p w14:paraId="743F56CE" w14:textId="389F5798" w:rsidR="00C95C6E" w:rsidRPr="004D307F" w:rsidRDefault="00C95C6E" w:rsidP="004D307F">
      <w:pPr>
        <w:spacing w:before="120" w:line="360" w:lineRule="atLeast"/>
        <w:jc w:val="both"/>
        <w:rPr>
          <w:rFonts w:ascii="VIC" w:hAnsi="VIC" w:cstheme="minorHAnsi"/>
          <w:sz w:val="24"/>
          <w:szCs w:val="24"/>
        </w:rPr>
      </w:pPr>
      <w:r w:rsidRPr="004D307F">
        <w:rPr>
          <w:rFonts w:ascii="VIC" w:hAnsi="VIC" w:cstheme="minorHAnsi"/>
          <w:sz w:val="24"/>
          <w:szCs w:val="24"/>
        </w:rPr>
        <w:t xml:space="preserve">(0.05 [% of additional time release] x ([Range 2 Level 6 classroom teacher </w:t>
      </w:r>
      <w:proofErr w:type="gramStart"/>
      <w:r w:rsidRPr="004D307F">
        <w:rPr>
          <w:rFonts w:ascii="VIC" w:hAnsi="VIC" w:cstheme="minorHAnsi"/>
          <w:sz w:val="24"/>
          <w:szCs w:val="24"/>
        </w:rPr>
        <w:t>salary]+</w:t>
      </w:r>
      <w:proofErr w:type="gramEnd"/>
      <w:r w:rsidRPr="004D307F">
        <w:rPr>
          <w:rFonts w:ascii="VIC" w:hAnsi="VIC" w:cstheme="minorHAnsi"/>
          <w:sz w:val="24"/>
          <w:szCs w:val="24"/>
        </w:rPr>
        <w:t xml:space="preserve">[Oncosts]) </w:t>
      </w:r>
    </w:p>
    <w:p w14:paraId="3CF208E2" w14:textId="14F454AA" w:rsidR="00C95C6E" w:rsidRPr="004D307F" w:rsidRDefault="00642F26" w:rsidP="004D307F">
      <w:pPr>
        <w:spacing w:after="0" w:line="360" w:lineRule="atLeast"/>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 xml:space="preserve">Career Start </w:t>
      </w:r>
      <w:r w:rsidR="00C95C6E" w:rsidRPr="004D307F">
        <w:rPr>
          <w:rFonts w:ascii="VIC" w:eastAsia="Times New Roman" w:hAnsi="VIC" w:cs="Times New Roman"/>
          <w:b/>
          <w:bCs/>
          <w:color w:val="011A3C"/>
          <w:sz w:val="28"/>
          <w:szCs w:val="28"/>
          <w:lang w:val="en" w:eastAsia="en-AU"/>
        </w:rPr>
        <w:t xml:space="preserve">Hub Schools </w:t>
      </w:r>
    </w:p>
    <w:p w14:paraId="6BDC36E0" w14:textId="4946529F" w:rsidR="00C95C6E" w:rsidRPr="004D307F" w:rsidRDefault="00642F26" w:rsidP="004D307F">
      <w:pPr>
        <w:spacing w:after="0" w:line="360" w:lineRule="atLeast"/>
        <w:rPr>
          <w:rFonts w:ascii="VIC" w:hAnsi="VIC" w:cstheme="minorHAnsi"/>
          <w:sz w:val="24"/>
          <w:szCs w:val="24"/>
        </w:rPr>
      </w:pPr>
      <w:r w:rsidRPr="004D307F">
        <w:rPr>
          <w:rFonts w:ascii="VIC" w:hAnsi="VIC" w:cstheme="minorHAnsi"/>
          <w:sz w:val="24"/>
          <w:szCs w:val="24"/>
        </w:rPr>
        <w:t xml:space="preserve">Career Start </w:t>
      </w:r>
      <w:r w:rsidR="00C95C6E" w:rsidRPr="004D307F">
        <w:rPr>
          <w:rFonts w:ascii="VIC" w:hAnsi="VIC" w:cstheme="minorHAnsi"/>
          <w:sz w:val="24"/>
          <w:szCs w:val="24"/>
        </w:rPr>
        <w:t>Hub Schools are funded to provide a base for participants and host professional learning and alliance networking meetings. Funds will be used for the provision of resource and technical support, catering, and a bursary for professional learning available to all school staff.</w:t>
      </w:r>
    </w:p>
    <w:p w14:paraId="7A322A08" w14:textId="53F030D1" w:rsidR="00C95C6E" w:rsidRPr="004D307F" w:rsidRDefault="00331ED3" w:rsidP="004D307F">
      <w:pPr>
        <w:spacing w:after="0" w:line="360" w:lineRule="atLeast"/>
        <w:rPr>
          <w:rFonts w:ascii="VIC" w:hAnsi="VIC" w:cstheme="minorHAnsi"/>
          <w:sz w:val="24"/>
          <w:szCs w:val="24"/>
        </w:rPr>
      </w:pPr>
      <w:r w:rsidRPr="004D307F">
        <w:rPr>
          <w:rFonts w:ascii="VIC" w:hAnsi="VIC" w:cstheme="minorHAnsi"/>
          <w:sz w:val="24"/>
          <w:szCs w:val="24"/>
        </w:rPr>
        <w:t>Twelve</w:t>
      </w:r>
      <w:r w:rsidR="00C95C6E" w:rsidRPr="004D307F">
        <w:rPr>
          <w:rFonts w:ascii="VIC" w:hAnsi="VIC" w:cstheme="minorHAnsi"/>
          <w:sz w:val="24"/>
          <w:szCs w:val="24"/>
        </w:rPr>
        <w:t xml:space="preserve"> schools, distributed across the three Pilot areas of Inner Gippsland, </w:t>
      </w:r>
      <w:proofErr w:type="gramStart"/>
      <w:r w:rsidR="00C95C6E" w:rsidRPr="004D307F">
        <w:rPr>
          <w:rFonts w:ascii="VIC" w:hAnsi="VIC" w:cstheme="minorHAnsi"/>
          <w:sz w:val="24"/>
          <w:szCs w:val="24"/>
        </w:rPr>
        <w:t>North Eastern</w:t>
      </w:r>
      <w:proofErr w:type="gramEnd"/>
      <w:r w:rsidR="00C95C6E" w:rsidRPr="004D307F">
        <w:rPr>
          <w:rFonts w:ascii="VIC" w:hAnsi="VIC" w:cstheme="minorHAnsi"/>
          <w:sz w:val="24"/>
          <w:szCs w:val="24"/>
        </w:rPr>
        <w:t xml:space="preserve"> Melbourne and Western Melbourne, have been selected through an Expression of Interest (EOI) process for the duration of the Pilot (2021 – 2023). </w:t>
      </w:r>
    </w:p>
    <w:p w14:paraId="71835C14" w14:textId="77777777" w:rsidR="00C95C6E" w:rsidRPr="004D307F" w:rsidRDefault="00C95C6E" w:rsidP="004D307F">
      <w:pPr>
        <w:spacing w:after="0" w:line="360" w:lineRule="atLeast"/>
        <w:rPr>
          <w:rFonts w:ascii="VIC" w:hAnsi="VIC" w:cstheme="minorHAnsi"/>
          <w:sz w:val="24"/>
          <w:szCs w:val="24"/>
        </w:rPr>
      </w:pPr>
    </w:p>
    <w:p w14:paraId="5770701D" w14:textId="77777777" w:rsidR="00C95C6E" w:rsidRPr="004D307F" w:rsidRDefault="00C95C6E" w:rsidP="004D307F">
      <w:pPr>
        <w:spacing w:after="0" w:line="360" w:lineRule="atLeast"/>
        <w:rPr>
          <w:rFonts w:ascii="VIC" w:hAnsi="VIC" w:cstheme="minorHAnsi"/>
          <w:sz w:val="24"/>
          <w:szCs w:val="24"/>
        </w:rPr>
      </w:pPr>
      <w:r w:rsidRPr="004D307F">
        <w:rPr>
          <w:rFonts w:ascii="VIC" w:hAnsi="VIC" w:cstheme="minorHAnsi"/>
          <w:sz w:val="24"/>
          <w:szCs w:val="24"/>
        </w:rPr>
        <w:lastRenderedPageBreak/>
        <w:t>This is a cash allocation for all participating Hub Schools at $23,000 for the 2021 school year, $34,500 for the 2022 school year and $11,500 for the 2023 school year which will be paid through the Curriculum Support Line.</w:t>
      </w:r>
    </w:p>
    <w:p w14:paraId="0F89E453" w14:textId="77777777" w:rsidR="00C95C6E" w:rsidRPr="004D307F" w:rsidRDefault="00C95C6E" w:rsidP="004D307F">
      <w:pPr>
        <w:spacing w:before="100" w:beforeAutospacing="1" w:after="100" w:afterAutospacing="1" w:line="360" w:lineRule="atLeast"/>
        <w:outlineLvl w:val="2"/>
        <w:rPr>
          <w:rFonts w:ascii="VIC" w:eastAsia="Times New Roman" w:hAnsi="VIC" w:cs="Times New Roman"/>
          <w:b/>
          <w:bCs/>
          <w:color w:val="011A3C"/>
          <w:sz w:val="28"/>
          <w:szCs w:val="28"/>
          <w:lang w:val="en" w:eastAsia="en-AU"/>
        </w:rPr>
      </w:pPr>
      <w:r w:rsidRPr="004D307F">
        <w:rPr>
          <w:rFonts w:ascii="VIC" w:eastAsia="Times New Roman" w:hAnsi="VIC" w:cs="Times New Roman"/>
          <w:b/>
          <w:bCs/>
          <w:color w:val="011A3C"/>
          <w:sz w:val="28"/>
          <w:szCs w:val="28"/>
          <w:lang w:val="en" w:eastAsia="en-AU"/>
        </w:rPr>
        <w:t xml:space="preserve">Further information </w:t>
      </w:r>
    </w:p>
    <w:p w14:paraId="4FD4832D" w14:textId="23246CE9" w:rsidR="003C2063" w:rsidRPr="00283E9D" w:rsidRDefault="00C95C6E" w:rsidP="004D307F">
      <w:pPr>
        <w:spacing w:line="360" w:lineRule="atLeast"/>
        <w:rPr>
          <w:rFonts w:ascii="VIC" w:hAnsi="VIC"/>
          <w:bCs/>
          <w:sz w:val="24"/>
          <w:szCs w:val="24"/>
          <w:lang w:val="en" w:eastAsia="en-AU"/>
        </w:rPr>
      </w:pPr>
      <w:r w:rsidRPr="00283E9D">
        <w:rPr>
          <w:rFonts w:ascii="VIC" w:hAnsi="VIC" w:cstheme="minorHAnsi"/>
          <w:sz w:val="24"/>
          <w:szCs w:val="24"/>
        </w:rPr>
        <w:t>For  further information contact</w:t>
      </w:r>
      <w:r w:rsidRPr="00283E9D">
        <w:rPr>
          <w:rFonts w:ascii="VIC" w:eastAsia="Calibri" w:hAnsi="VIC" w:cstheme="minorHAnsi"/>
          <w:bCs/>
          <w:color w:val="2F5496" w:themeColor="accent1" w:themeShade="BF"/>
          <w:sz w:val="24"/>
          <w:szCs w:val="24"/>
          <w:lang w:val="en" w:eastAsia="en-AU"/>
        </w:rPr>
        <w:t xml:space="preserve"> </w:t>
      </w:r>
      <w:hyperlink r:id="rId186" w:history="1">
        <w:r w:rsidRPr="00283E9D">
          <w:rPr>
            <w:rStyle w:val="Hyperlink"/>
            <w:rFonts w:ascii="VIC" w:eastAsia="Calibri" w:hAnsi="VIC" w:cs="Calibri"/>
            <w:bCs/>
            <w:sz w:val="24"/>
            <w:szCs w:val="24"/>
            <w:lang w:val="en" w:eastAsia="en-AU"/>
          </w:rPr>
          <w:t>graduate.induction@education.vic.gov.au</w:t>
        </w:r>
      </w:hyperlink>
      <w:r w:rsidRPr="00283E9D">
        <w:rPr>
          <w:rStyle w:val="Hyperlink"/>
          <w:rFonts w:ascii="VIC" w:eastAsia="Calibri" w:hAnsi="VIC" w:cs="Calibri"/>
          <w:bCs/>
          <w:sz w:val="24"/>
          <w:szCs w:val="24"/>
          <w:lang w:val="en" w:eastAsia="en-AU"/>
        </w:rPr>
        <w:t xml:space="preserve"> </w:t>
      </w:r>
      <w:r w:rsidRPr="00283E9D">
        <w:rPr>
          <w:rFonts w:ascii="VIC" w:hAnsi="VIC" w:cstheme="minorHAnsi"/>
          <w:bCs/>
          <w:sz w:val="24"/>
          <w:szCs w:val="24"/>
        </w:rPr>
        <w:t>or visit</w:t>
      </w:r>
      <w:r w:rsidRPr="00283E9D">
        <w:rPr>
          <w:rFonts w:asciiTheme="majorHAnsi" w:hAnsiTheme="majorHAnsi" w:cstheme="minorHAnsi"/>
          <w:bCs/>
          <w:sz w:val="36"/>
          <w:szCs w:val="26"/>
        </w:rPr>
        <w:t xml:space="preserve"> </w:t>
      </w:r>
      <w:hyperlink r:id="rId187" w:history="1">
        <w:r w:rsidR="00642F26" w:rsidRPr="00283E9D">
          <w:rPr>
            <w:rStyle w:val="Hyperlink"/>
            <w:rFonts w:ascii="VIC" w:eastAsia="Calibri" w:hAnsi="VIC" w:cs="Calibri"/>
            <w:bCs/>
            <w:sz w:val="24"/>
            <w:szCs w:val="24"/>
            <w:lang w:val="en" w:eastAsia="en-AU"/>
          </w:rPr>
          <w:t>Career Start -t</w:t>
        </w:r>
        <w:r w:rsidRPr="00283E9D">
          <w:rPr>
            <w:rStyle w:val="Hyperlink"/>
            <w:rFonts w:ascii="VIC" w:eastAsia="Calibri" w:hAnsi="VIC" w:cstheme="majorBidi"/>
            <w:bCs/>
            <w:sz w:val="24"/>
            <w:szCs w:val="24"/>
            <w:lang w:val="en" w:eastAsia="en-AU"/>
          </w:rPr>
          <w:t>ransforming the first years of the teaching career</w:t>
        </w:r>
      </w:hyperlink>
      <w:r w:rsidR="00283E9D" w:rsidRPr="00283E9D">
        <w:rPr>
          <w:rStyle w:val="Hyperlink"/>
          <w:rFonts w:ascii="VIC" w:eastAsia="Calibri" w:hAnsi="VIC" w:cstheme="majorBidi"/>
          <w:bCs/>
          <w:sz w:val="24"/>
          <w:szCs w:val="24"/>
          <w:lang w:val="en" w:eastAsia="en-AU"/>
        </w:rPr>
        <w:t>.</w:t>
      </w:r>
    </w:p>
    <w:p w14:paraId="693B4F65" w14:textId="77777777" w:rsidR="002B743A" w:rsidRPr="004D307F" w:rsidRDefault="002B743A">
      <w:pPr>
        <w:rPr>
          <w:rFonts w:asciiTheme="majorHAnsi" w:eastAsia="Calibri" w:hAnsiTheme="majorHAnsi" w:cstheme="majorBidi"/>
          <w:b/>
          <w:color w:val="2F5496" w:themeColor="accent1" w:themeShade="BF"/>
          <w:sz w:val="36"/>
          <w:szCs w:val="26"/>
          <w:lang w:val="en" w:eastAsia="en-AU"/>
        </w:rPr>
      </w:pPr>
      <w:r w:rsidRPr="004D307F">
        <w:br w:type="page"/>
      </w:r>
    </w:p>
    <w:p w14:paraId="7B354C44" w14:textId="5E2DC20F" w:rsidR="008A6CE0" w:rsidRPr="004D307F" w:rsidRDefault="00BA2190" w:rsidP="004D307F">
      <w:pPr>
        <w:pStyle w:val="Heading2"/>
      </w:pPr>
      <w:bookmarkStart w:id="132" w:name="_Toc99882792"/>
      <w:bookmarkEnd w:id="130"/>
      <w:r w:rsidRPr="004D307F">
        <w:lastRenderedPageBreak/>
        <w:t>I</w:t>
      </w:r>
      <w:r w:rsidR="00517905" w:rsidRPr="004D307F">
        <w:t>nclusion Outreach Coaching (IOC) initiative (Reference 136)</w:t>
      </w:r>
      <w:bookmarkEnd w:id="132"/>
    </w:p>
    <w:p w14:paraId="3FD80A8B" w14:textId="0A863604" w:rsidR="00517905" w:rsidRPr="004D307F" w:rsidRDefault="00517905" w:rsidP="004D307F">
      <w:pPr>
        <w:spacing w:before="240" w:after="120"/>
        <w:jc w:val="both"/>
        <w:rPr>
          <w:rFonts w:ascii="VIC" w:hAnsi="VIC"/>
          <w:sz w:val="24"/>
          <w:szCs w:val="24"/>
        </w:rPr>
      </w:pPr>
      <w:r w:rsidRPr="004D307F">
        <w:rPr>
          <w:rFonts w:ascii="VIC" w:hAnsi="VIC"/>
          <w:sz w:val="24"/>
          <w:szCs w:val="24"/>
        </w:rPr>
        <w:t xml:space="preserve">The Inclusion </w:t>
      </w:r>
      <w:bookmarkStart w:id="133" w:name="_Hlk72146554"/>
      <w:r w:rsidRPr="004D307F">
        <w:rPr>
          <w:rFonts w:ascii="VIC" w:hAnsi="VIC"/>
          <w:sz w:val="24"/>
          <w:szCs w:val="24"/>
        </w:rPr>
        <w:t xml:space="preserve">Outreach Coaching (IOC) initiative </w:t>
      </w:r>
      <w:bookmarkEnd w:id="133"/>
      <w:r w:rsidRPr="004D307F">
        <w:rPr>
          <w:rFonts w:ascii="VIC" w:hAnsi="VIC"/>
          <w:sz w:val="24"/>
          <w:szCs w:val="24"/>
        </w:rPr>
        <w:t xml:space="preserve">will provide funding to all government specialist schools to employ a full time Inclusion Outreach Coach, </w:t>
      </w:r>
      <w:r w:rsidR="00C8414A" w:rsidRPr="004D307F">
        <w:rPr>
          <w:rFonts w:ascii="VIC" w:hAnsi="VIC"/>
          <w:sz w:val="24"/>
          <w:szCs w:val="24"/>
        </w:rPr>
        <w:t>(</w:t>
      </w:r>
      <w:r w:rsidRPr="004D307F">
        <w:rPr>
          <w:rFonts w:ascii="VIC" w:hAnsi="VIC"/>
          <w:sz w:val="24"/>
          <w:szCs w:val="24"/>
        </w:rPr>
        <w:t>for five days a week</w:t>
      </w:r>
      <w:r w:rsidR="00C8414A" w:rsidRPr="004D307F">
        <w:rPr>
          <w:rFonts w:ascii="VIC" w:hAnsi="VIC"/>
          <w:sz w:val="24"/>
          <w:szCs w:val="24"/>
        </w:rPr>
        <w:t>)</w:t>
      </w:r>
    </w:p>
    <w:p w14:paraId="5E194399" w14:textId="77777777" w:rsidR="00517905" w:rsidRPr="004D307F" w:rsidRDefault="00517905" w:rsidP="004D307F">
      <w:pPr>
        <w:spacing w:after="120"/>
        <w:jc w:val="both"/>
        <w:rPr>
          <w:rFonts w:ascii="VIC" w:hAnsi="VIC"/>
          <w:sz w:val="24"/>
          <w:szCs w:val="24"/>
        </w:rPr>
      </w:pPr>
      <w:r w:rsidRPr="004D307F">
        <w:rPr>
          <w:rFonts w:ascii="VIC" w:hAnsi="VIC"/>
          <w:sz w:val="24"/>
          <w:szCs w:val="24"/>
        </w:rPr>
        <w:t>SRP funding will be provided to specialist schools to cover the salary of the Inclusion Outreach Coach. All schools will receive funding to employ an Inclusion Outreach Coach at 1.0 FTE.</w:t>
      </w:r>
    </w:p>
    <w:p w14:paraId="0A431AE7" w14:textId="23E85F7B" w:rsidR="00517905" w:rsidRPr="004D307F" w:rsidRDefault="00517905" w:rsidP="004D307F">
      <w:pPr>
        <w:spacing w:after="120"/>
        <w:jc w:val="both"/>
        <w:rPr>
          <w:rFonts w:ascii="VIC" w:hAnsi="VIC"/>
          <w:sz w:val="24"/>
          <w:szCs w:val="24"/>
        </w:rPr>
      </w:pPr>
      <w:r w:rsidRPr="004D307F">
        <w:rPr>
          <w:rFonts w:ascii="VIC" w:hAnsi="VIC"/>
          <w:sz w:val="24"/>
          <w:szCs w:val="24"/>
        </w:rPr>
        <w:t xml:space="preserve">Inclusion Outreach Coaches are employed through specialist schools and provide strategically coordinated capability building opportunities to mainstream schools including whole-of-school training, in-class coaching and individual teacher support through school-to-school partnerships and collaborative learning. In this way, specialist and mainstream schools are encouraged to share resources, </w:t>
      </w:r>
      <w:proofErr w:type="gramStart"/>
      <w:r w:rsidRPr="004D307F">
        <w:rPr>
          <w:rFonts w:ascii="VIC" w:hAnsi="VIC"/>
          <w:sz w:val="24"/>
          <w:szCs w:val="24"/>
        </w:rPr>
        <w:t>knowledge</w:t>
      </w:r>
      <w:proofErr w:type="gramEnd"/>
      <w:r w:rsidRPr="004D307F">
        <w:rPr>
          <w:rFonts w:ascii="VIC" w:hAnsi="VIC"/>
          <w:sz w:val="24"/>
          <w:szCs w:val="24"/>
        </w:rPr>
        <w:t xml:space="preserve"> and skills in a two-way exchange of expertise that extends current practice</w:t>
      </w:r>
      <w:r w:rsidR="00C8414A" w:rsidRPr="004D307F">
        <w:rPr>
          <w:rFonts w:ascii="VIC" w:hAnsi="VIC"/>
          <w:sz w:val="24"/>
          <w:szCs w:val="24"/>
        </w:rPr>
        <w:t>.</w:t>
      </w:r>
    </w:p>
    <w:p w14:paraId="4B6BCCFC" w14:textId="77777777" w:rsidR="00517905" w:rsidRPr="004D307F" w:rsidRDefault="00517905" w:rsidP="004D307F">
      <w:pPr>
        <w:spacing w:after="120"/>
        <w:rPr>
          <w:rFonts w:ascii="VIC" w:hAnsi="VIC"/>
          <w:b/>
          <w:sz w:val="24"/>
          <w:szCs w:val="24"/>
        </w:rPr>
      </w:pPr>
      <w:r w:rsidRPr="004D307F">
        <w:rPr>
          <w:rFonts w:ascii="VIC" w:hAnsi="VIC"/>
          <w:b/>
          <w:sz w:val="24"/>
          <w:szCs w:val="24"/>
        </w:rPr>
        <w:t>Eligibility</w:t>
      </w:r>
    </w:p>
    <w:p w14:paraId="01427A2F" w14:textId="4065493A" w:rsidR="00517905" w:rsidRPr="004D307F" w:rsidRDefault="00517905" w:rsidP="004D307F">
      <w:pPr>
        <w:spacing w:after="120"/>
        <w:rPr>
          <w:rFonts w:ascii="VIC" w:hAnsi="VIC"/>
          <w:sz w:val="24"/>
          <w:szCs w:val="24"/>
        </w:rPr>
      </w:pPr>
      <w:r w:rsidRPr="004D307F">
        <w:rPr>
          <w:rFonts w:ascii="VIC" w:hAnsi="VIC"/>
          <w:sz w:val="24"/>
          <w:szCs w:val="24"/>
        </w:rPr>
        <w:t xml:space="preserve">Funding in 2021 </w:t>
      </w:r>
      <w:r w:rsidR="003C2063" w:rsidRPr="004D307F">
        <w:rPr>
          <w:rFonts w:ascii="VIC" w:hAnsi="VIC"/>
          <w:sz w:val="24"/>
          <w:szCs w:val="24"/>
        </w:rPr>
        <w:t>was</w:t>
      </w:r>
      <w:r w:rsidRPr="004D307F">
        <w:rPr>
          <w:rFonts w:ascii="VIC" w:hAnsi="VIC"/>
          <w:sz w:val="24"/>
          <w:szCs w:val="24"/>
        </w:rPr>
        <w:t xml:space="preserve"> provided to all government specialist schools in the Bayside-Peninsula, </w:t>
      </w:r>
      <w:proofErr w:type="gramStart"/>
      <w:r w:rsidRPr="004D307F">
        <w:rPr>
          <w:rFonts w:ascii="VIC" w:hAnsi="VIC"/>
          <w:sz w:val="24"/>
          <w:szCs w:val="24"/>
        </w:rPr>
        <w:t>Barwon</w:t>
      </w:r>
      <w:proofErr w:type="gramEnd"/>
      <w:r w:rsidRPr="004D307F">
        <w:rPr>
          <w:rFonts w:ascii="VIC" w:hAnsi="VIC"/>
          <w:sz w:val="24"/>
          <w:szCs w:val="24"/>
        </w:rPr>
        <w:t xml:space="preserve"> and Loddon-Campaspe Areas. Schools do not have to apply for funding. </w:t>
      </w:r>
    </w:p>
    <w:p w14:paraId="6E560E87" w14:textId="255B76CD" w:rsidR="00517905" w:rsidRPr="004D307F" w:rsidRDefault="00517905" w:rsidP="004D307F">
      <w:pPr>
        <w:spacing w:after="120"/>
        <w:rPr>
          <w:rFonts w:ascii="VIC" w:hAnsi="VIC"/>
          <w:b/>
          <w:bCs/>
          <w:sz w:val="24"/>
          <w:szCs w:val="24"/>
        </w:rPr>
      </w:pPr>
      <w:r w:rsidRPr="004D307F">
        <w:rPr>
          <w:rFonts w:ascii="VIC" w:hAnsi="VIC"/>
          <w:b/>
          <w:bCs/>
          <w:sz w:val="24"/>
          <w:szCs w:val="24"/>
        </w:rPr>
        <w:t xml:space="preserve">2022 </w:t>
      </w:r>
    </w:p>
    <w:p w14:paraId="1C17A9B0" w14:textId="77777777" w:rsidR="00117C15" w:rsidRPr="004D307F" w:rsidRDefault="00117C15" w:rsidP="004D307F">
      <w:pPr>
        <w:spacing w:before="100" w:beforeAutospacing="1" w:after="120" w:line="288" w:lineRule="atLeast"/>
        <w:outlineLvl w:val="2"/>
        <w:rPr>
          <w:rFonts w:ascii="VIC" w:eastAsia="Times New Roman" w:hAnsi="VIC" w:cs="Times New Roman"/>
          <w:b/>
          <w:bCs/>
          <w:color w:val="011A3C"/>
          <w:sz w:val="28"/>
          <w:szCs w:val="28"/>
          <w:lang w:val="en" w:eastAsia="en-AU"/>
        </w:rPr>
      </w:pPr>
      <w:r w:rsidRPr="004D307F">
        <w:rPr>
          <w:rFonts w:ascii="VIC" w:hAnsi="VIC"/>
          <w:sz w:val="24"/>
          <w:szCs w:val="24"/>
        </w:rPr>
        <w:t xml:space="preserve">Funding in 2022 will be provided to all government specialist schools in the Central Highlands, </w:t>
      </w:r>
      <w:proofErr w:type="gramStart"/>
      <w:r w:rsidRPr="004D307F">
        <w:rPr>
          <w:rFonts w:ascii="VIC" w:hAnsi="VIC"/>
          <w:sz w:val="24"/>
          <w:szCs w:val="24"/>
        </w:rPr>
        <w:t>Mallee</w:t>
      </w:r>
      <w:proofErr w:type="gramEnd"/>
      <w:r w:rsidRPr="004D307F">
        <w:rPr>
          <w:rFonts w:ascii="VIC" w:hAnsi="VIC"/>
          <w:sz w:val="24"/>
          <w:szCs w:val="24"/>
        </w:rPr>
        <w:t xml:space="preserve"> and Outer Eastern Melbourne Areas. Schools do not have to apply for funding.</w:t>
      </w:r>
    </w:p>
    <w:p w14:paraId="7F7424DC" w14:textId="35343A26" w:rsidR="00117C15" w:rsidRPr="004D307F" w:rsidRDefault="00117C15" w:rsidP="004D307F">
      <w:pPr>
        <w:spacing w:after="120"/>
        <w:rPr>
          <w:rFonts w:ascii="VIC" w:hAnsi="VIC"/>
          <w:b/>
          <w:bCs/>
          <w:sz w:val="24"/>
          <w:szCs w:val="24"/>
        </w:rPr>
      </w:pPr>
      <w:r w:rsidRPr="004D307F">
        <w:rPr>
          <w:rFonts w:ascii="VIC" w:hAnsi="VIC"/>
          <w:b/>
          <w:bCs/>
          <w:sz w:val="24"/>
          <w:szCs w:val="24"/>
        </w:rPr>
        <w:t>2023 and beyond</w:t>
      </w:r>
    </w:p>
    <w:p w14:paraId="767831E2" w14:textId="59D2EFCC" w:rsidR="00517905" w:rsidRPr="004D307F" w:rsidRDefault="00517905" w:rsidP="004D307F">
      <w:pPr>
        <w:spacing w:after="120"/>
        <w:rPr>
          <w:rFonts w:ascii="VIC" w:hAnsi="VIC"/>
          <w:b/>
          <w:sz w:val="24"/>
          <w:szCs w:val="24"/>
        </w:rPr>
      </w:pPr>
      <w:r w:rsidRPr="004D307F">
        <w:rPr>
          <w:rFonts w:ascii="VIC" w:hAnsi="VIC"/>
          <w:sz w:val="24"/>
          <w:szCs w:val="24"/>
        </w:rPr>
        <w:t>All government specialist schools will be funded through this initiative. Funding will be progressively rolled out to all D</w:t>
      </w:r>
      <w:r w:rsidR="00C8414A" w:rsidRPr="004D307F">
        <w:rPr>
          <w:rFonts w:ascii="VIC" w:hAnsi="VIC"/>
          <w:sz w:val="24"/>
          <w:szCs w:val="24"/>
        </w:rPr>
        <w:t>epartment</w:t>
      </w:r>
      <w:r w:rsidRPr="004D307F">
        <w:rPr>
          <w:rFonts w:ascii="VIC" w:hAnsi="VIC"/>
          <w:sz w:val="24"/>
          <w:szCs w:val="24"/>
        </w:rPr>
        <w:t xml:space="preserve"> Areas by 2025.</w:t>
      </w:r>
    </w:p>
    <w:p w14:paraId="7C1E9EB6" w14:textId="77777777" w:rsidR="00517905" w:rsidRPr="004D307F" w:rsidRDefault="00517905" w:rsidP="004D307F">
      <w:pPr>
        <w:spacing w:after="120"/>
        <w:rPr>
          <w:rFonts w:ascii="VIC" w:hAnsi="VIC"/>
          <w:b/>
          <w:sz w:val="24"/>
          <w:szCs w:val="24"/>
        </w:rPr>
      </w:pPr>
      <w:r w:rsidRPr="004D307F">
        <w:rPr>
          <w:rFonts w:ascii="VIC" w:hAnsi="VIC"/>
          <w:b/>
          <w:sz w:val="24"/>
          <w:szCs w:val="24"/>
        </w:rPr>
        <w:t>Funding allocation</w:t>
      </w:r>
    </w:p>
    <w:p w14:paraId="3DBBB6CF" w14:textId="77777777" w:rsidR="00517905" w:rsidRPr="004D307F" w:rsidRDefault="00517905" w:rsidP="004D307F">
      <w:pPr>
        <w:spacing w:after="120"/>
        <w:jc w:val="both"/>
        <w:rPr>
          <w:rFonts w:ascii="VIC" w:hAnsi="VIC"/>
          <w:sz w:val="24"/>
          <w:szCs w:val="24"/>
        </w:rPr>
      </w:pPr>
      <w:r w:rsidRPr="004D307F">
        <w:rPr>
          <w:rFonts w:ascii="VIC" w:hAnsi="VIC"/>
          <w:sz w:val="24"/>
          <w:szCs w:val="24"/>
        </w:rPr>
        <w:t>SRP funding will be provided to cover the salary of the Inclusion Outreach Coach.</w:t>
      </w:r>
    </w:p>
    <w:p w14:paraId="6561056E" w14:textId="06B32D8E" w:rsidR="00517905" w:rsidRPr="004D307F" w:rsidRDefault="00517905" w:rsidP="004D307F">
      <w:pPr>
        <w:spacing w:after="120"/>
        <w:jc w:val="both"/>
        <w:rPr>
          <w:rFonts w:ascii="VIC" w:hAnsi="VIC"/>
          <w:sz w:val="24"/>
          <w:szCs w:val="24"/>
        </w:rPr>
      </w:pPr>
      <w:r w:rsidRPr="004D307F">
        <w:rPr>
          <w:rFonts w:ascii="VIC" w:hAnsi="VIC"/>
          <w:sz w:val="24"/>
          <w:szCs w:val="24"/>
        </w:rPr>
        <w:t>All specialist schools will receive a credit</w:t>
      </w:r>
      <w:r w:rsidR="008254A8" w:rsidRPr="004D307F">
        <w:rPr>
          <w:rFonts w:ascii="VIC" w:hAnsi="VIC"/>
          <w:sz w:val="24"/>
          <w:szCs w:val="24"/>
        </w:rPr>
        <w:t xml:space="preserve"> </w:t>
      </w:r>
      <w:r w:rsidRPr="004D307F">
        <w:rPr>
          <w:rFonts w:ascii="VIC" w:hAnsi="VIC"/>
          <w:sz w:val="24"/>
          <w:szCs w:val="24"/>
        </w:rPr>
        <w:t xml:space="preserve">allocation of 1.0 FTE for the Inclusion Outreach Coach. Allocations will be adjusted dependant on the school term that they </w:t>
      </w:r>
      <w:proofErr w:type="gramStart"/>
      <w:r w:rsidRPr="004D307F">
        <w:rPr>
          <w:rFonts w:ascii="VIC" w:hAnsi="VIC"/>
          <w:sz w:val="24"/>
          <w:szCs w:val="24"/>
        </w:rPr>
        <w:t>enter into</w:t>
      </w:r>
      <w:proofErr w:type="gramEnd"/>
      <w:r w:rsidRPr="004D307F">
        <w:rPr>
          <w:rFonts w:ascii="VIC" w:hAnsi="VIC"/>
          <w:sz w:val="24"/>
          <w:szCs w:val="24"/>
        </w:rPr>
        <w:t xml:space="preserve"> the initiative.</w:t>
      </w:r>
    </w:p>
    <w:p w14:paraId="561A2BD2" w14:textId="77777777" w:rsidR="00517905" w:rsidRPr="004D307F" w:rsidRDefault="00517905" w:rsidP="004D307F">
      <w:pPr>
        <w:spacing w:after="120"/>
        <w:rPr>
          <w:rFonts w:ascii="VIC" w:hAnsi="VIC"/>
          <w:b/>
          <w:sz w:val="24"/>
          <w:szCs w:val="24"/>
        </w:rPr>
      </w:pPr>
      <w:r w:rsidRPr="004D307F">
        <w:rPr>
          <w:rFonts w:ascii="VIC" w:hAnsi="VIC"/>
          <w:b/>
          <w:sz w:val="24"/>
          <w:szCs w:val="24"/>
        </w:rPr>
        <w:t>Calculation</w:t>
      </w:r>
    </w:p>
    <w:p w14:paraId="450FEF7B" w14:textId="77777777" w:rsidR="00517905" w:rsidRPr="004D307F" w:rsidRDefault="00517905" w:rsidP="004D307F">
      <w:pPr>
        <w:spacing w:after="120" w:line="240" w:lineRule="auto"/>
        <w:rPr>
          <w:rFonts w:ascii="VIC" w:hAnsi="VIC"/>
          <w:sz w:val="24"/>
          <w:szCs w:val="24"/>
          <w:u w:val="single"/>
          <w:lang w:eastAsia="en-AU"/>
        </w:rPr>
      </w:pPr>
      <w:r w:rsidRPr="004D307F">
        <w:rPr>
          <w:rFonts w:ascii="VIC" w:hAnsi="VIC"/>
          <w:sz w:val="24"/>
          <w:szCs w:val="24"/>
          <w:u w:val="single"/>
          <w:lang w:eastAsia="en-AU"/>
        </w:rPr>
        <w:t>Funding Calculation</w:t>
      </w:r>
    </w:p>
    <w:p w14:paraId="66F02330" w14:textId="77777777" w:rsidR="00517905" w:rsidRPr="004D307F" w:rsidRDefault="00517905" w:rsidP="004D307F">
      <w:pPr>
        <w:spacing w:after="120" w:line="240" w:lineRule="auto"/>
        <w:rPr>
          <w:rFonts w:ascii="VIC" w:hAnsi="VIC"/>
          <w:sz w:val="24"/>
          <w:szCs w:val="24"/>
          <w:lang w:eastAsia="en-AU"/>
        </w:rPr>
      </w:pPr>
    </w:p>
    <w:p w14:paraId="2582D4C9" w14:textId="6DD30027" w:rsidR="00517905" w:rsidRPr="004D307F" w:rsidRDefault="00517905" w:rsidP="00ED0863">
      <w:pPr>
        <w:pStyle w:val="ListParagraph"/>
        <w:numPr>
          <w:ilvl w:val="0"/>
          <w:numId w:val="145"/>
        </w:numPr>
        <w:spacing w:after="120" w:line="240" w:lineRule="auto"/>
        <w:rPr>
          <w:rFonts w:ascii="VIC" w:hAnsi="VIC"/>
          <w:sz w:val="24"/>
          <w:szCs w:val="24"/>
          <w:lang w:eastAsia="en-AU"/>
        </w:rPr>
      </w:pPr>
      <w:r w:rsidRPr="004D307F">
        <w:rPr>
          <w:rFonts w:ascii="VIC" w:hAnsi="VIC"/>
          <w:sz w:val="24"/>
          <w:szCs w:val="24"/>
          <w:lang w:eastAsia="en-AU"/>
        </w:rPr>
        <w:lastRenderedPageBreak/>
        <w:t>Rate = $ $</w:t>
      </w:r>
      <w:r w:rsidR="00ED2F0A" w:rsidRPr="004D307F">
        <w:rPr>
          <w:rFonts w:ascii="VIC" w:hAnsi="VIC"/>
          <w:sz w:val="24"/>
          <w:szCs w:val="24"/>
          <w:lang w:eastAsia="en-AU"/>
        </w:rPr>
        <w:t>145,119</w:t>
      </w:r>
    </w:p>
    <w:p w14:paraId="2729EF86" w14:textId="3C13A443" w:rsidR="00517905" w:rsidRPr="004D307F" w:rsidRDefault="00517905" w:rsidP="00ED0863">
      <w:pPr>
        <w:pStyle w:val="ListParagraph"/>
        <w:numPr>
          <w:ilvl w:val="0"/>
          <w:numId w:val="145"/>
        </w:numPr>
        <w:spacing w:after="120" w:line="240" w:lineRule="auto"/>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 xml:space="preserve">The funding rate is based on the annualised Midpoint of a </w:t>
      </w:r>
      <w:r w:rsidR="00117C15" w:rsidRPr="004D307F">
        <w:rPr>
          <w:rFonts w:ascii="VIC" w:eastAsia="Times New Roman" w:hAnsi="VIC" w:cs="Calibri"/>
          <w:color w:val="000000"/>
          <w:sz w:val="24"/>
          <w:szCs w:val="24"/>
          <w:lang w:eastAsia="en-AU"/>
        </w:rPr>
        <w:t>learning specialist</w:t>
      </w:r>
      <w:r w:rsidRPr="004D307F">
        <w:rPr>
          <w:rFonts w:ascii="VIC" w:eastAsia="Times New Roman" w:hAnsi="VIC" w:cs="Calibri"/>
          <w:color w:val="000000"/>
          <w:sz w:val="24"/>
          <w:szCs w:val="24"/>
          <w:lang w:eastAsia="en-AU"/>
        </w:rPr>
        <w:t xml:space="preserve"> position, Level 3 as per the VGSA 2017 Agreement (including school SRP on costs). </w:t>
      </w:r>
    </w:p>
    <w:p w14:paraId="0ED6AC9E" w14:textId="77777777" w:rsidR="00517905" w:rsidRPr="004D307F" w:rsidRDefault="00517905" w:rsidP="004D307F">
      <w:pPr>
        <w:spacing w:after="120" w:line="240" w:lineRule="auto"/>
        <w:rPr>
          <w:rFonts w:ascii="VIC" w:eastAsia="Times New Roman" w:hAnsi="VIC" w:cs="Calibri"/>
          <w:color w:val="000000"/>
          <w:sz w:val="24"/>
          <w:szCs w:val="24"/>
          <w:lang w:eastAsia="en-AU"/>
        </w:rPr>
      </w:pPr>
    </w:p>
    <w:p w14:paraId="5CA8E112" w14:textId="77777777" w:rsidR="00517905" w:rsidRPr="004D307F" w:rsidRDefault="00517905" w:rsidP="004D307F">
      <w:pPr>
        <w:spacing w:after="120" w:line="240" w:lineRule="auto"/>
        <w:rPr>
          <w:rFonts w:ascii="VIC" w:eastAsia="Times New Roman" w:hAnsi="VIC" w:cs="Calibri"/>
          <w:color w:val="000000"/>
          <w:sz w:val="24"/>
          <w:szCs w:val="24"/>
          <w:u w:val="single"/>
          <w:lang w:eastAsia="en-AU"/>
        </w:rPr>
      </w:pPr>
      <w:r w:rsidRPr="004D307F">
        <w:rPr>
          <w:rFonts w:ascii="VIC" w:eastAsia="Times New Roman" w:hAnsi="VIC" w:cs="Calibri"/>
          <w:color w:val="000000"/>
          <w:sz w:val="24"/>
          <w:szCs w:val="24"/>
          <w:u w:val="single"/>
          <w:lang w:eastAsia="en-AU"/>
        </w:rPr>
        <w:t>Term Allocation Adjustment</w:t>
      </w:r>
    </w:p>
    <w:p w14:paraId="55CF47CE" w14:textId="77777777" w:rsidR="00517905" w:rsidRPr="004D307F" w:rsidRDefault="00517905" w:rsidP="004D307F">
      <w:pPr>
        <w:spacing w:after="120" w:line="240" w:lineRule="auto"/>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Depending on when your rollout period is, your annual allocation will also be adjusted.</w:t>
      </w:r>
    </w:p>
    <w:p w14:paraId="0C0282A1" w14:textId="268FCFD6" w:rsidR="00517905" w:rsidRPr="004D307F" w:rsidRDefault="008254A8" w:rsidP="004D307F">
      <w:pPr>
        <w:spacing w:after="120" w:line="240" w:lineRule="auto"/>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 xml:space="preserve">Refer to the </w:t>
      </w:r>
      <w:r w:rsidR="006D6E02" w:rsidRPr="004D307F">
        <w:rPr>
          <w:rFonts w:ascii="VIC" w:eastAsia="Times New Roman" w:hAnsi="VIC" w:cs="Calibri"/>
          <w:color w:val="000000"/>
          <w:sz w:val="24"/>
          <w:szCs w:val="24"/>
          <w:lang w:eastAsia="en-AU"/>
        </w:rPr>
        <w:t>table</w:t>
      </w:r>
      <w:r w:rsidR="00517905" w:rsidRPr="004D307F">
        <w:rPr>
          <w:rFonts w:ascii="VIC" w:eastAsia="Times New Roman" w:hAnsi="VIC" w:cs="Calibri"/>
          <w:color w:val="000000"/>
          <w:sz w:val="24"/>
          <w:szCs w:val="24"/>
          <w:lang w:eastAsia="en-AU"/>
        </w:rPr>
        <w:t xml:space="preserve"> below </w:t>
      </w:r>
      <w:r w:rsidRPr="004D307F">
        <w:rPr>
          <w:rFonts w:ascii="VIC" w:eastAsia="Times New Roman" w:hAnsi="VIC" w:cs="Calibri"/>
          <w:color w:val="000000"/>
          <w:sz w:val="24"/>
          <w:szCs w:val="24"/>
          <w:lang w:eastAsia="en-AU"/>
        </w:rPr>
        <w:t>for further information.</w:t>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r w:rsidR="00517905" w:rsidRPr="004D307F">
        <w:rPr>
          <w:rFonts w:ascii="VIC" w:eastAsia="Times New Roman" w:hAnsi="VIC" w:cs="Calibri"/>
          <w:color w:val="000000"/>
          <w:sz w:val="24"/>
          <w:szCs w:val="24"/>
          <w:lang w:eastAsia="en-AU"/>
        </w:rPr>
        <w:tab/>
      </w:r>
    </w:p>
    <w:tbl>
      <w:tblPr>
        <w:tblW w:w="11653" w:type="dxa"/>
        <w:tblInd w:w="-5" w:type="dxa"/>
        <w:tblLook w:val="04A0" w:firstRow="1" w:lastRow="0" w:firstColumn="1" w:lastColumn="0" w:noHBand="0" w:noVBand="1"/>
      </w:tblPr>
      <w:tblGrid>
        <w:gridCol w:w="1835"/>
        <w:gridCol w:w="2418"/>
        <w:gridCol w:w="2542"/>
        <w:gridCol w:w="2050"/>
        <w:gridCol w:w="222"/>
        <w:gridCol w:w="222"/>
        <w:gridCol w:w="222"/>
        <w:gridCol w:w="236"/>
        <w:gridCol w:w="946"/>
        <w:gridCol w:w="960"/>
      </w:tblGrid>
      <w:tr w:rsidR="00517905" w:rsidRPr="004D307F" w14:paraId="18368128" w14:textId="77777777" w:rsidTr="00DF01DE">
        <w:trPr>
          <w:trHeight w:val="300"/>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A1754"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Term 1</w:t>
            </w:r>
          </w:p>
        </w:tc>
        <w:tc>
          <w:tcPr>
            <w:tcW w:w="2418" w:type="dxa"/>
            <w:tcBorders>
              <w:top w:val="single" w:sz="4" w:space="0" w:color="auto"/>
              <w:left w:val="nil"/>
              <w:bottom w:val="single" w:sz="4" w:space="0" w:color="auto"/>
              <w:right w:val="single" w:sz="4" w:space="0" w:color="auto"/>
            </w:tcBorders>
            <w:shd w:val="clear" w:color="auto" w:fill="auto"/>
            <w:noWrap/>
            <w:vAlign w:val="bottom"/>
            <w:hideMark/>
          </w:tcPr>
          <w:p w14:paraId="363DDE3D"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Term 2</w:t>
            </w:r>
          </w:p>
        </w:tc>
        <w:tc>
          <w:tcPr>
            <w:tcW w:w="2542" w:type="dxa"/>
            <w:tcBorders>
              <w:top w:val="single" w:sz="4" w:space="0" w:color="auto"/>
              <w:left w:val="nil"/>
              <w:bottom w:val="single" w:sz="4" w:space="0" w:color="auto"/>
              <w:right w:val="single" w:sz="4" w:space="0" w:color="auto"/>
            </w:tcBorders>
            <w:shd w:val="clear" w:color="auto" w:fill="auto"/>
            <w:noWrap/>
            <w:vAlign w:val="bottom"/>
            <w:hideMark/>
          </w:tcPr>
          <w:p w14:paraId="7E839323"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Term 3</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14:paraId="18B0A2C6"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Term 4</w:t>
            </w:r>
          </w:p>
        </w:tc>
        <w:tc>
          <w:tcPr>
            <w:tcW w:w="222" w:type="dxa"/>
            <w:tcBorders>
              <w:top w:val="nil"/>
              <w:left w:val="nil"/>
              <w:bottom w:val="nil"/>
              <w:right w:val="nil"/>
            </w:tcBorders>
            <w:shd w:val="clear" w:color="auto" w:fill="auto"/>
            <w:noWrap/>
            <w:vAlign w:val="bottom"/>
            <w:hideMark/>
          </w:tcPr>
          <w:p w14:paraId="4B613F8D"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p>
        </w:tc>
        <w:tc>
          <w:tcPr>
            <w:tcW w:w="222" w:type="dxa"/>
            <w:tcBorders>
              <w:top w:val="nil"/>
              <w:left w:val="nil"/>
              <w:bottom w:val="nil"/>
              <w:right w:val="nil"/>
            </w:tcBorders>
            <w:shd w:val="clear" w:color="auto" w:fill="auto"/>
            <w:noWrap/>
            <w:vAlign w:val="bottom"/>
            <w:hideMark/>
          </w:tcPr>
          <w:p w14:paraId="6CCFD1D9" w14:textId="77777777" w:rsidR="00517905" w:rsidRPr="004D307F" w:rsidRDefault="00517905" w:rsidP="00DF01DE">
            <w:pPr>
              <w:spacing w:after="0" w:line="240" w:lineRule="auto"/>
              <w:rPr>
                <w:rFonts w:ascii="VIC" w:eastAsia="Times New Roman" w:hAnsi="VIC" w:cs="Times New Roman"/>
                <w:lang w:eastAsia="en-AU"/>
              </w:rPr>
            </w:pPr>
          </w:p>
        </w:tc>
        <w:tc>
          <w:tcPr>
            <w:tcW w:w="222" w:type="dxa"/>
            <w:tcBorders>
              <w:top w:val="nil"/>
              <w:left w:val="nil"/>
              <w:bottom w:val="nil"/>
              <w:right w:val="nil"/>
            </w:tcBorders>
            <w:shd w:val="clear" w:color="auto" w:fill="auto"/>
            <w:noWrap/>
            <w:vAlign w:val="bottom"/>
            <w:hideMark/>
          </w:tcPr>
          <w:p w14:paraId="7BB25290" w14:textId="77777777" w:rsidR="00517905" w:rsidRPr="004D307F" w:rsidRDefault="00517905" w:rsidP="00DF01DE">
            <w:pPr>
              <w:spacing w:after="0" w:line="240" w:lineRule="auto"/>
              <w:rPr>
                <w:rFonts w:ascii="VIC" w:eastAsia="Times New Roman" w:hAnsi="VIC" w:cs="Times New Roman"/>
                <w:lang w:eastAsia="en-AU"/>
              </w:rPr>
            </w:pPr>
          </w:p>
        </w:tc>
        <w:tc>
          <w:tcPr>
            <w:tcW w:w="236" w:type="dxa"/>
            <w:tcBorders>
              <w:top w:val="nil"/>
              <w:left w:val="nil"/>
              <w:bottom w:val="nil"/>
              <w:right w:val="nil"/>
            </w:tcBorders>
            <w:shd w:val="clear" w:color="auto" w:fill="auto"/>
            <w:noWrap/>
            <w:vAlign w:val="bottom"/>
            <w:hideMark/>
          </w:tcPr>
          <w:p w14:paraId="03164B56" w14:textId="77777777" w:rsidR="00517905" w:rsidRPr="004D307F" w:rsidRDefault="00517905" w:rsidP="00DF01DE">
            <w:pPr>
              <w:spacing w:after="0" w:line="240" w:lineRule="auto"/>
              <w:rPr>
                <w:rFonts w:ascii="VIC" w:eastAsia="Times New Roman" w:hAnsi="VIC" w:cs="Times New Roman"/>
                <w:lang w:eastAsia="en-AU"/>
              </w:rPr>
            </w:pPr>
          </w:p>
        </w:tc>
        <w:tc>
          <w:tcPr>
            <w:tcW w:w="946" w:type="dxa"/>
            <w:tcBorders>
              <w:top w:val="nil"/>
              <w:left w:val="nil"/>
              <w:bottom w:val="nil"/>
              <w:right w:val="nil"/>
            </w:tcBorders>
            <w:shd w:val="clear" w:color="auto" w:fill="auto"/>
            <w:noWrap/>
            <w:vAlign w:val="bottom"/>
            <w:hideMark/>
          </w:tcPr>
          <w:p w14:paraId="0954E0D0" w14:textId="77777777" w:rsidR="00517905" w:rsidRPr="004D307F" w:rsidRDefault="00517905" w:rsidP="00DF01DE">
            <w:pPr>
              <w:spacing w:after="0" w:line="240" w:lineRule="auto"/>
              <w:rPr>
                <w:rFonts w:ascii="VIC" w:eastAsia="Times New Roman" w:hAnsi="VIC" w:cs="Times New Roman"/>
                <w:lang w:eastAsia="en-AU"/>
              </w:rPr>
            </w:pPr>
          </w:p>
        </w:tc>
        <w:tc>
          <w:tcPr>
            <w:tcW w:w="960" w:type="dxa"/>
            <w:tcBorders>
              <w:top w:val="nil"/>
              <w:left w:val="nil"/>
              <w:bottom w:val="nil"/>
              <w:right w:val="nil"/>
            </w:tcBorders>
            <w:shd w:val="clear" w:color="auto" w:fill="auto"/>
            <w:noWrap/>
            <w:vAlign w:val="bottom"/>
            <w:hideMark/>
          </w:tcPr>
          <w:p w14:paraId="18413261" w14:textId="77777777" w:rsidR="00517905" w:rsidRPr="004D307F" w:rsidRDefault="00517905" w:rsidP="00DF01DE">
            <w:pPr>
              <w:spacing w:after="0" w:line="240" w:lineRule="auto"/>
              <w:rPr>
                <w:rFonts w:ascii="VIC" w:eastAsia="Times New Roman" w:hAnsi="VIC" w:cs="Times New Roman"/>
                <w:lang w:eastAsia="en-AU"/>
              </w:rPr>
            </w:pPr>
          </w:p>
        </w:tc>
      </w:tr>
      <w:tr w:rsidR="00517905" w:rsidRPr="004D307F" w14:paraId="33254374" w14:textId="77777777" w:rsidTr="00DF01DE">
        <w:trPr>
          <w:trHeight w:val="300"/>
        </w:trPr>
        <w:tc>
          <w:tcPr>
            <w:tcW w:w="1835" w:type="dxa"/>
            <w:tcBorders>
              <w:top w:val="nil"/>
              <w:left w:val="single" w:sz="4" w:space="0" w:color="auto"/>
              <w:bottom w:val="single" w:sz="4" w:space="0" w:color="auto"/>
              <w:right w:val="single" w:sz="4" w:space="0" w:color="auto"/>
            </w:tcBorders>
            <w:shd w:val="clear" w:color="auto" w:fill="auto"/>
            <w:noWrap/>
            <w:vAlign w:val="bottom"/>
            <w:hideMark/>
          </w:tcPr>
          <w:p w14:paraId="7E05A286"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100%</w:t>
            </w:r>
          </w:p>
        </w:tc>
        <w:tc>
          <w:tcPr>
            <w:tcW w:w="2418" w:type="dxa"/>
            <w:tcBorders>
              <w:top w:val="nil"/>
              <w:left w:val="nil"/>
              <w:bottom w:val="single" w:sz="4" w:space="0" w:color="auto"/>
              <w:right w:val="single" w:sz="4" w:space="0" w:color="auto"/>
            </w:tcBorders>
            <w:shd w:val="clear" w:color="auto" w:fill="auto"/>
            <w:noWrap/>
            <w:vAlign w:val="bottom"/>
            <w:hideMark/>
          </w:tcPr>
          <w:p w14:paraId="3938DFB6"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75%</w:t>
            </w:r>
          </w:p>
        </w:tc>
        <w:tc>
          <w:tcPr>
            <w:tcW w:w="2542" w:type="dxa"/>
            <w:tcBorders>
              <w:top w:val="nil"/>
              <w:left w:val="nil"/>
              <w:bottom w:val="single" w:sz="4" w:space="0" w:color="auto"/>
              <w:right w:val="single" w:sz="4" w:space="0" w:color="auto"/>
            </w:tcBorders>
            <w:shd w:val="clear" w:color="auto" w:fill="auto"/>
            <w:noWrap/>
            <w:vAlign w:val="bottom"/>
            <w:hideMark/>
          </w:tcPr>
          <w:p w14:paraId="55EB1013"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50%</w:t>
            </w:r>
          </w:p>
        </w:tc>
        <w:tc>
          <w:tcPr>
            <w:tcW w:w="2050" w:type="dxa"/>
            <w:tcBorders>
              <w:top w:val="nil"/>
              <w:left w:val="nil"/>
              <w:bottom w:val="single" w:sz="4" w:space="0" w:color="auto"/>
              <w:right w:val="single" w:sz="4" w:space="0" w:color="auto"/>
            </w:tcBorders>
            <w:shd w:val="clear" w:color="auto" w:fill="auto"/>
            <w:noWrap/>
            <w:vAlign w:val="bottom"/>
            <w:hideMark/>
          </w:tcPr>
          <w:p w14:paraId="35D48344"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r w:rsidRPr="004D307F">
              <w:rPr>
                <w:rFonts w:ascii="VIC" w:eastAsia="Times New Roman" w:hAnsi="VIC" w:cs="Calibri"/>
                <w:color w:val="000000"/>
                <w:sz w:val="24"/>
                <w:szCs w:val="24"/>
                <w:lang w:eastAsia="en-AU"/>
              </w:rPr>
              <w:t>25%</w:t>
            </w:r>
          </w:p>
        </w:tc>
        <w:tc>
          <w:tcPr>
            <w:tcW w:w="222" w:type="dxa"/>
            <w:tcBorders>
              <w:top w:val="nil"/>
              <w:left w:val="nil"/>
              <w:bottom w:val="nil"/>
              <w:right w:val="nil"/>
            </w:tcBorders>
            <w:shd w:val="clear" w:color="auto" w:fill="auto"/>
            <w:noWrap/>
            <w:vAlign w:val="bottom"/>
            <w:hideMark/>
          </w:tcPr>
          <w:p w14:paraId="34BCA3CA" w14:textId="77777777" w:rsidR="00517905" w:rsidRPr="004D307F" w:rsidRDefault="00517905" w:rsidP="00DF01DE">
            <w:pPr>
              <w:spacing w:after="0" w:line="240" w:lineRule="auto"/>
              <w:jc w:val="center"/>
              <w:rPr>
                <w:rFonts w:ascii="VIC" w:eastAsia="Times New Roman" w:hAnsi="VIC" w:cs="Calibri"/>
                <w:color w:val="000000"/>
                <w:sz w:val="24"/>
                <w:szCs w:val="24"/>
                <w:lang w:eastAsia="en-AU"/>
              </w:rPr>
            </w:pPr>
          </w:p>
        </w:tc>
        <w:tc>
          <w:tcPr>
            <w:tcW w:w="222" w:type="dxa"/>
            <w:tcBorders>
              <w:top w:val="nil"/>
              <w:left w:val="nil"/>
              <w:bottom w:val="nil"/>
              <w:right w:val="nil"/>
            </w:tcBorders>
            <w:shd w:val="clear" w:color="auto" w:fill="auto"/>
            <w:noWrap/>
            <w:vAlign w:val="bottom"/>
            <w:hideMark/>
          </w:tcPr>
          <w:p w14:paraId="43E45F4A" w14:textId="77777777" w:rsidR="00517905" w:rsidRPr="004D307F" w:rsidRDefault="00517905" w:rsidP="00DF01DE">
            <w:pPr>
              <w:spacing w:after="0" w:line="240" w:lineRule="auto"/>
              <w:rPr>
                <w:rFonts w:ascii="VIC" w:eastAsia="Times New Roman" w:hAnsi="VIC" w:cs="Times New Roman"/>
                <w:lang w:eastAsia="en-AU"/>
              </w:rPr>
            </w:pPr>
          </w:p>
        </w:tc>
        <w:tc>
          <w:tcPr>
            <w:tcW w:w="222" w:type="dxa"/>
            <w:tcBorders>
              <w:top w:val="nil"/>
              <w:left w:val="nil"/>
              <w:bottom w:val="nil"/>
              <w:right w:val="nil"/>
            </w:tcBorders>
            <w:shd w:val="clear" w:color="auto" w:fill="auto"/>
            <w:noWrap/>
            <w:vAlign w:val="bottom"/>
            <w:hideMark/>
          </w:tcPr>
          <w:p w14:paraId="2B286ABB" w14:textId="77777777" w:rsidR="00517905" w:rsidRPr="004D307F" w:rsidRDefault="00517905" w:rsidP="00DF01DE">
            <w:pPr>
              <w:spacing w:after="0" w:line="240" w:lineRule="auto"/>
              <w:rPr>
                <w:rFonts w:ascii="VIC" w:eastAsia="Times New Roman" w:hAnsi="VIC" w:cs="Times New Roman"/>
                <w:lang w:eastAsia="en-AU"/>
              </w:rPr>
            </w:pPr>
          </w:p>
        </w:tc>
        <w:tc>
          <w:tcPr>
            <w:tcW w:w="236" w:type="dxa"/>
            <w:tcBorders>
              <w:top w:val="nil"/>
              <w:left w:val="nil"/>
              <w:bottom w:val="nil"/>
              <w:right w:val="nil"/>
            </w:tcBorders>
            <w:shd w:val="clear" w:color="auto" w:fill="auto"/>
            <w:noWrap/>
            <w:vAlign w:val="bottom"/>
            <w:hideMark/>
          </w:tcPr>
          <w:p w14:paraId="48936166" w14:textId="77777777" w:rsidR="00517905" w:rsidRPr="004D307F" w:rsidRDefault="00517905" w:rsidP="00DF01DE">
            <w:pPr>
              <w:spacing w:after="0" w:line="240" w:lineRule="auto"/>
              <w:rPr>
                <w:rFonts w:ascii="VIC" w:eastAsia="Times New Roman" w:hAnsi="VIC" w:cs="Times New Roman"/>
                <w:lang w:eastAsia="en-AU"/>
              </w:rPr>
            </w:pPr>
          </w:p>
        </w:tc>
        <w:tc>
          <w:tcPr>
            <w:tcW w:w="946" w:type="dxa"/>
            <w:tcBorders>
              <w:top w:val="nil"/>
              <w:left w:val="nil"/>
              <w:bottom w:val="nil"/>
              <w:right w:val="nil"/>
            </w:tcBorders>
            <w:shd w:val="clear" w:color="auto" w:fill="auto"/>
            <w:noWrap/>
            <w:vAlign w:val="bottom"/>
            <w:hideMark/>
          </w:tcPr>
          <w:p w14:paraId="590C5B3F" w14:textId="77777777" w:rsidR="00517905" w:rsidRPr="004D307F" w:rsidRDefault="00517905" w:rsidP="00DF01DE">
            <w:pPr>
              <w:spacing w:after="0" w:line="240" w:lineRule="auto"/>
              <w:rPr>
                <w:rFonts w:ascii="VIC" w:eastAsia="Times New Roman" w:hAnsi="VIC" w:cs="Times New Roman"/>
                <w:lang w:eastAsia="en-AU"/>
              </w:rPr>
            </w:pPr>
          </w:p>
        </w:tc>
        <w:tc>
          <w:tcPr>
            <w:tcW w:w="960" w:type="dxa"/>
            <w:tcBorders>
              <w:top w:val="nil"/>
              <w:left w:val="nil"/>
              <w:bottom w:val="nil"/>
              <w:right w:val="nil"/>
            </w:tcBorders>
            <w:shd w:val="clear" w:color="auto" w:fill="auto"/>
            <w:noWrap/>
            <w:vAlign w:val="bottom"/>
            <w:hideMark/>
          </w:tcPr>
          <w:p w14:paraId="4A156DE2" w14:textId="77777777" w:rsidR="00517905" w:rsidRPr="004D307F" w:rsidRDefault="00517905" w:rsidP="00DF01DE">
            <w:pPr>
              <w:spacing w:after="0" w:line="240" w:lineRule="auto"/>
              <w:rPr>
                <w:rFonts w:ascii="VIC" w:eastAsia="Times New Roman" w:hAnsi="VIC" w:cs="Times New Roman"/>
                <w:lang w:eastAsia="en-AU"/>
              </w:rPr>
            </w:pPr>
          </w:p>
        </w:tc>
      </w:tr>
    </w:tbl>
    <w:p w14:paraId="37999681" w14:textId="77777777" w:rsidR="00517905" w:rsidRPr="004D307F" w:rsidRDefault="00517905" w:rsidP="00517905">
      <w:pPr>
        <w:rPr>
          <w:rFonts w:ascii="VIC" w:hAnsi="VIC"/>
          <w:b/>
          <w:sz w:val="24"/>
          <w:szCs w:val="24"/>
        </w:rPr>
      </w:pPr>
    </w:p>
    <w:p w14:paraId="1A2F92C8" w14:textId="01539AA3" w:rsidR="00517905" w:rsidRPr="004D307F" w:rsidRDefault="00517905" w:rsidP="00517905">
      <w:pPr>
        <w:rPr>
          <w:rFonts w:ascii="VIC" w:hAnsi="VIC"/>
          <w:b/>
          <w:sz w:val="24"/>
          <w:szCs w:val="24"/>
        </w:rPr>
      </w:pPr>
      <w:r w:rsidRPr="004D307F">
        <w:rPr>
          <w:rFonts w:ascii="VIC" w:hAnsi="VIC"/>
          <w:b/>
          <w:sz w:val="24"/>
          <w:szCs w:val="24"/>
        </w:rPr>
        <w:t>Incl</w:t>
      </w:r>
      <w:r w:rsidR="008254A8" w:rsidRPr="004D307F">
        <w:rPr>
          <w:rFonts w:ascii="VIC" w:hAnsi="VIC"/>
          <w:b/>
          <w:sz w:val="24"/>
          <w:szCs w:val="24"/>
        </w:rPr>
        <w:t>us</w:t>
      </w:r>
      <w:r w:rsidRPr="004D307F">
        <w:rPr>
          <w:rFonts w:ascii="VIC" w:hAnsi="VIC"/>
          <w:b/>
          <w:sz w:val="24"/>
          <w:szCs w:val="24"/>
        </w:rPr>
        <w:t xml:space="preserve">ion Outreach Coaching </w:t>
      </w:r>
      <w:proofErr w:type="gramStart"/>
      <w:r w:rsidRPr="004D307F">
        <w:rPr>
          <w:rFonts w:ascii="VIC" w:hAnsi="VIC"/>
          <w:b/>
          <w:sz w:val="24"/>
          <w:szCs w:val="24"/>
        </w:rPr>
        <w:t>initiative</w:t>
      </w:r>
      <w:proofErr w:type="gramEnd"/>
      <w:r w:rsidRPr="004D307F">
        <w:rPr>
          <w:rFonts w:ascii="VIC" w:hAnsi="VIC"/>
          <w:b/>
          <w:sz w:val="24"/>
          <w:szCs w:val="24"/>
        </w:rPr>
        <w:t xml:space="preserve"> Funding</w:t>
      </w:r>
      <w:r w:rsidRPr="004D307F">
        <w:rPr>
          <w:rFonts w:ascii="VIC" w:hAnsi="VIC"/>
          <w:b/>
          <w:sz w:val="24"/>
          <w:szCs w:val="24"/>
        </w:rPr>
        <w:tab/>
      </w:r>
      <w:r w:rsidRPr="004D307F">
        <w:rPr>
          <w:rFonts w:ascii="VIC" w:hAnsi="VIC"/>
          <w:b/>
          <w:sz w:val="24"/>
          <w:szCs w:val="24"/>
        </w:rPr>
        <w:tab/>
      </w:r>
      <w:r w:rsidRPr="004D307F">
        <w:rPr>
          <w:rFonts w:ascii="VIC" w:hAnsi="VIC"/>
          <w:b/>
          <w:sz w:val="24"/>
          <w:szCs w:val="24"/>
        </w:rPr>
        <w:tab/>
      </w:r>
      <w:r w:rsidRPr="004D307F">
        <w:rPr>
          <w:rFonts w:ascii="VIC" w:hAnsi="VIC"/>
          <w:b/>
          <w:sz w:val="24"/>
          <w:szCs w:val="24"/>
        </w:rPr>
        <w:tab/>
      </w:r>
      <w:r w:rsidRPr="004D307F">
        <w:rPr>
          <w:rFonts w:ascii="VIC" w:hAnsi="VIC"/>
          <w:b/>
          <w:sz w:val="24"/>
          <w:szCs w:val="24"/>
        </w:rPr>
        <w:tab/>
      </w:r>
    </w:p>
    <w:p w14:paraId="2E1EB3D0" w14:textId="39683C48" w:rsidR="00517905" w:rsidRPr="004D307F" w:rsidRDefault="00517905" w:rsidP="00517905">
      <w:pPr>
        <w:rPr>
          <w:rFonts w:ascii="VIC" w:hAnsi="VIC"/>
          <w:sz w:val="24"/>
          <w:szCs w:val="24"/>
        </w:rPr>
      </w:pPr>
      <w:r w:rsidRPr="004D307F">
        <w:rPr>
          <w:rFonts w:ascii="VIC" w:hAnsi="VIC"/>
          <w:sz w:val="24"/>
          <w:szCs w:val="24"/>
        </w:rPr>
        <w:t>Incl</w:t>
      </w:r>
      <w:r w:rsidR="008254A8" w:rsidRPr="004D307F">
        <w:rPr>
          <w:rFonts w:ascii="VIC" w:hAnsi="VIC"/>
          <w:sz w:val="24"/>
          <w:szCs w:val="24"/>
        </w:rPr>
        <w:t>us</w:t>
      </w:r>
      <w:r w:rsidRPr="004D307F">
        <w:rPr>
          <w:rFonts w:ascii="VIC" w:hAnsi="VIC"/>
          <w:sz w:val="24"/>
          <w:szCs w:val="24"/>
        </w:rPr>
        <w:t>ion Outreach Coaching initiative = Funding Calculation * Term Allocation Adjustment %</w:t>
      </w:r>
    </w:p>
    <w:p w14:paraId="6EDD6D4C" w14:textId="3626331C" w:rsidR="00AA4D4B" w:rsidRPr="004D307F" w:rsidRDefault="00AA4D4B" w:rsidP="00517905">
      <w:pPr>
        <w:rPr>
          <w:rFonts w:ascii="VIC" w:hAnsi="VIC"/>
          <w:sz w:val="24"/>
          <w:szCs w:val="24"/>
        </w:rPr>
      </w:pPr>
    </w:p>
    <w:p w14:paraId="72838B97" w14:textId="5C241541" w:rsidR="00AA4D4B" w:rsidRPr="004D307F" w:rsidRDefault="00AA4D4B" w:rsidP="00517905">
      <w:pPr>
        <w:rPr>
          <w:rFonts w:ascii="VIC" w:hAnsi="VIC"/>
          <w:sz w:val="24"/>
          <w:szCs w:val="24"/>
        </w:rPr>
      </w:pPr>
    </w:p>
    <w:p w14:paraId="68C3FD95" w14:textId="77777777" w:rsidR="002B743A" w:rsidRPr="004D307F" w:rsidRDefault="002B743A" w:rsidP="00B566E7">
      <w:pPr>
        <w:pStyle w:val="Heading2"/>
      </w:pPr>
      <w:bookmarkStart w:id="134" w:name="_Toc75180327"/>
    </w:p>
    <w:p w14:paraId="687FA0AD" w14:textId="77777777" w:rsidR="002B743A" w:rsidRPr="004D307F" w:rsidRDefault="002B743A">
      <w:pPr>
        <w:rPr>
          <w:rFonts w:asciiTheme="majorHAnsi" w:eastAsia="Calibri" w:hAnsiTheme="majorHAnsi" w:cstheme="majorBidi"/>
          <w:b/>
          <w:color w:val="2F5496" w:themeColor="accent1" w:themeShade="BF"/>
          <w:sz w:val="36"/>
          <w:szCs w:val="26"/>
          <w:lang w:val="en" w:eastAsia="en-AU"/>
        </w:rPr>
      </w:pPr>
      <w:r w:rsidRPr="004D307F">
        <w:br w:type="page"/>
      </w:r>
    </w:p>
    <w:p w14:paraId="3D4EBF0B" w14:textId="51AC0CC1" w:rsidR="00AA4D4B" w:rsidRPr="004D307F" w:rsidRDefault="00AA4D4B" w:rsidP="00B566E7">
      <w:pPr>
        <w:pStyle w:val="Heading2"/>
      </w:pPr>
      <w:bookmarkStart w:id="135" w:name="_Toc99882793"/>
      <w:r w:rsidRPr="004D307F">
        <w:lastRenderedPageBreak/>
        <w:t>Outside School Hours Care (OSHC) Establishment Grant Initiative (Reference 134)</w:t>
      </w:r>
      <w:bookmarkEnd w:id="134"/>
      <w:bookmarkEnd w:id="135"/>
    </w:p>
    <w:p w14:paraId="1103E1F0" w14:textId="77777777" w:rsidR="00AA4D4B" w:rsidRPr="004D307F" w:rsidRDefault="00AA4D4B" w:rsidP="006D6E02">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The Outside School Hours Care Establishment Grant Initiative (the Initiative) will support schools that have not previously had outside school hours care (OSHC) to establish new OSHC services.</w:t>
      </w:r>
    </w:p>
    <w:p w14:paraId="5CFF7EF7" w14:textId="3EF17100"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The Initiative prioritises schools which meet the following </w:t>
      </w:r>
      <w:r w:rsidR="00472147">
        <w:rPr>
          <w:rFonts w:ascii="VIC-Regular" w:eastAsia="Times New Roman" w:hAnsi="VIC-Regular" w:cs="Times New Roman"/>
          <w:color w:val="011A3C"/>
          <w:sz w:val="24"/>
          <w:szCs w:val="24"/>
          <w:lang w:eastAsia="en-AU"/>
        </w:rPr>
        <w:t>3</w:t>
      </w:r>
      <w:r w:rsidRPr="004D307F">
        <w:rPr>
          <w:rFonts w:ascii="VIC-Regular" w:eastAsia="Times New Roman" w:hAnsi="VIC-Regular" w:cs="Times New Roman"/>
          <w:color w:val="011A3C"/>
          <w:sz w:val="24"/>
          <w:szCs w:val="24"/>
          <w:lang w:eastAsia="en-AU"/>
        </w:rPr>
        <w:t xml:space="preserve"> priority categories:</w:t>
      </w:r>
    </w:p>
    <w:p w14:paraId="50B6AE35" w14:textId="77777777" w:rsidR="00AA4D4B" w:rsidRPr="004D307F" w:rsidRDefault="00AA4D4B" w:rsidP="00ED0863">
      <w:pPr>
        <w:pStyle w:val="ListParagraph"/>
        <w:numPr>
          <w:ilvl w:val="0"/>
          <w:numId w:val="142"/>
        </w:num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Priority 1: Schools in areas with limited or no OSHC services.</w:t>
      </w:r>
    </w:p>
    <w:p w14:paraId="0B46175A" w14:textId="77777777" w:rsidR="00AA4D4B" w:rsidRPr="004D307F" w:rsidRDefault="00AA4D4B" w:rsidP="00ED0863">
      <w:pPr>
        <w:pStyle w:val="ListParagraph"/>
        <w:numPr>
          <w:ilvl w:val="0"/>
          <w:numId w:val="142"/>
        </w:num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Priority 2:</w:t>
      </w:r>
      <w:r w:rsidRPr="004D307F">
        <w:t xml:space="preserve"> </w:t>
      </w:r>
      <w:r w:rsidRPr="004D307F">
        <w:rPr>
          <w:rFonts w:ascii="VIC-Regular" w:eastAsia="Times New Roman" w:hAnsi="VIC-Regular" w:cs="Times New Roman"/>
          <w:color w:val="011A3C"/>
          <w:sz w:val="24"/>
          <w:szCs w:val="24"/>
          <w:lang w:eastAsia="en-AU"/>
        </w:rPr>
        <w:t>Schools where services are unlikely to be viable without grant funding.</w:t>
      </w:r>
    </w:p>
    <w:p w14:paraId="1AFA80FC" w14:textId="77777777" w:rsidR="00AA4D4B" w:rsidRPr="004D307F" w:rsidRDefault="00AA4D4B" w:rsidP="00ED0863">
      <w:pPr>
        <w:pStyle w:val="ListParagraph"/>
        <w:numPr>
          <w:ilvl w:val="0"/>
          <w:numId w:val="142"/>
        </w:num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Priority 3:</w:t>
      </w:r>
      <w:r w:rsidRPr="004D307F">
        <w:t xml:space="preserve"> </w:t>
      </w:r>
      <w:r w:rsidRPr="004D307F">
        <w:rPr>
          <w:rFonts w:ascii="VIC-Regular" w:eastAsia="Times New Roman" w:hAnsi="VIC-Regular" w:cs="Times New Roman"/>
          <w:color w:val="011A3C"/>
          <w:sz w:val="24"/>
          <w:szCs w:val="24"/>
          <w:lang w:eastAsia="en-AU"/>
        </w:rPr>
        <w:t xml:space="preserve">Schools with disadvantaged student cohorts AND schools with demonstrated readiness to commence services </w:t>
      </w:r>
    </w:p>
    <w:p w14:paraId="1732FA3F" w14:textId="2B955E56" w:rsidR="00AA4D4B" w:rsidRPr="004D307F" w:rsidRDefault="00AA4D4B" w:rsidP="00AA4D4B">
      <w:pPr>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The program is broken into </w:t>
      </w:r>
      <w:r w:rsidR="00FA4946">
        <w:rPr>
          <w:rFonts w:ascii="VIC-Regular" w:eastAsia="Times New Roman" w:hAnsi="VIC-Regular" w:cs="Times New Roman"/>
          <w:color w:val="011A3C"/>
          <w:sz w:val="24"/>
          <w:szCs w:val="24"/>
          <w:lang w:eastAsia="en-AU"/>
        </w:rPr>
        <w:t xml:space="preserve">4 </w:t>
      </w:r>
      <w:r w:rsidRPr="004D307F">
        <w:rPr>
          <w:rFonts w:ascii="VIC-Regular" w:eastAsia="Times New Roman" w:hAnsi="VIC-Regular" w:cs="Times New Roman"/>
          <w:color w:val="011A3C"/>
          <w:sz w:val="24"/>
          <w:szCs w:val="24"/>
          <w:lang w:eastAsia="en-AU"/>
        </w:rPr>
        <w:t xml:space="preserve">rounds over </w:t>
      </w:r>
      <w:r w:rsidR="00FA4946">
        <w:rPr>
          <w:rFonts w:ascii="VIC-Regular" w:eastAsia="Times New Roman" w:hAnsi="VIC-Regular" w:cs="Times New Roman"/>
          <w:color w:val="011A3C"/>
          <w:sz w:val="24"/>
          <w:szCs w:val="24"/>
          <w:lang w:eastAsia="en-AU"/>
        </w:rPr>
        <w:t>4</w:t>
      </w:r>
      <w:r w:rsidRPr="004D307F">
        <w:rPr>
          <w:rFonts w:ascii="VIC-Regular" w:eastAsia="Times New Roman" w:hAnsi="VIC-Regular" w:cs="Times New Roman"/>
          <w:color w:val="011A3C"/>
          <w:sz w:val="24"/>
          <w:szCs w:val="24"/>
          <w:lang w:eastAsia="en-AU"/>
        </w:rPr>
        <w:t xml:space="preserve"> financial years. Four years of funding was available for schools that successfully apply in Round 1, and </w:t>
      </w:r>
      <w:r w:rsidR="00FA4946">
        <w:rPr>
          <w:rFonts w:ascii="VIC-Regular" w:eastAsia="Times New Roman" w:hAnsi="VIC-Regular" w:cs="Times New Roman"/>
          <w:color w:val="011A3C"/>
          <w:sz w:val="24"/>
          <w:szCs w:val="24"/>
          <w:lang w:eastAsia="en-AU"/>
        </w:rPr>
        <w:t>3</w:t>
      </w:r>
      <w:r w:rsidRPr="004D307F">
        <w:rPr>
          <w:rFonts w:ascii="VIC-Regular" w:eastAsia="Times New Roman" w:hAnsi="VIC-Regular" w:cs="Times New Roman"/>
          <w:color w:val="011A3C"/>
          <w:sz w:val="24"/>
          <w:szCs w:val="24"/>
          <w:lang w:eastAsia="en-AU"/>
        </w:rPr>
        <w:t xml:space="preserve"> years for those applying in Round 2. For the rounds yet to open, schools funded in Round 3 will receive </w:t>
      </w:r>
      <w:r w:rsidR="00FA4946">
        <w:rPr>
          <w:rFonts w:ascii="VIC-Regular" w:eastAsia="Times New Roman" w:hAnsi="VIC-Regular" w:cs="Times New Roman"/>
          <w:color w:val="011A3C"/>
          <w:sz w:val="24"/>
          <w:szCs w:val="24"/>
          <w:lang w:eastAsia="en-AU"/>
        </w:rPr>
        <w:t>2</w:t>
      </w:r>
      <w:r w:rsidRPr="004D307F">
        <w:rPr>
          <w:rFonts w:ascii="VIC-Regular" w:eastAsia="Times New Roman" w:hAnsi="VIC-Regular" w:cs="Times New Roman"/>
          <w:color w:val="011A3C"/>
          <w:sz w:val="24"/>
          <w:szCs w:val="24"/>
          <w:lang w:eastAsia="en-AU"/>
        </w:rPr>
        <w:t xml:space="preserve"> years of funding, and Round 4 schools will receive one year of funding. </w:t>
      </w:r>
    </w:p>
    <w:p w14:paraId="19B70D4B" w14:textId="012042C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Schools may use the funds to cover costs associated with initially providing access to OSHC services for students</w:t>
      </w:r>
      <w:r w:rsidR="00472147">
        <w:rPr>
          <w:rFonts w:ascii="VIC-Regular" w:eastAsia="Times New Roman" w:hAnsi="VIC-Regular" w:cs="Times New Roman"/>
          <w:color w:val="011A3C"/>
          <w:sz w:val="24"/>
          <w:szCs w:val="24"/>
          <w:lang w:eastAsia="en-AU"/>
        </w:rPr>
        <w:t xml:space="preserve"> </w:t>
      </w:r>
      <w:r w:rsidRPr="004D307F">
        <w:rPr>
          <w:rFonts w:ascii="VIC-Regular" w:eastAsia="Times New Roman" w:hAnsi="VIC-Regular" w:cs="Times New Roman"/>
          <w:color w:val="011A3C"/>
          <w:sz w:val="24"/>
          <w:szCs w:val="24"/>
          <w:lang w:eastAsia="en-AU"/>
        </w:rPr>
        <w:t>and operational expenses over the lifetime of the funding. The funding will allow services that may not initially be financially viable to expand and work towards ongoing viability over the grant period.</w:t>
      </w:r>
    </w:p>
    <w:p w14:paraId="1E85B7E3" w14:textId="77777777" w:rsidR="00AA4D4B" w:rsidRPr="004D307F" w:rsidRDefault="00AA4D4B" w:rsidP="00AA4D4B">
      <w:pPr>
        <w:spacing w:before="100" w:beforeAutospacing="1" w:after="100" w:afterAutospacing="1" w:line="288" w:lineRule="atLeast"/>
        <w:outlineLvl w:val="2"/>
        <w:rPr>
          <w:rFonts w:ascii="VIC-Bold" w:eastAsia="Times New Roman" w:hAnsi="VIC-Bold" w:cs="Times New Roman"/>
          <w:color w:val="011A3C"/>
          <w:sz w:val="27"/>
          <w:szCs w:val="27"/>
          <w:lang w:eastAsia="en-AU"/>
        </w:rPr>
      </w:pPr>
      <w:r w:rsidRPr="004D307F">
        <w:rPr>
          <w:rFonts w:ascii="VIC-Bold" w:hAnsi="VIC-Bold"/>
          <w:b/>
          <w:bCs/>
          <w:color w:val="011A3C"/>
          <w:sz w:val="27"/>
          <w:szCs w:val="27"/>
          <w:lang w:val="en" w:eastAsia="en-AU"/>
        </w:rPr>
        <w:t>Accountability</w:t>
      </w:r>
    </w:p>
    <w:p w14:paraId="0AEC3771" w14:textId="04D82C1F"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Schools are responsible for using the funds within the guidelines provided by the </w:t>
      </w:r>
      <w:r w:rsidR="00FA4946">
        <w:rPr>
          <w:rFonts w:ascii="VIC-Regular" w:eastAsia="Times New Roman" w:hAnsi="VIC-Regular" w:cs="Times New Roman"/>
          <w:color w:val="011A3C"/>
          <w:sz w:val="24"/>
          <w:szCs w:val="24"/>
          <w:lang w:eastAsia="en-AU"/>
        </w:rPr>
        <w:t>d</w:t>
      </w:r>
      <w:r w:rsidRPr="004D307F">
        <w:rPr>
          <w:rFonts w:ascii="VIC-Regular" w:eastAsia="Times New Roman" w:hAnsi="VIC-Regular" w:cs="Times New Roman"/>
          <w:color w:val="011A3C"/>
          <w:sz w:val="24"/>
          <w:szCs w:val="24"/>
          <w:lang w:eastAsia="en-AU"/>
        </w:rPr>
        <w:t>epartment. School principals will be required to complete an acquittal process once per year for each year of funding received, demonstrating that the funds were used for expenditure within the Initiative’s guidelines.</w:t>
      </w:r>
    </w:p>
    <w:p w14:paraId="23179177" w14:textId="77777777" w:rsidR="00AA4D4B" w:rsidRPr="004D307F" w:rsidRDefault="00AA4D4B" w:rsidP="00AA4D4B">
      <w:pPr>
        <w:spacing w:before="100" w:beforeAutospacing="1" w:after="100" w:afterAutospacing="1" w:line="288" w:lineRule="atLeast"/>
        <w:outlineLvl w:val="2"/>
        <w:rPr>
          <w:rFonts w:ascii="VIC-Bold" w:hAnsi="VIC-Bold"/>
          <w:b/>
          <w:bCs/>
          <w:color w:val="011A3C"/>
          <w:sz w:val="27"/>
          <w:szCs w:val="27"/>
          <w:lang w:val="en" w:eastAsia="en-AU"/>
        </w:rPr>
      </w:pPr>
      <w:r w:rsidRPr="004D307F">
        <w:rPr>
          <w:rFonts w:ascii="VIC-Bold" w:hAnsi="VIC-Bold"/>
          <w:b/>
          <w:bCs/>
          <w:color w:val="011A3C"/>
          <w:sz w:val="27"/>
          <w:szCs w:val="27"/>
          <w:lang w:val="en" w:eastAsia="en-AU"/>
        </w:rPr>
        <w:t>Eligibility</w:t>
      </w:r>
    </w:p>
    <w:p w14:paraId="5A344A89" w14:textId="30EACE61"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Interested schools will apply for the funding using the </w:t>
      </w:r>
      <w:proofErr w:type="spellStart"/>
      <w:r w:rsidRPr="004D307F">
        <w:rPr>
          <w:rFonts w:ascii="VIC-Regular" w:eastAsia="Times New Roman" w:hAnsi="VIC-Regular" w:cs="Times New Roman"/>
          <w:color w:val="011A3C"/>
          <w:sz w:val="24"/>
          <w:szCs w:val="24"/>
          <w:lang w:eastAsia="en-AU"/>
        </w:rPr>
        <w:t>SmartyGrants</w:t>
      </w:r>
      <w:proofErr w:type="spellEnd"/>
      <w:r w:rsidRPr="004D307F">
        <w:rPr>
          <w:rFonts w:ascii="VIC-Regular" w:eastAsia="Times New Roman" w:hAnsi="VIC-Regular" w:cs="Times New Roman"/>
          <w:color w:val="011A3C"/>
          <w:sz w:val="24"/>
          <w:szCs w:val="24"/>
          <w:lang w:eastAsia="en-AU"/>
        </w:rPr>
        <w:t xml:space="preserve"> online portal, which will be available when round 3 is launched during 2022. Further advice will be provided closer to the launch. All Victorian </w:t>
      </w:r>
      <w:r w:rsidR="00FA4946">
        <w:rPr>
          <w:rFonts w:ascii="VIC-Regular" w:eastAsia="Times New Roman" w:hAnsi="VIC-Regular" w:cs="Times New Roman"/>
          <w:color w:val="011A3C"/>
          <w:sz w:val="24"/>
          <w:szCs w:val="24"/>
          <w:lang w:eastAsia="en-AU"/>
        </w:rPr>
        <w:t>g</w:t>
      </w:r>
      <w:r w:rsidRPr="004D307F">
        <w:rPr>
          <w:rFonts w:ascii="VIC-Regular" w:eastAsia="Times New Roman" w:hAnsi="VIC-Regular" w:cs="Times New Roman"/>
          <w:color w:val="011A3C"/>
          <w:sz w:val="24"/>
          <w:szCs w:val="24"/>
          <w:lang w:eastAsia="en-AU"/>
        </w:rPr>
        <w:t xml:space="preserve">overnment schools which provide primary aged education to children, and who have not had an OSHC service in the preceding two terms are eligible to apply. This includes </w:t>
      </w:r>
      <w:r w:rsidRPr="004D307F">
        <w:rPr>
          <w:rFonts w:ascii="VIC-Regular" w:eastAsia="Times New Roman" w:hAnsi="VIC-Regular" w:cs="Times New Roman"/>
          <w:color w:val="011A3C"/>
          <w:sz w:val="24"/>
          <w:szCs w:val="24"/>
          <w:lang w:eastAsia="en-AU"/>
        </w:rPr>
        <w:lastRenderedPageBreak/>
        <w:t>primary schools, combined primary/secondary schools, and specialist schools.</w:t>
      </w:r>
    </w:p>
    <w:p w14:paraId="231C4E7A" w14:textId="77777777" w:rsidR="00AA4D4B" w:rsidRPr="004D307F" w:rsidRDefault="00AA4D4B" w:rsidP="00AA4D4B">
      <w:pPr>
        <w:spacing w:before="100" w:beforeAutospacing="1" w:after="100" w:afterAutospacing="1" w:line="288" w:lineRule="atLeast"/>
        <w:outlineLvl w:val="2"/>
        <w:rPr>
          <w:rFonts w:ascii="VIC-Bold" w:hAnsi="VIC-Bold"/>
          <w:b/>
          <w:bCs/>
          <w:color w:val="011A3C"/>
          <w:sz w:val="27"/>
          <w:szCs w:val="27"/>
          <w:lang w:val="en" w:eastAsia="en-AU"/>
        </w:rPr>
      </w:pPr>
      <w:r w:rsidRPr="004D307F">
        <w:rPr>
          <w:rFonts w:ascii="VIC-Bold" w:hAnsi="VIC-Bold"/>
          <w:b/>
          <w:bCs/>
          <w:color w:val="011A3C"/>
          <w:sz w:val="27"/>
          <w:szCs w:val="27"/>
          <w:lang w:val="en" w:eastAsia="en-AU"/>
        </w:rPr>
        <w:t>Funding</w:t>
      </w:r>
    </w:p>
    <w:p w14:paraId="0FFB5698" w14:textId="7777777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The maximum amount of funding offered is $75,000 per year per applicant school, except where the school is applying on behalf of a cluster of schools, in which case the maximum is $150,000. In a cluster arrangement, one school establishes the service, with nearby schools able to access it on an equal footing. Schools or clusters may apply up to the maximum amount if they have proposed expenditure to that amount which meets the Initiative guidelines. </w:t>
      </w:r>
      <w:proofErr w:type="gramStart"/>
      <w:r w:rsidRPr="004D307F">
        <w:rPr>
          <w:rFonts w:ascii="VIC-Regular" w:eastAsia="Times New Roman" w:hAnsi="VIC-Regular" w:cs="Times New Roman"/>
          <w:color w:val="011A3C"/>
          <w:sz w:val="24"/>
          <w:szCs w:val="24"/>
          <w:lang w:eastAsia="en-AU"/>
        </w:rPr>
        <w:t>In order to</w:t>
      </w:r>
      <w:proofErr w:type="gramEnd"/>
      <w:r w:rsidRPr="004D307F">
        <w:rPr>
          <w:rFonts w:ascii="VIC-Regular" w:eastAsia="Times New Roman" w:hAnsi="VIC-Regular" w:cs="Times New Roman"/>
          <w:color w:val="011A3C"/>
          <w:sz w:val="24"/>
          <w:szCs w:val="24"/>
          <w:lang w:eastAsia="en-AU"/>
        </w:rPr>
        <w:t xml:space="preserve"> be eligible for the increased funding cap, all cluster schools must meet the grant eligibility requirements. </w:t>
      </w:r>
    </w:p>
    <w:p w14:paraId="3835C881" w14:textId="7777777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Funding allocations are 100% Cash funding.</w:t>
      </w:r>
    </w:p>
    <w:p w14:paraId="0259DB0D" w14:textId="77777777" w:rsidR="00AA4D4B" w:rsidRPr="004D307F" w:rsidRDefault="00AA4D4B" w:rsidP="00AA4D4B">
      <w:pPr>
        <w:spacing w:before="100" w:beforeAutospacing="1" w:after="100" w:afterAutospacing="1" w:line="288" w:lineRule="atLeast"/>
        <w:outlineLvl w:val="2"/>
        <w:rPr>
          <w:rFonts w:ascii="VIC-Bold" w:hAnsi="VIC-Bold"/>
          <w:b/>
          <w:bCs/>
          <w:color w:val="011A3C"/>
          <w:sz w:val="27"/>
          <w:szCs w:val="27"/>
          <w:lang w:val="en" w:eastAsia="en-AU"/>
        </w:rPr>
      </w:pPr>
      <w:r w:rsidRPr="004D307F">
        <w:rPr>
          <w:rFonts w:ascii="VIC-Bold" w:hAnsi="VIC-Bold"/>
          <w:b/>
          <w:bCs/>
          <w:color w:val="011A3C"/>
          <w:sz w:val="27"/>
          <w:szCs w:val="27"/>
          <w:lang w:val="en" w:eastAsia="en-AU"/>
        </w:rPr>
        <w:t>Use of Initiative funding</w:t>
      </w:r>
    </w:p>
    <w:p w14:paraId="4C354190" w14:textId="7777777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 xml:space="preserve">School principals will consider the context of their school and the needs of the school community to determine the best use of the funding. A school may decide to use the funding to establish an OSHC service run by the school council, engage a </w:t>
      </w:r>
      <w:proofErr w:type="gramStart"/>
      <w:r w:rsidRPr="004D307F">
        <w:rPr>
          <w:rFonts w:ascii="VIC-Regular" w:eastAsia="Times New Roman" w:hAnsi="VIC-Regular" w:cs="Times New Roman"/>
          <w:color w:val="011A3C"/>
          <w:sz w:val="24"/>
          <w:szCs w:val="24"/>
          <w:lang w:eastAsia="en-AU"/>
        </w:rPr>
        <w:t>third party</w:t>
      </w:r>
      <w:proofErr w:type="gramEnd"/>
      <w:r w:rsidRPr="004D307F">
        <w:rPr>
          <w:rFonts w:ascii="VIC-Regular" w:eastAsia="Times New Roman" w:hAnsi="VIC-Regular" w:cs="Times New Roman"/>
          <w:color w:val="011A3C"/>
          <w:sz w:val="24"/>
          <w:szCs w:val="24"/>
          <w:lang w:eastAsia="en-AU"/>
        </w:rPr>
        <w:t xml:space="preserve"> provider to operate a new service, or provide transport to enable children to access OSHC at an already operating service. New services may be established at the school or at external premises. </w:t>
      </w:r>
    </w:p>
    <w:p w14:paraId="322101DD" w14:textId="77777777" w:rsidR="00AA4D4B" w:rsidRPr="004D307F" w:rsidRDefault="00AA4D4B" w:rsidP="00AA4D4B">
      <w:pPr>
        <w:spacing w:before="100" w:beforeAutospacing="1" w:after="100" w:afterAutospacing="1" w:line="240" w:lineRule="auto"/>
        <w:rPr>
          <w:rFonts w:ascii="VIC-Regular" w:eastAsia="Times New Roman" w:hAnsi="VIC-Regular" w:cs="Times New Roman"/>
          <w:color w:val="011A3C"/>
          <w:sz w:val="24"/>
          <w:szCs w:val="24"/>
          <w:lang w:eastAsia="en-AU"/>
        </w:rPr>
      </w:pPr>
      <w:r w:rsidRPr="004D307F">
        <w:rPr>
          <w:rFonts w:ascii="VIC-Regular" w:eastAsia="Times New Roman" w:hAnsi="VIC-Regular" w:cs="Times New Roman"/>
          <w:color w:val="011A3C"/>
          <w:sz w:val="24"/>
          <w:szCs w:val="24"/>
          <w:lang w:eastAsia="en-AU"/>
        </w:rPr>
        <w:t>Examples of eligible expenditure include:</w:t>
      </w:r>
    </w:p>
    <w:p w14:paraId="37514FE1" w14:textId="4A4FF940"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s</w:t>
      </w:r>
      <w:r w:rsidR="00AA4D4B" w:rsidRPr="004D307F">
        <w:rPr>
          <w:rFonts w:ascii="VIC-Regular" w:eastAsia="Times New Roman" w:hAnsi="VIC-Regular" w:cs="Times New Roman"/>
          <w:color w:val="011A3C"/>
          <w:sz w:val="24"/>
          <w:szCs w:val="24"/>
          <w:lang w:eastAsia="en-AU"/>
        </w:rPr>
        <w:t>taffing</w:t>
      </w:r>
    </w:p>
    <w:p w14:paraId="4572475A" w14:textId="7254C9BF"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w:t>
      </w:r>
      <w:r w:rsidR="00AA4D4B" w:rsidRPr="004D307F">
        <w:rPr>
          <w:rFonts w:ascii="VIC-Regular" w:eastAsia="Times New Roman" w:hAnsi="VIC-Regular" w:cs="Times New Roman"/>
          <w:color w:val="011A3C"/>
          <w:sz w:val="24"/>
          <w:szCs w:val="24"/>
          <w:lang w:eastAsia="en-AU"/>
        </w:rPr>
        <w:t>raining and professional development</w:t>
      </w:r>
    </w:p>
    <w:p w14:paraId="4C280EA7" w14:textId="7B7F7ED7"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p</w:t>
      </w:r>
      <w:r w:rsidR="00AA4D4B" w:rsidRPr="004D307F">
        <w:rPr>
          <w:rFonts w:ascii="VIC-Regular" w:eastAsia="Times New Roman" w:hAnsi="VIC-Regular" w:cs="Times New Roman"/>
          <w:color w:val="011A3C"/>
          <w:sz w:val="24"/>
          <w:szCs w:val="24"/>
          <w:lang w:eastAsia="en-AU"/>
        </w:rPr>
        <w:t>rogram management and administration</w:t>
      </w:r>
    </w:p>
    <w:p w14:paraId="37C6F708" w14:textId="4860A0C1"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r</w:t>
      </w:r>
      <w:r w:rsidR="00AA4D4B" w:rsidRPr="004D307F">
        <w:rPr>
          <w:rFonts w:ascii="VIC-Regular" w:eastAsia="Times New Roman" w:hAnsi="VIC-Regular" w:cs="Times New Roman"/>
          <w:color w:val="011A3C"/>
          <w:sz w:val="24"/>
          <w:szCs w:val="24"/>
          <w:lang w:eastAsia="en-AU"/>
        </w:rPr>
        <w:t>esources and/or equipment</w:t>
      </w:r>
    </w:p>
    <w:p w14:paraId="66FFC9FE" w14:textId="39769256"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m</w:t>
      </w:r>
      <w:r w:rsidR="00AA4D4B" w:rsidRPr="004D307F">
        <w:rPr>
          <w:rFonts w:ascii="VIC-Regular" w:eastAsia="Times New Roman" w:hAnsi="VIC-Regular" w:cs="Times New Roman"/>
          <w:color w:val="011A3C"/>
          <w:sz w:val="24"/>
          <w:szCs w:val="24"/>
          <w:lang w:eastAsia="en-AU"/>
        </w:rPr>
        <w:t>inor facility upgrades</w:t>
      </w:r>
    </w:p>
    <w:p w14:paraId="7DF4F82D" w14:textId="59073D12"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t</w:t>
      </w:r>
      <w:r w:rsidR="00AA4D4B" w:rsidRPr="004D307F">
        <w:rPr>
          <w:rFonts w:ascii="VIC-Regular" w:eastAsia="Times New Roman" w:hAnsi="VIC-Regular" w:cs="Times New Roman"/>
          <w:color w:val="011A3C"/>
          <w:sz w:val="24"/>
          <w:szCs w:val="24"/>
          <w:lang w:eastAsia="en-AU"/>
        </w:rPr>
        <w:t>ransport</w:t>
      </w:r>
    </w:p>
    <w:p w14:paraId="39E1CD8F" w14:textId="018BAD0B" w:rsidR="00AA4D4B" w:rsidRPr="004D307F" w:rsidRDefault="00FA4946" w:rsidP="00ED0863">
      <w:pPr>
        <w:pStyle w:val="ListParagraph"/>
        <w:numPr>
          <w:ilvl w:val="0"/>
          <w:numId w:val="143"/>
        </w:numPr>
        <w:spacing w:before="100" w:beforeAutospacing="1" w:after="100" w:afterAutospacing="1" w:line="240" w:lineRule="auto"/>
        <w:rPr>
          <w:rFonts w:ascii="VIC-Regular" w:eastAsia="Times New Roman" w:hAnsi="VIC-Regular" w:cs="Times New Roman"/>
          <w:color w:val="011A3C"/>
          <w:sz w:val="24"/>
          <w:szCs w:val="24"/>
          <w:lang w:eastAsia="en-AU"/>
        </w:rPr>
      </w:pPr>
      <w:r>
        <w:rPr>
          <w:rFonts w:ascii="VIC-Regular" w:eastAsia="Times New Roman" w:hAnsi="VIC-Regular" w:cs="Times New Roman"/>
          <w:color w:val="011A3C"/>
          <w:sz w:val="24"/>
          <w:szCs w:val="24"/>
          <w:lang w:eastAsia="en-AU"/>
        </w:rPr>
        <w:t>f</w:t>
      </w:r>
      <w:r w:rsidR="00AA4D4B" w:rsidRPr="004D307F">
        <w:rPr>
          <w:rFonts w:ascii="VIC-Regular" w:eastAsia="Times New Roman" w:hAnsi="VIC-Regular" w:cs="Times New Roman"/>
          <w:color w:val="011A3C"/>
          <w:sz w:val="24"/>
          <w:szCs w:val="24"/>
          <w:lang w:eastAsia="en-AU"/>
        </w:rPr>
        <w:t>ood</w:t>
      </w:r>
    </w:p>
    <w:p w14:paraId="2697C07E" w14:textId="7AE134C9" w:rsidR="00AA4D4B" w:rsidRPr="004D307F" w:rsidRDefault="00FA4946" w:rsidP="00ED0863">
      <w:pPr>
        <w:pStyle w:val="ListParagraph"/>
        <w:numPr>
          <w:ilvl w:val="0"/>
          <w:numId w:val="143"/>
        </w:numPr>
        <w:spacing w:before="100" w:beforeAutospacing="1" w:after="100" w:afterAutospacing="1" w:line="240" w:lineRule="auto"/>
      </w:pPr>
      <w:r>
        <w:rPr>
          <w:rFonts w:ascii="VIC-Regular" w:eastAsia="Times New Roman" w:hAnsi="VIC-Regular" w:cs="Times New Roman"/>
          <w:color w:val="011A3C"/>
          <w:sz w:val="24"/>
          <w:szCs w:val="24"/>
          <w:lang w:eastAsia="en-AU"/>
        </w:rPr>
        <w:t>p</w:t>
      </w:r>
      <w:r w:rsidR="00AA4D4B" w:rsidRPr="004D307F">
        <w:rPr>
          <w:rFonts w:ascii="VIC-Regular" w:eastAsia="Times New Roman" w:hAnsi="VIC-Regular" w:cs="Times New Roman"/>
          <w:color w:val="011A3C"/>
          <w:sz w:val="24"/>
          <w:szCs w:val="24"/>
          <w:lang w:eastAsia="en-AU"/>
        </w:rPr>
        <w:t>rograms/activities to attract or retain enrolments</w:t>
      </w:r>
      <w:r>
        <w:rPr>
          <w:rFonts w:ascii="VIC-Regular" w:eastAsia="Times New Roman" w:hAnsi="VIC-Regular" w:cs="Times New Roman"/>
          <w:color w:val="011A3C"/>
          <w:sz w:val="24"/>
          <w:szCs w:val="24"/>
          <w:lang w:eastAsia="en-AU"/>
        </w:rPr>
        <w:t>.</w:t>
      </w:r>
    </w:p>
    <w:p w14:paraId="56BD56AA" w14:textId="77777777" w:rsidR="00AA4D4B" w:rsidRPr="004D307F" w:rsidRDefault="00AA4D4B" w:rsidP="00517905"/>
    <w:p w14:paraId="1B19CF7D" w14:textId="790E9F43" w:rsidR="002B743A" w:rsidRPr="004D307F" w:rsidRDefault="002B743A">
      <w:pPr>
        <w:rPr>
          <w:rFonts w:asciiTheme="majorHAnsi" w:eastAsia="Times New Roman" w:hAnsiTheme="majorHAnsi" w:cstheme="majorBidi"/>
          <w:b/>
          <w:color w:val="2F5496" w:themeColor="accent1" w:themeShade="BF"/>
          <w:sz w:val="36"/>
          <w:szCs w:val="26"/>
          <w:lang w:val="en" w:eastAsia="en-AU"/>
        </w:rPr>
      </w:pPr>
      <w:r w:rsidRPr="004D307F">
        <w:rPr>
          <w:rFonts w:asciiTheme="majorHAnsi" w:eastAsia="Times New Roman" w:hAnsiTheme="majorHAnsi" w:cstheme="majorBidi"/>
          <w:b/>
          <w:color w:val="2F5496" w:themeColor="accent1" w:themeShade="BF"/>
          <w:sz w:val="36"/>
          <w:szCs w:val="26"/>
          <w:lang w:val="en" w:eastAsia="en-AU"/>
        </w:rPr>
        <w:br w:type="page"/>
      </w:r>
    </w:p>
    <w:p w14:paraId="41DC7D6B" w14:textId="77777777" w:rsidR="00C23301" w:rsidRPr="004D307F" w:rsidRDefault="00C23301" w:rsidP="00C23301">
      <w:pPr>
        <w:keepNext/>
        <w:keepLines/>
        <w:spacing w:before="40" w:after="0"/>
        <w:outlineLvl w:val="1"/>
        <w:rPr>
          <w:rFonts w:asciiTheme="majorHAnsi" w:eastAsia="Times New Roman" w:hAnsiTheme="majorHAnsi" w:cstheme="majorBidi"/>
          <w:b/>
          <w:color w:val="2F5496" w:themeColor="accent1" w:themeShade="BF"/>
          <w:sz w:val="36"/>
          <w:szCs w:val="26"/>
          <w:lang w:val="en" w:eastAsia="en-AU"/>
        </w:rPr>
      </w:pPr>
      <w:r w:rsidRPr="004D307F">
        <w:rPr>
          <w:rFonts w:asciiTheme="majorHAnsi" w:eastAsia="Times New Roman" w:hAnsiTheme="majorHAnsi" w:cstheme="majorBidi"/>
          <w:b/>
          <w:color w:val="2F5496" w:themeColor="accent1" w:themeShade="BF"/>
          <w:sz w:val="36"/>
          <w:szCs w:val="26"/>
          <w:lang w:val="en" w:eastAsia="en-AU"/>
        </w:rPr>
        <w:lastRenderedPageBreak/>
        <w:t xml:space="preserve">Innovative Initial Teacher Education (ITE) Programs (Reference 135) </w:t>
      </w:r>
    </w:p>
    <w:p w14:paraId="42C4597F" w14:textId="77777777" w:rsidR="00C23301" w:rsidRPr="004D307F" w:rsidRDefault="00C23301" w:rsidP="00C23301">
      <w:pPr>
        <w:spacing w:after="0" w:line="240" w:lineRule="auto"/>
        <w:contextualSpacing/>
        <w:jc w:val="both"/>
        <w:rPr>
          <w:rFonts w:asciiTheme="majorHAnsi" w:eastAsia="Times New Roman" w:hAnsiTheme="majorHAnsi" w:cstheme="majorHAnsi"/>
          <w:b/>
          <w:bCs/>
          <w:color w:val="0563C1" w:themeColor="hyperlink"/>
          <w:sz w:val="20"/>
          <w:szCs w:val="20"/>
          <w:u w:val="single"/>
          <w:lang w:val="en-US"/>
        </w:rPr>
      </w:pPr>
    </w:p>
    <w:p w14:paraId="01AA3EFF" w14:textId="6F466E02"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Innovative ITE programs seek to boost the supply of teachers in Victorian government secondary schools, particularly in outer-metropolitan, </w:t>
      </w:r>
      <w:proofErr w:type="gramStart"/>
      <w:r w:rsidRPr="004D307F">
        <w:rPr>
          <w:rFonts w:ascii="VIC" w:eastAsia="Times New Roman" w:hAnsi="VIC" w:cs="Times New Roman"/>
          <w:color w:val="011A3C"/>
          <w:sz w:val="24"/>
          <w:szCs w:val="24"/>
          <w:lang w:eastAsia="en-AU"/>
        </w:rPr>
        <w:t>rural</w:t>
      </w:r>
      <w:proofErr w:type="gramEnd"/>
      <w:r w:rsidRPr="004D307F">
        <w:rPr>
          <w:rFonts w:ascii="VIC" w:eastAsia="Times New Roman" w:hAnsi="VIC" w:cs="Times New Roman"/>
          <w:color w:val="011A3C"/>
          <w:sz w:val="24"/>
          <w:szCs w:val="24"/>
          <w:lang w:eastAsia="en-AU"/>
        </w:rPr>
        <w:t xml:space="preserve"> and remote locations and in priority subject areas. The </w:t>
      </w:r>
      <w:r w:rsidR="004A1101">
        <w:rPr>
          <w:rFonts w:ascii="VIC" w:eastAsia="Times New Roman" w:hAnsi="VIC" w:cs="Times New Roman"/>
          <w:color w:val="011A3C"/>
          <w:sz w:val="24"/>
          <w:szCs w:val="24"/>
          <w:lang w:eastAsia="en-AU"/>
        </w:rPr>
        <w:t>d</w:t>
      </w:r>
      <w:r w:rsidRPr="004D307F">
        <w:rPr>
          <w:rFonts w:ascii="VIC" w:eastAsia="Times New Roman" w:hAnsi="VIC" w:cs="Times New Roman"/>
          <w:color w:val="011A3C"/>
          <w:sz w:val="24"/>
          <w:szCs w:val="24"/>
          <w:lang w:eastAsia="en-AU"/>
        </w:rPr>
        <w:t xml:space="preserve">epartment is working in partnership with </w:t>
      </w:r>
      <w:r w:rsidR="004A1101">
        <w:rPr>
          <w:rFonts w:ascii="VIC" w:eastAsia="Times New Roman" w:hAnsi="VIC" w:cs="Times New Roman"/>
          <w:color w:val="011A3C"/>
          <w:sz w:val="24"/>
          <w:szCs w:val="24"/>
          <w:lang w:eastAsia="en-AU"/>
        </w:rPr>
        <w:t>5</w:t>
      </w:r>
      <w:r w:rsidRPr="004D307F">
        <w:rPr>
          <w:rFonts w:ascii="VIC" w:eastAsia="Times New Roman" w:hAnsi="VIC" w:cs="Times New Roman"/>
          <w:color w:val="011A3C"/>
          <w:sz w:val="24"/>
          <w:szCs w:val="24"/>
          <w:lang w:eastAsia="en-AU"/>
        </w:rPr>
        <w:t xml:space="preserve"> universities to attract and train local teachers for eligible secondary schools: Australian Catholic University (ACU), Deakin University, Federation University, Monash </w:t>
      </w:r>
      <w:proofErr w:type="gramStart"/>
      <w:r w:rsidRPr="004D307F">
        <w:rPr>
          <w:rFonts w:ascii="VIC" w:eastAsia="Times New Roman" w:hAnsi="VIC" w:cs="Times New Roman"/>
          <w:color w:val="011A3C"/>
          <w:sz w:val="24"/>
          <w:szCs w:val="24"/>
          <w:lang w:eastAsia="en-AU"/>
        </w:rPr>
        <w:t>University</w:t>
      </w:r>
      <w:proofErr w:type="gramEnd"/>
      <w:r w:rsidRPr="004D307F">
        <w:rPr>
          <w:rFonts w:ascii="VIC" w:eastAsia="Times New Roman" w:hAnsi="VIC" w:cs="Times New Roman"/>
          <w:color w:val="011A3C"/>
          <w:sz w:val="24"/>
          <w:szCs w:val="24"/>
          <w:lang w:eastAsia="en-AU"/>
        </w:rPr>
        <w:t xml:space="preserve"> and the University of Melbourne. </w:t>
      </w:r>
    </w:p>
    <w:p w14:paraId="7B3F78A7"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42672FB8" w14:textId="23204DC9" w:rsidR="00C23301" w:rsidRPr="004D307F" w:rsidRDefault="00C23301" w:rsidP="00C23301">
      <w:pPr>
        <w:spacing w:after="0" w:line="240" w:lineRule="auto"/>
        <w:contextualSpacing/>
        <w:jc w:val="both"/>
        <w:rPr>
          <w:rFonts w:ascii="VIC" w:eastAsia="Times New Roman" w:hAnsi="VIC" w:cstheme="majorHAnsi"/>
          <w:color w:val="0563C1" w:themeColor="hyperlink"/>
          <w:sz w:val="20"/>
          <w:szCs w:val="20"/>
          <w:u w:val="single"/>
          <w:lang w:val="en-US"/>
        </w:rPr>
      </w:pPr>
      <w:r w:rsidRPr="004D307F">
        <w:rPr>
          <w:rFonts w:ascii="VIC" w:eastAsia="Times New Roman" w:hAnsi="VIC" w:cs="Times New Roman"/>
          <w:color w:val="011A3C"/>
          <w:sz w:val="24"/>
          <w:szCs w:val="24"/>
          <w:lang w:eastAsia="en-AU"/>
        </w:rPr>
        <w:t>Department-funded scholarships are payable to students in the ACU and Federation University (2022 program only) programs to provide them with financial support during the period of intensive study and address barriers to participation in ITE. Scholarships will be paid to students by host schools as an element of the host school</w:t>
      </w:r>
      <w:r w:rsidRPr="004D307F">
        <w:rPr>
          <w:rFonts w:ascii="VIC" w:eastAsia="Times New Roman" w:hAnsi="VIC" w:cs="Times New Roman" w:hint="eastAsia"/>
          <w:color w:val="011A3C"/>
          <w:sz w:val="24"/>
          <w:szCs w:val="24"/>
          <w:lang w:eastAsia="en-AU"/>
        </w:rPr>
        <w:t>’</w:t>
      </w:r>
      <w:r w:rsidRPr="004D307F">
        <w:rPr>
          <w:rFonts w:ascii="VIC" w:eastAsia="Times New Roman" w:hAnsi="VIC" w:cs="Times New Roman"/>
          <w:color w:val="011A3C"/>
          <w:sz w:val="24"/>
          <w:szCs w:val="24"/>
          <w:lang w:eastAsia="en-AU"/>
        </w:rPr>
        <w:t>s support for them.</w:t>
      </w:r>
    </w:p>
    <w:p w14:paraId="0B9E775F" w14:textId="77777777" w:rsidR="00C23301" w:rsidRPr="004D307F" w:rsidRDefault="00C23301" w:rsidP="00C23301">
      <w:pPr>
        <w:spacing w:before="100" w:beforeAutospacing="1" w:after="100" w:afterAutospacing="1" w:line="288" w:lineRule="atLeast"/>
        <w:outlineLvl w:val="2"/>
        <w:rPr>
          <w:rFonts w:ascii="VIC" w:hAnsi="VIC"/>
          <w:b/>
          <w:bCs/>
          <w:color w:val="011A3C"/>
          <w:sz w:val="27"/>
          <w:szCs w:val="27"/>
          <w:lang w:val="en" w:eastAsia="en-AU"/>
        </w:rPr>
      </w:pPr>
      <w:r w:rsidRPr="004D307F">
        <w:rPr>
          <w:rFonts w:ascii="VIC" w:hAnsi="VIC"/>
          <w:b/>
          <w:bCs/>
          <w:color w:val="011A3C"/>
          <w:sz w:val="27"/>
          <w:szCs w:val="27"/>
          <w:lang w:val="en" w:eastAsia="en-AU"/>
        </w:rPr>
        <w:t>Eligibility</w:t>
      </w:r>
    </w:p>
    <w:p w14:paraId="59561C9A"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Secondary Schools</w:t>
      </w:r>
    </w:p>
    <w:p w14:paraId="57941669"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P-12 Schools (only the secondary component of the school)</w:t>
      </w:r>
    </w:p>
    <w:p w14:paraId="672CAB82"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Specialist Schools are now eligible in 2022. The VIT require PSTs to undertake placement in mainstream schools prior to employment consideration in a specialist setting. For more information on specialist </w:t>
      </w:r>
      <w:proofErr w:type="gramStart"/>
      <w:r w:rsidRPr="004D307F">
        <w:rPr>
          <w:rFonts w:ascii="VIC" w:eastAsia="Times New Roman" w:hAnsi="VIC" w:cs="Times New Roman"/>
          <w:color w:val="011A3C"/>
          <w:sz w:val="24"/>
          <w:szCs w:val="24"/>
          <w:lang w:eastAsia="en-AU"/>
        </w:rPr>
        <w:t>schools</w:t>
      </w:r>
      <w:proofErr w:type="gramEnd"/>
      <w:r w:rsidRPr="004D307F">
        <w:rPr>
          <w:rFonts w:ascii="VIC" w:eastAsia="Times New Roman" w:hAnsi="VIC" w:cs="Times New Roman"/>
          <w:color w:val="011A3C"/>
          <w:sz w:val="24"/>
          <w:szCs w:val="24"/>
          <w:lang w:eastAsia="en-AU"/>
        </w:rPr>
        <w:t xml:space="preserve"> participation, please contact the team on </w:t>
      </w:r>
      <w:hyperlink r:id="rId188" w:history="1">
        <w:r w:rsidRPr="004D307F">
          <w:rPr>
            <w:rStyle w:val="Hyperlink"/>
            <w:rFonts w:ascii="VIC" w:hAnsi="VIC" w:cs="Times New Roman"/>
            <w:sz w:val="24"/>
            <w:szCs w:val="24"/>
          </w:rPr>
          <w:t>innovative.ite@education.vic.gov.au</w:t>
        </w:r>
      </w:hyperlink>
      <w:r w:rsidRPr="004D307F">
        <w:rPr>
          <w:rFonts w:ascii="VIC" w:eastAsia="Times New Roman" w:hAnsi="VIC" w:cs="Times New Roman"/>
          <w:color w:val="011A3C"/>
          <w:sz w:val="24"/>
          <w:szCs w:val="24"/>
          <w:lang w:eastAsia="en-AU"/>
        </w:rPr>
        <w:t>.</w:t>
      </w:r>
    </w:p>
    <w:p w14:paraId="37BC939C"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5877AB66"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Specifically, schools must be hosting students as part of this program to be eligible for this allocation.</w:t>
      </w:r>
    </w:p>
    <w:p w14:paraId="01F75F32"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 xml:space="preserve">Secondary (including primary/secondary) and specialist schools that are hosting students participating in the ACU and Federation University (2022 program only) innovative ITE programs. </w:t>
      </w:r>
    </w:p>
    <w:p w14:paraId="0A0BAD4D"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20CA035A" w14:textId="74A4DB26" w:rsidR="00C23301" w:rsidRPr="004D307F" w:rsidRDefault="00C23301" w:rsidP="00C23301">
      <w:pPr>
        <w:spacing w:after="0" w:line="240" w:lineRule="auto"/>
        <w:contextualSpacing/>
        <w:jc w:val="both"/>
        <w:rPr>
          <w:rFonts w:ascii="VIC" w:hAnsi="VIC"/>
          <w:sz w:val="21"/>
          <w:szCs w:val="21"/>
          <w:lang w:val="en-GB"/>
        </w:rPr>
      </w:pPr>
      <w:r w:rsidRPr="004D307F">
        <w:rPr>
          <w:rFonts w:ascii="VIC" w:eastAsia="Times New Roman" w:hAnsi="VIC" w:cs="Times New Roman"/>
          <w:color w:val="011A3C"/>
          <w:sz w:val="24"/>
          <w:szCs w:val="24"/>
          <w:lang w:eastAsia="en-AU"/>
        </w:rPr>
        <w:t>Funding will be allocated in instalments in April (out-of-cycle) and August (indicative cycle) through credit funding and is calculated at the school level.</w:t>
      </w:r>
    </w:p>
    <w:p w14:paraId="00EF4B5F" w14:textId="77777777" w:rsidR="00C23301" w:rsidRPr="004D307F" w:rsidRDefault="00C23301" w:rsidP="00C23301">
      <w:pPr>
        <w:spacing w:before="100" w:beforeAutospacing="1" w:after="100" w:afterAutospacing="1" w:line="288" w:lineRule="atLeast"/>
        <w:outlineLvl w:val="2"/>
        <w:rPr>
          <w:rFonts w:ascii="VIC" w:hAnsi="VIC"/>
          <w:b/>
          <w:bCs/>
          <w:color w:val="011A3C"/>
          <w:sz w:val="27"/>
          <w:szCs w:val="27"/>
          <w:lang w:val="en" w:eastAsia="en-AU"/>
        </w:rPr>
      </w:pPr>
      <w:r w:rsidRPr="004D307F">
        <w:rPr>
          <w:rFonts w:ascii="VIC" w:hAnsi="VIC"/>
          <w:b/>
          <w:bCs/>
          <w:color w:val="011A3C"/>
          <w:sz w:val="27"/>
          <w:szCs w:val="27"/>
          <w:lang w:val="en" w:eastAsia="en-AU"/>
        </w:rPr>
        <w:t>Calculation</w:t>
      </w:r>
    </w:p>
    <w:p w14:paraId="772B2D69"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Only schools hosting students participating in the ACU and Federation University innovative ITE programs will receive $15,000 per student hosted.</w:t>
      </w:r>
    </w:p>
    <w:p w14:paraId="4E7A144C"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3C69966E"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1A0DE88E" w14:textId="25078B11"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Example: An eligible school hosts a Federation University student and an ACU student in 2022. This school will receive a total of $30,000 ($15,000 for the Federation University student and $15,000 for the ACU student).</w:t>
      </w:r>
    </w:p>
    <w:p w14:paraId="229F539F" w14:textId="77777777" w:rsidR="00C23301" w:rsidRPr="004D307F" w:rsidRDefault="00C23301" w:rsidP="00C23301">
      <w:pPr>
        <w:spacing w:before="100" w:beforeAutospacing="1" w:after="100" w:afterAutospacing="1" w:line="288" w:lineRule="atLeast"/>
        <w:outlineLvl w:val="2"/>
        <w:rPr>
          <w:rFonts w:ascii="VIC" w:hAnsi="VIC"/>
          <w:b/>
          <w:bCs/>
          <w:color w:val="011A3C"/>
          <w:sz w:val="27"/>
          <w:szCs w:val="27"/>
          <w:lang w:val="en" w:eastAsia="en-AU"/>
        </w:rPr>
      </w:pPr>
      <w:r w:rsidRPr="004D307F">
        <w:rPr>
          <w:rFonts w:ascii="VIC" w:hAnsi="VIC"/>
          <w:b/>
          <w:bCs/>
          <w:color w:val="011A3C"/>
          <w:sz w:val="27"/>
          <w:szCs w:val="27"/>
          <w:lang w:val="en" w:eastAsia="en-AU"/>
        </w:rPr>
        <w:lastRenderedPageBreak/>
        <w:t>Rates</w:t>
      </w:r>
    </w:p>
    <w:p w14:paraId="5557D1E7"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r w:rsidRPr="004D307F">
        <w:rPr>
          <w:rFonts w:ascii="VIC" w:eastAsia="Times New Roman" w:hAnsi="VIC" w:cs="Times New Roman"/>
          <w:color w:val="011A3C"/>
          <w:sz w:val="24"/>
          <w:szCs w:val="24"/>
          <w:lang w:eastAsia="en-AU"/>
        </w:rPr>
        <w:t>$15,000 per ACU and Federation University student hosted.</w:t>
      </w:r>
    </w:p>
    <w:p w14:paraId="251C6E46" w14:textId="77777777" w:rsidR="00C23301" w:rsidRPr="004D307F" w:rsidRDefault="00C23301" w:rsidP="00C23301">
      <w:pPr>
        <w:spacing w:after="0" w:line="240" w:lineRule="auto"/>
        <w:contextualSpacing/>
        <w:jc w:val="both"/>
        <w:rPr>
          <w:rFonts w:ascii="VIC" w:eastAsia="Times New Roman" w:hAnsi="VIC" w:cs="Times New Roman"/>
          <w:color w:val="011A3C"/>
          <w:sz w:val="24"/>
          <w:szCs w:val="24"/>
          <w:lang w:eastAsia="en-AU"/>
        </w:rPr>
      </w:pPr>
    </w:p>
    <w:p w14:paraId="4EBF47B9" w14:textId="77777777" w:rsidR="00C23301" w:rsidRPr="004D307F" w:rsidRDefault="00C23301" w:rsidP="00C23301">
      <w:pPr>
        <w:spacing w:after="0" w:line="240" w:lineRule="auto"/>
        <w:contextualSpacing/>
        <w:jc w:val="both"/>
        <w:rPr>
          <w:rFonts w:ascii="VIC" w:hAnsi="VIC"/>
        </w:rPr>
      </w:pPr>
      <w:r w:rsidRPr="004D307F">
        <w:rPr>
          <w:rFonts w:ascii="VIC" w:eastAsia="Times New Roman" w:hAnsi="VIC" w:cs="Times New Roman"/>
          <w:color w:val="011A3C"/>
          <w:sz w:val="24"/>
          <w:szCs w:val="24"/>
          <w:lang w:eastAsia="en-AU"/>
        </w:rPr>
        <w:t>Please note the allocations do not include payroll tax and superannuation and will not attract these charges in the SRP Budget Management report.</w:t>
      </w:r>
    </w:p>
    <w:p w14:paraId="5E0475F5" w14:textId="7226A121" w:rsidR="00117C15" w:rsidRPr="004D307F" w:rsidRDefault="00117C15" w:rsidP="00517905">
      <w:pPr>
        <w:rPr>
          <w:rFonts w:ascii="VIC" w:hAnsi="VIC"/>
        </w:rPr>
      </w:pPr>
    </w:p>
    <w:p w14:paraId="4F005BEF" w14:textId="3660FF3A" w:rsidR="00117C15" w:rsidRPr="004D307F" w:rsidRDefault="00117C15" w:rsidP="00517905"/>
    <w:p w14:paraId="422C3747" w14:textId="04365280" w:rsidR="00117C15" w:rsidRPr="004D307F" w:rsidRDefault="00117C15" w:rsidP="00517905"/>
    <w:p w14:paraId="3307B20C" w14:textId="55E247E8" w:rsidR="00117C15" w:rsidRPr="004D307F" w:rsidRDefault="00117C15" w:rsidP="00517905"/>
    <w:p w14:paraId="64ED70B0" w14:textId="2E9925B0" w:rsidR="00117C15" w:rsidRPr="004D307F" w:rsidRDefault="00117C15" w:rsidP="00517905"/>
    <w:p w14:paraId="44479246" w14:textId="08899730" w:rsidR="00117C15" w:rsidRPr="004D307F" w:rsidRDefault="00117C15" w:rsidP="00517905"/>
    <w:p w14:paraId="2179B281" w14:textId="72FEB6DF" w:rsidR="00117C15" w:rsidRPr="004D307F" w:rsidRDefault="00117C15" w:rsidP="00517905"/>
    <w:p w14:paraId="30BA8BB0" w14:textId="1E303885" w:rsidR="00117C15" w:rsidRPr="004D307F" w:rsidRDefault="00117C15" w:rsidP="00517905"/>
    <w:p w14:paraId="3AF4F898" w14:textId="11A8B153" w:rsidR="00117C15" w:rsidRPr="004D307F" w:rsidRDefault="00117C15" w:rsidP="00517905"/>
    <w:p w14:paraId="0FA77487" w14:textId="00A3814B" w:rsidR="00117C15" w:rsidRPr="004D307F" w:rsidRDefault="00117C15" w:rsidP="00517905"/>
    <w:p w14:paraId="1BA3C854" w14:textId="28D675E0" w:rsidR="00117C15" w:rsidRPr="004D307F" w:rsidRDefault="00117C15" w:rsidP="00517905"/>
    <w:p w14:paraId="4674ED30" w14:textId="31EA41C2" w:rsidR="00117C15" w:rsidRPr="004D307F" w:rsidRDefault="00117C15" w:rsidP="00517905"/>
    <w:p w14:paraId="02E9862C" w14:textId="6F94A7C3" w:rsidR="00E32723" w:rsidRPr="004D307F" w:rsidRDefault="00E32723" w:rsidP="00517905"/>
    <w:p w14:paraId="34F4D881" w14:textId="608FE140" w:rsidR="00E32723" w:rsidRPr="004D307F" w:rsidRDefault="00E32723" w:rsidP="00517905"/>
    <w:p w14:paraId="0AC1312A" w14:textId="45BE65DC" w:rsidR="00E32723" w:rsidRPr="004D307F" w:rsidRDefault="00E32723" w:rsidP="00517905"/>
    <w:p w14:paraId="229A1D17" w14:textId="77777777" w:rsidR="002B743A" w:rsidRPr="004D307F" w:rsidRDefault="002B743A">
      <w:pPr>
        <w:rPr>
          <w:rFonts w:asciiTheme="majorHAnsi" w:eastAsia="Times New Roman" w:hAnsiTheme="majorHAnsi" w:cs="Times New Roman"/>
          <w:b/>
          <w:bCs/>
          <w:color w:val="323E4F" w:themeColor="text2" w:themeShade="BF"/>
          <w:kern w:val="36"/>
          <w:sz w:val="48"/>
          <w:szCs w:val="48"/>
          <w:lang w:eastAsia="en-AU"/>
        </w:rPr>
      </w:pPr>
      <w:r w:rsidRPr="004D307F">
        <w:br w:type="page"/>
      </w:r>
    </w:p>
    <w:p w14:paraId="4A54732A" w14:textId="4414EDB1" w:rsidR="00C53D64" w:rsidRPr="004D307F" w:rsidRDefault="00C53D64" w:rsidP="000F3581">
      <w:pPr>
        <w:pStyle w:val="Heading1"/>
      </w:pPr>
      <w:bookmarkStart w:id="136" w:name="_Toc99882794"/>
      <w:r w:rsidRPr="004D307F">
        <w:lastRenderedPageBreak/>
        <w:t>Managing the Budget</w:t>
      </w:r>
      <w:bookmarkEnd w:id="136"/>
    </w:p>
    <w:p w14:paraId="5399E2D7" w14:textId="77777777" w:rsidR="00C53D64" w:rsidRPr="004D307F" w:rsidRDefault="00C53D64" w:rsidP="004216E8">
      <w:pPr>
        <w:spacing w:before="100" w:beforeAutospacing="1" w:after="100" w:afterAutospacing="1" w:line="312" w:lineRule="atLeast"/>
        <w:outlineLvl w:val="1"/>
        <w:rPr>
          <w:rFonts w:ascii="VIC" w:eastAsia="Times New Roman" w:hAnsi="VIC" w:cs="Times New Roman"/>
          <w:color w:val="323E4F" w:themeColor="text2" w:themeShade="BF"/>
          <w:sz w:val="36"/>
          <w:szCs w:val="36"/>
          <w:lang w:val="en" w:eastAsia="en-AU"/>
        </w:rPr>
      </w:pPr>
      <w:r w:rsidRPr="004D307F">
        <w:rPr>
          <w:rFonts w:ascii="VIC" w:eastAsia="Times New Roman" w:hAnsi="VIC" w:cs="Times New Roman"/>
          <w:color w:val="323E4F" w:themeColor="text2" w:themeShade="BF"/>
          <w:sz w:val="36"/>
          <w:szCs w:val="36"/>
          <w:lang w:val="en" w:eastAsia="en-AU"/>
        </w:rPr>
        <w:t>Policy</w:t>
      </w:r>
    </w:p>
    <w:p w14:paraId="51A03BAE" w14:textId="77777777" w:rsidR="00C53D64" w:rsidRPr="004D307F" w:rsidRDefault="00C53D64" w:rsidP="00C53D64">
      <w:pPr>
        <w:pStyle w:val="NormalWeb"/>
        <w:spacing w:line="360" w:lineRule="atLeast"/>
        <w:rPr>
          <w:rFonts w:ascii="VIC" w:hAnsi="VIC"/>
          <w:color w:val="011A3C"/>
          <w:lang w:val="en"/>
        </w:rPr>
      </w:pPr>
      <w:r w:rsidRPr="004D307F">
        <w:rPr>
          <w:rFonts w:ascii="VIC" w:hAnsi="VIC"/>
          <w:color w:val="011A3C"/>
          <w:lang w:val="en"/>
        </w:rPr>
        <w:t>This policy provides schools with</w:t>
      </w:r>
      <w:r w:rsidRPr="004D307F">
        <w:rPr>
          <w:rFonts w:ascii="Calibri" w:hAnsi="Calibri" w:cs="Calibri" w:hint="eastAsia"/>
          <w:color w:val="011A3C"/>
          <w:lang w:val="en"/>
        </w:rPr>
        <w:t> </w:t>
      </w:r>
      <w:r w:rsidRPr="004D307F">
        <w:rPr>
          <w:rFonts w:ascii="VIC" w:hAnsi="VIC"/>
          <w:color w:val="011A3C"/>
          <w:lang w:val="en"/>
        </w:rPr>
        <w:t>information about managing their budgets.</w:t>
      </w:r>
    </w:p>
    <w:p w14:paraId="758812F8" w14:textId="77777777" w:rsidR="004216E8" w:rsidRPr="004D307F" w:rsidRDefault="00C53D64" w:rsidP="004216E8">
      <w:pPr>
        <w:spacing w:before="100" w:beforeAutospacing="1" w:after="100" w:afterAutospacing="1" w:line="312" w:lineRule="atLeast"/>
        <w:outlineLvl w:val="1"/>
        <w:rPr>
          <w:rFonts w:ascii="VIC" w:eastAsia="Times New Roman" w:hAnsi="VIC" w:cs="Times New Roman"/>
          <w:color w:val="323E4F" w:themeColor="text2" w:themeShade="BF"/>
          <w:sz w:val="36"/>
          <w:szCs w:val="36"/>
          <w:lang w:val="en" w:eastAsia="en-AU"/>
        </w:rPr>
      </w:pPr>
      <w:r w:rsidRPr="004D307F">
        <w:rPr>
          <w:rFonts w:ascii="VIC" w:eastAsia="Times New Roman" w:hAnsi="VIC" w:cs="Times New Roman"/>
          <w:color w:val="323E4F" w:themeColor="text2" w:themeShade="BF"/>
          <w:sz w:val="36"/>
          <w:szCs w:val="36"/>
          <w:lang w:val="en" w:eastAsia="en-AU"/>
        </w:rPr>
        <w:t>Details</w:t>
      </w:r>
    </w:p>
    <w:p w14:paraId="265994EC" w14:textId="5DFFC4BC" w:rsidR="00C53D64" w:rsidRPr="004D307F" w:rsidRDefault="00C53D64" w:rsidP="004216E8">
      <w:pPr>
        <w:spacing w:before="100" w:beforeAutospacing="1" w:after="100" w:afterAutospacing="1" w:line="312" w:lineRule="atLeast"/>
        <w:outlineLvl w:val="1"/>
        <w:rPr>
          <w:rFonts w:ascii="VIC" w:eastAsia="Times New Roman" w:hAnsi="VIC" w:cs="Times New Roman"/>
          <w:color w:val="323E4F" w:themeColor="text2" w:themeShade="BF"/>
          <w:sz w:val="36"/>
          <w:szCs w:val="36"/>
          <w:lang w:val="en" w:eastAsia="en-AU"/>
        </w:rPr>
      </w:pPr>
      <w:r w:rsidRPr="004D307F">
        <w:rPr>
          <w:rFonts w:ascii="VIC" w:hAnsi="VIC"/>
          <w:color w:val="011A3C"/>
          <w:lang w:val="en"/>
        </w:rPr>
        <w:t xml:space="preserve">This Managing the Budget information outlines some further requirements for schools in managing their budget and provides advice and further detail regarding specific aspects of the </w:t>
      </w:r>
      <w:r w:rsidR="000623AA" w:rsidRPr="004D307F">
        <w:rPr>
          <w:rFonts w:ascii="VIC" w:hAnsi="VIC"/>
          <w:color w:val="011A3C"/>
          <w:lang w:val="en"/>
        </w:rPr>
        <w:t>Student Resource Package (</w:t>
      </w:r>
      <w:r w:rsidRPr="004D307F">
        <w:rPr>
          <w:rFonts w:ascii="VIC" w:hAnsi="VIC"/>
          <w:color w:val="011A3C"/>
          <w:lang w:val="en"/>
        </w:rPr>
        <w:t>SRP</w:t>
      </w:r>
      <w:r w:rsidR="000623AA" w:rsidRPr="004D307F">
        <w:rPr>
          <w:rFonts w:ascii="VIC" w:hAnsi="VIC"/>
          <w:color w:val="011A3C"/>
          <w:lang w:val="en"/>
        </w:rPr>
        <w:t>)</w:t>
      </w:r>
      <w:r w:rsidRPr="004D307F">
        <w:rPr>
          <w:rFonts w:ascii="VIC" w:hAnsi="VIC"/>
          <w:color w:val="011A3C"/>
          <w:lang w:val="en"/>
        </w:rPr>
        <w:t xml:space="preserve"> and staffing costs.</w:t>
      </w:r>
    </w:p>
    <w:p w14:paraId="55B2F1E8" w14:textId="644E02E7" w:rsidR="00C53D64" w:rsidRPr="004D307F" w:rsidRDefault="00C53D64" w:rsidP="00C53D64">
      <w:pPr>
        <w:pStyle w:val="NormalWeb"/>
        <w:spacing w:line="360" w:lineRule="atLeast"/>
        <w:rPr>
          <w:rFonts w:ascii="VIC" w:hAnsi="VIC"/>
          <w:color w:val="011A3C"/>
          <w:lang w:val="en"/>
        </w:rPr>
      </w:pPr>
      <w:r w:rsidRPr="004D307F">
        <w:rPr>
          <w:rFonts w:ascii="VIC" w:hAnsi="VIC"/>
          <w:color w:val="011A3C"/>
          <w:lang w:val="en"/>
        </w:rPr>
        <w:t xml:space="preserve">The </w:t>
      </w:r>
      <w:r w:rsidR="00CA0A0C" w:rsidRPr="004D307F">
        <w:rPr>
          <w:rFonts w:ascii="VIC" w:hAnsi="VIC"/>
          <w:b/>
          <w:bCs/>
          <w:color w:val="011A3C"/>
          <w:lang w:val="en"/>
        </w:rPr>
        <w:t>Managing the budget</w:t>
      </w:r>
      <w:r w:rsidR="00CA0A0C" w:rsidRPr="004D307F">
        <w:rPr>
          <w:rFonts w:ascii="VIC" w:hAnsi="VIC"/>
          <w:color w:val="011A3C"/>
          <w:lang w:val="en"/>
        </w:rPr>
        <w:t xml:space="preserve"> section</w:t>
      </w:r>
      <w:r w:rsidRPr="004D307F">
        <w:rPr>
          <w:rFonts w:ascii="VIC" w:hAnsi="VIC"/>
          <w:color w:val="011A3C"/>
          <w:lang w:val="en"/>
        </w:rPr>
        <w:t xml:space="preserve"> provides information on the following categories:</w:t>
      </w:r>
    </w:p>
    <w:p w14:paraId="4CF738C2" w14:textId="77777777"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89" w:history="1">
        <w:r w:rsidR="00C53D64" w:rsidRPr="004D307F">
          <w:rPr>
            <w:rStyle w:val="rpl-text-label2"/>
            <w:rFonts w:ascii="VIC" w:hAnsi="VIC"/>
            <w:lang w:val="en"/>
          </w:rPr>
          <w:t>Salary and Related Expenditure</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Reports and processes to assist schools with the SRP Budget Management</w:t>
      </w:r>
    </w:p>
    <w:p w14:paraId="43493E65" w14:textId="77777777"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90" w:history="1">
        <w:r w:rsidR="00C53D64" w:rsidRPr="004D307F">
          <w:rPr>
            <w:rStyle w:val="rpl-text-label2"/>
            <w:rFonts w:ascii="VIC" w:hAnsi="VIC"/>
            <w:lang w:val="en"/>
          </w:rPr>
          <w:t>Relief Staffing</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Issues relating to teacher and other staff leave management</w:t>
      </w:r>
    </w:p>
    <w:p w14:paraId="6BEB9350" w14:textId="77777777"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91" w:history="1">
        <w:r w:rsidR="00C53D64" w:rsidRPr="004D307F">
          <w:rPr>
            <w:rStyle w:val="rpl-text-label2"/>
            <w:rFonts w:ascii="VIC" w:hAnsi="VIC"/>
            <w:lang w:val="en"/>
          </w:rPr>
          <w:t>Surplus/Deficit</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Credit financial position of a school</w:t>
      </w:r>
    </w:p>
    <w:p w14:paraId="477F501C" w14:textId="77777777"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92" w:history="1">
        <w:r w:rsidR="00C53D64" w:rsidRPr="004D307F">
          <w:rPr>
            <w:rStyle w:val="rpl-text-label2"/>
            <w:rFonts w:ascii="VIC" w:hAnsi="VIC"/>
            <w:lang w:val="en"/>
          </w:rPr>
          <w:t>Reports</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Some of the key SRP reports</w:t>
      </w:r>
    </w:p>
    <w:p w14:paraId="7A31194F" w14:textId="77777777"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93" w:history="1">
        <w:r w:rsidR="00C53D64" w:rsidRPr="004D307F">
          <w:rPr>
            <w:rStyle w:val="rpl-text-label2"/>
            <w:rFonts w:ascii="VIC" w:hAnsi="VIC"/>
            <w:lang w:val="en"/>
          </w:rPr>
          <w:t>Planning</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SRP Modelling tool for school</w:t>
      </w:r>
    </w:p>
    <w:p w14:paraId="48A4F56B" w14:textId="77777777"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94" w:history="1">
        <w:r w:rsidR="00C53D64" w:rsidRPr="004D307F">
          <w:rPr>
            <w:rStyle w:val="rpl-text-label2"/>
            <w:rFonts w:ascii="VIC" w:hAnsi="VIC"/>
            <w:lang w:val="en"/>
          </w:rPr>
          <w:t>Reconciliation</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The annual reconciliation cycle used to </w:t>
      </w:r>
      <w:proofErr w:type="spellStart"/>
      <w:r w:rsidR="00C53D64" w:rsidRPr="004D307F">
        <w:rPr>
          <w:rFonts w:ascii="VIC" w:hAnsi="VIC"/>
          <w:color w:val="011A3C"/>
          <w:lang w:val="en"/>
        </w:rPr>
        <w:t>finalise</w:t>
      </w:r>
      <w:proofErr w:type="spellEnd"/>
      <w:r w:rsidR="00C53D64" w:rsidRPr="004D307F">
        <w:rPr>
          <w:rFonts w:ascii="VIC" w:hAnsi="VIC"/>
          <w:color w:val="011A3C"/>
          <w:lang w:val="en"/>
        </w:rPr>
        <w:t xml:space="preserve"> the position of a school at the end of a budget year.</w:t>
      </w:r>
    </w:p>
    <w:p w14:paraId="7B67DE50" w14:textId="77777777"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95" w:history="1">
        <w:r w:rsidR="00C53D64" w:rsidRPr="004D307F">
          <w:rPr>
            <w:rStyle w:val="rpl-text-label2"/>
            <w:rFonts w:ascii="VIC" w:hAnsi="VIC"/>
            <w:lang w:val="en"/>
          </w:rPr>
          <w:t>Cash</w:t>
        </w:r>
      </w:hyperlink>
      <w:r w:rsidR="00C53D64" w:rsidRPr="004D307F">
        <w:rPr>
          <w:rFonts w:ascii="Calibri" w:hAnsi="Calibri" w:cs="Calibri" w:hint="eastAsia"/>
          <w:color w:val="011A3C"/>
          <w:lang w:val="en"/>
        </w:rPr>
        <w:t> </w:t>
      </w:r>
      <w:r w:rsidR="00C53D64" w:rsidRPr="004D307F">
        <w:rPr>
          <w:rFonts w:ascii="VIC" w:hAnsi="VIC" w:cs="VIC" w:hint="eastAsia"/>
          <w:color w:val="011A3C"/>
          <w:lang w:val="en"/>
        </w:rPr>
        <w:t>—</w:t>
      </w:r>
      <w:r w:rsidR="00C53D64" w:rsidRPr="004D307F">
        <w:rPr>
          <w:rFonts w:ascii="VIC" w:hAnsi="VIC"/>
          <w:color w:val="011A3C"/>
          <w:lang w:val="en"/>
        </w:rPr>
        <w:t xml:space="preserve"> Quarterly Cash Grants, Offline </w:t>
      </w:r>
      <w:proofErr w:type="gramStart"/>
      <w:r w:rsidR="00C53D64" w:rsidRPr="004D307F">
        <w:rPr>
          <w:rFonts w:ascii="VIC" w:hAnsi="VIC"/>
          <w:color w:val="011A3C"/>
          <w:lang w:val="en"/>
        </w:rPr>
        <w:t>Payments</w:t>
      </w:r>
      <w:proofErr w:type="gramEnd"/>
      <w:r w:rsidR="00C53D64" w:rsidRPr="004D307F">
        <w:rPr>
          <w:rFonts w:ascii="VIC" w:hAnsi="VIC"/>
          <w:color w:val="011A3C"/>
          <w:lang w:val="en"/>
        </w:rPr>
        <w:t xml:space="preserve"> and other information about Cash Payments</w:t>
      </w:r>
    </w:p>
    <w:p w14:paraId="5AC89819" w14:textId="77777777"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96" w:history="1">
        <w:r w:rsidR="00C53D64" w:rsidRPr="004D307F">
          <w:rPr>
            <w:rStyle w:val="rpl-text-label2"/>
            <w:rFonts w:ascii="VIC" w:hAnsi="VIC"/>
            <w:lang w:val="en"/>
          </w:rPr>
          <w:t>Deficit Management and Workforce Bridging</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Assistance provisions for schools with Deficit or Workforce Management Issues</w:t>
      </w:r>
    </w:p>
    <w:p w14:paraId="5C7FECCB" w14:textId="1FD250A1" w:rsidR="00C53D64" w:rsidRPr="004D307F" w:rsidRDefault="00A35420" w:rsidP="00ED0863">
      <w:pPr>
        <w:numPr>
          <w:ilvl w:val="0"/>
          <w:numId w:val="125"/>
        </w:numPr>
        <w:spacing w:before="100" w:beforeAutospacing="1" w:after="100" w:afterAutospacing="1" w:line="360" w:lineRule="atLeast"/>
        <w:rPr>
          <w:rFonts w:ascii="VIC" w:hAnsi="VIC"/>
          <w:color w:val="011A3C"/>
          <w:lang w:val="en"/>
        </w:rPr>
      </w:pPr>
      <w:hyperlink r:id="rId197" w:history="1">
        <w:r w:rsidR="00C53D64" w:rsidRPr="004D307F">
          <w:rPr>
            <w:rStyle w:val="rpl-text-label2"/>
            <w:rFonts w:ascii="VIC" w:hAnsi="VIC"/>
            <w:lang w:val="en"/>
          </w:rPr>
          <w:t>Principal Classification Budget</w:t>
        </w:r>
      </w:hyperlink>
      <w:r w:rsidR="00C53D64" w:rsidRPr="004D307F">
        <w:rPr>
          <w:rFonts w:ascii="VIC" w:hAnsi="VIC"/>
          <w:color w:val="011A3C"/>
          <w:lang w:val="en"/>
        </w:rPr>
        <w:t xml:space="preserve"> </w:t>
      </w:r>
      <w:r w:rsidR="00C53D64" w:rsidRPr="004D307F">
        <w:rPr>
          <w:rFonts w:ascii="VIC" w:hAnsi="VIC" w:hint="eastAsia"/>
          <w:color w:val="011A3C"/>
          <w:lang w:val="en"/>
        </w:rPr>
        <w:t>—</w:t>
      </w:r>
      <w:r w:rsidR="00C53D64" w:rsidRPr="004D307F">
        <w:rPr>
          <w:rFonts w:ascii="VIC" w:hAnsi="VIC"/>
          <w:color w:val="011A3C"/>
          <w:lang w:val="en"/>
        </w:rPr>
        <w:t xml:space="preserve"> Remuneration range for each principal position</w:t>
      </w:r>
    </w:p>
    <w:p w14:paraId="626BFBDD" w14:textId="07D49DCE" w:rsidR="00CA0A0C" w:rsidRPr="004D307F" w:rsidRDefault="00CA0A0C" w:rsidP="00ED0863">
      <w:pPr>
        <w:numPr>
          <w:ilvl w:val="0"/>
          <w:numId w:val="125"/>
        </w:numPr>
        <w:spacing w:before="100" w:beforeAutospacing="1" w:after="100" w:afterAutospacing="1" w:line="360" w:lineRule="atLeast"/>
        <w:rPr>
          <w:rFonts w:ascii="VIC" w:hAnsi="VIC"/>
          <w:color w:val="011A3C"/>
          <w:lang w:val="en"/>
        </w:rPr>
      </w:pPr>
      <w:r w:rsidRPr="004D307F">
        <w:rPr>
          <w:rFonts w:ascii="VIC" w:hAnsi="VIC"/>
          <w:color w:val="011A3C"/>
          <w:lang w:val="en"/>
        </w:rPr>
        <w:t>Enrolment Variation Funding</w:t>
      </w:r>
    </w:p>
    <w:p w14:paraId="32AC0F4C" w14:textId="77777777" w:rsidR="00C53D64" w:rsidRPr="004D307F" w:rsidRDefault="00C53D64" w:rsidP="00C53D64">
      <w:pPr>
        <w:pStyle w:val="NormalWeb"/>
        <w:spacing w:line="360" w:lineRule="atLeast"/>
        <w:rPr>
          <w:rFonts w:ascii="VIC" w:hAnsi="VIC"/>
          <w:color w:val="011A3C"/>
          <w:lang w:val="en"/>
        </w:rPr>
      </w:pPr>
      <w:r w:rsidRPr="004D307F">
        <w:rPr>
          <w:rFonts w:ascii="VIC" w:hAnsi="VIC"/>
          <w:color w:val="011A3C"/>
          <w:lang w:val="en"/>
        </w:rPr>
        <w:t>In particular, the information in the guidance on how to manage the budget sets out the following requirements for schools.</w:t>
      </w:r>
    </w:p>
    <w:p w14:paraId="0DD3B180" w14:textId="77777777" w:rsidR="00C53D64" w:rsidRPr="004D307F" w:rsidRDefault="00C53D64" w:rsidP="00C53D64">
      <w:pPr>
        <w:pStyle w:val="Heading3"/>
        <w:rPr>
          <w:rStyle w:val="Strong"/>
          <w:rFonts w:ascii="VIC" w:hAnsi="VIC"/>
        </w:rPr>
      </w:pPr>
      <w:r w:rsidRPr="004D307F">
        <w:rPr>
          <w:rStyle w:val="Strong"/>
          <w:rFonts w:ascii="VIC" w:hAnsi="VIC"/>
        </w:rPr>
        <w:t>Workforce planning</w:t>
      </w:r>
    </w:p>
    <w:p w14:paraId="0D4D3BA4" w14:textId="77777777" w:rsidR="00C53D64" w:rsidRPr="004D307F" w:rsidRDefault="00C53D64" w:rsidP="00ED0863">
      <w:pPr>
        <w:numPr>
          <w:ilvl w:val="0"/>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 xml:space="preserve">All schools are expected to have planning strategies in place to manage their workforce requirements within available funds, including adequate provision for relief staffing. </w:t>
      </w:r>
    </w:p>
    <w:p w14:paraId="66F5C8A2" w14:textId="77777777" w:rsidR="00C53D64" w:rsidRPr="004D307F" w:rsidRDefault="00C53D64" w:rsidP="00ED0863">
      <w:pPr>
        <w:numPr>
          <w:ilvl w:val="1"/>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lastRenderedPageBreak/>
        <w:t>Casual relief teaching staff are to be provided only when face-to-face teaching is required and where no internal resource is available.</w:t>
      </w:r>
    </w:p>
    <w:p w14:paraId="7E1EE8AE" w14:textId="77777777" w:rsidR="00C53D64" w:rsidRPr="004D307F" w:rsidRDefault="00C53D64" w:rsidP="00ED0863">
      <w:pPr>
        <w:numPr>
          <w:ilvl w:val="1"/>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School workforce plans must include contingency planning to deal with changing circumstances, including factors such as enrolment variations and changing workforce commitments.</w:t>
      </w:r>
    </w:p>
    <w:p w14:paraId="02D168C1" w14:textId="77777777" w:rsidR="00C53D64" w:rsidRPr="004D307F" w:rsidRDefault="00C53D64" w:rsidP="00ED0863">
      <w:pPr>
        <w:numPr>
          <w:ilvl w:val="0"/>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 xml:space="preserve">Schools participating in </w:t>
      </w:r>
      <w:proofErr w:type="spellStart"/>
      <w:r w:rsidRPr="004D307F">
        <w:rPr>
          <w:rFonts w:ascii="VIC" w:hAnsi="VIC"/>
          <w:color w:val="011A3C"/>
          <w:lang w:val="en"/>
        </w:rPr>
        <w:t>reorganisations</w:t>
      </w:r>
      <w:proofErr w:type="spellEnd"/>
      <w:r w:rsidRPr="004D307F">
        <w:rPr>
          <w:rFonts w:ascii="VIC" w:hAnsi="VIC"/>
          <w:color w:val="011A3C"/>
          <w:lang w:val="en"/>
        </w:rPr>
        <w:t xml:space="preserve"> are expected to undertake workforce planning within their overall budget allocation while giving due consideration to clauses contained in the Department's</w:t>
      </w:r>
      <w:r w:rsidRPr="004D307F">
        <w:rPr>
          <w:rFonts w:ascii="Calibri" w:hAnsi="Calibri" w:cs="Calibri" w:hint="eastAsia"/>
          <w:color w:val="011A3C"/>
          <w:lang w:val="en"/>
        </w:rPr>
        <w:t> </w:t>
      </w:r>
      <w:hyperlink r:id="rId198" w:history="1">
        <w:r w:rsidRPr="004D307F">
          <w:rPr>
            <w:rStyle w:val="rpl-text-label2"/>
            <w:rFonts w:ascii="VIC" w:hAnsi="VIC"/>
            <w:lang w:val="en"/>
          </w:rPr>
          <w:t xml:space="preserve">Human Resources School Merger or Closure </w:t>
        </w:r>
        <w:r w:rsidRPr="004D307F">
          <w:rPr>
            <w:rStyle w:val="rpl-text-label2"/>
            <w:rFonts w:ascii="VIC" w:hAnsi="VIC" w:hint="eastAsia"/>
            <w:lang w:val="en"/>
          </w:rPr>
          <w:t>—</w:t>
        </w:r>
        <w:r w:rsidRPr="004D307F">
          <w:rPr>
            <w:rStyle w:val="rpl-text-label2"/>
            <w:rFonts w:ascii="VIC" w:hAnsi="VIC"/>
            <w:lang w:val="en"/>
          </w:rPr>
          <w:t xml:space="preserve"> </w:t>
        </w:r>
        <w:r w:rsidRPr="004D307F">
          <w:rPr>
            <w:rStyle w:val="rpl-text-icongroup1"/>
            <w:rFonts w:ascii="VIC" w:hAnsi="VIC"/>
            <w:color w:val="011A3C"/>
            <w:lang w:val="en"/>
          </w:rPr>
          <w:t>Staffing</w:t>
        </w:r>
        <w:r w:rsidRPr="004D307F">
          <w:rPr>
            <w:rStyle w:val="rpl-text-icongroup1"/>
            <w:rFonts w:ascii="Calibri" w:hAnsi="Calibri" w:cs="Calibri" w:hint="eastAsia"/>
            <w:color w:val="011A3C"/>
            <w:lang w:val="en"/>
          </w:rPr>
          <w:t> </w:t>
        </w:r>
        <w:r w:rsidRPr="004D307F">
          <w:rPr>
            <w:rStyle w:val="rpl-text-icongroup1"/>
            <w:rFonts w:ascii="VIC" w:hAnsi="VIC"/>
            <w:color w:val="011A3C"/>
            <w:lang w:val="en"/>
          </w:rPr>
          <w:t>Guide</w:t>
        </w:r>
      </w:hyperlink>
      <w:r w:rsidRPr="004D307F">
        <w:rPr>
          <w:rFonts w:ascii="VIC" w:hAnsi="VIC"/>
          <w:color w:val="011A3C"/>
          <w:lang w:val="en"/>
        </w:rPr>
        <w:t>.</w:t>
      </w:r>
    </w:p>
    <w:p w14:paraId="36AC6C3C" w14:textId="77777777" w:rsidR="00C53D64" w:rsidRPr="004D307F" w:rsidRDefault="00C53D64" w:rsidP="00ED0863">
      <w:pPr>
        <w:numPr>
          <w:ilvl w:val="0"/>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 xml:space="preserve">Teacher relief for periods </w:t>
      </w:r>
      <w:proofErr w:type="gramStart"/>
      <w:r w:rsidRPr="004D307F">
        <w:rPr>
          <w:rFonts w:ascii="VIC" w:hAnsi="VIC"/>
          <w:color w:val="011A3C"/>
          <w:lang w:val="en"/>
        </w:rPr>
        <w:t>in excess of</w:t>
      </w:r>
      <w:proofErr w:type="gramEnd"/>
      <w:r w:rsidRPr="004D307F">
        <w:rPr>
          <w:rFonts w:ascii="VIC" w:hAnsi="VIC"/>
          <w:color w:val="011A3C"/>
          <w:lang w:val="en"/>
        </w:rPr>
        <w:t xml:space="preserve"> 30 working days must be through fixed-term arrangements on </w:t>
      </w:r>
      <w:proofErr w:type="spellStart"/>
      <w:r w:rsidRPr="004D307F">
        <w:rPr>
          <w:rFonts w:ascii="VIC" w:hAnsi="VIC"/>
          <w:color w:val="011A3C"/>
          <w:lang w:val="en"/>
        </w:rPr>
        <w:t>eduPay</w:t>
      </w:r>
      <w:proofErr w:type="spellEnd"/>
      <w:r w:rsidRPr="004D307F">
        <w:rPr>
          <w:rFonts w:ascii="VIC" w:hAnsi="VIC"/>
          <w:color w:val="011A3C"/>
          <w:lang w:val="en"/>
        </w:rPr>
        <w:t xml:space="preserve">. If a casual relief teacher is used initially because the absence is believed to be short-term, the employment must be converted, where the teacher is absent on personal leave, to </w:t>
      </w:r>
      <w:proofErr w:type="gramStart"/>
      <w:r w:rsidRPr="004D307F">
        <w:rPr>
          <w:rFonts w:ascii="VIC" w:hAnsi="VIC"/>
          <w:color w:val="011A3C"/>
          <w:lang w:val="en"/>
        </w:rPr>
        <w:t>fixed-term</w:t>
      </w:r>
      <w:proofErr w:type="gramEnd"/>
      <w:r w:rsidRPr="004D307F">
        <w:rPr>
          <w:rFonts w:ascii="VIC" w:hAnsi="VIC"/>
          <w:color w:val="011A3C"/>
          <w:lang w:val="en"/>
        </w:rPr>
        <w:t xml:space="preserve"> immediately when it is </w:t>
      </w:r>
      <w:proofErr w:type="spellStart"/>
      <w:r w:rsidRPr="004D307F">
        <w:rPr>
          <w:rFonts w:ascii="VIC" w:hAnsi="VIC"/>
          <w:color w:val="011A3C"/>
          <w:lang w:val="en"/>
        </w:rPr>
        <w:t>recognised</w:t>
      </w:r>
      <w:proofErr w:type="spellEnd"/>
      <w:r w:rsidRPr="004D307F">
        <w:rPr>
          <w:rFonts w:ascii="VIC" w:hAnsi="VIC"/>
          <w:color w:val="011A3C"/>
          <w:lang w:val="en"/>
        </w:rPr>
        <w:t xml:space="preserve"> that the absence will extend beyond 30 days. Refer to the Casual Relief policy.</w:t>
      </w:r>
    </w:p>
    <w:p w14:paraId="0FC11584" w14:textId="77777777" w:rsidR="00C53D64" w:rsidRPr="004D307F" w:rsidRDefault="00C53D64" w:rsidP="00ED0863">
      <w:pPr>
        <w:numPr>
          <w:ilvl w:val="0"/>
          <w:numId w:val="126"/>
        </w:numPr>
        <w:spacing w:before="100" w:beforeAutospacing="1" w:after="100" w:afterAutospacing="1" w:line="360" w:lineRule="atLeast"/>
        <w:rPr>
          <w:rFonts w:ascii="VIC" w:hAnsi="VIC"/>
          <w:color w:val="011A3C"/>
          <w:lang w:val="en"/>
        </w:rPr>
      </w:pPr>
      <w:r w:rsidRPr="004D307F">
        <w:rPr>
          <w:rFonts w:ascii="VIC" w:hAnsi="VIC"/>
          <w:color w:val="011A3C"/>
          <w:lang w:val="en"/>
        </w:rPr>
        <w:t xml:space="preserve">A school is responsible for administering pay and workplace entitlements for the period of employment, as recorded in </w:t>
      </w:r>
      <w:proofErr w:type="spellStart"/>
      <w:r w:rsidRPr="004D307F">
        <w:rPr>
          <w:rFonts w:ascii="VIC" w:hAnsi="VIC"/>
          <w:color w:val="011A3C"/>
          <w:lang w:val="en"/>
        </w:rPr>
        <w:t>eduPay</w:t>
      </w:r>
      <w:proofErr w:type="spellEnd"/>
      <w:r w:rsidRPr="004D307F">
        <w:rPr>
          <w:rFonts w:ascii="VIC" w:hAnsi="VIC"/>
          <w:color w:val="011A3C"/>
          <w:lang w:val="en"/>
        </w:rPr>
        <w:t>, undertaken at that school.</w:t>
      </w:r>
    </w:p>
    <w:p w14:paraId="7D6319A7" w14:textId="77777777" w:rsidR="00C53D64" w:rsidRPr="004D307F" w:rsidRDefault="00C53D64" w:rsidP="00C53D64">
      <w:pPr>
        <w:pStyle w:val="Heading3"/>
        <w:rPr>
          <w:rFonts w:ascii="VIC" w:hAnsi="VIC"/>
          <w:b/>
          <w:bCs/>
          <w:color w:val="011A3C"/>
          <w:lang w:val="en"/>
        </w:rPr>
      </w:pPr>
      <w:r w:rsidRPr="004D307F">
        <w:rPr>
          <w:rFonts w:ascii="VIC" w:hAnsi="VIC"/>
          <w:b/>
          <w:bCs/>
          <w:color w:val="011A3C"/>
          <w:lang w:val="en"/>
        </w:rPr>
        <w:t>Budgeting requirements</w:t>
      </w:r>
    </w:p>
    <w:p w14:paraId="5DDC1E6B" w14:textId="77777777" w:rsidR="00C53D64" w:rsidRPr="004D307F" w:rsidRDefault="00C53D64" w:rsidP="00ED0863">
      <w:pPr>
        <w:numPr>
          <w:ilvl w:val="0"/>
          <w:numId w:val="127"/>
        </w:numPr>
        <w:spacing w:before="100" w:beforeAutospacing="1" w:after="100" w:afterAutospacing="1" w:line="360" w:lineRule="atLeast"/>
        <w:rPr>
          <w:rFonts w:ascii="VIC" w:hAnsi="VIC"/>
          <w:color w:val="011A3C"/>
          <w:lang w:val="en"/>
        </w:rPr>
      </w:pPr>
      <w:r w:rsidRPr="004D307F">
        <w:rPr>
          <w:rFonts w:ascii="VIC" w:hAnsi="VIC"/>
          <w:color w:val="011A3C"/>
          <w:lang w:val="en"/>
        </w:rPr>
        <w:t xml:space="preserve">Actual salary costs on </w:t>
      </w:r>
      <w:proofErr w:type="spellStart"/>
      <w:r w:rsidRPr="004D307F">
        <w:rPr>
          <w:rFonts w:ascii="VIC" w:hAnsi="VIC"/>
          <w:color w:val="011A3C"/>
          <w:lang w:val="en"/>
        </w:rPr>
        <w:t>eduPay</w:t>
      </w:r>
      <w:proofErr w:type="spellEnd"/>
      <w:r w:rsidRPr="004D307F">
        <w:rPr>
          <w:rFonts w:ascii="VIC" w:hAnsi="VIC"/>
          <w:color w:val="011A3C"/>
          <w:lang w:val="en"/>
        </w:rPr>
        <w:t xml:space="preserve"> are charged to schools each year according to the actual number of working days in the year. Schools must </w:t>
      </w:r>
      <w:proofErr w:type="gramStart"/>
      <w:r w:rsidRPr="004D307F">
        <w:rPr>
          <w:rFonts w:ascii="VIC" w:hAnsi="VIC"/>
          <w:color w:val="011A3C"/>
          <w:lang w:val="en"/>
        </w:rPr>
        <w:t>take into account</w:t>
      </w:r>
      <w:proofErr w:type="gramEnd"/>
      <w:r w:rsidRPr="004D307F">
        <w:rPr>
          <w:rFonts w:ascii="VIC" w:hAnsi="VIC"/>
          <w:color w:val="011A3C"/>
          <w:lang w:val="en"/>
        </w:rPr>
        <w:t xml:space="preserve"> the minor variations in working days as part of their normal budget planning.</w:t>
      </w:r>
    </w:p>
    <w:p w14:paraId="6087C75C" w14:textId="77777777" w:rsidR="00C53D64" w:rsidRPr="004D307F" w:rsidRDefault="00A35420" w:rsidP="00ED0863">
      <w:pPr>
        <w:numPr>
          <w:ilvl w:val="0"/>
          <w:numId w:val="127"/>
        </w:numPr>
        <w:spacing w:before="100" w:beforeAutospacing="1" w:after="100" w:afterAutospacing="1" w:line="360" w:lineRule="atLeast"/>
        <w:rPr>
          <w:rFonts w:ascii="VIC" w:hAnsi="VIC"/>
          <w:color w:val="011A3C"/>
          <w:lang w:val="en"/>
        </w:rPr>
      </w:pPr>
      <w:hyperlink r:id="rId199" w:history="1">
        <w:r w:rsidR="00C53D64" w:rsidRPr="004D307F">
          <w:rPr>
            <w:rStyle w:val="rpl-text-label2"/>
            <w:rFonts w:ascii="VIC" w:hAnsi="VIC"/>
            <w:lang w:val="en"/>
          </w:rPr>
          <w:t>Credit/Cash Transfer</w:t>
        </w:r>
      </w:hyperlink>
      <w:r w:rsidR="00C53D64" w:rsidRPr="004D307F">
        <w:rPr>
          <w:rFonts w:ascii="VIC" w:hAnsi="VIC"/>
          <w:color w:val="011A3C"/>
          <w:lang w:val="en"/>
        </w:rPr>
        <w:t xml:space="preserve"> (CCT) requests must be based on the annual amount of the transfer (not monthly or quarterly) except where the transfer relates to a surplus brought forward from the previous year.</w:t>
      </w:r>
    </w:p>
    <w:p w14:paraId="53F8021E" w14:textId="77777777" w:rsidR="00C53D64" w:rsidRPr="004D307F" w:rsidRDefault="00C53D64" w:rsidP="00ED0863">
      <w:pPr>
        <w:numPr>
          <w:ilvl w:val="0"/>
          <w:numId w:val="127"/>
        </w:numPr>
        <w:spacing w:before="100" w:beforeAutospacing="1" w:after="100" w:afterAutospacing="1" w:line="360" w:lineRule="atLeast"/>
        <w:rPr>
          <w:rFonts w:ascii="VIC" w:hAnsi="VIC"/>
          <w:color w:val="011A3C"/>
          <w:lang w:val="en"/>
        </w:rPr>
      </w:pPr>
      <w:r w:rsidRPr="004D307F">
        <w:rPr>
          <w:rFonts w:ascii="VIC" w:hAnsi="VIC"/>
          <w:color w:val="011A3C"/>
          <w:lang w:val="en"/>
        </w:rPr>
        <w:t>All cash payments must be recorded appropriately in CASES21 Finance using the general ledger and sub-program codes provided in the EFT remittance advice descriptions.</w:t>
      </w:r>
    </w:p>
    <w:p w14:paraId="1BE577EE" w14:textId="210C7ADD" w:rsidR="002B7177" w:rsidRPr="004D307F" w:rsidRDefault="00C53D64" w:rsidP="00ED0863">
      <w:pPr>
        <w:numPr>
          <w:ilvl w:val="0"/>
          <w:numId w:val="127"/>
        </w:numPr>
        <w:spacing w:before="100" w:beforeAutospacing="1" w:after="100" w:afterAutospacing="1" w:line="360" w:lineRule="atLeast"/>
      </w:pPr>
      <w:r w:rsidRPr="004D307F">
        <w:rPr>
          <w:rFonts w:ascii="VIC" w:hAnsi="VIC"/>
          <w:color w:val="011A3C"/>
          <w:lang w:val="en"/>
        </w:rPr>
        <w:t>Where there is insufficient overall credit surplus in the SRP to employ relief, schools must have a deficit management strategy in place to reduce the deficit and to meet relief contingencies, having a view to using both the credit and cash components of the SRP.</w:t>
      </w:r>
      <w:r w:rsidR="002B7177" w:rsidRPr="004D307F">
        <w:rPr>
          <w:rFonts w:ascii="VIC" w:hAnsi="VIC"/>
        </w:rPr>
        <w:br w:type="page"/>
      </w:r>
    </w:p>
    <w:p w14:paraId="17B84AD2" w14:textId="41CA20FD" w:rsidR="0096466B" w:rsidRPr="004D307F" w:rsidRDefault="0096466B" w:rsidP="00B566E7">
      <w:pPr>
        <w:pStyle w:val="Heading2"/>
      </w:pPr>
      <w:bookmarkStart w:id="137" w:name="_Toc99882795"/>
      <w:r w:rsidRPr="004D307F">
        <w:lastRenderedPageBreak/>
        <w:t>Salary and Related Expenditure</w:t>
      </w:r>
      <w:bookmarkEnd w:id="137"/>
    </w:p>
    <w:p w14:paraId="141B07B3"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Salary and related expenditure and the Student Resource Package (SRP). Includes guidance on transfers between schools, resigning and fixed-term teaching staff, higher </w:t>
      </w:r>
      <w:proofErr w:type="gramStart"/>
      <w:r w:rsidRPr="004D307F">
        <w:rPr>
          <w:rFonts w:ascii="VIC" w:eastAsia="Times New Roman" w:hAnsi="VIC" w:cs="Arial"/>
          <w:color w:val="011A3C"/>
          <w:sz w:val="24"/>
          <w:szCs w:val="24"/>
          <w:lang w:val="en" w:eastAsia="en-AU"/>
        </w:rPr>
        <w:t>duties</w:t>
      </w:r>
      <w:proofErr w:type="gramEnd"/>
      <w:r w:rsidRPr="004D307F">
        <w:rPr>
          <w:rFonts w:ascii="VIC" w:eastAsia="Times New Roman" w:hAnsi="VIC" w:cs="Arial"/>
          <w:color w:val="011A3C"/>
          <w:sz w:val="24"/>
          <w:szCs w:val="24"/>
          <w:lang w:val="en" w:eastAsia="en-AU"/>
        </w:rPr>
        <w:t xml:space="preserve"> and travel allowances.</w:t>
      </w:r>
    </w:p>
    <w:p w14:paraId="6C032B5A"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Actuals</w:t>
      </w:r>
    </w:p>
    <w:p w14:paraId="50A306EB"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Projections</w:t>
      </w:r>
    </w:p>
    <w:p w14:paraId="194D3C84"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Transfers between schools (including transfers over vacation periods)</w:t>
      </w:r>
    </w:p>
    <w:p w14:paraId="431750F2"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Resigning teaching staff (including vacation periods)</w:t>
      </w:r>
    </w:p>
    <w:p w14:paraId="70892835"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Fixed-term teaching staff (including vacation periods)</w:t>
      </w:r>
    </w:p>
    <w:p w14:paraId="58D8605B"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Higher duties (including vacation periods)</w:t>
      </w:r>
    </w:p>
    <w:p w14:paraId="7FF55A7F"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Salary mischarges</w:t>
      </w:r>
    </w:p>
    <w:p w14:paraId="029DB95E"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On-costs: SRP and student support services</w:t>
      </w:r>
    </w:p>
    <w:p w14:paraId="77DD0F1B"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Travel allowance</w:t>
      </w:r>
    </w:p>
    <w:p w14:paraId="76997558" w14:textId="77777777" w:rsidR="0096466B" w:rsidRPr="004D307F" w:rsidRDefault="0096466B" w:rsidP="00ED0863">
      <w:pPr>
        <w:numPr>
          <w:ilvl w:val="0"/>
          <w:numId w:val="82"/>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Principal salary charge</w:t>
      </w:r>
    </w:p>
    <w:p w14:paraId="7837AF85"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Actuals</w:t>
      </w:r>
    </w:p>
    <w:p w14:paraId="0B557994"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Salary charges to schools are based on actual payroll debits for individual staff as reflected on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This includes the actual cost of annual leave loading and all allowances, such as higher duties and special payments.</w:t>
      </w:r>
    </w:p>
    <w:p w14:paraId="6925EAC5"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Staff may choose to package part of their salary in the form of non-cash benefits. Therefore, the charge to the school for an individual teacher may be a regular salary, or a combination of salary and non-cash benefits.</w:t>
      </w:r>
    </w:p>
    <w:p w14:paraId="6EAC76C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Schools are liable for the entire employment period of a staff member at that school, as defined in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w:t>
      </w:r>
    </w:p>
    <w:p w14:paraId="6954DF98"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Projections</w:t>
      </w:r>
    </w:p>
    <w:p w14:paraId="7812B271" w14:textId="47BDC431"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The SRP </w:t>
      </w:r>
      <w:hyperlink r:id="rId200" w:history="1">
        <w:r w:rsidRPr="004D307F">
          <w:rPr>
            <w:rFonts w:ascii="VIC" w:eastAsia="Times New Roman" w:hAnsi="VIC" w:cs="Arial"/>
            <w:color w:val="011A3C"/>
            <w:sz w:val="24"/>
            <w:szCs w:val="24"/>
            <w:lang w:val="en" w:eastAsia="en-AU"/>
          </w:rPr>
          <w:t>School Budget Management Report</w:t>
        </w:r>
      </w:hyperlink>
      <w:r w:rsidRPr="004D307F">
        <w:rPr>
          <w:rFonts w:ascii="VIC" w:eastAsia="Times New Roman" w:hAnsi="VIC" w:cs="Arial"/>
          <w:color w:val="011A3C"/>
          <w:sz w:val="24"/>
          <w:szCs w:val="24"/>
          <w:lang w:val="en" w:eastAsia="en-AU"/>
        </w:rPr>
        <w:t xml:space="preserve"> includes an estimate of expenditure for the full year, using the total of year-to-date charges plus a projection to 31 December. To facilitate this, salary figures for future pay periods are generated for each employee based on the latest payroll data.</w:t>
      </w:r>
    </w:p>
    <w:p w14:paraId="00548C4B" w14:textId="77777777" w:rsidR="0096466B" w:rsidRPr="004D307F" w:rsidRDefault="0096466B" w:rsidP="004D1CF3">
      <w:pPr>
        <w:keepNext/>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lastRenderedPageBreak/>
        <w:t>Transfers between schools (including transfers over vacation periods)</w:t>
      </w:r>
    </w:p>
    <w:p w14:paraId="4696DACF"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Schools are liable for the charging of an ongoing staff member from the date of transfer until the return to base-school date in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The actual transfer date should be entered in accordance with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guidelines and should be consistent with</w:t>
      </w:r>
      <w:r w:rsidRPr="004D307F">
        <w:rPr>
          <w:rFonts w:ascii="Calibri" w:eastAsia="Times New Roman" w:hAnsi="Calibri" w:cs="Calibri" w:hint="eastAsia"/>
          <w:color w:val="011A3C"/>
          <w:sz w:val="24"/>
          <w:szCs w:val="24"/>
          <w:lang w:val="en" w:eastAsia="en-AU"/>
        </w:rPr>
        <w:t> </w:t>
      </w:r>
      <w:hyperlink r:id="rId201" w:history="1">
        <w:r w:rsidRPr="004D307F">
          <w:rPr>
            <w:rFonts w:ascii="VIC" w:eastAsia="Times New Roman" w:hAnsi="VIC" w:cs="Arial"/>
            <w:color w:val="011A3C"/>
            <w:sz w:val="24"/>
            <w:szCs w:val="24"/>
            <w:lang w:val="en" w:eastAsia="en-AU"/>
          </w:rPr>
          <w:t>Recruitment in Schools</w:t>
        </w:r>
      </w:hyperlink>
      <w:r w:rsidRPr="004D307F">
        <w:rPr>
          <w:rFonts w:ascii="VIC" w:eastAsia="Times New Roman" w:hAnsi="VIC" w:cs="Arial"/>
          <w:color w:val="011A3C"/>
          <w:sz w:val="24"/>
          <w:szCs w:val="24"/>
          <w:lang w:val="en" w:eastAsia="en-AU"/>
        </w:rPr>
        <w:t>.</w:t>
      </w:r>
    </w:p>
    <w:p w14:paraId="24550E9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b/>
          <w:bCs/>
          <w:color w:val="011A3C"/>
          <w:sz w:val="24"/>
          <w:szCs w:val="24"/>
          <w:lang w:val="en" w:eastAsia="en-AU"/>
        </w:rPr>
        <w:t>Note:</w:t>
      </w:r>
      <w:r w:rsidRPr="004D307F">
        <w:rPr>
          <w:rFonts w:ascii="VIC" w:eastAsia="Times New Roman" w:hAnsi="VIC" w:cs="Arial"/>
          <w:color w:val="011A3C"/>
          <w:sz w:val="24"/>
          <w:szCs w:val="24"/>
          <w:lang w:val="en" w:eastAsia="en-AU"/>
        </w:rPr>
        <w:t xml:space="preserve"> Principals of both schools are responsible for confirming the start and end date prior to the commencement of a transfer. In most cases this would be at the start of a term/school year and returning at the start of a term /school year to ensure that charging of vacation periods is against the correct school</w:t>
      </w:r>
    </w:p>
    <w:p w14:paraId="6E1CB0F5" w14:textId="77777777" w:rsidR="0096466B" w:rsidRPr="004D307F" w:rsidRDefault="0096466B" w:rsidP="009144B7">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1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End of year vacation</w:t>
      </w:r>
    </w:p>
    <w:p w14:paraId="5DBD9080"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Ongoing staff member John Teacher is transferring from Orange Primary School to Blue Primary School to fill a one year fixed-term contract. Start and end dates have been agreed by both principals and </w:t>
      </w:r>
      <w:proofErr w:type="gramStart"/>
      <w:r w:rsidRPr="004D307F">
        <w:rPr>
          <w:rFonts w:ascii="VIC" w:eastAsia="Times New Roman" w:hAnsi="VIC" w:cs="Arial"/>
          <w:color w:val="011A3C"/>
          <w:sz w:val="24"/>
          <w:szCs w:val="24"/>
          <w:lang w:val="en" w:eastAsia="en-AU"/>
        </w:rPr>
        <w:t>entered into</w:t>
      </w:r>
      <w:proofErr w:type="gramEnd"/>
      <w:r w:rsidRPr="004D307F">
        <w:rPr>
          <w:rFonts w:ascii="VIC" w:eastAsia="Times New Roman" w:hAnsi="VIC" w:cs="Arial"/>
          <w:color w:val="011A3C"/>
          <w:sz w:val="24"/>
          <w:szCs w:val="24"/>
          <w:lang w:val="en" w:eastAsia="en-AU"/>
        </w:rPr>
        <w:t xml:space="preserve">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Based on the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data, John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is therefore charged as follows:</w:t>
      </w:r>
    </w:p>
    <w:p w14:paraId="4C5D751C" w14:textId="690124A6" w:rsidR="0096466B" w:rsidRPr="004D307F" w:rsidRDefault="0096466B" w:rsidP="00ED0863">
      <w:pPr>
        <w:numPr>
          <w:ilvl w:val="0"/>
          <w:numId w:val="83"/>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Blue Primary School (one</w:t>
      </w:r>
      <w:r w:rsidR="00F80BBD" w:rsidRPr="004D307F">
        <w:rPr>
          <w:rFonts w:ascii="VIC" w:eastAsia="Times New Roman" w:hAnsi="VIC" w:cs="Arial"/>
          <w:color w:val="011A3C"/>
          <w:sz w:val="24"/>
          <w:szCs w:val="24"/>
          <w:lang w:val="en" w:eastAsia="en-AU"/>
        </w:rPr>
        <w:t>-</w:t>
      </w:r>
      <w:r w:rsidRPr="004D307F">
        <w:rPr>
          <w:rFonts w:ascii="VIC" w:eastAsia="Times New Roman" w:hAnsi="VIC" w:cs="Arial"/>
          <w:color w:val="011A3C"/>
          <w:sz w:val="24"/>
          <w:szCs w:val="24"/>
          <w:lang w:val="en" w:eastAsia="en-AU"/>
        </w:rPr>
        <w:t>year fixed term position) will pay John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to the day before term 1 starts in the next year.</w:t>
      </w:r>
    </w:p>
    <w:p w14:paraId="3862A19E" w14:textId="77777777" w:rsidR="0096466B" w:rsidRPr="004D307F" w:rsidRDefault="0096466B" w:rsidP="00ED0863">
      <w:pPr>
        <w:numPr>
          <w:ilvl w:val="0"/>
          <w:numId w:val="83"/>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Orange Primary School (John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base school) will pay John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(of the next year) on an ongoing basis.</w:t>
      </w:r>
    </w:p>
    <w:p w14:paraId="3ADEFA33"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2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Term 1 vacation</w:t>
      </w:r>
    </w:p>
    <w:p w14:paraId="17313B2A"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Ongoing staff member, Jane Support, is transferring from her base school, Red Secondary College, to Green Secondary College to fill a fixed-term contract for term 1. Start and end dates have been agreed by both principals and </w:t>
      </w:r>
      <w:proofErr w:type="gramStart"/>
      <w:r w:rsidRPr="004D307F">
        <w:rPr>
          <w:rFonts w:ascii="VIC" w:eastAsia="Times New Roman" w:hAnsi="VIC" w:cs="Arial"/>
          <w:color w:val="011A3C"/>
          <w:sz w:val="24"/>
          <w:szCs w:val="24"/>
          <w:lang w:val="en" w:eastAsia="en-AU"/>
        </w:rPr>
        <w:t>entered into</w:t>
      </w:r>
      <w:proofErr w:type="gramEnd"/>
      <w:r w:rsidRPr="004D307F">
        <w:rPr>
          <w:rFonts w:ascii="VIC" w:eastAsia="Times New Roman" w:hAnsi="VIC" w:cs="Arial"/>
          <w:color w:val="011A3C"/>
          <w:sz w:val="24"/>
          <w:szCs w:val="24"/>
          <w:lang w:val="en" w:eastAsia="en-AU"/>
        </w:rPr>
        <w:t xml:space="preserve">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Based on the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data,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is therefore charged as follows:</w:t>
      </w:r>
    </w:p>
    <w:p w14:paraId="56B77C6B" w14:textId="77777777" w:rsidR="0096466B" w:rsidRPr="004D307F" w:rsidRDefault="0096466B" w:rsidP="00ED0863">
      <w:pPr>
        <w:numPr>
          <w:ilvl w:val="0"/>
          <w:numId w:val="84"/>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Green Secondary College (fixed term for Term 1) will pay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to the last day of the school Term 1 school holidays.</w:t>
      </w:r>
    </w:p>
    <w:p w14:paraId="582CFD9F" w14:textId="77777777" w:rsidR="0096466B" w:rsidRPr="004D307F" w:rsidRDefault="0096466B" w:rsidP="00ED0863">
      <w:pPr>
        <w:numPr>
          <w:ilvl w:val="0"/>
          <w:numId w:val="84"/>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lastRenderedPageBreak/>
        <w:t>Red Secondary College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base school) will pay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2 on an ongoing basis.</w:t>
      </w:r>
    </w:p>
    <w:p w14:paraId="510A940D"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3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Negotiated transfer date</w:t>
      </w:r>
    </w:p>
    <w:p w14:paraId="1DDEA804"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Ongoing staff member, Joseph Teacher, is transferring from Green Secondary College to Red Secondary College to fill a one year fixed-term contract.</w:t>
      </w:r>
    </w:p>
    <w:p w14:paraId="01E06D8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The principal at Red Secondary College wants Joseph to start work at the school early to assist in preparing for a new program at the school. The start date is the 16 January and end date (return to base) is the 15 January the following year. Both principals have agreed to these </w:t>
      </w:r>
      <w:proofErr w:type="gramStart"/>
      <w:r w:rsidRPr="004D307F">
        <w:rPr>
          <w:rFonts w:ascii="VIC" w:eastAsia="Times New Roman" w:hAnsi="VIC" w:cs="Arial"/>
          <w:color w:val="011A3C"/>
          <w:sz w:val="24"/>
          <w:szCs w:val="24"/>
          <w:lang w:val="en" w:eastAsia="en-AU"/>
        </w:rPr>
        <w:t>dates</w:t>
      </w:r>
      <w:proofErr w:type="gramEnd"/>
      <w:r w:rsidRPr="004D307F">
        <w:rPr>
          <w:rFonts w:ascii="VIC" w:eastAsia="Times New Roman" w:hAnsi="VIC" w:cs="Arial"/>
          <w:color w:val="011A3C"/>
          <w:sz w:val="24"/>
          <w:szCs w:val="24"/>
          <w:lang w:val="en" w:eastAsia="en-AU"/>
        </w:rPr>
        <w:t xml:space="preserve"> and they have been entered into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Based on the dates </w:t>
      </w:r>
      <w:proofErr w:type="gramStart"/>
      <w:r w:rsidRPr="004D307F">
        <w:rPr>
          <w:rFonts w:ascii="VIC" w:eastAsia="Times New Roman" w:hAnsi="VIC" w:cs="Arial"/>
          <w:color w:val="011A3C"/>
          <w:sz w:val="24"/>
          <w:szCs w:val="24"/>
          <w:lang w:val="en" w:eastAsia="en-AU"/>
        </w:rPr>
        <w:t>entered into</w:t>
      </w:r>
      <w:proofErr w:type="gramEnd"/>
      <w:r w:rsidRPr="004D307F">
        <w:rPr>
          <w:rFonts w:ascii="VIC" w:eastAsia="Times New Roman" w:hAnsi="VIC" w:cs="Arial"/>
          <w:color w:val="011A3C"/>
          <w:sz w:val="24"/>
          <w:szCs w:val="24"/>
          <w:lang w:val="en" w:eastAsia="en-AU"/>
        </w:rPr>
        <w:t xml:space="preserve">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Joseph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is therefore charged as follows:</w:t>
      </w:r>
    </w:p>
    <w:p w14:paraId="19D5D5B7" w14:textId="77777777" w:rsidR="0096466B" w:rsidRPr="004D307F" w:rsidRDefault="0096466B" w:rsidP="00ED0863">
      <w:pPr>
        <w:numPr>
          <w:ilvl w:val="0"/>
          <w:numId w:val="85"/>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Red Secondary College will pay Joseph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16 January until 15 January the following year.</w:t>
      </w:r>
    </w:p>
    <w:p w14:paraId="3B749DE2" w14:textId="77777777" w:rsidR="0096466B" w:rsidRPr="004D307F" w:rsidRDefault="0096466B" w:rsidP="00ED0863">
      <w:pPr>
        <w:numPr>
          <w:ilvl w:val="0"/>
          <w:numId w:val="85"/>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Green Secondary College (Joseph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base school) will pay Joseph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16 January in the following year on an ongoing basis.</w:t>
      </w:r>
    </w:p>
    <w:p w14:paraId="03D9ADC3"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Resigning teaching staff (including vacation periods)</w:t>
      </w:r>
    </w:p>
    <w:p w14:paraId="50EBD054" w14:textId="77777777" w:rsidR="0096466B" w:rsidRPr="004D307F" w:rsidRDefault="0096466B" w:rsidP="0096466B">
      <w:pPr>
        <w:spacing w:before="100" w:beforeAutospacing="1" w:after="100" w:afterAutospacing="1" w:line="288" w:lineRule="atLeast"/>
        <w:outlineLvl w:val="3"/>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Example 1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Staff member resigns on first day of term 1</w:t>
      </w:r>
    </w:p>
    <w:p w14:paraId="01A41317"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Staff member Lyn Teacher is resigning</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from Orange Primary School on the first day of Term 1 (further information can be found at</w:t>
      </w:r>
      <w:r w:rsidRPr="004D307F">
        <w:rPr>
          <w:rFonts w:ascii="Calibri" w:eastAsia="Times New Roman" w:hAnsi="Calibri" w:cs="Calibri" w:hint="eastAsia"/>
          <w:color w:val="011A3C"/>
          <w:sz w:val="24"/>
          <w:szCs w:val="24"/>
          <w:lang w:val="en" w:eastAsia="en-AU"/>
        </w:rPr>
        <w:t> </w:t>
      </w:r>
      <w:hyperlink r:id="rId202" w:history="1">
        <w:r w:rsidRPr="004D307F">
          <w:rPr>
            <w:rFonts w:ascii="VIC" w:eastAsia="Times New Roman" w:hAnsi="VIC" w:cs="Arial"/>
            <w:color w:val="011A3C"/>
            <w:sz w:val="24"/>
            <w:szCs w:val="24"/>
            <w:lang w:val="en" w:eastAsia="en-AU"/>
          </w:rPr>
          <w:t xml:space="preserve">Cessation of Employment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Teaching Service</w:t>
        </w:r>
      </w:hyperlink>
      <w:r w:rsidRPr="004D307F">
        <w:rPr>
          <w:rFonts w:ascii="VIC" w:eastAsia="Times New Roman" w:hAnsi="VIC" w:cs="Arial"/>
          <w:color w:val="011A3C"/>
          <w:sz w:val="24"/>
          <w:szCs w:val="24"/>
          <w:lang w:val="en" w:eastAsia="en-AU"/>
        </w:rPr>
        <w:t>). Lyn is therefore charged as follows:</w:t>
      </w:r>
    </w:p>
    <w:p w14:paraId="0E7D1467" w14:textId="77777777" w:rsidR="0096466B" w:rsidRPr="004D307F" w:rsidRDefault="0096466B" w:rsidP="00ED0863">
      <w:pPr>
        <w:numPr>
          <w:ilvl w:val="0"/>
          <w:numId w:val="86"/>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Orange Primary School will pay Lyn</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vacation to the last day of vacation.</w:t>
      </w:r>
    </w:p>
    <w:p w14:paraId="6F846BFD"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Fixed-term teaching staff (including vacation periods)</w:t>
      </w:r>
    </w:p>
    <w:p w14:paraId="462FB392" w14:textId="77777777" w:rsidR="0096466B" w:rsidRPr="004D307F" w:rsidRDefault="00A35420" w:rsidP="0096466B">
      <w:pPr>
        <w:spacing w:before="100" w:beforeAutospacing="1" w:after="100" w:afterAutospacing="1" w:line="360" w:lineRule="atLeast"/>
        <w:rPr>
          <w:rFonts w:ascii="VIC" w:eastAsia="Times New Roman" w:hAnsi="VIC" w:cs="Arial"/>
          <w:color w:val="011A3C"/>
          <w:sz w:val="24"/>
          <w:szCs w:val="24"/>
          <w:lang w:val="en" w:eastAsia="en-AU"/>
        </w:rPr>
      </w:pPr>
      <w:hyperlink r:id="rId203" w:history="1">
        <w:r w:rsidR="0096466B" w:rsidRPr="004D307F">
          <w:rPr>
            <w:rFonts w:ascii="VIC" w:eastAsia="Times New Roman" w:hAnsi="VIC" w:cs="Arial"/>
            <w:color w:val="011A3C"/>
            <w:sz w:val="24"/>
            <w:szCs w:val="24"/>
            <w:lang w:val="en" w:eastAsia="en-AU"/>
          </w:rPr>
          <w:t>Recruitment in Schools</w:t>
        </w:r>
      </w:hyperlink>
      <w:r w:rsidR="0096466B" w:rsidRPr="004D307F">
        <w:rPr>
          <w:rFonts w:ascii="Calibri" w:eastAsia="Times New Roman" w:hAnsi="Calibri" w:cs="Calibri" w:hint="eastAsia"/>
          <w:color w:val="011A3C"/>
          <w:sz w:val="24"/>
          <w:szCs w:val="24"/>
          <w:lang w:val="en" w:eastAsia="en-AU"/>
        </w:rPr>
        <w:t> </w:t>
      </w:r>
      <w:r w:rsidR="0096466B" w:rsidRPr="004D307F">
        <w:rPr>
          <w:rFonts w:ascii="VIC" w:eastAsia="Times New Roman" w:hAnsi="VIC" w:cs="Arial"/>
          <w:color w:val="011A3C"/>
          <w:sz w:val="24"/>
          <w:szCs w:val="24"/>
          <w:lang w:val="en" w:eastAsia="en-AU"/>
        </w:rPr>
        <w:t>provides schools with clear guidelines on fixed-term teacher vacancies. The duration of the vacancy must include relevant school vacation periods. A Fixed term Teacher Vacancy Ready Reckoner</w:t>
      </w:r>
      <w:r w:rsidR="0096466B" w:rsidRPr="004D307F">
        <w:rPr>
          <w:rFonts w:ascii="Calibri" w:eastAsia="Times New Roman" w:hAnsi="Calibri" w:cs="Calibri" w:hint="eastAsia"/>
          <w:color w:val="011A3C"/>
          <w:sz w:val="24"/>
          <w:szCs w:val="24"/>
          <w:lang w:val="en" w:eastAsia="en-AU"/>
        </w:rPr>
        <w:t> </w:t>
      </w:r>
      <w:r w:rsidR="0096466B" w:rsidRPr="004D307F">
        <w:rPr>
          <w:rFonts w:ascii="VIC" w:eastAsia="Times New Roman" w:hAnsi="VIC" w:cs="Arial"/>
          <w:color w:val="011A3C"/>
          <w:sz w:val="24"/>
          <w:szCs w:val="24"/>
          <w:lang w:val="en" w:eastAsia="en-AU"/>
        </w:rPr>
        <w:t xml:space="preserve">is available at </w:t>
      </w:r>
      <w:hyperlink r:id="rId204" w:history="1">
        <w:r w:rsidR="0096466B" w:rsidRPr="004D307F">
          <w:rPr>
            <w:rFonts w:ascii="VIC" w:eastAsia="Times New Roman" w:hAnsi="VIC" w:cs="Arial"/>
            <w:color w:val="011A3C"/>
            <w:sz w:val="24"/>
            <w:szCs w:val="24"/>
            <w:lang w:val="en" w:eastAsia="en-AU"/>
          </w:rPr>
          <w:t>Recruitment in Schools</w:t>
        </w:r>
      </w:hyperlink>
      <w:r w:rsidR="0096466B" w:rsidRPr="004D307F">
        <w:rPr>
          <w:rFonts w:ascii="VIC" w:eastAsia="Times New Roman" w:hAnsi="VIC" w:cs="Arial"/>
          <w:color w:val="011A3C"/>
          <w:sz w:val="24"/>
          <w:szCs w:val="24"/>
          <w:lang w:val="en" w:eastAsia="en-AU"/>
        </w:rPr>
        <w:t xml:space="preserve"> to assist schools in establishing the appropriate employment end date. Dates are reflected in </w:t>
      </w:r>
      <w:proofErr w:type="spellStart"/>
      <w:r w:rsidR="0096466B" w:rsidRPr="004D307F">
        <w:rPr>
          <w:rFonts w:ascii="VIC" w:eastAsia="Times New Roman" w:hAnsi="VIC" w:cs="Arial"/>
          <w:color w:val="011A3C"/>
          <w:sz w:val="24"/>
          <w:szCs w:val="24"/>
          <w:lang w:val="en" w:eastAsia="en-AU"/>
        </w:rPr>
        <w:t>eduPay</w:t>
      </w:r>
      <w:proofErr w:type="spellEnd"/>
      <w:r w:rsidR="0096466B" w:rsidRPr="004D307F">
        <w:rPr>
          <w:rFonts w:ascii="VIC" w:eastAsia="Times New Roman" w:hAnsi="VIC" w:cs="Arial"/>
          <w:color w:val="011A3C"/>
          <w:sz w:val="24"/>
          <w:szCs w:val="24"/>
          <w:lang w:val="en" w:eastAsia="en-AU"/>
        </w:rPr>
        <w:t xml:space="preserve"> and used to determine how schools should be charged.</w:t>
      </w:r>
    </w:p>
    <w:p w14:paraId="2F08C46D"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lastRenderedPageBreak/>
        <w:t xml:space="preserve">Example 1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End of year vacation (fixed-term staff member worked term 3 and term 4)</w:t>
      </w:r>
    </w:p>
    <w:p w14:paraId="7E64620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Orange Primary School fixed-term staff member, Elizabeth Teacher, has a new fixed-term position at Blue Primary School. She has worked as a fixed-term staff member at Orange starting on the first day of Term 3 and had no other employment before that date. Using the fixed-term ready reckoner, it is determined that, as Elizabeth did not work for the entire year, she is only paid through the holiday period to the end of her leave entitlement. Based on the dates </w:t>
      </w:r>
      <w:proofErr w:type="gramStart"/>
      <w:r w:rsidRPr="004D307F">
        <w:rPr>
          <w:rFonts w:ascii="VIC" w:eastAsia="Times New Roman" w:hAnsi="VIC" w:cs="Arial"/>
          <w:color w:val="011A3C"/>
          <w:sz w:val="24"/>
          <w:szCs w:val="24"/>
          <w:lang w:val="en" w:eastAsia="en-AU"/>
        </w:rPr>
        <w:t>entered into</w:t>
      </w:r>
      <w:proofErr w:type="gramEnd"/>
      <w:r w:rsidRPr="004D307F">
        <w:rPr>
          <w:rFonts w:ascii="VIC" w:eastAsia="Times New Roman" w:hAnsi="VIC" w:cs="Arial"/>
          <w:color w:val="011A3C"/>
          <w:sz w:val="24"/>
          <w:szCs w:val="24"/>
          <w:lang w:val="en" w:eastAsia="en-AU"/>
        </w:rPr>
        <w:t xml:space="preserve">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Elizabeth is therefore charged as follows:</w:t>
      </w:r>
    </w:p>
    <w:p w14:paraId="6C10F3D0" w14:textId="77777777" w:rsidR="0096466B" w:rsidRPr="004D307F" w:rsidRDefault="0096466B" w:rsidP="00ED0863">
      <w:pPr>
        <w:numPr>
          <w:ilvl w:val="0"/>
          <w:numId w:val="87"/>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Orange Primary School will be charged Elizabeth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vacation to the end of leave entitlement.</w:t>
      </w:r>
    </w:p>
    <w:p w14:paraId="616673F6" w14:textId="77777777" w:rsidR="0096466B" w:rsidRPr="004D307F" w:rsidRDefault="0096466B" w:rsidP="00ED0863">
      <w:pPr>
        <w:numPr>
          <w:ilvl w:val="0"/>
          <w:numId w:val="87"/>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Elizabeth will not be paid from the end of leave entitlement to the last day of vacation and therefore there is no cost for any school to incur.</w:t>
      </w:r>
    </w:p>
    <w:p w14:paraId="327B98E2" w14:textId="77777777" w:rsidR="0096466B" w:rsidRPr="004D307F" w:rsidRDefault="0096466B" w:rsidP="00ED0863">
      <w:pPr>
        <w:numPr>
          <w:ilvl w:val="0"/>
          <w:numId w:val="87"/>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Blue Primary school will be charged for Elizabeth</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until the end of her contract.</w:t>
      </w:r>
    </w:p>
    <w:p w14:paraId="4AA4DAE3"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2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Term 1 vacation</w:t>
      </w:r>
    </w:p>
    <w:p w14:paraId="316E0690"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Fixed-term staff member, Jane Support, has a new contract at Green Secondary College for Term 2. She currently has a contract with Red Secondary College for Term 1. Based on the dates </w:t>
      </w:r>
      <w:proofErr w:type="gramStart"/>
      <w:r w:rsidRPr="004D307F">
        <w:rPr>
          <w:rFonts w:ascii="VIC" w:eastAsia="Times New Roman" w:hAnsi="VIC" w:cs="Arial"/>
          <w:color w:val="011A3C"/>
          <w:sz w:val="24"/>
          <w:szCs w:val="24"/>
          <w:lang w:val="en" w:eastAsia="en-AU"/>
        </w:rPr>
        <w:t>entered into</w:t>
      </w:r>
      <w:proofErr w:type="gramEnd"/>
      <w:r w:rsidRPr="004D307F">
        <w:rPr>
          <w:rFonts w:ascii="VIC" w:eastAsia="Times New Roman" w:hAnsi="VIC" w:cs="Arial"/>
          <w:color w:val="011A3C"/>
          <w:sz w:val="24"/>
          <w:szCs w:val="24"/>
          <w:lang w:val="en" w:eastAsia="en-AU"/>
        </w:rPr>
        <w:t xml:space="preserve">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Jane is therefore charged as follows:</w:t>
      </w:r>
    </w:p>
    <w:p w14:paraId="64FEA2D1" w14:textId="77777777" w:rsidR="0096466B" w:rsidRPr="004D307F" w:rsidRDefault="0096466B" w:rsidP="00ED0863">
      <w:pPr>
        <w:numPr>
          <w:ilvl w:val="0"/>
          <w:numId w:val="88"/>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Red Secondary College will be charged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1 to the last day of vacation.</w:t>
      </w:r>
    </w:p>
    <w:p w14:paraId="17B92A55" w14:textId="77777777" w:rsidR="0096466B" w:rsidRPr="004D307F" w:rsidRDefault="0096466B" w:rsidP="00ED0863">
      <w:pPr>
        <w:numPr>
          <w:ilvl w:val="0"/>
          <w:numId w:val="88"/>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From the first day of Term 2 onwards Green Secondary College will be charged Jane</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salary.</w:t>
      </w:r>
    </w:p>
    <w:p w14:paraId="3599C2C4"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Higher duties (including vacation periods)</w:t>
      </w:r>
    </w:p>
    <w:p w14:paraId="66D1A268"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An employee in the principal or teacher class, who is assigned higher duties for a period that includes a school vacation period, will continue to be paid the allowance during the school vacation period. Higher duties assignments commence from the date of taking up the duty and cease at the end of the assignment period, or the last day of the school year, whichever is the earlier. Where an employee is in receipt of a higher duties allowance for at least one month immediately prior to the last day of the school year, he/she shall be </w:t>
      </w:r>
      <w:r w:rsidRPr="004D307F">
        <w:rPr>
          <w:rFonts w:ascii="VIC" w:eastAsia="Times New Roman" w:hAnsi="VIC" w:cs="Arial"/>
          <w:color w:val="011A3C"/>
          <w:sz w:val="24"/>
          <w:szCs w:val="24"/>
          <w:lang w:val="en" w:eastAsia="en-AU"/>
        </w:rPr>
        <w:lastRenderedPageBreak/>
        <w:t>paid the allowance to 31 December of that year. For more information refer to</w:t>
      </w:r>
      <w:r w:rsidRPr="004D307F">
        <w:rPr>
          <w:rFonts w:ascii="Calibri" w:eastAsia="Times New Roman" w:hAnsi="Calibri" w:cs="Calibri" w:hint="eastAsia"/>
          <w:color w:val="011A3C"/>
          <w:sz w:val="24"/>
          <w:szCs w:val="24"/>
          <w:lang w:val="en" w:eastAsia="en-AU"/>
        </w:rPr>
        <w:t> </w:t>
      </w:r>
      <w:hyperlink r:id="rId205" w:history="1">
        <w:r w:rsidRPr="004D307F">
          <w:rPr>
            <w:rFonts w:ascii="VIC" w:eastAsia="Times New Roman" w:hAnsi="VIC" w:cs="Arial"/>
            <w:color w:val="011A3C"/>
            <w:sz w:val="24"/>
            <w:szCs w:val="24"/>
            <w:lang w:val="en" w:eastAsia="en-AU"/>
          </w:rPr>
          <w:t xml:space="preserve">Higher Duties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Teaching Service</w:t>
        </w:r>
      </w:hyperlink>
      <w:r w:rsidRPr="004D307F">
        <w:rPr>
          <w:rFonts w:ascii="VIC" w:eastAsia="Times New Roman" w:hAnsi="VIC" w:cs="Arial"/>
          <w:color w:val="011A3C"/>
          <w:sz w:val="24"/>
          <w:szCs w:val="24"/>
          <w:lang w:val="en" w:eastAsia="en-AU"/>
        </w:rPr>
        <w:t>.</w:t>
      </w:r>
    </w:p>
    <w:p w14:paraId="13505B62"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 xml:space="preserve">Example 1 </w:t>
      </w:r>
      <w:r w:rsidRPr="004D307F">
        <w:rPr>
          <w:rFonts w:ascii="VIC" w:eastAsia="Times New Roman" w:hAnsi="VIC" w:cs="Arial" w:hint="eastAsia"/>
          <w:b/>
          <w:bCs/>
          <w:color w:val="011A3C"/>
          <w:sz w:val="27"/>
          <w:szCs w:val="27"/>
          <w:lang w:val="en" w:eastAsia="en-AU"/>
        </w:rPr>
        <w:t>—</w:t>
      </w:r>
      <w:r w:rsidRPr="004D307F">
        <w:rPr>
          <w:rFonts w:ascii="VIC" w:eastAsia="Times New Roman" w:hAnsi="VIC" w:cs="Arial"/>
          <w:b/>
          <w:bCs/>
          <w:color w:val="011A3C"/>
          <w:sz w:val="27"/>
          <w:szCs w:val="27"/>
          <w:lang w:val="en" w:eastAsia="en-AU"/>
        </w:rPr>
        <w:t xml:space="preserve"> Term vacation</w:t>
      </w:r>
    </w:p>
    <w:p w14:paraId="0CCE6BC9" w14:textId="5056C77B"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Ongoing staff member, Edward Teacher, has been given higher duties as an Assistant Principal at Green Secondary College for Term 2. He is currently an ongoing teacher at Red Secondary College. For more information refer to:</w:t>
      </w:r>
      <w:r w:rsidRPr="004D307F">
        <w:rPr>
          <w:rFonts w:ascii="Calibri" w:eastAsia="Times New Roman" w:hAnsi="Calibri" w:cs="Calibri" w:hint="eastAsia"/>
          <w:color w:val="011A3C"/>
          <w:sz w:val="24"/>
          <w:szCs w:val="24"/>
          <w:lang w:val="en" w:eastAsia="en-AU"/>
        </w:rPr>
        <w:t> </w:t>
      </w:r>
      <w:hyperlink r:id="rId206" w:history="1">
        <w:r w:rsidRPr="004D307F">
          <w:rPr>
            <w:rFonts w:ascii="VIC" w:eastAsia="Times New Roman" w:hAnsi="VIC" w:cs="Arial"/>
            <w:color w:val="011A3C"/>
            <w:sz w:val="24"/>
            <w:szCs w:val="24"/>
            <w:lang w:val="en" w:eastAsia="en-AU"/>
          </w:rPr>
          <w:t>Transfer and Promotion for Teaching Service</w:t>
        </w:r>
      </w:hyperlink>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(including over vacation periods).</w:t>
      </w:r>
    </w:p>
    <w:p w14:paraId="6609C5CD"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Based on the dates </w:t>
      </w:r>
      <w:proofErr w:type="gramStart"/>
      <w:r w:rsidRPr="004D307F">
        <w:rPr>
          <w:rFonts w:ascii="VIC" w:eastAsia="Times New Roman" w:hAnsi="VIC" w:cs="Arial"/>
          <w:color w:val="011A3C"/>
          <w:sz w:val="24"/>
          <w:szCs w:val="24"/>
          <w:lang w:val="en" w:eastAsia="en-AU"/>
        </w:rPr>
        <w:t>entered into</w:t>
      </w:r>
      <w:proofErr w:type="gramEnd"/>
      <w:r w:rsidRPr="004D307F">
        <w:rPr>
          <w:rFonts w:ascii="VIC" w:eastAsia="Times New Roman" w:hAnsi="VIC" w:cs="Arial"/>
          <w:color w:val="011A3C"/>
          <w:sz w:val="24"/>
          <w:szCs w:val="24"/>
          <w:lang w:val="en" w:eastAsia="en-AU"/>
        </w:rPr>
        <w:t xml:space="preserve">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Edward is therefore charged as follows:</w:t>
      </w:r>
    </w:p>
    <w:p w14:paraId="1FF623C3" w14:textId="3AECC44C" w:rsidR="0096466B" w:rsidRPr="004D307F" w:rsidRDefault="0096466B" w:rsidP="00ED0863">
      <w:pPr>
        <w:numPr>
          <w:ilvl w:val="0"/>
          <w:numId w:val="89"/>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Green Secondary College will be charged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Edward</w:t>
      </w:r>
      <w:r w:rsidRPr="004D307F">
        <w:rPr>
          <w:rFonts w:ascii="VIC" w:eastAsia="Times New Roman" w:hAnsi="VIC" w:cs="VIC" w:hint="eastAsia"/>
          <w:color w:val="011A3C"/>
          <w:sz w:val="24"/>
          <w:szCs w:val="24"/>
          <w:lang w:val="en" w:eastAsia="en-AU"/>
        </w:rPr>
        <w:t>’</w:t>
      </w:r>
      <w:r w:rsidRPr="004D307F">
        <w:rPr>
          <w:rFonts w:ascii="VIC" w:eastAsia="Times New Roman" w:hAnsi="VIC" w:cs="Arial"/>
          <w:color w:val="011A3C"/>
          <w:sz w:val="24"/>
          <w:szCs w:val="24"/>
          <w:lang w:val="en" w:eastAsia="en-AU"/>
        </w:rPr>
        <w:t>s salary from the first day of Term 2 until the last day of vacation.</w:t>
      </w:r>
    </w:p>
    <w:p w14:paraId="40C6C4F5" w14:textId="77777777" w:rsidR="0096466B" w:rsidRPr="004D307F" w:rsidRDefault="0096466B" w:rsidP="00ED0863">
      <w:pPr>
        <w:numPr>
          <w:ilvl w:val="0"/>
          <w:numId w:val="89"/>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Red Secondary College will be charged from the first day of Term 3 onwards for Edward</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substantive salary.</w:t>
      </w:r>
    </w:p>
    <w:p w14:paraId="247ED208"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Salary mischarges</w:t>
      </w:r>
    </w:p>
    <w:p w14:paraId="304C4D61"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Salary mischarging amendments can be submitted by schools for situations such as staff charged to the incorrect budget category, for example Teaching Support to Integration Aide or to arrange split ledgers between schools.</w:t>
      </w:r>
    </w:p>
    <w:p w14:paraId="7A415F39"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For amendments related to leave, refer to:</w:t>
      </w:r>
      <w:r w:rsidRPr="004D307F">
        <w:rPr>
          <w:rFonts w:ascii="Calibri" w:eastAsia="Times New Roman" w:hAnsi="Calibri" w:cs="Calibri" w:hint="eastAsia"/>
          <w:color w:val="011A3C"/>
          <w:sz w:val="24"/>
          <w:szCs w:val="24"/>
          <w:lang w:val="en" w:eastAsia="en-AU"/>
        </w:rPr>
        <w:t> </w:t>
      </w:r>
      <w:hyperlink r:id="rId207" w:history="1">
        <w:r w:rsidRPr="004D307F">
          <w:rPr>
            <w:rFonts w:ascii="VIC" w:eastAsia="Times New Roman" w:hAnsi="VIC" w:cs="Arial"/>
            <w:color w:val="011A3C"/>
            <w:sz w:val="24"/>
            <w:szCs w:val="24"/>
            <w:lang w:val="en" w:eastAsia="en-AU"/>
          </w:rPr>
          <w:t>Relief Staffing</w:t>
        </w:r>
      </w:hyperlink>
      <w:r w:rsidRPr="004D307F">
        <w:rPr>
          <w:rFonts w:ascii="VIC" w:eastAsia="Times New Roman" w:hAnsi="VIC" w:cs="Arial"/>
          <w:color w:val="011A3C"/>
          <w:sz w:val="24"/>
          <w:szCs w:val="24"/>
          <w:lang w:val="en" w:eastAsia="en-AU"/>
        </w:rPr>
        <w:t>.</w:t>
      </w:r>
    </w:p>
    <w:p w14:paraId="38EEF78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Salary amendments can be submitted by accessing the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Salary mischarging amendment form</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(SMAF) tab, available on the </w:t>
      </w:r>
      <w:hyperlink r:id="rId208" w:history="1">
        <w:r w:rsidRPr="004D307F">
          <w:rPr>
            <w:rFonts w:ascii="VIC" w:eastAsia="Times New Roman" w:hAnsi="VIC" w:cs="Arial"/>
            <w:color w:val="011A3C"/>
            <w:sz w:val="24"/>
            <w:szCs w:val="24"/>
            <w:lang w:val="en" w:eastAsia="en-AU"/>
          </w:rPr>
          <w:t>SRP Portal</w:t>
        </w:r>
      </w:hyperlink>
      <w:r w:rsidRPr="004D307F">
        <w:rPr>
          <w:rFonts w:ascii="VIC" w:eastAsia="Times New Roman" w:hAnsi="VIC" w:cs="Arial"/>
          <w:color w:val="011A3C"/>
          <w:sz w:val="24"/>
          <w:szCs w:val="24"/>
          <w:lang w:val="en" w:eastAsia="en-AU"/>
        </w:rPr>
        <w:t xml:space="preserve">. Instructions are provided as part of the </w:t>
      </w:r>
      <w:proofErr w:type="gramStart"/>
      <w:r w:rsidRPr="004D307F">
        <w:rPr>
          <w:rFonts w:ascii="VIC" w:eastAsia="Times New Roman" w:hAnsi="VIC" w:cs="Arial"/>
          <w:color w:val="011A3C"/>
          <w:sz w:val="24"/>
          <w:szCs w:val="24"/>
          <w:lang w:val="en" w:eastAsia="en-AU"/>
        </w:rPr>
        <w:t>system</w:t>
      </w:r>
      <w:proofErr w:type="gramEnd"/>
      <w:r w:rsidRPr="004D307F">
        <w:rPr>
          <w:rFonts w:ascii="VIC" w:eastAsia="Times New Roman" w:hAnsi="VIC" w:cs="Arial"/>
          <w:color w:val="011A3C"/>
          <w:sz w:val="24"/>
          <w:szCs w:val="24"/>
          <w:lang w:val="en" w:eastAsia="en-AU"/>
        </w:rPr>
        <w:t xml:space="preserve"> and it is recommended you print these prior to undertaking an electronic mischarge correction.</w:t>
      </w:r>
    </w:p>
    <w:p w14:paraId="4299FBFC"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On-costs: SRP</w:t>
      </w:r>
    </w:p>
    <w:p w14:paraId="2864D08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Funds are included in the budget to meet salary on-costs associated with the payment of salaries and allowances on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These on-costs comprise payroll tax and superannuation. This funding is not separately </w:t>
      </w:r>
      <w:proofErr w:type="spellStart"/>
      <w:r w:rsidRPr="004D307F">
        <w:rPr>
          <w:rFonts w:ascii="VIC" w:eastAsia="Times New Roman" w:hAnsi="VIC" w:cs="Arial"/>
          <w:color w:val="011A3C"/>
          <w:sz w:val="24"/>
          <w:szCs w:val="24"/>
          <w:lang w:val="en" w:eastAsia="en-AU"/>
        </w:rPr>
        <w:t>itemised</w:t>
      </w:r>
      <w:proofErr w:type="spellEnd"/>
      <w:r w:rsidRPr="004D307F">
        <w:rPr>
          <w:rFonts w:ascii="VIC" w:eastAsia="Times New Roman" w:hAnsi="VIC" w:cs="Arial"/>
          <w:color w:val="011A3C"/>
          <w:sz w:val="24"/>
          <w:szCs w:val="24"/>
          <w:lang w:val="en" w:eastAsia="en-AU"/>
        </w:rPr>
        <w:t xml:space="preserve"> within the budget. When hiring staff, it is important to factor in these on-costs.</w:t>
      </w:r>
    </w:p>
    <w:p w14:paraId="3E9FDC86"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lastRenderedPageBreak/>
        <w:t>Superannuation</w:t>
      </w:r>
    </w:p>
    <w:p w14:paraId="15DBDD98" w14:textId="58917BB3"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Superannuation is cost neutral as it is funded and charged at the same level based on the total credit allocation within the SRP. The rate at which superannuation is funded and charged each year can fluctuate. Superannuation expenditure is shown as a separate line in the </w:t>
      </w:r>
      <w:hyperlink r:id="rId209" w:history="1">
        <w:r w:rsidRPr="004D307F">
          <w:rPr>
            <w:rFonts w:ascii="VIC" w:eastAsia="Times New Roman" w:hAnsi="VIC" w:cs="Arial"/>
            <w:color w:val="011A3C"/>
            <w:sz w:val="24"/>
            <w:szCs w:val="24"/>
            <w:lang w:val="en" w:eastAsia="en-AU"/>
          </w:rPr>
          <w:t>School Budget Management Report</w:t>
        </w:r>
      </w:hyperlink>
      <w:r w:rsidRPr="004D307F">
        <w:rPr>
          <w:rFonts w:ascii="VIC" w:eastAsia="Times New Roman" w:hAnsi="VIC" w:cs="Arial"/>
          <w:color w:val="011A3C"/>
          <w:sz w:val="24"/>
          <w:szCs w:val="24"/>
          <w:lang w:val="en" w:eastAsia="en-AU"/>
        </w:rPr>
        <w:t xml:space="preserve">. If salary expenditure exceeds the credit </w:t>
      </w:r>
      <w:r w:rsidR="00F80BBD" w:rsidRPr="004D307F">
        <w:rPr>
          <w:rFonts w:ascii="VIC" w:eastAsia="Times New Roman" w:hAnsi="VIC" w:cs="Arial"/>
          <w:color w:val="011A3C"/>
          <w:sz w:val="24"/>
          <w:szCs w:val="24"/>
          <w:lang w:val="en" w:eastAsia="en-AU"/>
        </w:rPr>
        <w:t>allocation,</w:t>
      </w:r>
      <w:r w:rsidRPr="004D307F">
        <w:rPr>
          <w:rFonts w:ascii="VIC" w:eastAsia="Times New Roman" w:hAnsi="VIC" w:cs="Arial"/>
          <w:color w:val="011A3C"/>
          <w:sz w:val="24"/>
          <w:szCs w:val="24"/>
          <w:lang w:val="en" w:eastAsia="en-AU"/>
        </w:rPr>
        <w:t xml:space="preserve"> then additional superannuation may be charged (refer to the next section). The superannuation rate for 202</w:t>
      </w:r>
      <w:r w:rsidR="005A2BF2" w:rsidRPr="004D307F">
        <w:rPr>
          <w:rFonts w:ascii="VIC" w:eastAsia="Times New Roman" w:hAnsi="VIC" w:cs="Arial"/>
          <w:color w:val="011A3C"/>
          <w:sz w:val="24"/>
          <w:szCs w:val="24"/>
          <w:lang w:val="en" w:eastAsia="en-AU"/>
        </w:rPr>
        <w:t>2</w:t>
      </w:r>
      <w:r w:rsidRPr="004D307F">
        <w:rPr>
          <w:rFonts w:ascii="VIC" w:eastAsia="Times New Roman" w:hAnsi="VIC" w:cs="Arial"/>
          <w:color w:val="011A3C"/>
          <w:sz w:val="24"/>
          <w:szCs w:val="24"/>
          <w:lang w:val="en" w:eastAsia="en-AU"/>
        </w:rPr>
        <w:t xml:space="preserve"> is 8.5%.</w:t>
      </w:r>
    </w:p>
    <w:p w14:paraId="2ED0CCB0" w14:textId="5B25FFF2" w:rsidR="0096466B" w:rsidRPr="004D307F" w:rsidRDefault="002B743A"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C</w:t>
      </w:r>
      <w:r w:rsidR="0096466B" w:rsidRPr="004D307F">
        <w:rPr>
          <w:rFonts w:ascii="VIC" w:eastAsia="Times New Roman" w:hAnsi="VIC" w:cs="Arial"/>
          <w:b/>
          <w:bCs/>
          <w:color w:val="011A3C"/>
          <w:sz w:val="27"/>
          <w:szCs w:val="27"/>
          <w:lang w:val="en" w:eastAsia="en-AU"/>
        </w:rPr>
        <w:t>alculation:</w:t>
      </w:r>
    </w:p>
    <w:p w14:paraId="1B4945D2"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[Superannuation] = </w:t>
      </w:r>
      <w:proofErr w:type="gramStart"/>
      <w:r w:rsidRPr="004D307F">
        <w:rPr>
          <w:rFonts w:ascii="VIC" w:eastAsia="Times New Roman" w:hAnsi="VIC" w:cs="Arial"/>
          <w:color w:val="011A3C"/>
          <w:sz w:val="24"/>
          <w:szCs w:val="24"/>
          <w:lang w:val="en" w:eastAsia="en-AU"/>
        </w:rPr>
        <w:t>( [</w:t>
      </w:r>
      <w:proofErr w:type="gramEnd"/>
      <w:r w:rsidRPr="004D307F">
        <w:rPr>
          <w:rFonts w:ascii="VIC" w:eastAsia="Times New Roman" w:hAnsi="VIC" w:cs="Arial"/>
          <w:color w:val="011A3C"/>
          <w:sz w:val="24"/>
          <w:szCs w:val="24"/>
          <w:lang w:val="en" w:eastAsia="en-AU"/>
        </w:rPr>
        <w:t xml:space="preserve">Total Credit Budget]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[Workers</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Compensation Budget] )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[Super Rate]</w:t>
      </w:r>
    </w:p>
    <w:p w14:paraId="65084082"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Additional super</w:t>
      </w:r>
    </w:p>
    <w:p w14:paraId="089FB66A"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If a school</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s credit expenditure generates a superannuation charge </w:t>
      </w:r>
      <w:proofErr w:type="gramStart"/>
      <w:r w:rsidRPr="004D307F">
        <w:rPr>
          <w:rFonts w:ascii="VIC" w:eastAsia="Times New Roman" w:hAnsi="VIC" w:cs="Arial"/>
          <w:color w:val="011A3C"/>
          <w:sz w:val="24"/>
          <w:szCs w:val="24"/>
          <w:lang w:val="en" w:eastAsia="en-AU"/>
        </w:rPr>
        <w:t>in excess of</w:t>
      </w:r>
      <w:proofErr w:type="gramEnd"/>
      <w:r w:rsidRPr="004D307F">
        <w:rPr>
          <w:rFonts w:ascii="VIC" w:eastAsia="Times New Roman" w:hAnsi="VIC" w:cs="Arial"/>
          <w:color w:val="011A3C"/>
          <w:sz w:val="24"/>
          <w:szCs w:val="24"/>
          <w:lang w:val="en" w:eastAsia="en-AU"/>
        </w:rPr>
        <w:t xml:space="preserve"> the funded superannuation amount, then additional superannuation may be charged. Any carry forward surplus on which superannuation was charged, using previous year(s) prevailing rates, is excluded from the calculation. This adjustment cannot make the additional superannuation figure negative and additional super cannot be zero or less.</w:t>
      </w:r>
    </w:p>
    <w:p w14:paraId="7225A54B"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Calibri" w:eastAsia="Times New Roman" w:hAnsi="Calibri" w:cs="Calibri"/>
          <w:b/>
          <w:bCs/>
          <w:color w:val="011A3C"/>
          <w:sz w:val="27"/>
          <w:szCs w:val="27"/>
          <w:lang w:val="en" w:eastAsia="en-AU"/>
        </w:rPr>
        <w:t> </w:t>
      </w:r>
      <w:r w:rsidRPr="004D307F">
        <w:rPr>
          <w:rFonts w:ascii="VIC" w:eastAsia="Times New Roman" w:hAnsi="VIC" w:cs="Arial"/>
          <w:b/>
          <w:bCs/>
          <w:color w:val="011A3C"/>
          <w:sz w:val="27"/>
          <w:szCs w:val="27"/>
          <w:lang w:val="en" w:eastAsia="en-AU"/>
        </w:rPr>
        <w:t>Calculation:</w:t>
      </w:r>
    </w:p>
    <w:p w14:paraId="29433591"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Additional Super = (Credit Expenditure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VIC" w:hint="eastAsia"/>
          <w:color w:val="011A3C"/>
          <w:sz w:val="24"/>
          <w:szCs w:val="24"/>
          <w:lang w:val="en" w:eastAsia="en-AU"/>
        </w:rPr>
        <w:t>×</w:t>
      </w:r>
      <w:r w:rsidRPr="004D307F">
        <w:rPr>
          <w:rFonts w:ascii="VIC" w:eastAsia="Times New Roman" w:hAnsi="VIC" w:cs="Arial"/>
          <w:color w:val="011A3C"/>
          <w:sz w:val="24"/>
          <w:szCs w:val="24"/>
          <w:lang w:val="en" w:eastAsia="en-AU"/>
        </w:rPr>
        <w:t xml:space="preserve"> Super Rate) - Superannuation</w:t>
      </w:r>
    </w:p>
    <w:p w14:paraId="126AD751"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Additional Super (with a surplus carried forward) = (Credit Expenditure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VIC" w:hint="eastAsia"/>
          <w:color w:val="011A3C"/>
          <w:sz w:val="24"/>
          <w:szCs w:val="24"/>
          <w:lang w:val="en" w:eastAsia="en-AU"/>
        </w:rPr>
        <w:t>×</w:t>
      </w:r>
      <w:r w:rsidRPr="004D307F">
        <w:rPr>
          <w:rFonts w:ascii="VIC" w:eastAsia="Times New Roman" w:hAnsi="VIC" w:cs="Arial"/>
          <w:color w:val="011A3C"/>
          <w:sz w:val="24"/>
          <w:szCs w:val="24"/>
          <w:lang w:val="en" w:eastAsia="en-AU"/>
        </w:rPr>
        <w:t xml:space="preserve"> Super Rate) - Superannuation - (Surplus Carried Forward </w:t>
      </w:r>
      <w:r w:rsidRPr="004D307F">
        <w:rPr>
          <w:rFonts w:ascii="VIC" w:eastAsia="Times New Roman" w:hAnsi="VIC" w:cs="VIC" w:hint="eastAsia"/>
          <w:color w:val="011A3C"/>
          <w:sz w:val="24"/>
          <w:szCs w:val="24"/>
          <w:lang w:val="en" w:eastAsia="en-AU"/>
        </w:rPr>
        <w:t>×</w:t>
      </w:r>
      <w:r w:rsidRPr="004D307F">
        <w:rPr>
          <w:rFonts w:ascii="VIC" w:eastAsia="Times New Roman" w:hAnsi="VIC" w:cs="Arial"/>
          <w:color w:val="011A3C"/>
          <w:sz w:val="24"/>
          <w:szCs w:val="24"/>
          <w:lang w:val="en" w:eastAsia="en-AU"/>
        </w:rPr>
        <w:t xml:space="preserve"> Previous Year Super Rate)</w:t>
      </w:r>
    </w:p>
    <w:p w14:paraId="27D2F786"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Where:</w:t>
      </w:r>
    </w:p>
    <w:p w14:paraId="636E92E3" w14:textId="5C050E10"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Credit Expenditure = Total credit expenditure excluding Workers</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Compensation, </w:t>
      </w:r>
      <w:r w:rsidR="00F32009" w:rsidRPr="004D307F">
        <w:rPr>
          <w:rFonts w:ascii="VIC" w:eastAsia="Times New Roman" w:hAnsi="VIC" w:cs="Arial"/>
          <w:color w:val="011A3C"/>
          <w:sz w:val="24"/>
          <w:szCs w:val="24"/>
          <w:lang w:val="en" w:eastAsia="en-AU"/>
        </w:rPr>
        <w:t xml:space="preserve">Teaching Practice Supervision, </w:t>
      </w:r>
      <w:r w:rsidRPr="004D307F">
        <w:rPr>
          <w:rFonts w:ascii="VIC" w:eastAsia="Times New Roman" w:hAnsi="VIC" w:cs="Arial"/>
          <w:color w:val="011A3C"/>
          <w:sz w:val="24"/>
          <w:szCs w:val="24"/>
          <w:lang w:val="en" w:eastAsia="en-AU"/>
        </w:rPr>
        <w:t xml:space="preserve">Additional Super, </w:t>
      </w:r>
      <w:hyperlink r:id="rId210" w:history="1">
        <w:r w:rsidRPr="004D307F">
          <w:rPr>
            <w:rFonts w:ascii="VIC" w:eastAsia="Times New Roman" w:hAnsi="VIC" w:cs="Arial"/>
            <w:color w:val="011A3C"/>
            <w:sz w:val="24"/>
            <w:szCs w:val="24"/>
            <w:lang w:val="en" w:eastAsia="en-AU"/>
          </w:rPr>
          <w:t>Credit</w:t>
        </w:r>
        <w:r w:rsidR="00F32009" w:rsidRPr="004D307F">
          <w:rPr>
            <w:rFonts w:ascii="VIC" w:eastAsia="Times New Roman" w:hAnsi="VIC" w:cs="Arial"/>
            <w:color w:val="011A3C"/>
            <w:sz w:val="24"/>
            <w:szCs w:val="24"/>
            <w:lang w:val="en" w:eastAsia="en-AU"/>
          </w:rPr>
          <w:t>/</w:t>
        </w:r>
        <w:r w:rsidRPr="004D307F">
          <w:rPr>
            <w:rFonts w:ascii="VIC" w:eastAsia="Times New Roman" w:hAnsi="VIC" w:cs="Arial"/>
            <w:color w:val="011A3C"/>
            <w:sz w:val="24"/>
            <w:szCs w:val="24"/>
            <w:lang w:val="en" w:eastAsia="en-AU"/>
          </w:rPr>
          <w:t xml:space="preserve"> Cash Transfers</w:t>
        </w:r>
      </w:hyperlink>
      <w:r w:rsidRPr="004D307F">
        <w:rPr>
          <w:rFonts w:ascii="VIC" w:eastAsia="Times New Roman" w:hAnsi="VIC" w:cs="Arial"/>
          <w:color w:val="011A3C"/>
          <w:sz w:val="24"/>
          <w:szCs w:val="24"/>
          <w:lang w:val="en" w:eastAsia="en-AU"/>
        </w:rPr>
        <w:t xml:space="preserve"> or administrative adjustments.</w:t>
      </w:r>
    </w:p>
    <w:p w14:paraId="24060C0C" w14:textId="77777777"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Super Rate = Superannuation rate for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current budget year.</w:t>
      </w:r>
    </w:p>
    <w:p w14:paraId="1708EC52" w14:textId="77777777"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Previous Year Super Rate = Superannuation rate for the previous budget year.</w:t>
      </w:r>
    </w:p>
    <w:p w14:paraId="4C5ED5F6" w14:textId="77777777"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Superannuation = Superannuation amount charged to the school.</w:t>
      </w:r>
    </w:p>
    <w:p w14:paraId="6D4325D7" w14:textId="77777777" w:rsidR="0096466B" w:rsidRPr="004D307F" w:rsidRDefault="0096466B" w:rsidP="00ED0863">
      <w:pPr>
        <w:numPr>
          <w:ilvl w:val="0"/>
          <w:numId w:val="90"/>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lastRenderedPageBreak/>
        <w:t>Surplus carried forward = Surplus figure carried forward from previous year.</w:t>
      </w:r>
    </w:p>
    <w:p w14:paraId="440FA363"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Payroll tax</w:t>
      </w:r>
    </w:p>
    <w:p w14:paraId="26FBF797" w14:textId="6043684E"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Funding for payroll tax is included within the budget and is based on the credit expenditure for a school. The payroll tax rate for 202</w:t>
      </w:r>
      <w:r w:rsidR="005A2BF2" w:rsidRPr="004D307F">
        <w:rPr>
          <w:rFonts w:ascii="VIC" w:eastAsia="Times New Roman" w:hAnsi="VIC" w:cs="Arial"/>
          <w:color w:val="011A3C"/>
          <w:sz w:val="24"/>
          <w:szCs w:val="24"/>
          <w:lang w:val="en" w:eastAsia="en-AU"/>
        </w:rPr>
        <w:t>2</w:t>
      </w:r>
      <w:r w:rsidRPr="004D307F">
        <w:rPr>
          <w:rFonts w:ascii="VIC" w:eastAsia="Times New Roman" w:hAnsi="VIC" w:cs="Arial"/>
          <w:color w:val="011A3C"/>
          <w:sz w:val="24"/>
          <w:szCs w:val="24"/>
          <w:lang w:val="en" w:eastAsia="en-AU"/>
        </w:rPr>
        <w:t xml:space="preserve"> is 4.85%.</w:t>
      </w:r>
    </w:p>
    <w:p w14:paraId="2B56218A"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Calculation:</w:t>
      </w:r>
    </w:p>
    <w:p w14:paraId="22518220"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Payroll Tax = (Credit Expenditure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Teaching Practice)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Payroll Tax Rate</w:t>
      </w:r>
    </w:p>
    <w:p w14:paraId="2BF9DB0B"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Where:</w:t>
      </w:r>
    </w:p>
    <w:p w14:paraId="2B551189" w14:textId="77777777" w:rsidR="0096466B" w:rsidRPr="004D307F" w:rsidRDefault="0096466B" w:rsidP="00ED0863">
      <w:pPr>
        <w:numPr>
          <w:ilvl w:val="0"/>
          <w:numId w:val="91"/>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Credit expenditure = Total credit expenditure excluding Workers</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Compensation, CCT</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on-costs (superannuation, payroll tax, additional superannuation and so on), and administrative adjustments.</w:t>
      </w:r>
    </w:p>
    <w:p w14:paraId="798E74C1" w14:textId="77777777" w:rsidR="0096466B" w:rsidRPr="004D307F" w:rsidRDefault="0096466B" w:rsidP="00ED0863">
      <w:pPr>
        <w:numPr>
          <w:ilvl w:val="0"/>
          <w:numId w:val="91"/>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Teaching practice = The teaching practice supervision credit expenditure line is excluded from the payroll tax calculation.</w:t>
      </w:r>
    </w:p>
    <w:p w14:paraId="692214F5" w14:textId="46BBD5F9" w:rsidR="0096466B" w:rsidRPr="004D307F" w:rsidRDefault="0096466B" w:rsidP="00ED0863">
      <w:pPr>
        <w:numPr>
          <w:ilvl w:val="0"/>
          <w:numId w:val="91"/>
        </w:num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Payroll tax rate = Payroll tax rate for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current budget year.</w:t>
      </w:r>
    </w:p>
    <w:p w14:paraId="5B8AFD27"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Sabbatical</w:t>
      </w:r>
    </w:p>
    <w:p w14:paraId="7E1EAE8F"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The participation of teachers in the sabbatical leave scheme is cost neutral to the SRP over the period of the scheme. Teachers participating in the scheme are charged to the SRP at 100 per cent of their salary at their relevant classification. The charge represents the actual cost of the teacher to the school over this period. When the staff member is on sabbatical leave, or receives a pay-out of their sabbatical, no charge is made to the school.</w:t>
      </w:r>
    </w:p>
    <w:p w14:paraId="7A1BABA4" w14:textId="77777777" w:rsidR="0096466B" w:rsidRPr="004D307F" w:rsidRDefault="0096466B" w:rsidP="003243F4">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On-costs</w:t>
      </w:r>
    </w:p>
    <w:p w14:paraId="1294B0FC"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On-costs are calculated as a single line which can be seen on your </w:t>
      </w:r>
      <w:hyperlink r:id="rId211" w:history="1">
        <w:r w:rsidRPr="004D307F">
          <w:rPr>
            <w:rFonts w:ascii="VIC" w:eastAsia="Times New Roman" w:hAnsi="VIC" w:cs="Arial"/>
            <w:color w:val="011A3C"/>
            <w:sz w:val="24"/>
            <w:szCs w:val="24"/>
            <w:lang w:val="en" w:eastAsia="en-AU"/>
          </w:rPr>
          <w:t>Budget Management Report</w:t>
        </w:r>
      </w:hyperlink>
      <w:r w:rsidRPr="004D307F">
        <w:rPr>
          <w:rFonts w:ascii="VIC" w:eastAsia="Times New Roman" w:hAnsi="VIC" w:cs="Arial"/>
          <w:color w:val="011A3C"/>
          <w:sz w:val="24"/>
          <w:szCs w:val="24"/>
          <w:lang w:val="en" w:eastAsia="en-AU"/>
        </w:rPr>
        <w:t>. When budgeting to hire staff, it is important to factor in these on-costs.</w:t>
      </w:r>
      <w:r w:rsidRPr="004D307F">
        <w:rPr>
          <w:rFonts w:ascii="Calibri" w:eastAsia="Times New Roman" w:hAnsi="Calibri" w:cs="Calibri" w:hint="eastAsia"/>
          <w:color w:val="011A3C"/>
          <w:sz w:val="24"/>
          <w:szCs w:val="24"/>
          <w:lang w:val="en" w:eastAsia="en-AU"/>
        </w:rPr>
        <w:t> </w:t>
      </w:r>
    </w:p>
    <w:p w14:paraId="6D567781"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The on-costs figure is based on actual salary expenditure and, as such, it may vary throughout the course of the year based on projected expenditure.</w:t>
      </w:r>
    </w:p>
    <w:p w14:paraId="29338667"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Travel allowance</w:t>
      </w:r>
    </w:p>
    <w:p w14:paraId="38B7DEAE"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lastRenderedPageBreak/>
        <w:t>Travel allowance will be charged as a deduction against the school</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s cash line for the impacted program. This can be reviewed throughout the year on the School Budget Management and Cash reports. For information on administration and processes relating to travel allowance in </w:t>
      </w:r>
      <w:proofErr w:type="spellStart"/>
      <w:r w:rsidRPr="004D307F">
        <w:rPr>
          <w:rFonts w:ascii="VIC" w:eastAsia="Times New Roman" w:hAnsi="VIC" w:cs="Arial"/>
          <w:color w:val="011A3C"/>
          <w:sz w:val="24"/>
          <w:szCs w:val="24"/>
          <w:lang w:val="en" w:eastAsia="en-AU"/>
        </w:rPr>
        <w:t>eduPay</w:t>
      </w:r>
      <w:proofErr w:type="spellEnd"/>
      <w:r w:rsidRPr="004D307F">
        <w:rPr>
          <w:rFonts w:ascii="VIC" w:eastAsia="Times New Roman" w:hAnsi="VIC" w:cs="Arial"/>
          <w:color w:val="011A3C"/>
          <w:sz w:val="24"/>
          <w:szCs w:val="24"/>
          <w:lang w:val="en" w:eastAsia="en-AU"/>
        </w:rPr>
        <w:t xml:space="preserve"> refer to </w:t>
      </w:r>
      <w:hyperlink r:id="rId212" w:history="1">
        <w:r w:rsidRPr="004D307F">
          <w:rPr>
            <w:rFonts w:ascii="VIC" w:eastAsia="Times New Roman" w:hAnsi="VIC" w:cs="Arial"/>
            <w:color w:val="011A3C"/>
            <w:sz w:val="24"/>
            <w:szCs w:val="24"/>
            <w:lang w:val="en" w:eastAsia="en-AU"/>
          </w:rPr>
          <w:t xml:space="preserve">Travel and Personal Expenses </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Teaching Service</w:t>
        </w:r>
      </w:hyperlink>
      <w:r w:rsidRPr="004D307F">
        <w:rPr>
          <w:rFonts w:ascii="VIC" w:eastAsia="Times New Roman" w:hAnsi="VIC" w:cs="Arial"/>
          <w:color w:val="011A3C"/>
          <w:sz w:val="24"/>
          <w:szCs w:val="24"/>
          <w:lang w:val="en" w:eastAsia="en-AU"/>
        </w:rPr>
        <w:t>.</w:t>
      </w:r>
    </w:p>
    <w:p w14:paraId="00E69B12"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Principal salary charge</w:t>
      </w:r>
    </w:p>
    <w:p w14:paraId="29D7BD8F" w14:textId="77777777"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Special charging arrangements apply for the principal position in the SRP to ensure that the cost of the movement of principals</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 xml:space="preserve"> salaries within classification scales is not borne by schools.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Arial"/>
          <w:color w:val="011A3C"/>
          <w:sz w:val="24"/>
          <w:szCs w:val="24"/>
          <w:lang w:val="en" w:eastAsia="en-AU"/>
        </w:rPr>
        <w:t>This is achieved by ensuring the principal salary charge is consistent with the system of funding. Funding for the principal</w:t>
      </w:r>
      <w:r w:rsidRPr="004D307F">
        <w:rPr>
          <w:rFonts w:ascii="VIC" w:eastAsia="Times New Roman" w:hAnsi="VIC" w:cs="Arial" w:hint="eastAsia"/>
          <w:color w:val="011A3C"/>
          <w:sz w:val="24"/>
          <w:szCs w:val="24"/>
          <w:lang w:val="en" w:eastAsia="en-AU"/>
        </w:rPr>
        <w:t>’</w:t>
      </w:r>
      <w:r w:rsidRPr="004D307F">
        <w:rPr>
          <w:rFonts w:ascii="VIC" w:eastAsia="Times New Roman" w:hAnsi="VIC" w:cs="Arial"/>
          <w:color w:val="011A3C"/>
          <w:sz w:val="24"/>
          <w:szCs w:val="24"/>
          <w:lang w:val="en" w:eastAsia="en-AU"/>
        </w:rPr>
        <w:t>s position is incorporated into the SRP formulae through the per-student rates and the enrolment-linked base.</w:t>
      </w:r>
      <w:r w:rsidRPr="004D307F">
        <w:rPr>
          <w:rFonts w:ascii="Calibri" w:eastAsia="Times New Roman" w:hAnsi="Calibri" w:cs="Calibri" w:hint="eastAsia"/>
          <w:color w:val="011A3C"/>
          <w:sz w:val="24"/>
          <w:szCs w:val="24"/>
          <w:lang w:val="en" w:eastAsia="en-AU"/>
        </w:rPr>
        <w:t> </w:t>
      </w:r>
    </w:p>
    <w:p w14:paraId="548FDD62" w14:textId="379AFFDE" w:rsidR="0096466B" w:rsidRPr="004D307F" w:rsidRDefault="0096466B" w:rsidP="0096466B">
      <w:pPr>
        <w:spacing w:before="100" w:beforeAutospacing="1" w:after="100" w:afterAutospacing="1" w:line="360" w:lineRule="atLeast"/>
        <w:rPr>
          <w:rFonts w:ascii="VIC" w:eastAsia="Times New Roman" w:hAnsi="VIC" w:cs="Arial"/>
          <w:color w:val="011A3C"/>
          <w:sz w:val="24"/>
          <w:szCs w:val="24"/>
          <w:lang w:val="en" w:eastAsia="en-AU"/>
        </w:rPr>
      </w:pPr>
      <w:r w:rsidRPr="004D307F">
        <w:rPr>
          <w:rFonts w:ascii="VIC" w:eastAsia="Times New Roman" w:hAnsi="VIC" w:cs="Arial"/>
          <w:color w:val="011A3C"/>
          <w:sz w:val="24"/>
          <w:szCs w:val="24"/>
          <w:lang w:val="en" w:eastAsia="en-AU"/>
        </w:rPr>
        <w:t xml:space="preserve">The principal's salary will be charged to the school according to the formulae below for primary, </w:t>
      </w:r>
      <w:proofErr w:type="gramStart"/>
      <w:r w:rsidRPr="004D307F">
        <w:rPr>
          <w:rFonts w:ascii="VIC" w:eastAsia="Times New Roman" w:hAnsi="VIC" w:cs="Arial"/>
          <w:color w:val="011A3C"/>
          <w:sz w:val="24"/>
          <w:szCs w:val="24"/>
          <w:lang w:val="en" w:eastAsia="en-AU"/>
        </w:rPr>
        <w:t>secondary</w:t>
      </w:r>
      <w:proofErr w:type="gramEnd"/>
      <w:r w:rsidRPr="004D307F">
        <w:rPr>
          <w:rFonts w:ascii="VIC" w:eastAsia="Times New Roman" w:hAnsi="VIC" w:cs="Arial"/>
          <w:color w:val="011A3C"/>
          <w:sz w:val="24"/>
          <w:szCs w:val="24"/>
          <w:lang w:val="en" w:eastAsia="en-AU"/>
        </w:rPr>
        <w:t xml:space="preserve"> and pri</w:t>
      </w:r>
      <w:r w:rsidR="006E113F" w:rsidRPr="004D307F">
        <w:rPr>
          <w:rFonts w:ascii="VIC" w:eastAsia="Times New Roman" w:hAnsi="VIC" w:cs="Arial"/>
          <w:color w:val="011A3C"/>
          <w:sz w:val="24"/>
          <w:szCs w:val="24"/>
          <w:lang w:val="en" w:eastAsia="en-AU"/>
        </w:rPr>
        <w:t>mary/</w:t>
      </w:r>
      <w:r w:rsidR="008A6CE0" w:rsidRPr="004D307F">
        <w:rPr>
          <w:rFonts w:ascii="VIC" w:eastAsia="Times New Roman" w:hAnsi="VIC" w:cs="Arial"/>
          <w:color w:val="011A3C"/>
          <w:sz w:val="24"/>
          <w:szCs w:val="24"/>
          <w:lang w:val="en" w:eastAsia="en-AU"/>
        </w:rPr>
        <w:t>secondary schools</w:t>
      </w:r>
      <w:r w:rsidRPr="004D307F">
        <w:rPr>
          <w:rFonts w:ascii="VIC" w:eastAsia="Times New Roman" w:hAnsi="VIC" w:cs="Arial"/>
          <w:color w:val="011A3C"/>
          <w:sz w:val="24"/>
          <w:szCs w:val="24"/>
          <w:lang w:val="en" w:eastAsia="en-AU"/>
        </w:rPr>
        <w:t>. In this way, the charge for the principal's salary is aligned with the amount effectively funded into the overall SRP model.</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1774"/>
        <w:gridCol w:w="1291"/>
        <w:gridCol w:w="1250"/>
        <w:gridCol w:w="2236"/>
        <w:gridCol w:w="1362"/>
      </w:tblGrid>
      <w:tr w:rsidR="0096466B" w:rsidRPr="004D307F" w14:paraId="08CFD7FC" w14:textId="77777777" w:rsidTr="005C36EC">
        <w:trPr>
          <w:tblHeader/>
        </w:trPr>
        <w:tc>
          <w:tcPr>
            <w:tcW w:w="5000" w:type="pct"/>
            <w:gridSpan w:val="6"/>
            <w:vAlign w:val="center"/>
            <w:hideMark/>
          </w:tcPr>
          <w:p w14:paraId="2E2CD40E" w14:textId="77777777" w:rsidR="0096466B" w:rsidRPr="004D307F" w:rsidRDefault="0096466B" w:rsidP="003243F4">
            <w:pPr>
              <w:spacing w:before="100" w:beforeAutospacing="1" w:after="100" w:afterAutospacing="1" w:line="288" w:lineRule="atLeast"/>
              <w:outlineLvl w:val="2"/>
              <w:rPr>
                <w:rFonts w:ascii="VIC" w:eastAsia="Times New Roman" w:hAnsi="VIC" w:cs="Arial"/>
                <w:sz w:val="24"/>
                <w:szCs w:val="24"/>
                <w:lang w:eastAsia="en-AU"/>
              </w:rPr>
            </w:pPr>
            <w:r w:rsidRPr="004D307F">
              <w:rPr>
                <w:rFonts w:ascii="VIC" w:eastAsia="Times New Roman" w:hAnsi="VIC" w:cs="Arial"/>
                <w:b/>
                <w:bCs/>
                <w:color w:val="011A3C"/>
                <w:sz w:val="27"/>
                <w:szCs w:val="27"/>
                <w:lang w:val="en" w:eastAsia="en-AU"/>
              </w:rPr>
              <w:t>Principal salary charge</w:t>
            </w:r>
          </w:p>
        </w:tc>
      </w:tr>
      <w:tr w:rsidR="005C36EC" w:rsidRPr="004D307F" w14:paraId="1368989C" w14:textId="77777777" w:rsidTr="005C36EC">
        <w:trPr>
          <w:tblHeader/>
        </w:trPr>
        <w:tc>
          <w:tcPr>
            <w:tcW w:w="0" w:type="auto"/>
            <w:hideMark/>
          </w:tcPr>
          <w:p w14:paraId="289D892F" w14:textId="77777777" w:rsidR="0096466B" w:rsidRPr="004D307F" w:rsidRDefault="0096466B" w:rsidP="00ED4312">
            <w:pPr>
              <w:spacing w:after="0" w:line="240" w:lineRule="atLeast"/>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School Type</w:t>
            </w:r>
          </w:p>
        </w:tc>
        <w:tc>
          <w:tcPr>
            <w:tcW w:w="1006" w:type="pct"/>
            <w:hideMark/>
          </w:tcPr>
          <w:p w14:paraId="3EA4911D" w14:textId="77777777"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Base</w:t>
            </w:r>
          </w:p>
        </w:tc>
        <w:tc>
          <w:tcPr>
            <w:tcW w:w="743" w:type="pct"/>
            <w:hideMark/>
          </w:tcPr>
          <w:p w14:paraId="4A5FD27C" w14:textId="77777777"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Per student</w:t>
            </w:r>
          </w:p>
        </w:tc>
        <w:tc>
          <w:tcPr>
            <w:tcW w:w="585" w:type="pct"/>
            <w:hideMark/>
          </w:tcPr>
          <w:p w14:paraId="591ACDCA" w14:textId="77777777"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Enrolment cap</w:t>
            </w:r>
          </w:p>
        </w:tc>
        <w:tc>
          <w:tcPr>
            <w:tcW w:w="1256" w:type="pct"/>
            <w:hideMark/>
          </w:tcPr>
          <w:p w14:paraId="7455AA0D" w14:textId="0897A89B"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Total per capita</w:t>
            </w:r>
          </w:p>
        </w:tc>
        <w:tc>
          <w:tcPr>
            <w:tcW w:w="781" w:type="pct"/>
            <w:hideMark/>
          </w:tcPr>
          <w:p w14:paraId="1569B59A" w14:textId="77777777" w:rsidR="0096466B" w:rsidRPr="004D307F" w:rsidRDefault="0096466B" w:rsidP="00F80BBD">
            <w:pPr>
              <w:spacing w:after="0" w:line="24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Total charge</w:t>
            </w:r>
          </w:p>
        </w:tc>
      </w:tr>
      <w:tr w:rsidR="005C36EC" w:rsidRPr="004D307F" w14:paraId="0AD6B0A9" w14:textId="77777777" w:rsidTr="005C36EC">
        <w:tc>
          <w:tcPr>
            <w:tcW w:w="0" w:type="auto"/>
            <w:hideMark/>
          </w:tcPr>
          <w:p w14:paraId="2EB34CF9" w14:textId="77777777" w:rsidR="005C36EC" w:rsidRPr="004D307F" w:rsidRDefault="005C36EC" w:rsidP="005C36EC">
            <w:pPr>
              <w:spacing w:after="0" w:line="360" w:lineRule="atLeast"/>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Primary</w:t>
            </w:r>
          </w:p>
        </w:tc>
        <w:tc>
          <w:tcPr>
            <w:tcW w:w="1006" w:type="pct"/>
            <w:hideMark/>
          </w:tcPr>
          <w:p w14:paraId="2F9CBE0E" w14:textId="61199563"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$128,564</w:t>
            </w:r>
          </w:p>
        </w:tc>
        <w:tc>
          <w:tcPr>
            <w:tcW w:w="743" w:type="pct"/>
            <w:hideMark/>
          </w:tcPr>
          <w:p w14:paraId="2B33F182" w14:textId="2D84F1C6"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$83.89</w:t>
            </w:r>
          </w:p>
        </w:tc>
        <w:tc>
          <w:tcPr>
            <w:tcW w:w="585" w:type="pct"/>
            <w:hideMark/>
          </w:tcPr>
          <w:p w14:paraId="02C4DA94" w14:textId="77777777"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536</w:t>
            </w:r>
          </w:p>
        </w:tc>
        <w:tc>
          <w:tcPr>
            <w:tcW w:w="1256" w:type="pct"/>
            <w:hideMark/>
          </w:tcPr>
          <w:p w14:paraId="550204C7" w14:textId="603C079A"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$44,965.04</w:t>
            </w:r>
          </w:p>
        </w:tc>
        <w:tc>
          <w:tcPr>
            <w:tcW w:w="781" w:type="pct"/>
            <w:hideMark/>
          </w:tcPr>
          <w:p w14:paraId="497E3C28" w14:textId="79FC9481"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$173,529.04</w:t>
            </w:r>
          </w:p>
        </w:tc>
      </w:tr>
      <w:tr w:rsidR="005C36EC" w:rsidRPr="004D307F" w14:paraId="76CFC196" w14:textId="77777777" w:rsidTr="005C36EC">
        <w:tc>
          <w:tcPr>
            <w:tcW w:w="0" w:type="auto"/>
            <w:hideMark/>
          </w:tcPr>
          <w:p w14:paraId="69440CF9" w14:textId="77777777" w:rsidR="005C36EC" w:rsidRPr="004D307F" w:rsidRDefault="005C36EC" w:rsidP="005C36EC">
            <w:pPr>
              <w:spacing w:after="0" w:line="360" w:lineRule="atLeast"/>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Secondary</w:t>
            </w:r>
          </w:p>
        </w:tc>
        <w:tc>
          <w:tcPr>
            <w:tcW w:w="1006" w:type="pct"/>
            <w:hideMark/>
          </w:tcPr>
          <w:p w14:paraId="72B29488" w14:textId="69DA18D7"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$148,104</w:t>
            </w:r>
          </w:p>
        </w:tc>
        <w:tc>
          <w:tcPr>
            <w:tcW w:w="743" w:type="pct"/>
            <w:hideMark/>
          </w:tcPr>
          <w:p w14:paraId="47F90AB6" w14:textId="6EF7D33C"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$33.24</w:t>
            </w:r>
          </w:p>
        </w:tc>
        <w:tc>
          <w:tcPr>
            <w:tcW w:w="585" w:type="pct"/>
            <w:hideMark/>
          </w:tcPr>
          <w:p w14:paraId="381CB1C6" w14:textId="77777777"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1148</w:t>
            </w:r>
          </w:p>
        </w:tc>
        <w:tc>
          <w:tcPr>
            <w:tcW w:w="1256" w:type="pct"/>
            <w:hideMark/>
          </w:tcPr>
          <w:p w14:paraId="3FDCC19C" w14:textId="346F8A8D"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$38,159.52</w:t>
            </w:r>
          </w:p>
        </w:tc>
        <w:tc>
          <w:tcPr>
            <w:tcW w:w="781" w:type="pct"/>
            <w:hideMark/>
          </w:tcPr>
          <w:p w14:paraId="12FC5EDB" w14:textId="3623107A"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$186,263.52</w:t>
            </w:r>
          </w:p>
        </w:tc>
      </w:tr>
      <w:tr w:rsidR="005C36EC" w:rsidRPr="004D307F" w14:paraId="2E1590E8" w14:textId="77777777" w:rsidTr="005C36EC">
        <w:tc>
          <w:tcPr>
            <w:tcW w:w="0" w:type="auto"/>
            <w:hideMark/>
          </w:tcPr>
          <w:p w14:paraId="1B428304" w14:textId="04B18600" w:rsidR="005C36EC" w:rsidRPr="004D307F" w:rsidRDefault="005C36EC" w:rsidP="005C36EC">
            <w:pPr>
              <w:spacing w:after="0" w:line="360" w:lineRule="atLeast"/>
              <w:rPr>
                <w:rFonts w:ascii="VIC" w:eastAsia="Times New Roman" w:hAnsi="VIC" w:cs="Arial"/>
                <w:color w:val="323E4F" w:themeColor="text2" w:themeShade="BF"/>
                <w:sz w:val="24"/>
                <w:szCs w:val="24"/>
                <w:lang w:eastAsia="en-AU"/>
              </w:rPr>
            </w:pPr>
            <w:proofErr w:type="spellStart"/>
            <w:r w:rsidRPr="004D307F">
              <w:rPr>
                <w:rFonts w:ascii="VIC" w:eastAsia="Times New Roman" w:hAnsi="VIC" w:cs="Arial"/>
                <w:color w:val="323E4F" w:themeColor="text2" w:themeShade="BF"/>
                <w:sz w:val="24"/>
                <w:szCs w:val="24"/>
                <w:lang w:eastAsia="en-AU"/>
              </w:rPr>
              <w:t>Pri</w:t>
            </w:r>
            <w:proofErr w:type="spellEnd"/>
            <w:r w:rsidRPr="004D307F">
              <w:rPr>
                <w:rFonts w:ascii="VIC" w:eastAsia="Times New Roman" w:hAnsi="VIC" w:cs="Arial"/>
                <w:color w:val="323E4F" w:themeColor="text2" w:themeShade="BF"/>
                <w:sz w:val="24"/>
                <w:szCs w:val="24"/>
                <w:lang w:eastAsia="en-AU"/>
              </w:rPr>
              <w:t>-Sec combined</w:t>
            </w:r>
          </w:p>
        </w:tc>
        <w:tc>
          <w:tcPr>
            <w:tcW w:w="1006" w:type="pct"/>
            <w:hideMark/>
          </w:tcPr>
          <w:p w14:paraId="61A8FD1A" w14:textId="7A3BD635"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$152,112</w:t>
            </w:r>
          </w:p>
        </w:tc>
        <w:tc>
          <w:tcPr>
            <w:tcW w:w="743" w:type="pct"/>
            <w:hideMark/>
          </w:tcPr>
          <w:p w14:paraId="2B02C7AE" w14:textId="6495B0CE"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$34.00</w:t>
            </w:r>
          </w:p>
        </w:tc>
        <w:tc>
          <w:tcPr>
            <w:tcW w:w="585" w:type="pct"/>
            <w:hideMark/>
          </w:tcPr>
          <w:p w14:paraId="24B33401" w14:textId="77777777"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631</w:t>
            </w:r>
          </w:p>
        </w:tc>
        <w:tc>
          <w:tcPr>
            <w:tcW w:w="1256" w:type="pct"/>
            <w:hideMark/>
          </w:tcPr>
          <w:p w14:paraId="09DEE362" w14:textId="5DACAAEC"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$21,454.00</w:t>
            </w:r>
          </w:p>
        </w:tc>
        <w:tc>
          <w:tcPr>
            <w:tcW w:w="781" w:type="pct"/>
            <w:hideMark/>
          </w:tcPr>
          <w:p w14:paraId="46C5D1FC" w14:textId="442602A4" w:rsidR="005C36EC" w:rsidRPr="004D307F" w:rsidRDefault="005C36EC" w:rsidP="005C36EC">
            <w:pPr>
              <w:spacing w:after="0" w:line="360" w:lineRule="atLeast"/>
              <w:jc w:val="center"/>
              <w:rPr>
                <w:rFonts w:ascii="VIC" w:eastAsia="Times New Roman" w:hAnsi="VIC" w:cs="Arial"/>
                <w:color w:val="323E4F" w:themeColor="text2" w:themeShade="BF"/>
                <w:sz w:val="24"/>
                <w:szCs w:val="24"/>
                <w:lang w:eastAsia="en-AU"/>
              </w:rPr>
            </w:pPr>
            <w:r w:rsidRPr="004D307F">
              <w:rPr>
                <w:rFonts w:ascii="VIC" w:eastAsia="Times New Roman" w:hAnsi="VIC" w:cs="Arial"/>
                <w:color w:val="323E4F" w:themeColor="text2" w:themeShade="BF"/>
                <w:sz w:val="24"/>
                <w:szCs w:val="24"/>
                <w:lang w:eastAsia="en-AU"/>
              </w:rPr>
              <w:t>$173,566.00</w:t>
            </w:r>
          </w:p>
        </w:tc>
      </w:tr>
    </w:tbl>
    <w:p w14:paraId="0C64DE64" w14:textId="77777777" w:rsidR="0096466B" w:rsidRPr="004D307F" w:rsidRDefault="0096466B" w:rsidP="0096466B">
      <w:pPr>
        <w:rPr>
          <w:rFonts w:ascii="VIC" w:hAnsi="VIC"/>
        </w:rPr>
      </w:pPr>
    </w:p>
    <w:p w14:paraId="14B44818" w14:textId="77777777" w:rsidR="0096466B" w:rsidRPr="004D307F" w:rsidRDefault="0096466B" w:rsidP="0096466B">
      <w:pPr>
        <w:rPr>
          <w:rFonts w:ascii="VIC" w:hAnsi="VIC"/>
        </w:rPr>
      </w:pPr>
      <w:r w:rsidRPr="004D307F">
        <w:rPr>
          <w:rFonts w:ascii="VIC" w:hAnsi="VIC"/>
        </w:rPr>
        <w:br w:type="page"/>
      </w:r>
    </w:p>
    <w:p w14:paraId="633E892C" w14:textId="79759A30" w:rsidR="0096466B" w:rsidRPr="004D307F" w:rsidRDefault="0096466B" w:rsidP="00B566E7">
      <w:pPr>
        <w:pStyle w:val="Heading2"/>
      </w:pPr>
      <w:bookmarkStart w:id="138" w:name="_Toc99882796"/>
      <w:r w:rsidRPr="004D307F">
        <w:lastRenderedPageBreak/>
        <w:t>Relief staffing</w:t>
      </w:r>
      <w:bookmarkEnd w:id="138"/>
    </w:p>
    <w:p w14:paraId="71214F9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Funds are incorporated into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Student Resource Package (SRP) to enable schools to manage </w:t>
      </w:r>
      <w:proofErr w:type="gramStart"/>
      <w:r w:rsidRPr="004D307F">
        <w:rPr>
          <w:rFonts w:ascii="VIC" w:eastAsia="Times New Roman" w:hAnsi="VIC" w:cs="Times New Roman"/>
          <w:color w:val="011A3C"/>
          <w:sz w:val="24"/>
          <w:szCs w:val="24"/>
          <w:lang w:val="en" w:eastAsia="en-AU"/>
        </w:rPr>
        <w:t>all of</w:t>
      </w:r>
      <w:proofErr w:type="gramEnd"/>
      <w:r w:rsidRPr="004D307F">
        <w:rPr>
          <w:rFonts w:ascii="VIC" w:eastAsia="Times New Roman" w:hAnsi="VIC" w:cs="Times New Roman"/>
          <w:color w:val="011A3C"/>
          <w:sz w:val="24"/>
          <w:szCs w:val="24"/>
          <w:lang w:val="en" w:eastAsia="en-AU"/>
        </w:rPr>
        <w:t xml:space="preserve"> their short and long-term relief teaching requirements.</w:t>
      </w:r>
    </w:p>
    <w:p w14:paraId="25F8838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There are exceptions in the nominated leave items outlined below. Relief funds are incorporated throughout the SRP formulae and are not separately identified.</w:t>
      </w:r>
    </w:p>
    <w:p w14:paraId="49DA496D"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Long-term leave is defined as leave of greater than 30 consecutive school days.</w:t>
      </w:r>
    </w:p>
    <w:p w14:paraId="563FB8B5"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relief planning</w:t>
      </w:r>
    </w:p>
    <w:p w14:paraId="659DD6FC"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nominated leave items</w:t>
      </w:r>
    </w:p>
    <w:p w14:paraId="734D7C94"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relief funding</w:t>
      </w:r>
    </w:p>
    <w:p w14:paraId="7EB11D58"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proofErr w:type="spellStart"/>
      <w:r w:rsidRPr="004D307F">
        <w:rPr>
          <w:rFonts w:ascii="VIC" w:eastAsia="Times New Roman" w:hAnsi="VIC" w:cs="Times New Roman"/>
          <w:color w:val="011A3C"/>
          <w:sz w:val="24"/>
          <w:szCs w:val="24"/>
          <w:lang w:val="en" w:eastAsia="en-AU"/>
        </w:rPr>
        <w:t>Defence</w:t>
      </w:r>
      <w:proofErr w:type="spellEnd"/>
      <w:r w:rsidRPr="004D307F">
        <w:rPr>
          <w:rFonts w:ascii="VIC" w:eastAsia="Times New Roman" w:hAnsi="VIC" w:cs="Times New Roman"/>
          <w:color w:val="011A3C"/>
          <w:sz w:val="24"/>
          <w:szCs w:val="24"/>
          <w:lang w:val="en" w:eastAsia="en-AU"/>
        </w:rPr>
        <w:t xml:space="preserve"> Force leave</w:t>
      </w:r>
    </w:p>
    <w:p w14:paraId="6BBFA23E"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long-term leave</w:t>
      </w:r>
    </w:p>
    <w:p w14:paraId="31C0064E"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identification of a replacement</w:t>
      </w:r>
    </w:p>
    <w:p w14:paraId="2EBEB9D3"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trailing holidays</w:t>
      </w:r>
    </w:p>
    <w:p w14:paraId="65EBA52C" w14:textId="77777777" w:rsidR="0096466B" w:rsidRPr="004D307F" w:rsidRDefault="0096466B" w:rsidP="00ED0863">
      <w:pPr>
        <w:numPr>
          <w:ilvl w:val="0"/>
          <w:numId w:val="9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teaching scholarship scheme</w:t>
      </w:r>
    </w:p>
    <w:p w14:paraId="1C2C7ACE"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Relief planning</w:t>
      </w:r>
    </w:p>
    <w:p w14:paraId="716FE0F0"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As part of the relief planning process, principals should consider the duties and expertise of all staff and allocate tasks accordingly. A reallocation of duties may be required </w:t>
      </w:r>
      <w:proofErr w:type="gramStart"/>
      <w:r w:rsidRPr="004D307F">
        <w:rPr>
          <w:rFonts w:ascii="VIC" w:eastAsia="Times New Roman" w:hAnsi="VIC" w:cs="Times New Roman"/>
          <w:color w:val="011A3C"/>
          <w:sz w:val="24"/>
          <w:szCs w:val="24"/>
          <w:lang w:val="en" w:eastAsia="en-AU"/>
        </w:rPr>
        <w:t>in order to</w:t>
      </w:r>
      <w:proofErr w:type="gramEnd"/>
      <w:r w:rsidRPr="004D307F">
        <w:rPr>
          <w:rFonts w:ascii="VIC" w:eastAsia="Times New Roman" w:hAnsi="VIC" w:cs="Times New Roman"/>
          <w:color w:val="011A3C"/>
          <w:sz w:val="24"/>
          <w:szCs w:val="24"/>
          <w:lang w:val="en" w:eastAsia="en-AU"/>
        </w:rPr>
        <w:t xml:space="preserve"> provide or maintain the desired curriculum or support provision in the school.</w:t>
      </w:r>
    </w:p>
    <w:p w14:paraId="6C15488D"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Replacement teaching staff are to be provided only when face-to-face teaching is required and where no internal resource is available. Contingency plans should be in place to provide for temporary re-</w:t>
      </w:r>
      <w:proofErr w:type="spellStart"/>
      <w:r w:rsidRPr="004D307F">
        <w:rPr>
          <w:rFonts w:ascii="VIC" w:eastAsia="Times New Roman" w:hAnsi="VIC" w:cs="Times New Roman"/>
          <w:color w:val="011A3C"/>
          <w:sz w:val="24"/>
          <w:szCs w:val="24"/>
          <w:lang w:val="en" w:eastAsia="en-AU"/>
        </w:rPr>
        <w:t>organisation</w:t>
      </w:r>
      <w:proofErr w:type="spellEnd"/>
      <w:r w:rsidRPr="004D307F">
        <w:rPr>
          <w:rFonts w:ascii="VIC" w:eastAsia="Times New Roman" w:hAnsi="VIC" w:cs="Times New Roman"/>
          <w:color w:val="011A3C"/>
          <w:sz w:val="24"/>
          <w:szCs w:val="24"/>
          <w:lang w:val="en" w:eastAsia="en-AU"/>
        </w:rPr>
        <w:t xml:space="preserve"> of teaching programs and extras to maintain necessary face-to-face teaching.</w:t>
      </w:r>
    </w:p>
    <w:p w14:paraId="078D42A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It is expected that principals will develop a school-based staff replacement plan and make adequate provision for relief costs to be met from within the total credit component of their SRP. Special support arrangements operate in respect of long-term leave via the 'Long-term Leave Support Scheme</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detailed below.</w:t>
      </w:r>
    </w:p>
    <w:p w14:paraId="5143F7FC"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lastRenderedPageBreak/>
        <w:t>Nominated leave items</w:t>
      </w:r>
    </w:p>
    <w:p w14:paraId="378D522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will be reimbursed for the cost of relief for the following types of leave:</w:t>
      </w:r>
    </w:p>
    <w:p w14:paraId="43960A5F" w14:textId="77777777" w:rsidR="0096466B" w:rsidRPr="004D307F" w:rsidRDefault="0096466B" w:rsidP="00ED0863">
      <w:pPr>
        <w:numPr>
          <w:ilvl w:val="0"/>
          <w:numId w:val="9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long service </w:t>
      </w:r>
      <w:proofErr w:type="gramStart"/>
      <w:r w:rsidRPr="004D307F">
        <w:rPr>
          <w:rFonts w:ascii="VIC" w:eastAsia="Times New Roman" w:hAnsi="VIC" w:cs="Times New Roman"/>
          <w:color w:val="011A3C"/>
          <w:sz w:val="24"/>
          <w:szCs w:val="24"/>
          <w:lang w:val="en" w:eastAsia="en-AU"/>
        </w:rPr>
        <w:t>leave</w:t>
      </w:r>
      <w:proofErr w:type="gramEnd"/>
      <w:r w:rsidRPr="004D307F">
        <w:rPr>
          <w:rFonts w:ascii="VIC" w:eastAsia="Times New Roman" w:hAnsi="VIC" w:cs="Times New Roman"/>
          <w:color w:val="011A3C"/>
          <w:sz w:val="24"/>
          <w:szCs w:val="24"/>
          <w:lang w:val="en" w:eastAsia="en-AU"/>
        </w:rPr>
        <w:t xml:space="preserve"> and paid parental absences, for example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maternity, partner, other paid parental leave (over and under 30 days)</w:t>
      </w:r>
    </w:p>
    <w:p w14:paraId="6E18B4AD" w14:textId="77777777" w:rsidR="0096466B" w:rsidRPr="004D307F" w:rsidRDefault="0096466B" w:rsidP="00ED0863">
      <w:pPr>
        <w:numPr>
          <w:ilvl w:val="0"/>
          <w:numId w:val="9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absences after the first 10 days (Workcover threshold)</w:t>
      </w:r>
    </w:p>
    <w:p w14:paraId="44D84CB4" w14:textId="77777777" w:rsidR="0096466B" w:rsidRPr="004D307F" w:rsidRDefault="0096466B" w:rsidP="00ED0863">
      <w:pPr>
        <w:numPr>
          <w:ilvl w:val="0"/>
          <w:numId w:val="9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Transport Accident Commission Leave</w:t>
      </w:r>
    </w:p>
    <w:p w14:paraId="390378F9" w14:textId="77777777" w:rsidR="0096466B" w:rsidRPr="004D307F" w:rsidRDefault="0096466B" w:rsidP="00ED0863">
      <w:pPr>
        <w:numPr>
          <w:ilvl w:val="0"/>
          <w:numId w:val="9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major sporting competition leave</w:t>
      </w:r>
    </w:p>
    <w:p w14:paraId="5544AB4B" w14:textId="01401E6E"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Where leave is 30 working days or less the DET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Schools Finance and Resources Branch will approve reimbursement from contingency funds, providing that relief is required (where no internal resource can be available) and is employed. For leave over 30 days, funds will be allocated to cover the range of potential replacement costs, including fixed-term appointments and higher duties.</w:t>
      </w:r>
    </w:p>
    <w:p w14:paraId="466C36F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Where there is insufficient overall credit surplus in the SRP to employ relief, schools must have a deficit management strategy in place to reduce the deficit and to meet relief contingencies, having a view to using both the credit and cash components of the SRP. A summary of relief fund sources is provided in the table below.</w:t>
      </w:r>
    </w:p>
    <w:p w14:paraId="40863A1D" w14:textId="63DB375C"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replacement can be a central or local/agency employee who meets the criteria below. Reimbursement will be cash</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or credit depending on the type of replacement nominated by the school. </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However, cash reimbursement can only be for periods up to 30 school days.</w:t>
      </w:r>
      <w:r w:rsidR="00745DC1"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 xml:space="preserve">Schools are required to process and submit nominated replacement details on a regular basis and need to be submitted </w:t>
      </w:r>
      <w:r w:rsidRPr="004D307F">
        <w:rPr>
          <w:rFonts w:ascii="VIC" w:eastAsia="Times New Roman" w:hAnsi="VIC" w:cs="Times New Roman"/>
          <w:b/>
          <w:bCs/>
          <w:color w:val="011A3C"/>
          <w:sz w:val="24"/>
          <w:szCs w:val="24"/>
          <w:lang w:val="en" w:eastAsia="en-AU"/>
        </w:rPr>
        <w:t>no later than by the end of the next term after the replacement took place</w:t>
      </w:r>
      <w:r w:rsidRPr="004D307F">
        <w:rPr>
          <w:rFonts w:ascii="VIC" w:eastAsia="Times New Roman" w:hAnsi="VIC" w:cs="Times New Roman"/>
          <w:color w:val="011A3C"/>
          <w:sz w:val="24"/>
          <w:szCs w:val="24"/>
          <w:lang w:val="en" w:eastAsia="en-AU"/>
        </w:rPr>
        <w:t>.</w:t>
      </w:r>
    </w:p>
    <w:p w14:paraId="31221154" w14:textId="77777777" w:rsidR="005A2BF2" w:rsidRPr="004D307F" w:rsidRDefault="005A2BF2" w:rsidP="005A2BF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Please Note: The SRP leave reimbursement will only be provided where a teacher replaced a teacher and where an Education Support staff member replaced an Education Support staff member.</w:t>
      </w:r>
    </w:p>
    <w:p w14:paraId="787038D5" w14:textId="70A50BD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Cash reimbursements are subject to investigation which will be undertaken continuously throughout the year. Periodic and random checks will be made at schools to ensure the integrity of the process is maintained and schools </w:t>
      </w:r>
      <w:r w:rsidRPr="004D307F">
        <w:rPr>
          <w:rFonts w:ascii="VIC" w:eastAsia="Times New Roman" w:hAnsi="VIC" w:cs="Times New Roman"/>
          <w:color w:val="011A3C"/>
          <w:sz w:val="24"/>
          <w:szCs w:val="24"/>
          <w:lang w:val="en" w:eastAsia="en-AU"/>
        </w:rPr>
        <w:lastRenderedPageBreak/>
        <w:t xml:space="preserve">maintain accountability for the submission process. Documentation will also be reviewed to ensure appropriate evidence is on file </w:t>
      </w:r>
      <w:r w:rsidR="00745DC1" w:rsidRPr="004D307F">
        <w:rPr>
          <w:rFonts w:ascii="VIC" w:eastAsia="Times New Roman" w:hAnsi="VIC" w:cs="Times New Roman"/>
          <w:color w:val="011A3C"/>
          <w:sz w:val="24"/>
          <w:szCs w:val="24"/>
          <w:lang w:val="en" w:eastAsia="en-AU"/>
        </w:rPr>
        <w:t xml:space="preserve">such as </w:t>
      </w:r>
      <w:r w:rsidRPr="004D307F">
        <w:rPr>
          <w:rFonts w:ascii="VIC" w:eastAsia="Times New Roman" w:hAnsi="VIC" w:cs="Times New Roman"/>
          <w:color w:val="011A3C"/>
          <w:sz w:val="24"/>
          <w:szCs w:val="24"/>
          <w:lang w:val="en" w:eastAsia="en-AU"/>
        </w:rPr>
        <w:t>time sheets and invoices.</w:t>
      </w:r>
    </w:p>
    <w:p w14:paraId="04413C78" w14:textId="77777777" w:rsidR="0096466B" w:rsidRPr="004D307F" w:rsidRDefault="0096466B" w:rsidP="0096466B">
      <w:pPr>
        <w:spacing w:before="100" w:beforeAutospacing="1" w:after="100" w:afterAutospacing="1" w:line="288" w:lineRule="atLeast"/>
        <w:outlineLvl w:val="2"/>
        <w:rPr>
          <w:rFonts w:ascii="VIC" w:eastAsia="Times New Roman" w:hAnsi="VIC" w:cs="Arial"/>
          <w:b/>
          <w:bCs/>
          <w:color w:val="011A3C"/>
          <w:sz w:val="27"/>
          <w:szCs w:val="27"/>
          <w:lang w:val="en" w:eastAsia="en-AU"/>
        </w:rPr>
      </w:pPr>
      <w:r w:rsidRPr="004D307F">
        <w:rPr>
          <w:rFonts w:ascii="VIC" w:eastAsia="Times New Roman" w:hAnsi="VIC" w:cs="Arial"/>
          <w:b/>
          <w:bCs/>
          <w:color w:val="011A3C"/>
          <w:sz w:val="27"/>
          <w:szCs w:val="27"/>
          <w:lang w:val="en" w:eastAsia="en-AU"/>
        </w:rPr>
        <w:t>Relief funding</w:t>
      </w:r>
    </w:p>
    <w:p w14:paraId="55B96916"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following table </w:t>
      </w:r>
      <w:proofErr w:type="spellStart"/>
      <w:r w:rsidRPr="004D307F">
        <w:rPr>
          <w:rFonts w:ascii="VIC" w:eastAsia="Times New Roman" w:hAnsi="VIC" w:cs="Times New Roman"/>
          <w:color w:val="011A3C"/>
          <w:sz w:val="24"/>
          <w:szCs w:val="24"/>
          <w:lang w:val="en" w:eastAsia="en-AU"/>
        </w:rPr>
        <w:t>summarises</w:t>
      </w:r>
      <w:proofErr w:type="spellEnd"/>
      <w:r w:rsidRPr="004D307F">
        <w:rPr>
          <w:rFonts w:ascii="VIC" w:eastAsia="Times New Roman" w:hAnsi="VIC" w:cs="Times New Roman"/>
          <w:color w:val="011A3C"/>
          <w:sz w:val="24"/>
          <w:szCs w:val="24"/>
          <w:lang w:val="en" w:eastAsia="en-AU"/>
        </w:rPr>
        <w:t xml:space="preserve"> the funding source for each leave type for principals, </w:t>
      </w:r>
      <w:proofErr w:type="gramStart"/>
      <w:r w:rsidRPr="004D307F">
        <w:rPr>
          <w:rFonts w:ascii="VIC" w:eastAsia="Times New Roman" w:hAnsi="VIC" w:cs="Times New Roman"/>
          <w:color w:val="011A3C"/>
          <w:sz w:val="24"/>
          <w:szCs w:val="24"/>
          <w:lang w:val="en" w:eastAsia="en-AU"/>
        </w:rPr>
        <w:t>teachers</w:t>
      </w:r>
      <w:proofErr w:type="gramEnd"/>
      <w:r w:rsidRPr="004D307F">
        <w:rPr>
          <w:rFonts w:ascii="VIC" w:eastAsia="Times New Roman" w:hAnsi="VIC" w:cs="Times New Roman"/>
          <w:color w:val="011A3C"/>
          <w:sz w:val="24"/>
          <w:szCs w:val="24"/>
          <w:lang w:val="en" w:eastAsia="en-AU"/>
        </w:rPr>
        <w:t xml:space="preserve"> and education support officers: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9"/>
        <w:gridCol w:w="2135"/>
        <w:gridCol w:w="1641"/>
        <w:gridCol w:w="2461"/>
      </w:tblGrid>
      <w:tr w:rsidR="0096466B" w:rsidRPr="004D307F" w14:paraId="5EBD323F" w14:textId="77777777" w:rsidTr="003243F4">
        <w:trPr>
          <w:tblHeader/>
        </w:trPr>
        <w:tc>
          <w:tcPr>
            <w:tcW w:w="0" w:type="auto"/>
            <w:gridSpan w:val="4"/>
            <w:vAlign w:val="center"/>
            <w:hideMark/>
          </w:tcPr>
          <w:p w14:paraId="45015240"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 xml:space="preserve">Relief funding </w:t>
            </w:r>
            <w:r w:rsidRPr="004D307F">
              <w:rPr>
                <w:rFonts w:ascii="VIC" w:eastAsia="Times New Roman" w:hAnsi="VIC" w:cs="Times New Roman" w:hint="eastAsia"/>
                <w:b/>
                <w:bCs/>
                <w:color w:val="323E4F" w:themeColor="text2" w:themeShade="BF"/>
                <w:sz w:val="24"/>
                <w:szCs w:val="24"/>
                <w:lang w:eastAsia="en-AU"/>
              </w:rPr>
              <w:t>—</w:t>
            </w:r>
            <w:r w:rsidRPr="004D307F">
              <w:rPr>
                <w:rFonts w:ascii="VIC" w:eastAsia="Times New Roman" w:hAnsi="VIC" w:cs="Times New Roman"/>
                <w:b/>
                <w:bCs/>
                <w:color w:val="323E4F" w:themeColor="text2" w:themeShade="BF"/>
                <w:sz w:val="24"/>
                <w:szCs w:val="24"/>
                <w:lang w:eastAsia="en-AU"/>
              </w:rPr>
              <w:t xml:space="preserve"> Principals</w:t>
            </w:r>
          </w:p>
        </w:tc>
      </w:tr>
      <w:tr w:rsidR="0096466B" w:rsidRPr="004D307F" w14:paraId="2B6FB657" w14:textId="77777777" w:rsidTr="003243F4">
        <w:trPr>
          <w:tblHeader/>
        </w:trPr>
        <w:tc>
          <w:tcPr>
            <w:tcW w:w="0" w:type="auto"/>
            <w:hideMark/>
          </w:tcPr>
          <w:p w14:paraId="1B3D824A"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Principals</w:t>
            </w:r>
          </w:p>
        </w:tc>
        <w:tc>
          <w:tcPr>
            <w:tcW w:w="0" w:type="auto"/>
            <w:hideMark/>
          </w:tcPr>
          <w:p w14:paraId="21BC1DD6"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1-5 Days</w:t>
            </w:r>
          </w:p>
        </w:tc>
        <w:tc>
          <w:tcPr>
            <w:tcW w:w="0" w:type="auto"/>
            <w:hideMark/>
          </w:tcPr>
          <w:p w14:paraId="48D1631F"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6-30 Days</w:t>
            </w:r>
          </w:p>
        </w:tc>
        <w:tc>
          <w:tcPr>
            <w:tcW w:w="0" w:type="auto"/>
            <w:hideMark/>
          </w:tcPr>
          <w:p w14:paraId="23D487F0"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More than 30 days (31+)</w:t>
            </w:r>
          </w:p>
        </w:tc>
      </w:tr>
      <w:tr w:rsidR="0096466B" w:rsidRPr="004D307F" w14:paraId="28E12954" w14:textId="77777777" w:rsidTr="003243F4">
        <w:tc>
          <w:tcPr>
            <w:tcW w:w="0" w:type="auto"/>
            <w:hideMark/>
          </w:tcPr>
          <w:p w14:paraId="77B2EB4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Sick leave</w:t>
            </w:r>
          </w:p>
        </w:tc>
        <w:tc>
          <w:tcPr>
            <w:tcW w:w="0" w:type="auto"/>
            <w:hideMark/>
          </w:tcPr>
          <w:p w14:paraId="25F86A5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c>
          <w:tcPr>
            <w:tcW w:w="0" w:type="auto"/>
            <w:hideMark/>
          </w:tcPr>
          <w:p w14:paraId="461569E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For periods of more than five days, higher duties must be entered on </w:t>
            </w:r>
            <w:proofErr w:type="spellStart"/>
            <w:r w:rsidRPr="004D307F">
              <w:rPr>
                <w:rFonts w:ascii="VIC" w:eastAsia="Times New Roman" w:hAnsi="VIC" w:cs="Times New Roman"/>
                <w:color w:val="323E4F" w:themeColor="text2" w:themeShade="BF"/>
                <w:sz w:val="24"/>
                <w:szCs w:val="24"/>
                <w:lang w:eastAsia="en-AU"/>
              </w:rPr>
              <w:t>eduPay</w:t>
            </w:r>
            <w:proofErr w:type="spellEnd"/>
            <w:r w:rsidRPr="004D307F">
              <w:rPr>
                <w:rFonts w:ascii="VIC" w:eastAsia="Times New Roman" w:hAnsi="VIC" w:cs="Times New Roman"/>
                <w:color w:val="323E4F" w:themeColor="text2" w:themeShade="BF"/>
                <w:sz w:val="24"/>
                <w:szCs w:val="24"/>
                <w:lang w:eastAsia="en-AU"/>
              </w:rPr>
              <w:t xml:space="preserve"> for an employee paid through central payroll</w:t>
            </w:r>
          </w:p>
        </w:tc>
        <w:tc>
          <w:tcPr>
            <w:tcW w:w="0" w:type="auto"/>
            <w:hideMark/>
          </w:tcPr>
          <w:p w14:paraId="3E8C568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Leave on central payroll is automatically reimbursed to SRP other than the holiday period **. For replacement to move to principal line Higher Duties must be entered on </w:t>
            </w:r>
            <w:proofErr w:type="spellStart"/>
            <w:r w:rsidRPr="004D307F">
              <w:rPr>
                <w:rFonts w:ascii="VIC" w:eastAsia="Times New Roman" w:hAnsi="VIC" w:cs="Times New Roman"/>
                <w:color w:val="323E4F" w:themeColor="text2" w:themeShade="BF"/>
                <w:sz w:val="24"/>
                <w:szCs w:val="24"/>
                <w:lang w:eastAsia="en-AU"/>
              </w:rPr>
              <w:t>eduPay</w:t>
            </w:r>
            <w:proofErr w:type="spellEnd"/>
            <w:r w:rsidRPr="004D307F">
              <w:rPr>
                <w:rFonts w:ascii="VIC" w:eastAsia="Times New Roman" w:hAnsi="VIC" w:cs="Times New Roman"/>
                <w:color w:val="323E4F" w:themeColor="text2" w:themeShade="BF"/>
                <w:sz w:val="24"/>
                <w:szCs w:val="24"/>
                <w:lang w:eastAsia="en-AU"/>
              </w:rPr>
              <w:t xml:space="preserve">. Check </w:t>
            </w:r>
            <w:hyperlink r:id="rId213" w:history="1">
              <w:r w:rsidRPr="004D307F">
                <w:rPr>
                  <w:rFonts w:ascii="VIC" w:eastAsia="Times New Roman" w:hAnsi="VIC" w:cs="Times New Roman"/>
                  <w:color w:val="323E4F" w:themeColor="text2" w:themeShade="BF"/>
                  <w:sz w:val="24"/>
                  <w:szCs w:val="24"/>
                  <w:lang w:eastAsia="en-AU"/>
                </w:rPr>
                <w:t>Management Reports</w:t>
              </w:r>
            </w:hyperlink>
            <w:r w:rsidRPr="004D307F">
              <w:rPr>
                <w:rFonts w:ascii="VIC" w:eastAsia="Times New Roman" w:hAnsi="VIC" w:cs="Times New Roman"/>
                <w:color w:val="323E4F" w:themeColor="text2" w:themeShade="BF"/>
                <w:sz w:val="24"/>
                <w:szCs w:val="24"/>
                <w:lang w:eastAsia="en-AU"/>
              </w:rPr>
              <w:t>.</w:t>
            </w:r>
          </w:p>
        </w:tc>
      </w:tr>
      <w:tr w:rsidR="0096466B" w:rsidRPr="004D307F" w14:paraId="138EDF1D" w14:textId="77777777" w:rsidTr="003243F4">
        <w:tc>
          <w:tcPr>
            <w:tcW w:w="0" w:type="auto"/>
            <w:hideMark/>
          </w:tcPr>
          <w:p w14:paraId="60FB47A4"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Nominated leave </w:t>
            </w:r>
          </w:p>
          <w:p w14:paraId="22F84D66"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Long service leave</w:t>
            </w:r>
          </w:p>
          <w:p w14:paraId="2ABE0E55"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Family-Primary Carer/Partner-Secondary Carer Leave</w:t>
            </w:r>
          </w:p>
          <w:p w14:paraId="5838A945"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Workers</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Compensation absences after the first ten days (Workcover Threshold)</w:t>
            </w:r>
          </w:p>
          <w:p w14:paraId="10C2A678"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Transport Accident Commission Leave (after the first five days)</w:t>
            </w:r>
          </w:p>
          <w:p w14:paraId="1678FA60" w14:textId="77777777" w:rsidR="0096466B" w:rsidRPr="004D307F" w:rsidRDefault="0096466B" w:rsidP="00ED0863">
            <w:pPr>
              <w:numPr>
                <w:ilvl w:val="0"/>
                <w:numId w:val="94"/>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Major sporting competition leave</w:t>
            </w:r>
          </w:p>
        </w:tc>
        <w:tc>
          <w:tcPr>
            <w:tcW w:w="0" w:type="auto"/>
            <w:hideMark/>
          </w:tcPr>
          <w:p w14:paraId="3A29F1D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 xml:space="preserve">Identify replacement through the leave panel on the </w:t>
            </w:r>
            <w:hyperlink r:id="rId214" w:history="1">
              <w:r w:rsidRPr="004D307F">
                <w:rPr>
                  <w:rFonts w:ascii="VIC" w:eastAsia="Times New Roman" w:hAnsi="VIC" w:cs="Times New Roman"/>
                  <w:color w:val="323E4F" w:themeColor="text2" w:themeShade="BF"/>
                  <w:sz w:val="24"/>
                  <w:szCs w:val="24"/>
                  <w:lang w:eastAsia="en-AU"/>
                </w:rPr>
                <w:t>SRP Portal</w:t>
              </w:r>
            </w:hyperlink>
          </w:p>
        </w:tc>
        <w:tc>
          <w:tcPr>
            <w:tcW w:w="0" w:type="auto"/>
            <w:hideMark/>
          </w:tcPr>
          <w:p w14:paraId="7630A5F1"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For periods of more than five days, higher duties must be entered on </w:t>
            </w:r>
            <w:proofErr w:type="spellStart"/>
            <w:r w:rsidRPr="004D307F">
              <w:rPr>
                <w:rFonts w:ascii="VIC" w:eastAsia="Times New Roman" w:hAnsi="VIC" w:cs="Times New Roman"/>
                <w:color w:val="323E4F" w:themeColor="text2" w:themeShade="BF"/>
                <w:sz w:val="24"/>
                <w:szCs w:val="24"/>
                <w:lang w:eastAsia="en-AU"/>
              </w:rPr>
              <w:t>eduPay</w:t>
            </w:r>
            <w:proofErr w:type="spellEnd"/>
            <w:r w:rsidRPr="004D307F">
              <w:rPr>
                <w:rFonts w:ascii="VIC" w:eastAsia="Times New Roman" w:hAnsi="VIC" w:cs="Times New Roman"/>
                <w:color w:val="323E4F" w:themeColor="text2" w:themeShade="BF"/>
                <w:sz w:val="24"/>
                <w:szCs w:val="24"/>
                <w:lang w:eastAsia="en-AU"/>
              </w:rPr>
              <w:t xml:space="preserve"> for an employee paid through central payroll</w:t>
            </w:r>
          </w:p>
        </w:tc>
        <w:tc>
          <w:tcPr>
            <w:tcW w:w="0" w:type="auto"/>
            <w:hideMark/>
          </w:tcPr>
          <w:p w14:paraId="435AF5A7"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Leave on central payroll is automatically reimbursed to SRP other than the holiday period**. For replacement to move to principal line Higher Duties must be entered on </w:t>
            </w:r>
            <w:proofErr w:type="spellStart"/>
            <w:r w:rsidRPr="004D307F">
              <w:rPr>
                <w:rFonts w:ascii="VIC" w:eastAsia="Times New Roman" w:hAnsi="VIC" w:cs="Times New Roman"/>
                <w:color w:val="323E4F" w:themeColor="text2" w:themeShade="BF"/>
                <w:sz w:val="24"/>
                <w:szCs w:val="24"/>
                <w:lang w:eastAsia="en-AU"/>
              </w:rPr>
              <w:t>eduPay</w:t>
            </w:r>
            <w:proofErr w:type="spellEnd"/>
            <w:r w:rsidRPr="004D307F">
              <w:rPr>
                <w:rFonts w:ascii="VIC" w:eastAsia="Times New Roman" w:hAnsi="VIC" w:cs="Times New Roman"/>
                <w:color w:val="323E4F" w:themeColor="text2" w:themeShade="BF"/>
                <w:sz w:val="24"/>
                <w:szCs w:val="24"/>
                <w:lang w:eastAsia="en-AU"/>
              </w:rPr>
              <w:t xml:space="preserve">. Check </w:t>
            </w:r>
            <w:hyperlink r:id="rId215" w:history="1">
              <w:r w:rsidRPr="004D307F">
                <w:rPr>
                  <w:rFonts w:ascii="VIC" w:eastAsia="Times New Roman" w:hAnsi="VIC" w:cs="Times New Roman"/>
                  <w:color w:val="323E4F" w:themeColor="text2" w:themeShade="BF"/>
                  <w:sz w:val="24"/>
                  <w:szCs w:val="24"/>
                  <w:lang w:eastAsia="en-AU"/>
                </w:rPr>
                <w:t>Management Reports</w:t>
              </w:r>
            </w:hyperlink>
            <w:r w:rsidRPr="004D307F">
              <w:rPr>
                <w:rFonts w:ascii="VIC" w:eastAsia="Times New Roman" w:hAnsi="VIC" w:cs="Times New Roman"/>
                <w:color w:val="323E4F" w:themeColor="text2" w:themeShade="BF"/>
                <w:sz w:val="24"/>
                <w:szCs w:val="24"/>
                <w:lang w:eastAsia="en-AU"/>
              </w:rPr>
              <w:t>.</w:t>
            </w:r>
          </w:p>
        </w:tc>
      </w:tr>
    </w:tbl>
    <w:p w14:paraId="6B120E09"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of up to 5 days already funded in SRP.</w:t>
      </w:r>
    </w:p>
    <w:p w14:paraId="2EB15972" w14:textId="47B79884"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Identify replacement through the leave portal on the SRP website to claim leave for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holiday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0"/>
        <w:gridCol w:w="1940"/>
        <w:gridCol w:w="3576"/>
      </w:tblGrid>
      <w:tr w:rsidR="0096466B" w:rsidRPr="004D307F" w14:paraId="61DDABE4" w14:textId="77777777" w:rsidTr="003243F4">
        <w:trPr>
          <w:tblHeader/>
        </w:trPr>
        <w:tc>
          <w:tcPr>
            <w:tcW w:w="0" w:type="auto"/>
            <w:gridSpan w:val="3"/>
            <w:vAlign w:val="center"/>
            <w:hideMark/>
          </w:tcPr>
          <w:p w14:paraId="64C12CB9"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 xml:space="preserve">Relief funding </w:t>
            </w:r>
            <w:r w:rsidRPr="004D307F">
              <w:rPr>
                <w:rFonts w:ascii="VIC" w:eastAsia="Times New Roman" w:hAnsi="VIC" w:cs="Times New Roman" w:hint="eastAsia"/>
                <w:b/>
                <w:bCs/>
                <w:color w:val="323E4F" w:themeColor="text2" w:themeShade="BF"/>
                <w:sz w:val="24"/>
                <w:szCs w:val="24"/>
                <w:lang w:eastAsia="en-AU"/>
              </w:rPr>
              <w:t>—</w:t>
            </w:r>
            <w:r w:rsidRPr="004D307F">
              <w:rPr>
                <w:rFonts w:ascii="VIC" w:eastAsia="Times New Roman" w:hAnsi="VIC" w:cs="Times New Roman"/>
                <w:b/>
                <w:bCs/>
                <w:color w:val="323E4F" w:themeColor="text2" w:themeShade="BF"/>
                <w:sz w:val="24"/>
                <w:szCs w:val="24"/>
                <w:lang w:eastAsia="en-AU"/>
              </w:rPr>
              <w:t xml:space="preserve"> Assistant Principals, Teachers, Education Support Officers, Allied </w:t>
            </w:r>
            <w:proofErr w:type="gramStart"/>
            <w:r w:rsidRPr="004D307F">
              <w:rPr>
                <w:rFonts w:ascii="VIC" w:eastAsia="Times New Roman" w:hAnsi="VIC" w:cs="Times New Roman"/>
                <w:b/>
                <w:bCs/>
                <w:color w:val="323E4F" w:themeColor="text2" w:themeShade="BF"/>
                <w:sz w:val="24"/>
                <w:szCs w:val="24"/>
                <w:lang w:eastAsia="en-AU"/>
              </w:rPr>
              <w:t>Health</w:t>
            </w:r>
            <w:proofErr w:type="gramEnd"/>
            <w:r w:rsidRPr="004D307F">
              <w:rPr>
                <w:rFonts w:ascii="VIC" w:eastAsia="Times New Roman" w:hAnsi="VIC" w:cs="Times New Roman"/>
                <w:b/>
                <w:bCs/>
                <w:color w:val="323E4F" w:themeColor="text2" w:themeShade="BF"/>
                <w:sz w:val="24"/>
                <w:szCs w:val="24"/>
                <w:lang w:eastAsia="en-AU"/>
              </w:rPr>
              <w:t xml:space="preserve"> and Victorian Public Servants</w:t>
            </w:r>
          </w:p>
        </w:tc>
      </w:tr>
      <w:tr w:rsidR="0096466B" w:rsidRPr="004D307F" w14:paraId="2A27D08F" w14:textId="77777777" w:rsidTr="003243F4">
        <w:trPr>
          <w:tblHeader/>
        </w:trPr>
        <w:tc>
          <w:tcPr>
            <w:tcW w:w="2041" w:type="pct"/>
            <w:hideMark/>
          </w:tcPr>
          <w:p w14:paraId="10183F3E"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Assistant Principals, Teachers, Education Support Officers, Allied </w:t>
            </w:r>
            <w:proofErr w:type="gramStart"/>
            <w:r w:rsidRPr="004D307F">
              <w:rPr>
                <w:rFonts w:ascii="VIC" w:eastAsia="Times New Roman" w:hAnsi="VIC" w:cs="Times New Roman"/>
                <w:color w:val="323E4F" w:themeColor="text2" w:themeShade="BF"/>
                <w:sz w:val="24"/>
                <w:szCs w:val="24"/>
                <w:lang w:eastAsia="en-AU"/>
              </w:rPr>
              <w:t>Health</w:t>
            </w:r>
            <w:proofErr w:type="gramEnd"/>
            <w:r w:rsidRPr="004D307F">
              <w:rPr>
                <w:rFonts w:ascii="VIC" w:eastAsia="Times New Roman" w:hAnsi="VIC" w:cs="Times New Roman"/>
                <w:color w:val="323E4F" w:themeColor="text2" w:themeShade="BF"/>
                <w:sz w:val="24"/>
                <w:szCs w:val="24"/>
                <w:lang w:eastAsia="en-AU"/>
              </w:rPr>
              <w:t xml:space="preserve"> and Victorian Public Servants</w:t>
            </w:r>
          </w:p>
        </w:tc>
        <w:tc>
          <w:tcPr>
            <w:tcW w:w="876" w:type="pct"/>
            <w:hideMark/>
          </w:tcPr>
          <w:p w14:paraId="0D3EF934"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Up to 30 days</w:t>
            </w:r>
          </w:p>
        </w:tc>
        <w:tc>
          <w:tcPr>
            <w:tcW w:w="0" w:type="auto"/>
            <w:hideMark/>
          </w:tcPr>
          <w:p w14:paraId="43EB04E6"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More than 30 days (31+)</w:t>
            </w:r>
          </w:p>
        </w:tc>
      </w:tr>
      <w:tr w:rsidR="0096466B" w:rsidRPr="004D307F" w14:paraId="3DF57323" w14:textId="77777777" w:rsidTr="003243F4">
        <w:tc>
          <w:tcPr>
            <w:tcW w:w="2041" w:type="pct"/>
            <w:hideMark/>
          </w:tcPr>
          <w:p w14:paraId="5478D218"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Sick leave</w:t>
            </w:r>
          </w:p>
        </w:tc>
        <w:tc>
          <w:tcPr>
            <w:tcW w:w="876" w:type="pct"/>
            <w:hideMark/>
          </w:tcPr>
          <w:p w14:paraId="3A20BBE2"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c>
          <w:tcPr>
            <w:tcW w:w="0" w:type="auto"/>
            <w:hideMark/>
          </w:tcPr>
          <w:p w14:paraId="14D4ACCA"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Schools pay self-insurance premium under Long-term Leave Support Scheme (see below). Leave on payroll is automatically reimbursed to SRP other than the holiday period**. Leave Capping (see below) may apply. Check </w:t>
            </w:r>
            <w:hyperlink r:id="rId216" w:history="1">
              <w:r w:rsidRPr="004D307F">
                <w:rPr>
                  <w:rFonts w:ascii="VIC" w:eastAsia="Times New Roman" w:hAnsi="VIC" w:cs="Times New Roman"/>
                  <w:color w:val="323E4F" w:themeColor="text2" w:themeShade="BF"/>
                  <w:sz w:val="24"/>
                  <w:szCs w:val="24"/>
                  <w:lang w:eastAsia="en-AU"/>
                </w:rPr>
                <w:t>Management Reports</w:t>
              </w:r>
            </w:hyperlink>
            <w:r w:rsidRPr="004D307F">
              <w:rPr>
                <w:rFonts w:ascii="VIC" w:eastAsia="Times New Roman" w:hAnsi="VIC" w:cs="Times New Roman"/>
                <w:color w:val="323E4F" w:themeColor="text2" w:themeShade="BF"/>
                <w:sz w:val="24"/>
                <w:szCs w:val="24"/>
                <w:lang w:eastAsia="en-AU"/>
              </w:rPr>
              <w:t xml:space="preserve"> .</w:t>
            </w:r>
          </w:p>
        </w:tc>
      </w:tr>
      <w:tr w:rsidR="0096466B" w:rsidRPr="004D307F" w14:paraId="1A0FA52A" w14:textId="77777777" w:rsidTr="003243F4">
        <w:tc>
          <w:tcPr>
            <w:tcW w:w="2041" w:type="pct"/>
            <w:hideMark/>
          </w:tcPr>
          <w:p w14:paraId="0C4ED092"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Nominated leave </w:t>
            </w:r>
          </w:p>
          <w:p w14:paraId="46A4361F"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Long Service Leave</w:t>
            </w:r>
          </w:p>
          <w:p w14:paraId="24BD2F3C"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Family-Primary Carer/Partner-Secondary Carer Leave</w:t>
            </w:r>
          </w:p>
          <w:p w14:paraId="08C9E0D3"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Workers</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Compensation </w:t>
            </w:r>
            <w:r w:rsidRPr="004D307F">
              <w:rPr>
                <w:rFonts w:ascii="VIC" w:eastAsia="Times New Roman" w:hAnsi="VIC" w:cs="Times New Roman"/>
                <w:color w:val="323E4F" w:themeColor="text2" w:themeShade="BF"/>
                <w:sz w:val="24"/>
                <w:szCs w:val="24"/>
                <w:lang w:eastAsia="en-AU"/>
              </w:rPr>
              <w:lastRenderedPageBreak/>
              <w:t>absences after the first ten days</w:t>
            </w:r>
          </w:p>
          <w:p w14:paraId="43C2B1D4"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Transport Accident Commission Leave (after the first five days)</w:t>
            </w:r>
          </w:p>
          <w:p w14:paraId="1F2CEE2E" w14:textId="77777777" w:rsidR="0096466B" w:rsidRPr="004D307F" w:rsidRDefault="0096466B" w:rsidP="00ED0863">
            <w:pPr>
              <w:numPr>
                <w:ilvl w:val="0"/>
                <w:numId w:val="95"/>
              </w:numPr>
              <w:spacing w:before="100" w:beforeAutospacing="1" w:after="100" w:afterAutospacing="1"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Major sporting competition leave</w:t>
            </w:r>
          </w:p>
        </w:tc>
        <w:tc>
          <w:tcPr>
            <w:tcW w:w="876" w:type="pct"/>
            <w:hideMark/>
          </w:tcPr>
          <w:p w14:paraId="19BA1E39"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Identify replacement through the leave panel on the SRP Portal</w:t>
            </w:r>
          </w:p>
        </w:tc>
        <w:tc>
          <w:tcPr>
            <w:tcW w:w="0" w:type="auto"/>
            <w:hideMark/>
          </w:tcPr>
          <w:p w14:paraId="14263D70" w14:textId="5332B6A6"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Leave on central payroll is automatically reimbursed to SRP other than</w:t>
            </w:r>
            <w:r w:rsidR="00745DC1" w:rsidRPr="004D307F">
              <w:rPr>
                <w:rFonts w:ascii="VIC" w:eastAsia="Times New Roman" w:hAnsi="VIC" w:cs="Times New Roman"/>
                <w:color w:val="323E4F" w:themeColor="text2" w:themeShade="BF"/>
                <w:sz w:val="24"/>
                <w:szCs w:val="24"/>
                <w:lang w:eastAsia="en-AU"/>
              </w:rPr>
              <w:t xml:space="preserve"> </w:t>
            </w:r>
            <w:r w:rsidRPr="004D307F">
              <w:rPr>
                <w:rFonts w:ascii="VIC" w:eastAsia="Times New Roman" w:hAnsi="VIC" w:cs="Times New Roman"/>
                <w:color w:val="323E4F" w:themeColor="text2" w:themeShade="BF"/>
                <w:sz w:val="24"/>
                <w:szCs w:val="24"/>
                <w:lang w:eastAsia="en-AU"/>
              </w:rPr>
              <w:t xml:space="preserve">the holiday period**. Leave Capping (see below) may apply. Check </w:t>
            </w:r>
            <w:hyperlink r:id="rId217" w:history="1">
              <w:r w:rsidRPr="004D307F">
                <w:rPr>
                  <w:rFonts w:ascii="VIC" w:eastAsia="Times New Roman" w:hAnsi="VIC" w:cs="Times New Roman"/>
                  <w:color w:val="323E4F" w:themeColor="text2" w:themeShade="BF"/>
                  <w:sz w:val="24"/>
                  <w:szCs w:val="24"/>
                  <w:lang w:eastAsia="en-AU"/>
                </w:rPr>
                <w:t>Management Reports</w:t>
              </w:r>
            </w:hyperlink>
            <w:r w:rsidRPr="004D307F">
              <w:rPr>
                <w:rFonts w:ascii="VIC" w:eastAsia="Times New Roman" w:hAnsi="VIC" w:cs="Times New Roman"/>
                <w:color w:val="323E4F" w:themeColor="text2" w:themeShade="BF"/>
                <w:sz w:val="24"/>
                <w:szCs w:val="24"/>
                <w:lang w:eastAsia="en-AU"/>
              </w:rPr>
              <w:t xml:space="preserve"> .</w:t>
            </w:r>
          </w:p>
        </w:tc>
      </w:tr>
      <w:tr w:rsidR="0096466B" w:rsidRPr="004D307F" w14:paraId="5CCE0BFC" w14:textId="77777777" w:rsidTr="003243F4">
        <w:tc>
          <w:tcPr>
            <w:tcW w:w="2041" w:type="pct"/>
            <w:hideMark/>
          </w:tcPr>
          <w:p w14:paraId="65400DE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Defence Force Leave</w:t>
            </w:r>
          </w:p>
        </w:tc>
        <w:tc>
          <w:tcPr>
            <w:tcW w:w="876" w:type="pct"/>
            <w:hideMark/>
          </w:tcPr>
          <w:p w14:paraId="65633CD9"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Leave is unpaid. If charged for make-up pay, claim reimbursement via </w:t>
            </w:r>
            <w:hyperlink r:id="rId218" w:history="1">
              <w:r w:rsidRPr="004D307F">
                <w:rPr>
                  <w:rFonts w:ascii="VIC" w:eastAsia="Times New Roman" w:hAnsi="VIC" w:cs="Times New Roman"/>
                  <w:color w:val="323E4F" w:themeColor="text2" w:themeShade="BF"/>
                  <w:sz w:val="24"/>
                  <w:szCs w:val="24"/>
                  <w:lang w:eastAsia="en-AU"/>
                </w:rPr>
                <w:t>Service Desk Request</w:t>
              </w:r>
            </w:hyperlink>
          </w:p>
        </w:tc>
        <w:tc>
          <w:tcPr>
            <w:tcW w:w="0" w:type="auto"/>
            <w:hideMark/>
          </w:tcPr>
          <w:p w14:paraId="2B22456C"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Leave is unpaid. If charged for make-up pay, claim reimbursement via </w:t>
            </w:r>
            <w:hyperlink r:id="rId219" w:history="1">
              <w:r w:rsidRPr="004D307F">
                <w:rPr>
                  <w:rFonts w:ascii="VIC" w:eastAsia="Times New Roman" w:hAnsi="VIC" w:cs="Times New Roman"/>
                  <w:color w:val="323E4F" w:themeColor="text2" w:themeShade="BF"/>
                  <w:sz w:val="24"/>
                  <w:szCs w:val="24"/>
                  <w:lang w:eastAsia="en-AU"/>
                </w:rPr>
                <w:t>Service Desk Request</w:t>
              </w:r>
            </w:hyperlink>
          </w:p>
        </w:tc>
      </w:tr>
      <w:tr w:rsidR="0096466B" w:rsidRPr="004D307F" w14:paraId="06D713D8" w14:textId="77777777" w:rsidTr="003243F4">
        <w:tc>
          <w:tcPr>
            <w:tcW w:w="2041" w:type="pct"/>
            <w:hideMark/>
          </w:tcPr>
          <w:p w14:paraId="67AEB4E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Annual Leave</w:t>
            </w:r>
          </w:p>
        </w:tc>
        <w:tc>
          <w:tcPr>
            <w:tcW w:w="876" w:type="pct"/>
            <w:hideMark/>
          </w:tcPr>
          <w:p w14:paraId="345E495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c>
          <w:tcPr>
            <w:tcW w:w="0" w:type="auto"/>
            <w:hideMark/>
          </w:tcPr>
          <w:p w14:paraId="2030AFDA"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r>
      <w:tr w:rsidR="0096466B" w:rsidRPr="004D307F" w14:paraId="2B0B7062" w14:textId="77777777" w:rsidTr="003243F4">
        <w:tc>
          <w:tcPr>
            <w:tcW w:w="2041" w:type="pct"/>
            <w:hideMark/>
          </w:tcPr>
          <w:p w14:paraId="0420EA30"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All other relief No reimbursement*</w:t>
            </w:r>
          </w:p>
        </w:tc>
        <w:tc>
          <w:tcPr>
            <w:tcW w:w="876" w:type="pct"/>
            <w:hideMark/>
          </w:tcPr>
          <w:p w14:paraId="7DC4E70F"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c>
          <w:tcPr>
            <w:tcW w:w="0" w:type="auto"/>
            <w:hideMark/>
          </w:tcPr>
          <w:p w14:paraId="05E1306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No reimbursement*</w:t>
            </w:r>
          </w:p>
        </w:tc>
      </w:tr>
    </w:tbl>
    <w:p w14:paraId="70E32E93"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*Funding of up to 30 days already funded in SRP.</w:t>
      </w:r>
    </w:p>
    <w:p w14:paraId="567EA879" w14:textId="6962EB19"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 Identify replacement through the leave portal on the SRP website to claim leave for </w:t>
      </w:r>
      <w:r w:rsidR="00745DC1" w:rsidRPr="004D307F">
        <w:rPr>
          <w:rFonts w:ascii="VIC" w:eastAsia="Times New Roman" w:hAnsi="VIC" w:cs="Times New Roman"/>
          <w:color w:val="011A3C"/>
          <w:sz w:val="24"/>
          <w:szCs w:val="24"/>
          <w:lang w:val="en" w:eastAsia="en-AU"/>
        </w:rPr>
        <w:t>the holiday</w:t>
      </w:r>
      <w:r w:rsidRPr="004D307F">
        <w:rPr>
          <w:rFonts w:ascii="VIC" w:eastAsia="Times New Roman" w:hAnsi="VIC" w:cs="Times New Roman"/>
          <w:color w:val="011A3C"/>
          <w:sz w:val="24"/>
          <w:szCs w:val="24"/>
          <w:lang w:val="en" w:eastAsia="en-AU"/>
        </w:rPr>
        <w:t xml:space="preserve"> period.</w:t>
      </w:r>
    </w:p>
    <w:p w14:paraId="54121986"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proofErr w:type="spellStart"/>
      <w:r w:rsidRPr="004D307F">
        <w:rPr>
          <w:rFonts w:ascii="VIC" w:eastAsia="Times New Roman" w:hAnsi="VIC" w:cs="Times New Roman"/>
          <w:b/>
          <w:bCs/>
          <w:color w:val="011A3C"/>
          <w:sz w:val="27"/>
          <w:szCs w:val="27"/>
          <w:lang w:val="en" w:eastAsia="en-AU"/>
        </w:rPr>
        <w:t>Defence</w:t>
      </w:r>
      <w:proofErr w:type="spellEnd"/>
      <w:r w:rsidRPr="004D307F">
        <w:rPr>
          <w:rFonts w:ascii="VIC" w:eastAsia="Times New Roman" w:hAnsi="VIC" w:cs="Times New Roman"/>
          <w:b/>
          <w:bCs/>
          <w:color w:val="011A3C"/>
          <w:sz w:val="27"/>
          <w:szCs w:val="27"/>
          <w:lang w:val="en" w:eastAsia="en-AU"/>
        </w:rPr>
        <w:t xml:space="preserve"> Force leave</w:t>
      </w:r>
    </w:p>
    <w:p w14:paraId="556A154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proofErr w:type="spellStart"/>
      <w:r w:rsidRPr="004D307F">
        <w:rPr>
          <w:rFonts w:ascii="VIC" w:eastAsia="Times New Roman" w:hAnsi="VIC" w:cs="Times New Roman"/>
          <w:color w:val="011A3C"/>
          <w:sz w:val="24"/>
          <w:szCs w:val="24"/>
          <w:lang w:val="en" w:eastAsia="en-AU"/>
        </w:rPr>
        <w:t>Defence</w:t>
      </w:r>
      <w:proofErr w:type="spellEnd"/>
      <w:r w:rsidRPr="004D307F">
        <w:rPr>
          <w:rFonts w:ascii="VIC" w:eastAsia="Times New Roman" w:hAnsi="VIC" w:cs="Times New Roman"/>
          <w:color w:val="011A3C"/>
          <w:sz w:val="24"/>
          <w:szCs w:val="24"/>
          <w:lang w:val="en" w:eastAsia="en-AU"/>
        </w:rPr>
        <w:t xml:space="preserve"> Force leave is unpaid; some teachers on </w:t>
      </w:r>
      <w:proofErr w:type="spellStart"/>
      <w:r w:rsidRPr="004D307F">
        <w:rPr>
          <w:rFonts w:ascii="VIC" w:eastAsia="Times New Roman" w:hAnsi="VIC" w:cs="Times New Roman"/>
          <w:color w:val="011A3C"/>
          <w:sz w:val="24"/>
          <w:szCs w:val="24"/>
          <w:lang w:val="en" w:eastAsia="en-AU"/>
        </w:rPr>
        <w:t>Defence</w:t>
      </w:r>
      <w:proofErr w:type="spellEnd"/>
      <w:r w:rsidRPr="004D307F">
        <w:rPr>
          <w:rFonts w:ascii="VIC" w:eastAsia="Times New Roman" w:hAnsi="VIC" w:cs="Times New Roman"/>
          <w:color w:val="011A3C"/>
          <w:sz w:val="24"/>
          <w:szCs w:val="24"/>
          <w:lang w:val="en" w:eastAsia="en-AU"/>
        </w:rPr>
        <w:t xml:space="preserve"> Force leave may receive make-up pay to cover the difference between their </w:t>
      </w:r>
      <w:proofErr w:type="spellStart"/>
      <w:r w:rsidRPr="004D307F">
        <w:rPr>
          <w:rFonts w:ascii="VIC" w:eastAsia="Times New Roman" w:hAnsi="VIC" w:cs="Times New Roman"/>
          <w:color w:val="011A3C"/>
          <w:sz w:val="24"/>
          <w:szCs w:val="24"/>
          <w:lang w:val="en" w:eastAsia="en-AU"/>
        </w:rPr>
        <w:t>Defence</w:t>
      </w:r>
      <w:proofErr w:type="spellEnd"/>
      <w:r w:rsidRPr="004D307F">
        <w:rPr>
          <w:rFonts w:ascii="VIC" w:eastAsia="Times New Roman" w:hAnsi="VIC" w:cs="Times New Roman"/>
          <w:color w:val="011A3C"/>
          <w:sz w:val="24"/>
          <w:szCs w:val="24"/>
          <w:lang w:val="en" w:eastAsia="en-AU"/>
        </w:rPr>
        <w:t xml:space="preserve"> Force and the Department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salary. Schools are to be fully reimbursed for this amount. To claim reimbursement, a </w:t>
      </w:r>
      <w:hyperlink r:id="rId220" w:history="1">
        <w:r w:rsidRPr="004D307F">
          <w:rPr>
            <w:rFonts w:ascii="VIC" w:eastAsia="Times New Roman" w:hAnsi="VIC" w:cs="Times New Roman"/>
            <w:color w:val="011A3C"/>
            <w:sz w:val="24"/>
            <w:szCs w:val="24"/>
            <w:lang w:val="en" w:eastAsia="en-AU"/>
          </w:rPr>
          <w:t>Service Desk Request</w:t>
        </w:r>
      </w:hyperlink>
      <w:r w:rsidRPr="004D307F">
        <w:rPr>
          <w:rFonts w:ascii="VIC" w:eastAsia="Times New Roman" w:hAnsi="VIC" w:cs="Times New Roman"/>
          <w:color w:val="011A3C"/>
          <w:sz w:val="24"/>
          <w:szCs w:val="24"/>
          <w:lang w:val="en" w:eastAsia="en-AU"/>
        </w:rPr>
        <w:t xml:space="preserve"> should be submitted to the Schools Finance and Resources Branch.</w:t>
      </w:r>
    </w:p>
    <w:p w14:paraId="61BF1856"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For more information on </w:t>
      </w:r>
      <w:proofErr w:type="spellStart"/>
      <w:r w:rsidRPr="004D307F">
        <w:rPr>
          <w:rFonts w:ascii="VIC" w:eastAsia="Times New Roman" w:hAnsi="VIC" w:cs="Times New Roman"/>
          <w:color w:val="011A3C"/>
          <w:sz w:val="24"/>
          <w:szCs w:val="24"/>
          <w:lang w:val="en" w:eastAsia="en-AU"/>
        </w:rPr>
        <w:t>Defence</w:t>
      </w:r>
      <w:proofErr w:type="spellEnd"/>
      <w:r w:rsidRPr="004D307F">
        <w:rPr>
          <w:rFonts w:ascii="VIC" w:eastAsia="Times New Roman" w:hAnsi="VIC" w:cs="Times New Roman"/>
          <w:color w:val="011A3C"/>
          <w:sz w:val="24"/>
          <w:szCs w:val="24"/>
          <w:lang w:val="en" w:eastAsia="en-AU"/>
        </w:rPr>
        <w:t xml:space="preserve"> Force Leave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refer to</w:t>
      </w:r>
      <w:r w:rsidRPr="004D307F">
        <w:rPr>
          <w:rFonts w:ascii="Calibri" w:eastAsia="Times New Roman" w:hAnsi="Calibri" w:cs="Calibri" w:hint="eastAsia"/>
          <w:color w:val="011A3C"/>
          <w:sz w:val="24"/>
          <w:szCs w:val="24"/>
          <w:lang w:val="en" w:eastAsia="en-AU"/>
        </w:rPr>
        <w:t> </w:t>
      </w:r>
      <w:hyperlink r:id="rId221" w:history="1">
        <w:r w:rsidRPr="004D307F">
          <w:rPr>
            <w:rFonts w:ascii="VIC" w:eastAsia="Times New Roman" w:hAnsi="VIC" w:cs="Times New Roman"/>
            <w:color w:val="011A3C"/>
            <w:sz w:val="24"/>
            <w:szCs w:val="24"/>
            <w:lang w:val="en" w:eastAsia="en-AU"/>
          </w:rPr>
          <w:t xml:space="preserve">Leave for </w:t>
        </w:r>
        <w:proofErr w:type="spellStart"/>
        <w:r w:rsidRPr="004D307F">
          <w:rPr>
            <w:rFonts w:ascii="VIC" w:eastAsia="Times New Roman" w:hAnsi="VIC" w:cs="Times New Roman"/>
            <w:color w:val="011A3C"/>
            <w:sz w:val="24"/>
            <w:szCs w:val="24"/>
            <w:lang w:val="en" w:eastAsia="en-AU"/>
          </w:rPr>
          <w:t>Defence</w:t>
        </w:r>
        <w:proofErr w:type="spellEnd"/>
        <w:r w:rsidRPr="004D307F">
          <w:rPr>
            <w:rFonts w:ascii="VIC" w:eastAsia="Times New Roman" w:hAnsi="VIC" w:cs="Times New Roman"/>
            <w:color w:val="011A3C"/>
            <w:sz w:val="24"/>
            <w:szCs w:val="24"/>
            <w:lang w:val="en" w:eastAsia="en-AU"/>
          </w:rPr>
          <w:t xml:space="preserve"> Reserve Service</w:t>
        </w:r>
      </w:hyperlink>
      <w:r w:rsidRPr="004D307F">
        <w:rPr>
          <w:rFonts w:ascii="VIC" w:eastAsia="Times New Roman" w:hAnsi="VIC" w:cs="Times New Roman"/>
          <w:color w:val="011A3C"/>
          <w:sz w:val="24"/>
          <w:szCs w:val="24"/>
          <w:lang w:val="en" w:eastAsia="en-AU"/>
        </w:rPr>
        <w:t>.</w:t>
      </w:r>
    </w:p>
    <w:p w14:paraId="7B158962"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Long-term leave</w:t>
      </w:r>
    </w:p>
    <w:p w14:paraId="04447542"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During periods of extended paid leave for teachers, such as long service leave, there is normally an additional salary cost against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In addition to the salary of the teacher on leave, replacement costs arise from the appointment of fixed-term staff, payment of higher duties, time fraction increases or special payments.</w:t>
      </w:r>
    </w:p>
    <w:p w14:paraId="515313CE" w14:textId="12E2148C"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Funds to meet these extra costs are not included in the SRP due to the highly variable impact of extended leave on individual schools. In these instances, separate administrative arrangements are in place for funding to be provided for replacement costs when the </w:t>
      </w:r>
      <w:r w:rsidR="00745DC1" w:rsidRPr="004D307F">
        <w:rPr>
          <w:rFonts w:ascii="VIC" w:eastAsia="Times New Roman" w:hAnsi="VIC" w:cs="Times New Roman"/>
          <w:color w:val="011A3C"/>
          <w:sz w:val="24"/>
          <w:szCs w:val="24"/>
          <w:lang w:val="en" w:eastAsia="en-AU"/>
        </w:rPr>
        <w:t xml:space="preserve">actual </w:t>
      </w:r>
      <w:r w:rsidRPr="004D307F">
        <w:rPr>
          <w:rFonts w:ascii="VIC" w:eastAsia="Times New Roman" w:hAnsi="VIC" w:cs="Times New Roman"/>
          <w:color w:val="011A3C"/>
          <w:sz w:val="24"/>
          <w:szCs w:val="24"/>
          <w:lang w:val="en" w:eastAsia="en-AU"/>
        </w:rPr>
        <w:t>leave occurs.</w:t>
      </w:r>
    </w:p>
    <w:p w14:paraId="7B2BB3D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For more information on Short Term and </w:t>
      </w:r>
      <w:proofErr w:type="gramStart"/>
      <w:r w:rsidRPr="004D307F">
        <w:rPr>
          <w:rFonts w:ascii="VIC" w:eastAsia="Times New Roman" w:hAnsi="VIC" w:cs="Times New Roman"/>
          <w:color w:val="011A3C"/>
          <w:sz w:val="24"/>
          <w:szCs w:val="24"/>
          <w:lang w:val="en" w:eastAsia="en-AU"/>
        </w:rPr>
        <w:t>Long Term</w:t>
      </w:r>
      <w:proofErr w:type="gramEnd"/>
      <w:r w:rsidRPr="004D307F">
        <w:rPr>
          <w:rFonts w:ascii="VIC" w:eastAsia="Times New Roman" w:hAnsi="VIC" w:cs="Times New Roman"/>
          <w:color w:val="011A3C"/>
          <w:sz w:val="24"/>
          <w:szCs w:val="24"/>
          <w:lang w:val="en" w:eastAsia="en-AU"/>
        </w:rPr>
        <w:t xml:space="preserve"> vacancies, please refer to </w:t>
      </w:r>
      <w:hyperlink r:id="rId222" w:history="1">
        <w:r w:rsidRPr="004D307F">
          <w:rPr>
            <w:rFonts w:ascii="VIC" w:eastAsia="Times New Roman" w:hAnsi="VIC" w:cs="Times New Roman"/>
            <w:color w:val="011A3C"/>
            <w:sz w:val="24"/>
            <w:szCs w:val="24"/>
            <w:lang w:val="en" w:eastAsia="en-AU"/>
          </w:rPr>
          <w:t>Recruitment in Schools</w:t>
        </w:r>
      </w:hyperlink>
      <w:r w:rsidRPr="004D307F">
        <w:rPr>
          <w:rFonts w:ascii="VIC" w:eastAsia="Times New Roman" w:hAnsi="VIC" w:cs="Times New Roman"/>
          <w:color w:val="011A3C"/>
          <w:sz w:val="24"/>
          <w:szCs w:val="24"/>
          <w:lang w:val="en" w:eastAsia="en-AU"/>
        </w:rPr>
        <w:t xml:space="preserve"> guidelines.</w:t>
      </w:r>
    </w:p>
    <w:p w14:paraId="569EBEB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Teacher relief for periods </w:t>
      </w:r>
      <w:proofErr w:type="gramStart"/>
      <w:r w:rsidRPr="004D307F">
        <w:rPr>
          <w:rFonts w:ascii="VIC" w:eastAsia="Times New Roman" w:hAnsi="VIC" w:cs="Times New Roman"/>
          <w:color w:val="011A3C"/>
          <w:sz w:val="24"/>
          <w:szCs w:val="24"/>
          <w:lang w:val="en" w:eastAsia="en-AU"/>
        </w:rPr>
        <w:t>in excess of</w:t>
      </w:r>
      <w:proofErr w:type="gramEnd"/>
      <w:r w:rsidRPr="004D307F">
        <w:rPr>
          <w:rFonts w:ascii="VIC" w:eastAsia="Times New Roman" w:hAnsi="VIC" w:cs="Times New Roman"/>
          <w:color w:val="011A3C"/>
          <w:sz w:val="24"/>
          <w:szCs w:val="24"/>
          <w:lang w:val="en" w:eastAsia="en-AU"/>
        </w:rPr>
        <w:t xml:space="preserve"> 30 working days must be through fixed-term arrangements on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xml:space="preserve">. If a casual relief teacher is used initially because the absence is believed to be short-term, the employment must be converted, where the teacher is absent on personal leave, to </w:t>
      </w:r>
      <w:proofErr w:type="gramStart"/>
      <w:r w:rsidRPr="004D307F">
        <w:rPr>
          <w:rFonts w:ascii="VIC" w:eastAsia="Times New Roman" w:hAnsi="VIC" w:cs="Times New Roman"/>
          <w:color w:val="011A3C"/>
          <w:sz w:val="24"/>
          <w:szCs w:val="24"/>
          <w:lang w:val="en" w:eastAsia="en-AU"/>
        </w:rPr>
        <w:t>fixed-term</w:t>
      </w:r>
      <w:proofErr w:type="gramEnd"/>
      <w:r w:rsidRPr="004D307F">
        <w:rPr>
          <w:rFonts w:ascii="VIC" w:eastAsia="Times New Roman" w:hAnsi="VIC" w:cs="Times New Roman"/>
          <w:color w:val="011A3C"/>
          <w:sz w:val="24"/>
          <w:szCs w:val="24"/>
          <w:lang w:val="en" w:eastAsia="en-AU"/>
        </w:rPr>
        <w:t xml:space="preserve"> immediately when it is </w:t>
      </w:r>
      <w:proofErr w:type="spellStart"/>
      <w:r w:rsidRPr="004D307F">
        <w:rPr>
          <w:rFonts w:ascii="VIC" w:eastAsia="Times New Roman" w:hAnsi="VIC" w:cs="Times New Roman"/>
          <w:color w:val="011A3C"/>
          <w:sz w:val="24"/>
          <w:szCs w:val="24"/>
          <w:lang w:val="en" w:eastAsia="en-AU"/>
        </w:rPr>
        <w:t>recognised</w:t>
      </w:r>
      <w:proofErr w:type="spellEnd"/>
      <w:r w:rsidRPr="004D307F">
        <w:rPr>
          <w:rFonts w:ascii="VIC" w:eastAsia="Times New Roman" w:hAnsi="VIC" w:cs="Times New Roman"/>
          <w:color w:val="011A3C"/>
          <w:sz w:val="24"/>
          <w:szCs w:val="24"/>
          <w:lang w:val="en" w:eastAsia="en-AU"/>
        </w:rPr>
        <w:t xml:space="preserve"> that the absence will extend beyond 30 days. Refer to the </w:t>
      </w:r>
      <w:hyperlink r:id="rId223" w:history="1">
        <w:r w:rsidRPr="004D307F">
          <w:rPr>
            <w:rFonts w:ascii="VIC" w:eastAsia="Times New Roman" w:hAnsi="VIC" w:cs="Times New Roman"/>
            <w:color w:val="011A3C"/>
            <w:sz w:val="24"/>
            <w:szCs w:val="24"/>
            <w:lang w:val="en" w:eastAsia="en-AU"/>
          </w:rPr>
          <w:t>Casual Relief Teachers</w:t>
        </w:r>
      </w:hyperlink>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policy.</w:t>
      </w:r>
    </w:p>
    <w:p w14:paraId="2307E95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following funding arrangements operate for long-term leave over 30 days, including long-service leave, paid parental absences </w:t>
      </w:r>
      <w:proofErr w:type="gramStart"/>
      <w:r w:rsidRPr="004D307F">
        <w:rPr>
          <w:rFonts w:ascii="VIC" w:eastAsia="Times New Roman" w:hAnsi="VIC" w:cs="Times New Roman"/>
          <w:color w:val="011A3C"/>
          <w:sz w:val="24"/>
          <w:szCs w:val="24"/>
          <w:lang w:val="en" w:eastAsia="en-AU"/>
        </w:rPr>
        <w:t>e.g.</w:t>
      </w:r>
      <w:proofErr w:type="gramEnd"/>
      <w:r w:rsidRPr="004D307F">
        <w:rPr>
          <w:rFonts w:ascii="VIC" w:eastAsia="Times New Roman" w:hAnsi="VIC" w:cs="Times New Roman"/>
          <w:color w:val="011A3C"/>
          <w:sz w:val="24"/>
          <w:szCs w:val="24"/>
          <w:lang w:val="en" w:eastAsia="en-AU"/>
        </w:rPr>
        <w:t xml:space="preserve"> maternity leave, partner, other paid parental, Workers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Compensation leave, Transport Accident Commission Leave and long-term sick leave:</w:t>
      </w:r>
    </w:p>
    <w:p w14:paraId="0190A866" w14:textId="77777777" w:rsidR="0096466B" w:rsidRPr="004D307F" w:rsidRDefault="0096466B" w:rsidP="00ED0863">
      <w:pPr>
        <w:numPr>
          <w:ilvl w:val="0"/>
          <w:numId w:val="9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Classroom teachers on long-term leave are charged outside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 during the period of their leave, up to a salary equivalent of a classroom teacher CT1-3.</w:t>
      </w:r>
    </w:p>
    <w:p w14:paraId="2598FE17" w14:textId="77777777" w:rsidR="0096466B" w:rsidRPr="004D307F" w:rsidRDefault="0096466B" w:rsidP="00ED0863">
      <w:pPr>
        <w:numPr>
          <w:ilvl w:val="0"/>
          <w:numId w:val="9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the case of promotion level staff, the amount charged outside the SRP will equate to a classroom teacher CT1-3 plus the higher </w:t>
      </w:r>
      <w:proofErr w:type="gramStart"/>
      <w:r w:rsidRPr="004D307F">
        <w:rPr>
          <w:rFonts w:ascii="VIC" w:eastAsia="Times New Roman" w:hAnsi="VIC" w:cs="Times New Roman"/>
          <w:color w:val="011A3C"/>
          <w:sz w:val="24"/>
          <w:szCs w:val="24"/>
          <w:lang w:val="en" w:eastAsia="en-AU"/>
        </w:rPr>
        <w:t>duties</w:t>
      </w:r>
      <w:proofErr w:type="gramEnd"/>
      <w:r w:rsidRPr="004D307F">
        <w:rPr>
          <w:rFonts w:ascii="VIC" w:eastAsia="Times New Roman" w:hAnsi="VIC" w:cs="Times New Roman"/>
          <w:color w:val="011A3C"/>
          <w:sz w:val="24"/>
          <w:szCs w:val="24"/>
          <w:lang w:val="en" w:eastAsia="en-AU"/>
        </w:rPr>
        <w:t xml:space="preserve"> replacement cost.</w:t>
      </w:r>
    </w:p>
    <w:p w14:paraId="79587233" w14:textId="125F1062" w:rsidR="0096466B" w:rsidRPr="004D307F" w:rsidRDefault="0096466B" w:rsidP="00ED0863">
      <w:pPr>
        <w:numPr>
          <w:ilvl w:val="0"/>
          <w:numId w:val="9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 case of the principal and education support staff, the whole of the salary will be charged outside the SRP during the period of leave.</w:t>
      </w:r>
    </w:p>
    <w:p w14:paraId="64043878" w14:textId="0E06F2D2" w:rsidR="005A2BF2" w:rsidRPr="004D307F" w:rsidRDefault="005A2BF2" w:rsidP="00ED0863">
      <w:pPr>
        <w:pStyle w:val="ListParagraph"/>
        <w:numPr>
          <w:ilvl w:val="0"/>
          <w:numId w:val="96"/>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The salary </w:t>
      </w:r>
      <w:proofErr w:type="gramStart"/>
      <w:r w:rsidRPr="004D307F">
        <w:rPr>
          <w:rFonts w:ascii="VIC" w:eastAsia="Times New Roman" w:hAnsi="VIC" w:cs="Times New Roman"/>
          <w:color w:val="011A3C"/>
          <w:sz w:val="24"/>
          <w:szCs w:val="24"/>
          <w:lang w:val="en" w:eastAsia="en-AU"/>
        </w:rPr>
        <w:t>leave</w:t>
      </w:r>
      <w:proofErr w:type="gramEnd"/>
      <w:r w:rsidRPr="004D307F">
        <w:rPr>
          <w:rFonts w:ascii="VIC" w:eastAsia="Times New Roman" w:hAnsi="VIC" w:cs="Times New Roman"/>
          <w:color w:val="011A3C"/>
          <w:sz w:val="24"/>
          <w:szCs w:val="24"/>
          <w:lang w:val="en" w:eastAsia="en-AU"/>
        </w:rPr>
        <w:t xml:space="preserve"> loading (SLL) of the absent staff member or the replacement (smaller amount of two) will be only charged outside if the employee is on leave in the pay period SLL is paid. </w:t>
      </w:r>
    </w:p>
    <w:p w14:paraId="5121FC8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Under this arrangement, long-term leave will be charged outside the budget automatically when the leave occurs. The model allows budget flexibility for schools that may choose not to replace directly, who replace at lower cost, or who replace using a combination of means such as special payments and time fraction changes.</w:t>
      </w:r>
    </w:p>
    <w:p w14:paraId="1FE2DD15"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Long term leave support scheme premium</w:t>
      </w:r>
    </w:p>
    <w:p w14:paraId="5D482E0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long-term leave support scheme operates to support schools in the management of leave costs for both teachers and Education Support Officers. The scheme effectively provides for schools to contribute a fixed annual premium towards the state-wide cost, rather than deal individually with potentially significant unplanned leave costs. The annual premium is displayed as a deduction in the cash section of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hyperlink r:id="rId224" w:history="1">
        <w:r w:rsidRPr="004D307F">
          <w:rPr>
            <w:rFonts w:ascii="VIC" w:eastAsia="Times New Roman" w:hAnsi="VIC" w:cs="Times New Roman"/>
            <w:color w:val="011A3C"/>
            <w:sz w:val="24"/>
            <w:szCs w:val="24"/>
            <w:lang w:val="en" w:eastAsia="en-AU"/>
          </w:rPr>
          <w:t>SRP management report</w:t>
        </w:r>
      </w:hyperlink>
      <w:r w:rsidRPr="004D307F">
        <w:rPr>
          <w:rFonts w:ascii="VIC" w:eastAsia="Times New Roman" w:hAnsi="VIC" w:cs="Times New Roman"/>
          <w:color w:val="011A3C"/>
          <w:sz w:val="24"/>
          <w:szCs w:val="24"/>
          <w:lang w:val="en" w:eastAsia="en-AU"/>
        </w:rPr>
        <w:t>.</w:t>
      </w:r>
    </w:p>
    <w:p w14:paraId="351A42EB" w14:textId="15054FDB" w:rsidR="0096466B" w:rsidRPr="004D307F" w:rsidRDefault="0096466B" w:rsidP="0096466B">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Long term leave support scheme rates 202</w:t>
      </w:r>
      <w:r w:rsidR="005A2BF2" w:rsidRPr="004D307F">
        <w:rPr>
          <w:rFonts w:ascii="VIC" w:eastAsia="Times New Roman" w:hAnsi="VIC" w:cs="Times New Roman"/>
          <w:b/>
          <w:bCs/>
          <w:color w:val="011A3C"/>
          <w:sz w:val="24"/>
          <w:szCs w:val="24"/>
          <w:lang w:val="en" w:eastAsia="en-AU"/>
        </w:rPr>
        <w:t>2</w:t>
      </w:r>
    </w:p>
    <w:p w14:paraId="4B8607B0" w14:textId="1AB97899" w:rsidR="0096466B" w:rsidRPr="004D307F" w:rsidRDefault="0096466B" w:rsidP="00ED0863">
      <w:pPr>
        <w:numPr>
          <w:ilvl w:val="0"/>
          <w:numId w:val="9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Index-model specialist schools: $ per student (included in index): </w:t>
      </w:r>
      <w:r w:rsidR="00745DC1" w:rsidRPr="004D307F">
        <w:rPr>
          <w:rFonts w:ascii="VIC" w:eastAsia="Times New Roman" w:hAnsi="VIC" w:cs="Times New Roman"/>
          <w:color w:val="011A3C"/>
          <w:sz w:val="24"/>
          <w:szCs w:val="24"/>
          <w:lang w:val="en" w:eastAsia="en-AU"/>
        </w:rPr>
        <w:t>$</w:t>
      </w:r>
      <w:r w:rsidR="007653AF" w:rsidRPr="004D307F">
        <w:rPr>
          <w:rFonts w:ascii="VIC" w:eastAsia="Times New Roman" w:hAnsi="VIC" w:cs="Times New Roman"/>
          <w:color w:val="011A3C"/>
          <w:sz w:val="24"/>
          <w:szCs w:val="24"/>
          <w:lang w:val="en" w:eastAsia="en-AU"/>
        </w:rPr>
        <w:t>159.45</w:t>
      </w:r>
    </w:p>
    <w:p w14:paraId="6FE1CE5D" w14:textId="558061D8" w:rsidR="0096466B" w:rsidRPr="004D307F" w:rsidRDefault="0096466B" w:rsidP="00ED0863">
      <w:pPr>
        <w:numPr>
          <w:ilvl w:val="0"/>
          <w:numId w:val="9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All other schools: % of the total credit component in the SRP: </w:t>
      </w:r>
      <w:r w:rsidR="00745DC1" w:rsidRPr="004D307F">
        <w:rPr>
          <w:rFonts w:ascii="VIC" w:eastAsia="Times New Roman" w:hAnsi="VIC" w:cs="Times New Roman"/>
          <w:color w:val="011A3C"/>
          <w:sz w:val="24"/>
          <w:szCs w:val="24"/>
          <w:lang w:val="en" w:eastAsia="en-AU"/>
        </w:rPr>
        <w:t xml:space="preserve"> 1.3</w:t>
      </w:r>
      <w:r w:rsidR="007653AF" w:rsidRPr="004D307F">
        <w:rPr>
          <w:rFonts w:ascii="VIC" w:eastAsia="Times New Roman" w:hAnsi="VIC" w:cs="Times New Roman"/>
          <w:color w:val="011A3C"/>
          <w:sz w:val="24"/>
          <w:szCs w:val="24"/>
          <w:lang w:val="en" w:eastAsia="en-AU"/>
        </w:rPr>
        <w:t>8</w:t>
      </w:r>
      <w:r w:rsidR="00745DC1" w:rsidRPr="004D307F">
        <w:rPr>
          <w:rFonts w:ascii="VIC" w:eastAsia="Times New Roman" w:hAnsi="VIC" w:cs="Times New Roman"/>
          <w:color w:val="011A3C"/>
          <w:sz w:val="24"/>
          <w:szCs w:val="24"/>
          <w:lang w:val="en" w:eastAsia="en-AU"/>
        </w:rPr>
        <w:t>4%</w:t>
      </w:r>
    </w:p>
    <w:p w14:paraId="44B6C769"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Leave capping</w:t>
      </w:r>
    </w:p>
    <w:p w14:paraId="330CEA4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following funding arrangements operate for leave where a credit reimbursement is made to the school.</w:t>
      </w:r>
    </w:p>
    <w:p w14:paraId="1184652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Classroom teachers on long-term leave are charged outside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 during the period of their leave, up to a salary equivalent of a Classroom Teacher 1-3.</w:t>
      </w:r>
    </w:p>
    <w:p w14:paraId="1F2A892E"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In the case of promotion level staff, the amount charged outside the SRP will equate to a Classroom Teacher 1-3 plus the higher </w:t>
      </w:r>
      <w:proofErr w:type="gramStart"/>
      <w:r w:rsidRPr="004D307F">
        <w:rPr>
          <w:rFonts w:ascii="VIC" w:eastAsia="Times New Roman" w:hAnsi="VIC" w:cs="Times New Roman"/>
          <w:color w:val="011A3C"/>
          <w:sz w:val="24"/>
          <w:szCs w:val="24"/>
          <w:lang w:val="en" w:eastAsia="en-AU"/>
        </w:rPr>
        <w:t>duties</w:t>
      </w:r>
      <w:proofErr w:type="gramEnd"/>
      <w:r w:rsidRPr="004D307F">
        <w:rPr>
          <w:rFonts w:ascii="VIC" w:eastAsia="Times New Roman" w:hAnsi="VIC" w:cs="Times New Roman"/>
          <w:color w:val="011A3C"/>
          <w:sz w:val="24"/>
          <w:szCs w:val="24"/>
          <w:lang w:val="en" w:eastAsia="en-AU"/>
        </w:rPr>
        <w:t xml:space="preserve"> replacement cost. In the case of the school principal, education support staff, and allied health staff based in schools, the whole of the salary will be charged outside the SRP during the period of leave.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3037"/>
        <w:gridCol w:w="2865"/>
      </w:tblGrid>
      <w:tr w:rsidR="0096466B" w:rsidRPr="004D307F" w14:paraId="6FC5B22F" w14:textId="77777777" w:rsidTr="003243F4">
        <w:tc>
          <w:tcPr>
            <w:tcW w:w="0" w:type="auto"/>
            <w:gridSpan w:val="3"/>
            <w:vAlign w:val="center"/>
            <w:hideMark/>
          </w:tcPr>
          <w:p w14:paraId="3DDD59AA" w14:textId="77777777" w:rsidR="0096466B" w:rsidRPr="004D307F" w:rsidRDefault="0096466B" w:rsidP="003243F4">
            <w:pPr>
              <w:spacing w:before="100" w:beforeAutospacing="1" w:after="100" w:afterAutospacing="1" w:line="360" w:lineRule="atLeast"/>
              <w:rPr>
                <w:rFonts w:ascii="VIC" w:eastAsia="Times New Roman" w:hAnsi="VIC" w:cs="Times New Roman"/>
                <w:sz w:val="24"/>
                <w:szCs w:val="24"/>
                <w:lang w:eastAsia="en-AU"/>
              </w:rPr>
            </w:pPr>
            <w:r w:rsidRPr="004D307F">
              <w:rPr>
                <w:rFonts w:ascii="VIC" w:eastAsia="Times New Roman" w:hAnsi="VIC" w:cs="Times New Roman"/>
                <w:b/>
                <w:bCs/>
                <w:color w:val="011A3C"/>
                <w:sz w:val="24"/>
                <w:szCs w:val="24"/>
                <w:lang w:val="en" w:eastAsia="en-AU"/>
              </w:rPr>
              <w:lastRenderedPageBreak/>
              <w:t>Leave capping</w:t>
            </w:r>
          </w:p>
        </w:tc>
      </w:tr>
      <w:tr w:rsidR="000B1FF1" w:rsidRPr="004D307F" w14:paraId="3909E849" w14:textId="77777777" w:rsidTr="003243F4">
        <w:tc>
          <w:tcPr>
            <w:tcW w:w="1727" w:type="pct"/>
            <w:hideMark/>
          </w:tcPr>
          <w:p w14:paraId="0E51B6B4"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Salary of person on leave</w:t>
            </w:r>
          </w:p>
        </w:tc>
        <w:tc>
          <w:tcPr>
            <w:tcW w:w="3273" w:type="pct"/>
            <w:gridSpan w:val="2"/>
            <w:hideMark/>
          </w:tcPr>
          <w:p w14:paraId="6FDAD428"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Equivalent value of a person's salary charged outside the SRP</w:t>
            </w:r>
          </w:p>
        </w:tc>
      </w:tr>
      <w:tr w:rsidR="000B1FF1" w:rsidRPr="004D307F" w14:paraId="26C8657B" w14:textId="77777777" w:rsidTr="003243F4">
        <w:tc>
          <w:tcPr>
            <w:tcW w:w="1727" w:type="pct"/>
            <w:hideMark/>
          </w:tcPr>
          <w:p w14:paraId="4C2105C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Principal</w:t>
            </w:r>
          </w:p>
        </w:tc>
        <w:tc>
          <w:tcPr>
            <w:tcW w:w="3273" w:type="pct"/>
            <w:gridSpan w:val="2"/>
            <w:hideMark/>
          </w:tcPr>
          <w:p w14:paraId="29E73AD2"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Full salary</w:t>
            </w:r>
          </w:p>
        </w:tc>
      </w:tr>
      <w:tr w:rsidR="000B1FF1" w:rsidRPr="004D307F" w14:paraId="74E19BF7" w14:textId="77777777" w:rsidTr="003243F4">
        <w:tc>
          <w:tcPr>
            <w:tcW w:w="1727" w:type="pct"/>
            <w:hideMark/>
          </w:tcPr>
          <w:p w14:paraId="70E9D554"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Assistant Principal</w:t>
            </w:r>
          </w:p>
        </w:tc>
        <w:tc>
          <w:tcPr>
            <w:tcW w:w="3273" w:type="pct"/>
            <w:gridSpan w:val="2"/>
            <w:hideMark/>
          </w:tcPr>
          <w:p w14:paraId="55A9F9D1"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1-3 + HD gap (base of Assistant Principal range minus Classroom Teacher 2-6)</w:t>
            </w:r>
          </w:p>
        </w:tc>
      </w:tr>
      <w:tr w:rsidR="000B1FF1" w:rsidRPr="004D307F" w14:paraId="42AC3231" w14:textId="77777777" w:rsidTr="003243F4">
        <w:tc>
          <w:tcPr>
            <w:tcW w:w="1727" w:type="pct"/>
            <w:hideMark/>
          </w:tcPr>
          <w:p w14:paraId="0E295928"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Leading Teacher or Learning Specialist</w:t>
            </w:r>
          </w:p>
        </w:tc>
        <w:tc>
          <w:tcPr>
            <w:tcW w:w="3273" w:type="pct"/>
            <w:gridSpan w:val="2"/>
            <w:hideMark/>
          </w:tcPr>
          <w:p w14:paraId="634E01E9"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1-3 + HD gap (base of Leading Teacher range minus Classroom Teacher 2-6)</w:t>
            </w:r>
          </w:p>
        </w:tc>
      </w:tr>
      <w:tr w:rsidR="000B1FF1" w:rsidRPr="004D307F" w14:paraId="6660A03D" w14:textId="77777777" w:rsidTr="003243F4">
        <w:tc>
          <w:tcPr>
            <w:tcW w:w="1727" w:type="pct"/>
            <w:hideMark/>
          </w:tcPr>
          <w:p w14:paraId="630E66E1" w14:textId="77777777" w:rsidR="0096466B" w:rsidRPr="004D307F" w:rsidRDefault="0096466B" w:rsidP="003243F4">
            <w:pPr>
              <w:spacing w:after="0" w:line="240" w:lineRule="auto"/>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 Levels 3-5</w:t>
            </w:r>
            <w:r w:rsidRPr="004D307F">
              <w:rPr>
                <w:rFonts w:ascii="VIC" w:eastAsia="Times New Roman" w:hAnsi="VIC" w:cs="Times New Roman"/>
                <w:color w:val="323E4F" w:themeColor="text2" w:themeShade="BF"/>
                <w:sz w:val="24"/>
                <w:szCs w:val="24"/>
                <w:lang w:eastAsia="en-AU"/>
              </w:rPr>
              <w:br/>
              <w:t>Classroom Teacher 2 Levels 1-6</w:t>
            </w:r>
          </w:p>
        </w:tc>
        <w:tc>
          <w:tcPr>
            <w:tcW w:w="3273" w:type="pct"/>
            <w:gridSpan w:val="2"/>
            <w:hideMark/>
          </w:tcPr>
          <w:p w14:paraId="3A8DA0DA"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 Level 3</w:t>
            </w:r>
          </w:p>
        </w:tc>
      </w:tr>
      <w:tr w:rsidR="000B1FF1" w:rsidRPr="004D307F" w14:paraId="76566FCC" w14:textId="77777777" w:rsidTr="003243F4">
        <w:tc>
          <w:tcPr>
            <w:tcW w:w="1727" w:type="pct"/>
            <w:hideMark/>
          </w:tcPr>
          <w:p w14:paraId="23F02438"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 Level 2</w:t>
            </w:r>
          </w:p>
        </w:tc>
        <w:tc>
          <w:tcPr>
            <w:tcW w:w="3273" w:type="pct"/>
            <w:gridSpan w:val="2"/>
            <w:hideMark/>
          </w:tcPr>
          <w:p w14:paraId="4EAA4CF0"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1-2</w:t>
            </w:r>
          </w:p>
        </w:tc>
      </w:tr>
      <w:tr w:rsidR="000B1FF1" w:rsidRPr="004D307F" w14:paraId="55DA4C2F" w14:textId="77777777" w:rsidTr="003243F4">
        <w:tc>
          <w:tcPr>
            <w:tcW w:w="1727" w:type="pct"/>
            <w:hideMark/>
          </w:tcPr>
          <w:p w14:paraId="6D0BD26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 Level 1</w:t>
            </w:r>
          </w:p>
        </w:tc>
        <w:tc>
          <w:tcPr>
            <w:tcW w:w="3273" w:type="pct"/>
            <w:gridSpan w:val="2"/>
            <w:hideMark/>
          </w:tcPr>
          <w:p w14:paraId="7994A06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Classroom Teacher 1-1</w:t>
            </w:r>
          </w:p>
        </w:tc>
      </w:tr>
      <w:tr w:rsidR="000B1FF1" w:rsidRPr="004D307F" w14:paraId="6DAFB51B" w14:textId="77777777" w:rsidTr="003243F4">
        <w:tc>
          <w:tcPr>
            <w:tcW w:w="1727" w:type="pct"/>
            <w:hideMark/>
          </w:tcPr>
          <w:p w14:paraId="32A98CE7"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Education Support Officers</w:t>
            </w:r>
          </w:p>
        </w:tc>
        <w:tc>
          <w:tcPr>
            <w:tcW w:w="3273" w:type="pct"/>
            <w:gridSpan w:val="2"/>
            <w:hideMark/>
          </w:tcPr>
          <w:p w14:paraId="2D8F4DF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Full salary</w:t>
            </w:r>
          </w:p>
        </w:tc>
      </w:tr>
      <w:tr w:rsidR="000B1FF1" w:rsidRPr="004D307F" w14:paraId="07E9F6AC" w14:textId="77777777" w:rsidTr="003243F4">
        <w:tc>
          <w:tcPr>
            <w:tcW w:w="1727" w:type="pct"/>
            <w:hideMark/>
          </w:tcPr>
          <w:p w14:paraId="08C3B09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VPS and Allied Health</w:t>
            </w:r>
          </w:p>
        </w:tc>
        <w:tc>
          <w:tcPr>
            <w:tcW w:w="3273" w:type="pct"/>
            <w:gridSpan w:val="2"/>
            <w:hideMark/>
          </w:tcPr>
          <w:p w14:paraId="565B4EC6"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Full Salary</w:t>
            </w:r>
          </w:p>
        </w:tc>
      </w:tr>
      <w:tr w:rsidR="000B1FF1" w:rsidRPr="004D307F" w14:paraId="296C0A4D" w14:textId="77777777" w:rsidTr="003243F4">
        <w:tc>
          <w:tcPr>
            <w:tcW w:w="0" w:type="auto"/>
            <w:gridSpan w:val="3"/>
            <w:vAlign w:val="center"/>
            <w:hideMark/>
          </w:tcPr>
          <w:p w14:paraId="35A8D7D0"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Example: Funding for a Leading Teacher 3.1 on long-service leave more than 30 days</w:t>
            </w:r>
          </w:p>
        </w:tc>
      </w:tr>
      <w:tr w:rsidR="000B1FF1" w:rsidRPr="004D307F" w14:paraId="37AC05EF" w14:textId="77777777" w:rsidTr="003243F4">
        <w:tc>
          <w:tcPr>
            <w:tcW w:w="1727" w:type="pct"/>
            <w:hideMark/>
          </w:tcPr>
          <w:p w14:paraId="30D3E73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Regular Fortnightly Charge</w:t>
            </w:r>
          </w:p>
        </w:tc>
        <w:tc>
          <w:tcPr>
            <w:tcW w:w="1684" w:type="pct"/>
            <w:hideMark/>
          </w:tcPr>
          <w:p w14:paraId="4C5B0300" w14:textId="6D110953"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c>
          <w:tcPr>
            <w:tcW w:w="0" w:type="auto"/>
            <w:hideMark/>
          </w:tcPr>
          <w:p w14:paraId="5A8EE9CB"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r>
      <w:tr w:rsidR="000B1FF1" w:rsidRPr="004D307F" w14:paraId="60243ED7" w14:textId="77777777" w:rsidTr="003243F4">
        <w:tc>
          <w:tcPr>
            <w:tcW w:w="1727" w:type="pct"/>
            <w:hideMark/>
          </w:tcPr>
          <w:p w14:paraId="5D6C7EF5" w14:textId="77777777" w:rsidR="0096466B" w:rsidRPr="004D307F" w:rsidRDefault="0096466B" w:rsidP="00ED4312">
            <w:pPr>
              <w:spacing w:after="0" w:line="360" w:lineRule="atLeast"/>
              <w:rPr>
                <w:rFonts w:ascii="VIC" w:eastAsia="Times New Roman" w:hAnsi="VIC" w:cs="Times New Roman"/>
                <w:color w:val="323E4F" w:themeColor="text2" w:themeShade="BF"/>
                <w:sz w:val="20"/>
                <w:szCs w:val="20"/>
                <w:lang w:eastAsia="en-AU"/>
              </w:rPr>
            </w:pPr>
          </w:p>
        </w:tc>
        <w:tc>
          <w:tcPr>
            <w:tcW w:w="1684" w:type="pct"/>
            <w:hideMark/>
          </w:tcPr>
          <w:p w14:paraId="264F74BE"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Salary Charge</w:t>
            </w:r>
          </w:p>
        </w:tc>
        <w:tc>
          <w:tcPr>
            <w:tcW w:w="0" w:type="auto"/>
            <w:hideMark/>
          </w:tcPr>
          <w:p w14:paraId="513E5A8A"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SRP Saving</w:t>
            </w:r>
          </w:p>
        </w:tc>
      </w:tr>
      <w:tr w:rsidR="000B1FF1" w:rsidRPr="004D307F" w14:paraId="73B180F7" w14:textId="77777777" w:rsidTr="003243F4">
        <w:tc>
          <w:tcPr>
            <w:tcW w:w="1727" w:type="pct"/>
            <w:hideMark/>
          </w:tcPr>
          <w:p w14:paraId="698BAEB8"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Outside Budget</w:t>
            </w:r>
          </w:p>
        </w:tc>
        <w:tc>
          <w:tcPr>
            <w:tcW w:w="1684" w:type="pct"/>
            <w:hideMark/>
          </w:tcPr>
          <w:p w14:paraId="2EBAC946" w14:textId="419FA0C0"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$3,164.13</w:t>
            </w:r>
          </w:p>
        </w:tc>
        <w:tc>
          <w:tcPr>
            <w:tcW w:w="0" w:type="auto"/>
            <w:hideMark/>
          </w:tcPr>
          <w:p w14:paraId="4EC842A5" w14:textId="23E6B94C"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r>
      <w:tr w:rsidR="000B1FF1" w:rsidRPr="004D307F" w14:paraId="622DF4A4" w14:textId="77777777" w:rsidTr="003243F4">
        <w:tc>
          <w:tcPr>
            <w:tcW w:w="1727" w:type="pct"/>
            <w:hideMark/>
          </w:tcPr>
          <w:p w14:paraId="7BAD7971"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Inside Budget</w:t>
            </w:r>
          </w:p>
        </w:tc>
        <w:tc>
          <w:tcPr>
            <w:tcW w:w="1684" w:type="pct"/>
            <w:hideMark/>
          </w:tcPr>
          <w:p w14:paraId="4918CBAD" w14:textId="655F6064"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$1,170.17</w:t>
            </w:r>
          </w:p>
        </w:tc>
        <w:tc>
          <w:tcPr>
            <w:tcW w:w="0" w:type="auto"/>
            <w:hideMark/>
          </w:tcPr>
          <w:p w14:paraId="574A8DC7"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r>
      <w:tr w:rsidR="0096466B" w:rsidRPr="004D307F" w14:paraId="004B32D8" w14:textId="77777777" w:rsidTr="003243F4">
        <w:tc>
          <w:tcPr>
            <w:tcW w:w="1727" w:type="pct"/>
            <w:hideMark/>
          </w:tcPr>
          <w:p w14:paraId="180F2041"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TOTAL</w:t>
            </w:r>
          </w:p>
        </w:tc>
        <w:tc>
          <w:tcPr>
            <w:tcW w:w="1684" w:type="pct"/>
            <w:hideMark/>
          </w:tcPr>
          <w:p w14:paraId="17552DF0" w14:textId="1701B69F"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c>
          <w:tcPr>
            <w:tcW w:w="0" w:type="auto"/>
            <w:hideMark/>
          </w:tcPr>
          <w:p w14:paraId="39D01F3D" w14:textId="37C7A085"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$3,164.13</w:t>
            </w:r>
          </w:p>
        </w:tc>
      </w:tr>
    </w:tbl>
    <w:p w14:paraId="5FEA271D" w14:textId="77777777" w:rsidR="0096466B" w:rsidRPr="004D307F" w:rsidRDefault="0096466B" w:rsidP="0096466B">
      <w:pPr>
        <w:spacing w:after="0" w:line="360" w:lineRule="atLeast"/>
        <w:rPr>
          <w:rFonts w:ascii="VIC" w:eastAsia="Times New Roman" w:hAnsi="VIC" w:cs="Times New Roman"/>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1"/>
        <w:gridCol w:w="2695"/>
        <w:gridCol w:w="1660"/>
      </w:tblGrid>
      <w:tr w:rsidR="000B1FF1" w:rsidRPr="004D307F" w14:paraId="461658AA" w14:textId="77777777" w:rsidTr="003243F4">
        <w:tc>
          <w:tcPr>
            <w:tcW w:w="0" w:type="auto"/>
            <w:gridSpan w:val="3"/>
            <w:tcBorders>
              <w:top w:val="nil"/>
              <w:left w:val="nil"/>
              <w:bottom w:val="single" w:sz="4" w:space="0" w:color="auto"/>
              <w:right w:val="nil"/>
            </w:tcBorders>
            <w:vAlign w:val="center"/>
            <w:hideMark/>
          </w:tcPr>
          <w:p w14:paraId="6A1D8ECD" w14:textId="77777777" w:rsidR="00E72D67" w:rsidRPr="004D307F" w:rsidRDefault="00E72D67"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p>
          <w:p w14:paraId="34EB688A" w14:textId="5CBD6D78"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Example: Funding for a Leading Teacher 3.1 on half pay long-service leave more than 30 days</w:t>
            </w:r>
          </w:p>
        </w:tc>
      </w:tr>
      <w:tr w:rsidR="000B1FF1" w:rsidRPr="004D307F" w14:paraId="273A5ECA" w14:textId="77777777" w:rsidTr="003243F4">
        <w:trPr>
          <w:trHeight w:val="547"/>
        </w:trPr>
        <w:tc>
          <w:tcPr>
            <w:tcW w:w="0" w:type="auto"/>
            <w:tcBorders>
              <w:top w:val="single" w:sz="4" w:space="0" w:color="auto"/>
            </w:tcBorders>
            <w:hideMark/>
          </w:tcPr>
          <w:p w14:paraId="62544620"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Regular Fortnightly Charge</w:t>
            </w:r>
          </w:p>
        </w:tc>
        <w:tc>
          <w:tcPr>
            <w:tcW w:w="0" w:type="auto"/>
            <w:tcBorders>
              <w:top w:val="single" w:sz="4" w:space="0" w:color="auto"/>
            </w:tcBorders>
            <w:hideMark/>
          </w:tcPr>
          <w:p w14:paraId="561327B2" w14:textId="0065CEFC"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c>
          <w:tcPr>
            <w:tcW w:w="0" w:type="auto"/>
            <w:tcBorders>
              <w:top w:val="single" w:sz="4" w:space="0" w:color="auto"/>
            </w:tcBorders>
            <w:hideMark/>
          </w:tcPr>
          <w:p w14:paraId="37E6AAFC"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r>
      <w:tr w:rsidR="000B1FF1" w:rsidRPr="004D307F" w14:paraId="54364892" w14:textId="77777777" w:rsidTr="003243F4">
        <w:tc>
          <w:tcPr>
            <w:tcW w:w="0" w:type="auto"/>
            <w:hideMark/>
          </w:tcPr>
          <w:p w14:paraId="05532BAD" w14:textId="77777777" w:rsidR="0096466B" w:rsidRPr="004D307F" w:rsidRDefault="0096466B" w:rsidP="00ED4312">
            <w:pPr>
              <w:spacing w:after="0" w:line="360" w:lineRule="atLeast"/>
              <w:rPr>
                <w:rFonts w:ascii="VIC" w:eastAsia="Times New Roman" w:hAnsi="VIC" w:cs="Times New Roman"/>
                <w:color w:val="323E4F" w:themeColor="text2" w:themeShade="BF"/>
                <w:sz w:val="20"/>
                <w:szCs w:val="20"/>
                <w:lang w:eastAsia="en-AU"/>
              </w:rPr>
            </w:pPr>
          </w:p>
        </w:tc>
        <w:tc>
          <w:tcPr>
            <w:tcW w:w="0" w:type="auto"/>
            <w:hideMark/>
          </w:tcPr>
          <w:p w14:paraId="62BF397A"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Salary Charge</w:t>
            </w:r>
          </w:p>
        </w:tc>
        <w:tc>
          <w:tcPr>
            <w:tcW w:w="0" w:type="auto"/>
            <w:hideMark/>
          </w:tcPr>
          <w:p w14:paraId="5D0CEEE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SRP Saving</w:t>
            </w:r>
          </w:p>
        </w:tc>
      </w:tr>
      <w:tr w:rsidR="000B1FF1" w:rsidRPr="004D307F" w14:paraId="3DC01B4E" w14:textId="77777777" w:rsidTr="003243F4">
        <w:tc>
          <w:tcPr>
            <w:tcW w:w="0" w:type="auto"/>
            <w:hideMark/>
          </w:tcPr>
          <w:p w14:paraId="418AE068"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Regular Charge @ Half Pay</w:t>
            </w:r>
          </w:p>
        </w:tc>
        <w:tc>
          <w:tcPr>
            <w:tcW w:w="0" w:type="auto"/>
            <w:hideMark/>
          </w:tcPr>
          <w:p w14:paraId="07CFC7AE" w14:textId="5CC243A8"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$2,167.15</w:t>
            </w:r>
          </w:p>
        </w:tc>
        <w:tc>
          <w:tcPr>
            <w:tcW w:w="0" w:type="auto"/>
            <w:hideMark/>
          </w:tcPr>
          <w:p w14:paraId="492C2624" w14:textId="23AA6105"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$2,167.15</w:t>
            </w:r>
          </w:p>
        </w:tc>
      </w:tr>
      <w:tr w:rsidR="000B1FF1" w:rsidRPr="004D307F" w14:paraId="62D2EE66" w14:textId="77777777" w:rsidTr="003243F4">
        <w:tc>
          <w:tcPr>
            <w:tcW w:w="0" w:type="auto"/>
            <w:hideMark/>
          </w:tcPr>
          <w:p w14:paraId="0DE44C37"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Outside Budget</w:t>
            </w:r>
          </w:p>
        </w:tc>
        <w:tc>
          <w:tcPr>
            <w:tcW w:w="0" w:type="auto"/>
            <w:hideMark/>
          </w:tcPr>
          <w:p w14:paraId="0A4C9B65" w14:textId="5A58CEA3"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$996.98</w:t>
            </w:r>
          </w:p>
        </w:tc>
        <w:tc>
          <w:tcPr>
            <w:tcW w:w="0" w:type="auto"/>
            <w:hideMark/>
          </w:tcPr>
          <w:p w14:paraId="37F23B1F" w14:textId="1BFC2A8B"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$996.98</w:t>
            </w:r>
          </w:p>
        </w:tc>
      </w:tr>
      <w:tr w:rsidR="000B1FF1" w:rsidRPr="004D307F" w14:paraId="07188567" w14:textId="77777777" w:rsidTr="003243F4">
        <w:tc>
          <w:tcPr>
            <w:tcW w:w="0" w:type="auto"/>
            <w:hideMark/>
          </w:tcPr>
          <w:p w14:paraId="5110AC9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Inside Budget</w:t>
            </w:r>
          </w:p>
        </w:tc>
        <w:tc>
          <w:tcPr>
            <w:tcW w:w="0" w:type="auto"/>
            <w:hideMark/>
          </w:tcPr>
          <w:p w14:paraId="07BA58DB" w14:textId="33F8DC7B"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$1,170.17</w:t>
            </w:r>
          </w:p>
        </w:tc>
        <w:tc>
          <w:tcPr>
            <w:tcW w:w="0" w:type="auto"/>
            <w:hideMark/>
          </w:tcPr>
          <w:p w14:paraId="12EF72EC"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r>
      <w:tr w:rsidR="000B1FF1" w:rsidRPr="004D307F" w14:paraId="5C1609F7" w14:textId="77777777" w:rsidTr="003243F4">
        <w:tc>
          <w:tcPr>
            <w:tcW w:w="0" w:type="auto"/>
            <w:hideMark/>
          </w:tcPr>
          <w:p w14:paraId="52C286B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TOTAL</w:t>
            </w:r>
          </w:p>
        </w:tc>
        <w:tc>
          <w:tcPr>
            <w:tcW w:w="0" w:type="auto"/>
            <w:hideMark/>
          </w:tcPr>
          <w:p w14:paraId="0BB66968" w14:textId="6D2F272F"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$4,334.31</w:t>
            </w:r>
          </w:p>
        </w:tc>
        <w:tc>
          <w:tcPr>
            <w:tcW w:w="0" w:type="auto"/>
            <w:hideMark/>
          </w:tcPr>
          <w:p w14:paraId="6FF66F3A" w14:textId="44FF215F"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$3,164.13</w:t>
            </w:r>
          </w:p>
        </w:tc>
      </w:tr>
      <w:tr w:rsidR="000B1FF1" w:rsidRPr="004D307F" w14:paraId="2F69E566" w14:textId="77777777" w:rsidTr="003243F4">
        <w:tc>
          <w:tcPr>
            <w:tcW w:w="0" w:type="auto"/>
            <w:gridSpan w:val="3"/>
            <w:vAlign w:val="center"/>
            <w:hideMark/>
          </w:tcPr>
          <w:p w14:paraId="54893959"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Calculation of saving</w:t>
            </w:r>
          </w:p>
        </w:tc>
      </w:tr>
      <w:tr w:rsidR="000B1FF1" w:rsidRPr="004D307F" w14:paraId="7B720611" w14:textId="77777777" w:rsidTr="003243F4">
        <w:tc>
          <w:tcPr>
            <w:tcW w:w="0" w:type="auto"/>
            <w:gridSpan w:val="2"/>
            <w:hideMark/>
          </w:tcPr>
          <w:p w14:paraId="0C923A46" w14:textId="0AB0178D"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Classroom Teacher 1-3: </w:t>
            </w:r>
            <w:r w:rsidR="00745DC1" w:rsidRPr="004D307F">
              <w:rPr>
                <w:rFonts w:ascii="VIC" w:eastAsia="Times New Roman" w:hAnsi="VIC" w:cs="Times New Roman"/>
                <w:color w:val="323E4F" w:themeColor="text2" w:themeShade="BF"/>
                <w:sz w:val="24"/>
                <w:szCs w:val="24"/>
                <w:lang w:eastAsia="en-AU"/>
              </w:rPr>
              <w:t xml:space="preserve">$77,474 / </w:t>
            </w:r>
            <w:r w:rsidRPr="004D307F">
              <w:rPr>
                <w:rFonts w:ascii="VIC" w:eastAsia="Times New Roman" w:hAnsi="VIC" w:cs="Times New Roman"/>
                <w:color w:val="323E4F" w:themeColor="text2" w:themeShade="BF"/>
                <w:sz w:val="24"/>
                <w:szCs w:val="24"/>
                <w:lang w:eastAsia="en-AU"/>
              </w:rPr>
              <w:t>/ 26.0893 fortnights</w:t>
            </w:r>
          </w:p>
        </w:tc>
        <w:tc>
          <w:tcPr>
            <w:tcW w:w="0" w:type="auto"/>
            <w:hideMark/>
          </w:tcPr>
          <w:p w14:paraId="60D23617" w14:textId="20842E21"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$2,969.57</w:t>
            </w:r>
          </w:p>
        </w:tc>
      </w:tr>
      <w:tr w:rsidR="000B1FF1" w:rsidRPr="004D307F" w14:paraId="687E29BF" w14:textId="77777777" w:rsidTr="003243F4">
        <w:tc>
          <w:tcPr>
            <w:tcW w:w="0" w:type="auto"/>
            <w:gridSpan w:val="2"/>
            <w:hideMark/>
          </w:tcPr>
          <w:p w14:paraId="605FA1BA" w14:textId="7E9B77B6"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Higher duties gap Classroom Teacher 2.6 </w:t>
            </w:r>
            <w:r w:rsidR="00745DC1" w:rsidRPr="004D307F">
              <w:rPr>
                <w:rFonts w:ascii="VIC" w:eastAsia="Times New Roman" w:hAnsi="VIC" w:cs="Times New Roman"/>
                <w:color w:val="323E4F" w:themeColor="text2" w:themeShade="BF"/>
                <w:sz w:val="24"/>
                <w:szCs w:val="24"/>
                <w:lang w:eastAsia="en-AU"/>
              </w:rPr>
              <w:t xml:space="preserve">($108,003) </w:t>
            </w:r>
            <w:r w:rsidRPr="004D307F">
              <w:rPr>
                <w:rFonts w:ascii="VIC" w:eastAsia="Times New Roman" w:hAnsi="VIC" w:cs="Times New Roman"/>
                <w:color w:val="323E4F" w:themeColor="text2" w:themeShade="BF"/>
                <w:sz w:val="24"/>
                <w:szCs w:val="24"/>
                <w:lang w:eastAsia="en-AU"/>
              </w:rPr>
              <w:t xml:space="preserve">to Leading Teacher 3.1 </w:t>
            </w:r>
            <w:r w:rsidR="00745DC1" w:rsidRPr="004D307F">
              <w:rPr>
                <w:rFonts w:ascii="VIC" w:eastAsia="Times New Roman" w:hAnsi="VIC" w:cs="Times New Roman"/>
                <w:color w:val="323E4F" w:themeColor="text2" w:themeShade="BF"/>
                <w:sz w:val="24"/>
                <w:szCs w:val="24"/>
                <w:lang w:eastAsia="en-AU"/>
              </w:rPr>
              <w:t xml:space="preserve">($113,079) = $4,334.31 </w:t>
            </w:r>
            <w:r w:rsidRPr="004D307F">
              <w:rPr>
                <w:rFonts w:ascii="VIC" w:eastAsia="Times New Roman" w:hAnsi="VIC" w:cs="Times New Roman"/>
                <w:color w:val="323E4F" w:themeColor="text2" w:themeShade="BF"/>
                <w:sz w:val="24"/>
                <w:szCs w:val="24"/>
                <w:lang w:eastAsia="en-AU"/>
              </w:rPr>
              <w:t>/ 26.0893 fortnights</w:t>
            </w:r>
          </w:p>
        </w:tc>
        <w:tc>
          <w:tcPr>
            <w:tcW w:w="0" w:type="auto"/>
            <w:hideMark/>
          </w:tcPr>
          <w:p w14:paraId="4FCC379C" w14:textId="2D4C6DD7"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$194.56</w:t>
            </w:r>
          </w:p>
        </w:tc>
      </w:tr>
      <w:tr w:rsidR="000B1FF1" w:rsidRPr="004D307F" w14:paraId="339E6F53" w14:textId="77777777" w:rsidTr="003243F4">
        <w:tc>
          <w:tcPr>
            <w:tcW w:w="0" w:type="auto"/>
            <w:gridSpan w:val="2"/>
            <w:hideMark/>
          </w:tcPr>
          <w:p w14:paraId="4B146891"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Saving to school for relief</w:t>
            </w:r>
          </w:p>
        </w:tc>
        <w:tc>
          <w:tcPr>
            <w:tcW w:w="0" w:type="auto"/>
            <w:hideMark/>
          </w:tcPr>
          <w:p w14:paraId="68FC56E5" w14:textId="681E9A29" w:rsidR="0096466B" w:rsidRPr="004D307F" w:rsidRDefault="00745DC1"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$3,164.13</w:t>
            </w:r>
          </w:p>
        </w:tc>
      </w:tr>
    </w:tbl>
    <w:p w14:paraId="60219EB7" w14:textId="790CF48D"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rates quoted above are relevant to salaries paid as </w:t>
      </w:r>
      <w:proofErr w:type="gramStart"/>
      <w:r w:rsidRPr="004D307F">
        <w:rPr>
          <w:rFonts w:ascii="VIC" w:eastAsia="Times New Roman" w:hAnsi="VIC" w:cs="Times New Roman"/>
          <w:color w:val="011A3C"/>
          <w:sz w:val="24"/>
          <w:szCs w:val="24"/>
          <w:lang w:val="en" w:eastAsia="en-AU"/>
        </w:rPr>
        <w:t>at</w:t>
      </w:r>
      <w:proofErr w:type="gramEnd"/>
      <w:r w:rsidRPr="004D307F">
        <w:rPr>
          <w:rFonts w:ascii="VIC" w:eastAsia="Times New Roman" w:hAnsi="VIC" w:cs="Times New Roman"/>
          <w:color w:val="011A3C"/>
          <w:sz w:val="24"/>
          <w:szCs w:val="24"/>
          <w:lang w:val="en" w:eastAsia="en-AU"/>
        </w:rPr>
        <w:t xml:space="preserve"> 1 </w:t>
      </w:r>
      <w:r w:rsidR="00745DC1" w:rsidRPr="004D307F">
        <w:rPr>
          <w:rFonts w:ascii="VIC" w:eastAsia="Times New Roman" w:hAnsi="VIC" w:cs="Times New Roman"/>
          <w:color w:val="011A3C"/>
          <w:sz w:val="24"/>
          <w:szCs w:val="24"/>
          <w:lang w:val="en" w:eastAsia="en-AU"/>
        </w:rPr>
        <w:t>October</w:t>
      </w:r>
      <w:r w:rsidR="00745DC1" w:rsidRPr="004D307F" w:rsidDel="00745DC1">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2020.</w:t>
      </w:r>
    </w:p>
    <w:p w14:paraId="04D2AAFA" w14:textId="77777777" w:rsidR="0096466B" w:rsidRPr="004D307F" w:rsidRDefault="00A35420" w:rsidP="0096466B">
      <w:pPr>
        <w:spacing w:before="100" w:beforeAutospacing="1" w:after="100" w:afterAutospacing="1" w:line="360" w:lineRule="atLeast"/>
        <w:rPr>
          <w:rFonts w:ascii="VIC" w:eastAsia="Times New Roman" w:hAnsi="VIC" w:cs="Times New Roman"/>
          <w:color w:val="011A3C"/>
          <w:sz w:val="24"/>
          <w:szCs w:val="24"/>
          <w:lang w:val="en" w:eastAsia="en-AU"/>
        </w:rPr>
      </w:pPr>
      <w:hyperlink r:id="rId225" w:history="1">
        <w:r w:rsidR="0096466B" w:rsidRPr="004D307F">
          <w:rPr>
            <w:rFonts w:ascii="VIC" w:eastAsia="Times New Roman" w:hAnsi="VIC" w:cs="Times New Roman"/>
            <w:color w:val="011A3C"/>
            <w:sz w:val="24"/>
            <w:szCs w:val="24"/>
            <w:lang w:val="en" w:eastAsia="en-AU"/>
          </w:rPr>
          <w:t>Excel Calculator for Leave (Excel)</w:t>
        </w:r>
      </w:hyperlink>
    </w:p>
    <w:p w14:paraId="20F5D9C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This calculator assists with estimating the inside budget amounts for teaching staff who are on leave.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It is a guideline only and some classifications, like assistant principal class who have </w:t>
      </w:r>
      <w:hyperlink r:id="rId226" w:history="1">
        <w:proofErr w:type="spellStart"/>
        <w:r w:rsidRPr="004D307F">
          <w:rPr>
            <w:rFonts w:ascii="VIC" w:eastAsia="Times New Roman" w:hAnsi="VIC" w:cs="Times New Roman"/>
            <w:color w:val="011A3C"/>
            <w:sz w:val="24"/>
            <w:szCs w:val="24"/>
            <w:lang w:val="en" w:eastAsia="en-AU"/>
          </w:rPr>
          <w:t>SmartSalary</w:t>
        </w:r>
        <w:proofErr w:type="spellEnd"/>
      </w:hyperlink>
      <w:r w:rsidRPr="004D307F">
        <w:rPr>
          <w:rFonts w:ascii="VIC" w:eastAsia="Times New Roman" w:hAnsi="VIC" w:cs="Times New Roman"/>
          <w:color w:val="011A3C"/>
          <w:sz w:val="24"/>
          <w:szCs w:val="24"/>
          <w:lang w:val="en" w:eastAsia="en-AU"/>
        </w:rPr>
        <w:t xml:space="preserve"> packaging can vary.</w:t>
      </w:r>
    </w:p>
    <w:p w14:paraId="12B0F13A"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Leave reimbursement cash (short term leave)</w:t>
      </w:r>
    </w:p>
    <w:p w14:paraId="2923058E"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Leave Reimbursement Cash (short term leave) is a process whereby schools can apply for reimbursement for nominated leave items less than 30 continuous working days.</w:t>
      </w:r>
    </w:p>
    <w:p w14:paraId="3F98D700" w14:textId="23D890FE"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If schools experience extraordinary periods of short term paid leave they should discuss alternative support with the Schools Finance and Resources Branch at </w:t>
      </w:r>
      <w:hyperlink r:id="rId227" w:history="1">
        <w:r w:rsidR="00C64A4E" w:rsidRPr="004D307F">
          <w:rPr>
            <w:rStyle w:val="Hyperlink"/>
            <w:rFonts w:ascii="VIC" w:eastAsia="Times New Roman" w:hAnsi="VIC" w:cs="Times New Roman"/>
            <w:sz w:val="24"/>
            <w:szCs w:val="24"/>
            <w:lang w:val="en" w:eastAsia="en-AU"/>
          </w:rPr>
          <w:t>studentresourcepackage@education.vic.gov.au</w:t>
        </w:r>
      </w:hyperlink>
      <w:r w:rsidRPr="004D307F">
        <w:rPr>
          <w:rFonts w:ascii="VIC" w:eastAsia="Times New Roman" w:hAnsi="VIC" w:cs="Times New Roman"/>
          <w:color w:val="011A3C"/>
          <w:sz w:val="24"/>
          <w:szCs w:val="24"/>
          <w:lang w:val="en" w:eastAsia="en-AU"/>
        </w:rPr>
        <w:t xml:space="preserve"> or on </w:t>
      </w:r>
      <w:hyperlink r:id="rId228" w:history="1">
        <w:r w:rsidRPr="004D307F">
          <w:rPr>
            <w:rFonts w:ascii="VIC" w:eastAsia="Times New Roman" w:hAnsi="VIC" w:cs="Times New Roman"/>
            <w:color w:val="011A3C"/>
            <w:sz w:val="24"/>
            <w:szCs w:val="24"/>
            <w:lang w:val="en" w:eastAsia="en-AU"/>
          </w:rPr>
          <w:t>1800 641 943</w:t>
        </w:r>
      </w:hyperlink>
      <w:r w:rsidRPr="004D307F">
        <w:rPr>
          <w:rFonts w:ascii="VIC" w:eastAsia="Times New Roman" w:hAnsi="VIC" w:cs="Times New Roman"/>
          <w:color w:val="011A3C"/>
          <w:sz w:val="24"/>
          <w:szCs w:val="24"/>
          <w:lang w:val="en" w:eastAsia="en-AU"/>
        </w:rPr>
        <w:t>.</w:t>
      </w:r>
    </w:p>
    <w:p w14:paraId="657D009A"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Leave Reimbursement Cash Rates</w:t>
      </w:r>
    </w:p>
    <w:p w14:paraId="078CF97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following table contains the rates at which schools will be reimbursed for relief staff; these figures include superannuation and other on-costs.</w:t>
      </w:r>
    </w:p>
    <w:p w14:paraId="464B758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information on payment rates for relief staff, please refer to</w:t>
      </w:r>
      <w:r w:rsidRPr="004D307F">
        <w:rPr>
          <w:rFonts w:ascii="Calibri" w:eastAsia="Times New Roman" w:hAnsi="Calibri" w:cs="Calibri" w:hint="eastAsia"/>
          <w:color w:val="011A3C"/>
          <w:sz w:val="24"/>
          <w:szCs w:val="24"/>
          <w:lang w:val="en" w:eastAsia="en-AU"/>
        </w:rPr>
        <w:t> </w:t>
      </w:r>
      <w:hyperlink r:id="rId229" w:history="1">
        <w:r w:rsidRPr="004D307F">
          <w:rPr>
            <w:rFonts w:ascii="VIC" w:eastAsia="Times New Roman" w:hAnsi="VIC" w:cs="Times New Roman"/>
            <w:color w:val="011A3C"/>
            <w:sz w:val="24"/>
            <w:szCs w:val="24"/>
            <w:lang w:val="en" w:eastAsia="en-AU"/>
          </w:rPr>
          <w:t>Salary Rates</w:t>
        </w:r>
      </w:hyperlink>
      <w:r w:rsidRPr="004D307F">
        <w:rPr>
          <w:rFonts w:ascii="VIC" w:eastAsia="Times New Roman" w:hAnsi="VIC" w:cs="Times New Roman"/>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7"/>
        <w:gridCol w:w="2692"/>
        <w:gridCol w:w="3067"/>
      </w:tblGrid>
      <w:tr w:rsidR="0096466B" w:rsidRPr="004D307F" w14:paraId="00DEC829" w14:textId="77777777" w:rsidTr="003243F4">
        <w:trPr>
          <w:tblHeader/>
        </w:trPr>
        <w:tc>
          <w:tcPr>
            <w:tcW w:w="0" w:type="auto"/>
            <w:gridSpan w:val="3"/>
            <w:vAlign w:val="center"/>
            <w:hideMark/>
          </w:tcPr>
          <w:p w14:paraId="57E82BA2" w14:textId="58544831"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Reimbursement Rates for 202</w:t>
            </w:r>
            <w:r w:rsidR="005A2BF2" w:rsidRPr="004D307F">
              <w:rPr>
                <w:rFonts w:ascii="VIC" w:eastAsia="Times New Roman" w:hAnsi="VIC" w:cs="Times New Roman"/>
                <w:b/>
                <w:bCs/>
                <w:color w:val="323E4F" w:themeColor="text2" w:themeShade="BF"/>
                <w:sz w:val="24"/>
                <w:szCs w:val="24"/>
                <w:lang w:eastAsia="en-AU"/>
              </w:rPr>
              <w:t>2</w:t>
            </w:r>
          </w:p>
        </w:tc>
      </w:tr>
      <w:tr w:rsidR="0096466B" w:rsidRPr="004D307F" w14:paraId="4AA8C1FB" w14:textId="77777777" w:rsidTr="003243F4">
        <w:trPr>
          <w:tblHeader/>
        </w:trPr>
        <w:tc>
          <w:tcPr>
            <w:tcW w:w="1806" w:type="pct"/>
            <w:hideMark/>
          </w:tcPr>
          <w:p w14:paraId="7DB18C5B"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Effective dates</w:t>
            </w:r>
          </w:p>
        </w:tc>
        <w:tc>
          <w:tcPr>
            <w:tcW w:w="1493" w:type="pct"/>
            <w:hideMark/>
          </w:tcPr>
          <w:p w14:paraId="1F62797F"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Education Support Officer Relief (Hourly Rate)</w:t>
            </w:r>
          </w:p>
        </w:tc>
        <w:tc>
          <w:tcPr>
            <w:tcW w:w="1701" w:type="pct"/>
            <w:hideMark/>
          </w:tcPr>
          <w:p w14:paraId="1FDBB48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Casual Relief Teacher (Maximum Daily Rate)</w:t>
            </w:r>
          </w:p>
        </w:tc>
      </w:tr>
      <w:tr w:rsidR="0096466B" w:rsidRPr="004D307F" w14:paraId="7DFDF289" w14:textId="77777777" w:rsidTr="00745DC1">
        <w:tc>
          <w:tcPr>
            <w:tcW w:w="1806" w:type="pct"/>
          </w:tcPr>
          <w:p w14:paraId="258EDFC3" w14:textId="31FA59DA" w:rsidR="0096466B" w:rsidRPr="004D307F" w:rsidRDefault="007920FC"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1 </w:t>
            </w:r>
            <w:r w:rsidR="005A2BF2" w:rsidRPr="004D307F">
              <w:rPr>
                <w:rFonts w:ascii="VIC" w:eastAsia="Times New Roman" w:hAnsi="VIC" w:cs="Times New Roman"/>
                <w:color w:val="323E4F" w:themeColor="text2" w:themeShade="BF"/>
                <w:sz w:val="24"/>
                <w:szCs w:val="24"/>
                <w:lang w:eastAsia="en-AU"/>
              </w:rPr>
              <w:t>Jan</w:t>
            </w:r>
            <w:r w:rsidRPr="004D307F">
              <w:rPr>
                <w:rFonts w:ascii="VIC" w:eastAsia="Times New Roman" w:hAnsi="VIC" w:cs="Times New Roman"/>
                <w:color w:val="323E4F" w:themeColor="text2" w:themeShade="BF"/>
                <w:sz w:val="24"/>
                <w:szCs w:val="24"/>
                <w:lang w:eastAsia="en-AU"/>
              </w:rPr>
              <w:t xml:space="preserve"> 202</w:t>
            </w:r>
            <w:r w:rsidR="005A2BF2" w:rsidRPr="004D307F">
              <w:rPr>
                <w:rFonts w:ascii="VIC" w:eastAsia="Times New Roman" w:hAnsi="VIC" w:cs="Times New Roman"/>
                <w:color w:val="323E4F" w:themeColor="text2" w:themeShade="BF"/>
                <w:sz w:val="24"/>
                <w:szCs w:val="24"/>
                <w:lang w:eastAsia="en-AU"/>
              </w:rPr>
              <w:t>2</w:t>
            </w:r>
            <w:r w:rsidRPr="004D307F">
              <w:rPr>
                <w:rFonts w:ascii="VIC" w:eastAsia="Times New Roman" w:hAnsi="VIC" w:cs="Times New Roman"/>
                <w:color w:val="323E4F" w:themeColor="text2" w:themeShade="BF"/>
                <w:sz w:val="24"/>
                <w:szCs w:val="24"/>
                <w:lang w:eastAsia="en-AU"/>
              </w:rPr>
              <w:t xml:space="preserve">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31 Dec 202</w:t>
            </w:r>
            <w:r w:rsidR="005A2BF2" w:rsidRPr="004D307F">
              <w:rPr>
                <w:rFonts w:ascii="VIC" w:eastAsia="Times New Roman" w:hAnsi="VIC" w:cs="Times New Roman"/>
                <w:color w:val="323E4F" w:themeColor="text2" w:themeShade="BF"/>
                <w:sz w:val="24"/>
                <w:szCs w:val="24"/>
                <w:lang w:eastAsia="en-AU"/>
              </w:rPr>
              <w:t>2</w:t>
            </w:r>
            <w:r w:rsidR="00D72EEB" w:rsidRPr="004D307F">
              <w:rPr>
                <w:rFonts w:ascii="VIC" w:eastAsia="Times New Roman" w:hAnsi="VIC" w:cs="Times New Roman"/>
                <w:color w:val="323E4F" w:themeColor="text2" w:themeShade="BF"/>
                <w:sz w:val="24"/>
                <w:szCs w:val="24"/>
                <w:lang w:eastAsia="en-AU"/>
              </w:rPr>
              <w:t>*</w:t>
            </w:r>
          </w:p>
        </w:tc>
        <w:tc>
          <w:tcPr>
            <w:tcW w:w="1493" w:type="pct"/>
          </w:tcPr>
          <w:p w14:paraId="752AFD06" w14:textId="6C55DD7B" w:rsidR="0096466B" w:rsidRPr="004D307F" w:rsidRDefault="00D72EE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TBA</w:t>
            </w:r>
          </w:p>
        </w:tc>
        <w:tc>
          <w:tcPr>
            <w:tcW w:w="1701" w:type="pct"/>
          </w:tcPr>
          <w:p w14:paraId="0D39D06F" w14:textId="3F52EF1B" w:rsidR="0096466B" w:rsidRPr="004D307F" w:rsidRDefault="00D72EE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TBA</w:t>
            </w:r>
          </w:p>
        </w:tc>
      </w:tr>
    </w:tbl>
    <w:p w14:paraId="6D444AE3" w14:textId="05817D9C" w:rsidR="00D72EEB" w:rsidRPr="004D307F" w:rsidRDefault="00D72EEB" w:rsidP="00C116FE">
      <w:pPr>
        <w:keepNext/>
        <w:spacing w:after="0" w:line="360" w:lineRule="atLeast"/>
        <w:rPr>
          <w:rFonts w:ascii="VIC" w:eastAsia="Times New Roman" w:hAnsi="VIC" w:cs="Times New Roman"/>
          <w:i/>
          <w:iCs/>
          <w:color w:val="011A3C"/>
          <w:sz w:val="20"/>
          <w:szCs w:val="20"/>
          <w:lang w:val="en" w:eastAsia="en-AU"/>
        </w:rPr>
      </w:pPr>
      <w:r w:rsidRPr="004D307F">
        <w:rPr>
          <w:rFonts w:ascii="VIC" w:eastAsia="Times New Roman" w:hAnsi="VIC" w:cs="Times New Roman"/>
          <w:i/>
          <w:iCs/>
          <w:color w:val="011A3C"/>
          <w:sz w:val="20"/>
          <w:szCs w:val="20"/>
          <w:lang w:val="en" w:eastAsia="en-AU"/>
        </w:rPr>
        <w:lastRenderedPageBreak/>
        <w:t xml:space="preserve">*Reimbursement rates will be advised upon </w:t>
      </w:r>
      <w:r w:rsidR="003C2063" w:rsidRPr="004D307F">
        <w:rPr>
          <w:rFonts w:ascii="VIC" w:eastAsia="Times New Roman" w:hAnsi="VIC" w:cs="Times New Roman"/>
          <w:i/>
          <w:iCs/>
          <w:color w:val="011A3C"/>
          <w:sz w:val="20"/>
          <w:szCs w:val="20"/>
          <w:lang w:val="en" w:eastAsia="en-AU"/>
        </w:rPr>
        <w:t xml:space="preserve">ratification </w:t>
      </w:r>
      <w:r w:rsidRPr="004D307F">
        <w:rPr>
          <w:rFonts w:ascii="VIC" w:eastAsia="Times New Roman" w:hAnsi="VIC" w:cs="Times New Roman"/>
          <w:i/>
          <w:iCs/>
          <w:color w:val="011A3C"/>
          <w:sz w:val="20"/>
          <w:szCs w:val="20"/>
          <w:lang w:val="en" w:eastAsia="en-AU"/>
        </w:rPr>
        <w:t>of a new teaching agreement in 2022</w:t>
      </w:r>
      <w:r w:rsidR="003C2063" w:rsidRPr="004D307F">
        <w:rPr>
          <w:rFonts w:ascii="VIC" w:eastAsia="Times New Roman" w:hAnsi="VIC" w:cs="Times New Roman"/>
          <w:i/>
          <w:iCs/>
          <w:color w:val="011A3C"/>
          <w:sz w:val="20"/>
          <w:szCs w:val="20"/>
          <w:lang w:val="en" w:eastAsia="en-AU"/>
        </w:rPr>
        <w:t xml:space="preserve"> and the establishment of the relevant Ministerial Order.</w:t>
      </w:r>
    </w:p>
    <w:p w14:paraId="486AADE2" w14:textId="2BBC2E2D" w:rsidR="0096466B" w:rsidRPr="004D307F" w:rsidRDefault="0096466B" w:rsidP="00A9180D">
      <w:pPr>
        <w:keepNext/>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Identification of a replacement</w:t>
      </w:r>
    </w:p>
    <w:p w14:paraId="3F9DA386"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Central (credit) replacements are identified by any of the following methods using data from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w:t>
      </w:r>
    </w:p>
    <w:p w14:paraId="1D971F27" w14:textId="77777777" w:rsidR="0096466B" w:rsidRPr="004D307F" w:rsidRDefault="0096466B" w:rsidP="00ED0863">
      <w:pPr>
        <w:numPr>
          <w:ilvl w:val="0"/>
          <w:numId w:val="9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increase in time fraction</w:t>
      </w:r>
    </w:p>
    <w:p w14:paraId="4992DBFB" w14:textId="77777777" w:rsidR="0096466B" w:rsidRPr="004D307F" w:rsidRDefault="0096466B" w:rsidP="00ED0863">
      <w:pPr>
        <w:numPr>
          <w:ilvl w:val="0"/>
          <w:numId w:val="9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transfer from another school</w:t>
      </w:r>
    </w:p>
    <w:p w14:paraId="220E0A98" w14:textId="77777777" w:rsidR="0096466B" w:rsidRPr="004D307F" w:rsidRDefault="0096466B" w:rsidP="00ED0863">
      <w:pPr>
        <w:numPr>
          <w:ilvl w:val="0"/>
          <w:numId w:val="9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temporary resumption from unpaid leave</w:t>
      </w:r>
    </w:p>
    <w:p w14:paraId="0FB93DF7" w14:textId="77777777" w:rsidR="0096466B" w:rsidRPr="004D307F" w:rsidRDefault="0096466B" w:rsidP="00ED0863">
      <w:pPr>
        <w:numPr>
          <w:ilvl w:val="0"/>
          <w:numId w:val="9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fixed-term contract</w:t>
      </w:r>
    </w:p>
    <w:p w14:paraId="508AF0E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Local (cash) replacements are identified by any of the following methods using data from CASES21:</w:t>
      </w:r>
    </w:p>
    <w:p w14:paraId="7D492615" w14:textId="77777777" w:rsidR="0096466B" w:rsidRPr="004D307F" w:rsidRDefault="0096466B" w:rsidP="00ED0863">
      <w:pPr>
        <w:numPr>
          <w:ilvl w:val="0"/>
          <w:numId w:val="9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local payroll payment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xml:space="preserve"> school local payroll)</w:t>
      </w:r>
    </w:p>
    <w:p w14:paraId="7A46F51A" w14:textId="77777777" w:rsidR="0096466B" w:rsidRPr="004D307F" w:rsidRDefault="0096466B" w:rsidP="00ED0863">
      <w:pPr>
        <w:numPr>
          <w:ilvl w:val="0"/>
          <w:numId w:val="9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creditor invoice payment (agency)</w:t>
      </w:r>
    </w:p>
    <w:p w14:paraId="0F35E1DB"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Supporting documentation</w:t>
      </w:r>
    </w:p>
    <w:p w14:paraId="21264855" w14:textId="77777777" w:rsidR="0096466B" w:rsidRPr="004D307F" w:rsidRDefault="00A35420" w:rsidP="00ED0863">
      <w:pPr>
        <w:numPr>
          <w:ilvl w:val="0"/>
          <w:numId w:val="100"/>
        </w:numPr>
        <w:spacing w:before="100" w:beforeAutospacing="1" w:after="100" w:afterAutospacing="1" w:line="360" w:lineRule="atLeast"/>
        <w:rPr>
          <w:rFonts w:ascii="VIC" w:eastAsia="Times New Roman" w:hAnsi="VIC" w:cs="Times New Roman"/>
          <w:color w:val="011A3C"/>
          <w:sz w:val="24"/>
          <w:szCs w:val="24"/>
          <w:lang w:val="en" w:eastAsia="en-AU"/>
        </w:rPr>
      </w:pPr>
      <w:hyperlink r:id="rId230" w:history="1">
        <w:r w:rsidR="0096466B" w:rsidRPr="004D307F">
          <w:rPr>
            <w:rFonts w:ascii="VIC" w:eastAsia="Times New Roman" w:hAnsi="VIC" w:cs="Times New Roman"/>
            <w:color w:val="011A3C"/>
            <w:sz w:val="24"/>
            <w:szCs w:val="24"/>
            <w:lang w:val="en" w:eastAsia="en-AU"/>
          </w:rPr>
          <w:t>SRP Leave Portal User Guide (PDF)</w:t>
        </w:r>
      </w:hyperlink>
    </w:p>
    <w:p w14:paraId="54B19A14" w14:textId="77777777" w:rsidR="0096466B" w:rsidRPr="004D307F" w:rsidRDefault="00A35420" w:rsidP="00ED0863">
      <w:pPr>
        <w:numPr>
          <w:ilvl w:val="0"/>
          <w:numId w:val="100"/>
        </w:numPr>
        <w:spacing w:before="100" w:beforeAutospacing="1" w:after="100" w:afterAutospacing="1" w:line="360" w:lineRule="atLeast"/>
        <w:rPr>
          <w:rFonts w:ascii="VIC" w:eastAsia="Times New Roman" w:hAnsi="VIC" w:cs="Times New Roman"/>
          <w:color w:val="011A3C"/>
          <w:sz w:val="24"/>
          <w:szCs w:val="24"/>
          <w:lang w:val="en" w:eastAsia="en-AU"/>
        </w:rPr>
      </w:pPr>
      <w:hyperlink r:id="rId231" w:history="1">
        <w:r w:rsidR="0096466B" w:rsidRPr="004D307F">
          <w:rPr>
            <w:rFonts w:ascii="VIC" w:eastAsia="Times New Roman" w:hAnsi="VIC" w:cs="Times New Roman"/>
            <w:color w:val="011A3C"/>
            <w:sz w:val="24"/>
            <w:szCs w:val="24"/>
            <w:lang w:val="en" w:eastAsia="en-AU"/>
          </w:rPr>
          <w:t>SRP Leave Portal User Guide (Word)</w:t>
        </w:r>
      </w:hyperlink>
    </w:p>
    <w:p w14:paraId="3C70C9C2" w14:textId="0BE06B5A" w:rsidR="0096466B" w:rsidRPr="004D307F" w:rsidRDefault="00A35420" w:rsidP="00ED0863">
      <w:pPr>
        <w:numPr>
          <w:ilvl w:val="0"/>
          <w:numId w:val="100"/>
        </w:numPr>
        <w:spacing w:before="100" w:beforeAutospacing="1" w:after="100" w:afterAutospacing="1" w:line="360" w:lineRule="atLeast"/>
        <w:rPr>
          <w:rFonts w:ascii="VIC" w:eastAsia="Times New Roman" w:hAnsi="VIC" w:cs="Times New Roman"/>
          <w:color w:val="011A3C"/>
          <w:sz w:val="24"/>
          <w:szCs w:val="24"/>
          <w:lang w:val="en" w:eastAsia="en-AU"/>
        </w:rPr>
      </w:pPr>
      <w:hyperlink r:id="rId232" w:history="1">
        <w:r w:rsidR="0096466B" w:rsidRPr="004D307F">
          <w:rPr>
            <w:rFonts w:ascii="VIC" w:eastAsia="Times New Roman" w:hAnsi="VIC" w:cs="Times New Roman"/>
            <w:color w:val="011A3C"/>
            <w:sz w:val="24"/>
            <w:szCs w:val="24"/>
            <w:lang w:val="en" w:eastAsia="en-AU"/>
          </w:rPr>
          <w:t>Sample Spread sheet for Leave Replacements (Excel)</w:t>
        </w:r>
      </w:hyperlink>
    </w:p>
    <w:p w14:paraId="3B830488" w14:textId="77777777" w:rsidR="000B1FF1" w:rsidRPr="004D307F" w:rsidRDefault="000B1FF1" w:rsidP="000B1FF1">
      <w:pPr>
        <w:spacing w:before="100" w:beforeAutospacing="1" w:after="100" w:afterAutospacing="1" w:line="360" w:lineRule="atLeast"/>
        <w:ind w:left="720"/>
        <w:rPr>
          <w:rFonts w:ascii="VIC" w:eastAsia="Times New Roman" w:hAnsi="VIC" w:cs="Times New Roman"/>
          <w:color w:val="011A3C"/>
          <w:sz w:val="24"/>
          <w:szCs w:val="24"/>
          <w:lang w:val="en" w:eastAsia="en-AU"/>
        </w:rPr>
      </w:pPr>
    </w:p>
    <w:p w14:paraId="4DF8DECF"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Trailing holidays</w:t>
      </w:r>
    </w:p>
    <w:p w14:paraId="5F88820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Where a staff member is absent during the term and vacation period, and the replacement staff member is employed throughout that term and into the following vacation period, this is referred to in the SRP system as 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trailing holiday</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w:t>
      </w:r>
    </w:p>
    <w:p w14:paraId="12F1A77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leave type is only applicable to replacements for absences of 30 days or more of continuous leave, where the replacement is a centrally paid staff member, and where the leave covers the last day of term. This option can be selected from the SRP leave replacement portal.</w:t>
      </w:r>
    </w:p>
    <w:p w14:paraId="5BB2D819"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Example 1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Term 2 Break:</w:t>
      </w:r>
    </w:p>
    <w:p w14:paraId="77191CA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John Teacher is an ongoing staff member at Blue Primary School who took long service leave for the whole of Term 2. During his absence Elizabeth Teacher was hired into a fixed-term position. Although John</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leave ended on the last day of term, he will not actually return to the school until the first day of Term 3. At the same time, Elizabeth is entitled to be paid for the Term 2 vacation period.</w:t>
      </w:r>
    </w:p>
    <w:p w14:paraId="196E4B1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Charging both staff to the school would result in a double charge. Blue Primary School recorded Elizabeth as the central replacement for the full period of leave including the vacation period (trailing holidays). The school was charged as follows:</w:t>
      </w:r>
    </w:p>
    <w:p w14:paraId="37440315" w14:textId="77777777" w:rsidR="0096466B" w:rsidRPr="004D307F" w:rsidRDefault="0096466B" w:rsidP="00ED0863">
      <w:pPr>
        <w:numPr>
          <w:ilvl w:val="0"/>
          <w:numId w:val="10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From the first day of Term 2 to the last day of Term 2 John</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salary will be charged outside the Blue Primary School's budget. Elizabeth's salary in the same period will be charged to Blue Primary School.</w:t>
      </w:r>
    </w:p>
    <w:p w14:paraId="4736FFEA" w14:textId="77777777" w:rsidR="0096466B" w:rsidRPr="004D307F" w:rsidRDefault="0096466B" w:rsidP="00ED0863">
      <w:pPr>
        <w:numPr>
          <w:ilvl w:val="0"/>
          <w:numId w:val="10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John's salary will continue to be charged outside Blue Primary School's budget between the first day of Term 2 vacation until the last day of Term 2 vacation. Elizabeth's salary in the same period will be charged to Blue Primary School.</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w:t>
      </w:r>
      <w:r w:rsidRPr="004D307F">
        <w:rPr>
          <w:rFonts w:ascii="Calibri" w:eastAsia="Times New Roman" w:hAnsi="Calibri" w:cs="Calibri" w:hint="eastAsia"/>
          <w:color w:val="011A3C"/>
          <w:sz w:val="24"/>
          <w:szCs w:val="24"/>
          <w:lang w:val="en" w:eastAsia="en-AU"/>
        </w:rPr>
        <w:t> </w:t>
      </w:r>
    </w:p>
    <w:p w14:paraId="24049232"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leave charging rules apply, refer to</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Leave Capping (above).</w:t>
      </w:r>
    </w:p>
    <w:p w14:paraId="5E694800"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Example 2 </w:t>
      </w:r>
      <w:r w:rsidRPr="004D307F">
        <w:rPr>
          <w:rFonts w:ascii="VIC" w:eastAsia="Times New Roman" w:hAnsi="VIC" w:cs="Times New Roman" w:hint="eastAsia"/>
          <w:b/>
          <w:bCs/>
          <w:color w:val="011A3C"/>
          <w:sz w:val="24"/>
          <w:szCs w:val="24"/>
          <w:lang w:val="en" w:eastAsia="en-AU"/>
        </w:rPr>
        <w:t>—</w:t>
      </w:r>
      <w:r w:rsidRPr="004D307F">
        <w:rPr>
          <w:rFonts w:ascii="VIC" w:eastAsia="Times New Roman" w:hAnsi="VIC" w:cs="Times New Roman"/>
          <w:b/>
          <w:bCs/>
          <w:color w:val="011A3C"/>
          <w:sz w:val="24"/>
          <w:szCs w:val="24"/>
          <w:lang w:val="en" w:eastAsia="en-AU"/>
        </w:rPr>
        <w:t xml:space="preserve"> End of year break:</w:t>
      </w:r>
    </w:p>
    <w:p w14:paraId="07FC1EE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Jane Teacher is an ongoing staff member at Orange Primary School who was absent on long service leave for the last 7 weeks of Term 4 (greater than 30 continuous working days). During her absence she was replaced by Fred Teacher, a fixed-term teacher who was employed at Orange in a different capacity to the end of Term 3. He was retained at the school through Term 4 to cover the absence of Jane.</w:t>
      </w:r>
    </w:p>
    <w:p w14:paraId="6E3AB499"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Jane</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leave ended on the last day of term, but she will not actually return to the school until the first day of Term 1. Fred is entitled to be paid for the end of year vacation. Charging both staff to the school would result in a double charge. Orange Primary recorded Fred as the central replacement for the full period of leave including the vacation period (trailing holidays). The school was charged as follows:</w:t>
      </w:r>
    </w:p>
    <w:p w14:paraId="5D2F3742" w14:textId="54479E32" w:rsidR="0096466B" w:rsidRPr="004D307F" w:rsidRDefault="0096466B" w:rsidP="00ED0863">
      <w:pPr>
        <w:numPr>
          <w:ilvl w:val="0"/>
          <w:numId w:val="10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 xml:space="preserve">From the first day of Term 4 to the day before Jane goes on leave, Orange Primary School will </w:t>
      </w:r>
      <w:r w:rsidR="002E5AC9" w:rsidRPr="004D307F">
        <w:rPr>
          <w:rFonts w:ascii="VIC" w:eastAsia="Times New Roman" w:hAnsi="VIC" w:cs="Times New Roman"/>
          <w:color w:val="011A3C"/>
          <w:sz w:val="24"/>
          <w:szCs w:val="24"/>
          <w:lang w:val="en" w:eastAsia="en-AU"/>
        </w:rPr>
        <w:t xml:space="preserve">be </w:t>
      </w:r>
      <w:r w:rsidRPr="004D307F">
        <w:rPr>
          <w:rFonts w:ascii="VIC" w:eastAsia="Times New Roman" w:hAnsi="VIC" w:cs="Times New Roman"/>
          <w:color w:val="011A3C"/>
          <w:sz w:val="24"/>
          <w:szCs w:val="24"/>
          <w:lang w:val="en" w:eastAsia="en-AU"/>
        </w:rPr>
        <w:t>charged for her salary. Fred</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salary will also be charged to Orange Primary School during this time.</w:t>
      </w:r>
    </w:p>
    <w:p w14:paraId="7767CB8B" w14:textId="77777777" w:rsidR="0096466B" w:rsidRPr="004D307F" w:rsidRDefault="0096466B" w:rsidP="00ED0863">
      <w:pPr>
        <w:numPr>
          <w:ilvl w:val="0"/>
          <w:numId w:val="10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From the first day Jane is on leave to the last day in Term 4, her salary will be charged outside of Orange Primary School's budget. During this time, Fred</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salary will be charged to Orange Primary School.</w:t>
      </w:r>
    </w:p>
    <w:p w14:paraId="63F89B44" w14:textId="12459DFF" w:rsidR="0096466B" w:rsidRPr="004D307F" w:rsidRDefault="0096466B" w:rsidP="00ED0863">
      <w:pPr>
        <w:numPr>
          <w:ilvl w:val="0"/>
          <w:numId w:val="10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Additionally, from the first day of </w:t>
      </w:r>
      <w:r w:rsidR="002E5AC9" w:rsidRPr="004D307F">
        <w:rPr>
          <w:rFonts w:ascii="VIC" w:eastAsia="Times New Roman" w:hAnsi="VIC" w:cs="Times New Roman"/>
          <w:color w:val="011A3C"/>
          <w:sz w:val="24"/>
          <w:szCs w:val="24"/>
          <w:lang w:val="en" w:eastAsia="en-AU"/>
        </w:rPr>
        <w:t xml:space="preserve">the </w:t>
      </w:r>
      <w:r w:rsidRPr="004D307F">
        <w:rPr>
          <w:rFonts w:ascii="VIC" w:eastAsia="Times New Roman" w:hAnsi="VIC" w:cs="Times New Roman"/>
          <w:color w:val="011A3C"/>
          <w:sz w:val="24"/>
          <w:szCs w:val="24"/>
          <w:lang w:val="en" w:eastAsia="en-AU"/>
        </w:rPr>
        <w:t>end of year vacation to the last day of end of year vacation, Jane's salary will continue to be charged outside Orange Primary School's budget. Fred's salary during this period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will continue to be charged to Orange Primary School.</w:t>
      </w:r>
    </w:p>
    <w:p w14:paraId="0C607261" w14:textId="3F65B772"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leave charging rules apply, refer to Leave Capping (above).</w:t>
      </w:r>
    </w:p>
    <w:p w14:paraId="6B109A93" w14:textId="77777777" w:rsidR="0096466B" w:rsidRPr="004D307F" w:rsidRDefault="0096466B" w:rsidP="0096466B">
      <w:pPr>
        <w:rPr>
          <w:rFonts w:ascii="VIC" w:hAnsi="VIC"/>
        </w:rPr>
      </w:pPr>
      <w:r w:rsidRPr="004D307F">
        <w:rPr>
          <w:rFonts w:ascii="VIC" w:hAnsi="VIC"/>
        </w:rPr>
        <w:br w:type="page"/>
      </w:r>
    </w:p>
    <w:p w14:paraId="7706E11A" w14:textId="2AFDB698" w:rsidR="0096466B" w:rsidRPr="004D307F" w:rsidRDefault="0096466B" w:rsidP="00B566E7">
      <w:pPr>
        <w:pStyle w:val="Heading2"/>
      </w:pPr>
      <w:bookmarkStart w:id="139" w:name="_Toc99882797"/>
      <w:r w:rsidRPr="004D307F">
        <w:lastRenderedPageBreak/>
        <w:t>Surplus or deficit</w:t>
      </w:r>
      <w:bookmarkEnd w:id="139"/>
    </w:p>
    <w:p w14:paraId="5DF68B4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annual pay cycle and rollover of surplus / deficit from one year to the next for the Student Resource Package (SRP).</w:t>
      </w:r>
    </w:p>
    <w:p w14:paraId="5649B466"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Annual pay cycle</w:t>
      </w:r>
    </w:p>
    <w:p w14:paraId="649AA13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Allocations in the SRP for salaries are based on a full calendar year, which is 260.893 working days per year. This equates to 365.25 calendar days, taking account of the leap-year cycle.</w:t>
      </w:r>
    </w:p>
    <w:p w14:paraId="1B26C379"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Actual salary costs on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xml:space="preserve"> are charged to schools each year according to the actual number of working days in the year. This may be 260, 261 or 262 working days in any given year.</w:t>
      </w:r>
    </w:p>
    <w:p w14:paraId="3925B74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must take account of these minor variations as part of their normal budget planning. SRP financial reports, including the </w:t>
      </w:r>
      <w:hyperlink r:id="rId233" w:history="1">
        <w:r w:rsidRPr="004D307F">
          <w:rPr>
            <w:rFonts w:ascii="VIC" w:eastAsia="Times New Roman" w:hAnsi="VIC" w:cs="Times New Roman"/>
            <w:color w:val="011A3C"/>
            <w:sz w:val="24"/>
            <w:szCs w:val="24"/>
            <w:lang w:val="en" w:eastAsia="en-AU"/>
          </w:rPr>
          <w:t>SRP Management Report</w:t>
        </w:r>
      </w:hyperlink>
      <w:r w:rsidRPr="004D307F">
        <w:rPr>
          <w:rFonts w:ascii="VIC" w:eastAsia="Times New Roman" w:hAnsi="VIC" w:cs="Times New Roman"/>
          <w:color w:val="011A3C"/>
          <w:sz w:val="24"/>
          <w:szCs w:val="24"/>
          <w:lang w:val="en" w:eastAsia="en-AU"/>
        </w:rPr>
        <w:t xml:space="preserve"> and</w:t>
      </w:r>
      <w:r w:rsidRPr="004D307F">
        <w:rPr>
          <w:rFonts w:ascii="Calibri" w:eastAsia="Times New Roman" w:hAnsi="Calibri" w:cs="Calibri" w:hint="eastAsia"/>
          <w:color w:val="011A3C"/>
          <w:sz w:val="24"/>
          <w:szCs w:val="24"/>
          <w:lang w:val="en" w:eastAsia="en-AU"/>
        </w:rPr>
        <w:t> </w:t>
      </w:r>
      <w:hyperlink r:id="rId234" w:history="1">
        <w:r w:rsidRPr="004D307F">
          <w:rPr>
            <w:rFonts w:ascii="VIC" w:eastAsia="Times New Roman" w:hAnsi="VIC" w:cs="Times New Roman"/>
            <w:color w:val="011A3C"/>
            <w:sz w:val="24"/>
            <w:szCs w:val="24"/>
            <w:lang w:val="en" w:eastAsia="en-AU"/>
          </w:rPr>
          <w:t>Salaries Fortnightly Transaction Report</w:t>
        </w:r>
      </w:hyperlink>
      <w:r w:rsidRPr="004D307F">
        <w:rPr>
          <w:rFonts w:ascii="VIC" w:eastAsia="Times New Roman" w:hAnsi="VIC" w:cs="Times New Roman"/>
          <w:color w:val="011A3C"/>
          <w:sz w:val="24"/>
          <w:szCs w:val="24"/>
          <w:lang w:val="en" w:eastAsia="en-AU"/>
        </w:rPr>
        <w:t xml:space="preserve"> (both available from the </w:t>
      </w:r>
      <w:hyperlink r:id="rId235"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xml:space="preserve">), and the SRP Planner (accessible from the </w:t>
      </w:r>
      <w:hyperlink r:id="rId236"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are programmed to take account of these annual variations.</w:t>
      </w:r>
    </w:p>
    <w:p w14:paraId="76F5BD3E"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Rollover of surplus or</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deficit from one year to the next</w:t>
      </w:r>
    </w:p>
    <w:p w14:paraId="4C69DD2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Any credit surplus remaining against the school after the reconciliation process is completed is carried forward to the following year. Schools then have the option of either retaining the funds as credit, or submitting 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credit to cash against previous year surplus</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request to gain immediate access to the funds as cash (refer to Credit / Cash Transfers below)</w:t>
      </w:r>
    </w:p>
    <w:p w14:paraId="1456BF52"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Not all programs have the option of requesting funds for immediate access.</w:t>
      </w:r>
    </w:p>
    <w:p w14:paraId="5EF67A90"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End of year deficit</w:t>
      </w:r>
    </w:p>
    <w:p w14:paraId="30C8D4FC" w14:textId="13CB0CBE"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Any credit deficit remaining against the school will be recovered from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cash component in the following year. This recovery will occur against the first quarterly cash grant (QCG)</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following the </w:t>
      </w:r>
      <w:proofErr w:type="spellStart"/>
      <w:r w:rsidRPr="004D307F">
        <w:rPr>
          <w:rFonts w:ascii="VIC" w:eastAsia="Times New Roman" w:hAnsi="VIC" w:cs="Times New Roman"/>
          <w:color w:val="011A3C"/>
          <w:sz w:val="24"/>
          <w:szCs w:val="24"/>
          <w:lang w:val="en" w:eastAsia="en-AU"/>
        </w:rPr>
        <w:t>finalisation</w:t>
      </w:r>
      <w:proofErr w:type="spellEnd"/>
      <w:r w:rsidRPr="004D307F">
        <w:rPr>
          <w:rFonts w:ascii="VIC" w:eastAsia="Times New Roman" w:hAnsi="VIC" w:cs="Times New Roman"/>
          <w:color w:val="011A3C"/>
          <w:sz w:val="24"/>
          <w:szCs w:val="24"/>
          <w:lang w:val="en" w:eastAsia="en-AU"/>
        </w:rPr>
        <w:t xml:space="preserve"> of reconciliation for all schools. If there are insufficient funds available in the first QCG to cover the outstanding deficit amount, the balance will be recovered from the next QCG(s). If there remains an outstanding deficit amount after the Term 4 QCG, the school will be </w:t>
      </w:r>
      <w:r w:rsidR="002E5AC9" w:rsidRPr="004D307F">
        <w:rPr>
          <w:rFonts w:ascii="VIC" w:eastAsia="Times New Roman" w:hAnsi="VIC" w:cs="Times New Roman"/>
          <w:color w:val="011A3C"/>
          <w:sz w:val="24"/>
          <w:szCs w:val="24"/>
          <w:lang w:val="en" w:eastAsia="en-AU"/>
        </w:rPr>
        <w:t>contacted,</w:t>
      </w:r>
      <w:r w:rsidRPr="004D307F">
        <w:rPr>
          <w:rFonts w:ascii="VIC" w:eastAsia="Times New Roman" w:hAnsi="VIC" w:cs="Times New Roman"/>
          <w:color w:val="011A3C"/>
          <w:sz w:val="24"/>
          <w:szCs w:val="24"/>
          <w:lang w:val="en" w:eastAsia="en-AU"/>
        </w:rPr>
        <w:t xml:space="preserve"> and </w:t>
      </w:r>
      <w:r w:rsidRPr="004D307F">
        <w:rPr>
          <w:rFonts w:ascii="VIC" w:eastAsia="Times New Roman" w:hAnsi="VIC" w:cs="Times New Roman"/>
          <w:color w:val="011A3C"/>
          <w:sz w:val="24"/>
          <w:szCs w:val="24"/>
          <w:lang w:val="en" w:eastAsia="en-AU"/>
        </w:rPr>
        <w:lastRenderedPageBreak/>
        <w:t>arrangements made for the balance to be paid</w:t>
      </w:r>
      <w:r w:rsidR="002E5AC9" w:rsidRPr="004D307F">
        <w:rPr>
          <w:rFonts w:ascii="VIC" w:eastAsia="Times New Roman" w:hAnsi="VIC" w:cs="Times New Roman"/>
          <w:color w:val="011A3C"/>
          <w:sz w:val="24"/>
          <w:szCs w:val="24"/>
          <w:lang w:val="en" w:eastAsia="en-AU"/>
        </w:rPr>
        <w:t xml:space="preserve">, </w:t>
      </w:r>
      <w:r w:rsidR="002E5AC9" w:rsidRPr="004D307F">
        <w:rPr>
          <w:rFonts w:ascii="VIC" w:eastAsia="Times New Roman" w:hAnsi="VIC" w:cs="Times New Roman"/>
          <w:color w:val="011A3C"/>
          <w:sz w:val="24"/>
          <w:szCs w:val="24"/>
          <w:lang w:eastAsia="en-AU"/>
        </w:rPr>
        <w:t>preferably</w:t>
      </w:r>
      <w:r w:rsidR="002E5AC9" w:rsidRPr="004D307F">
        <w:rPr>
          <w:rFonts w:ascii="VIC" w:eastAsia="Times New Roman" w:hAnsi="VIC" w:cs="Times New Roman"/>
          <w:color w:val="011A3C"/>
          <w:sz w:val="24"/>
          <w:szCs w:val="24"/>
          <w:lang w:val="en" w:eastAsia="en-AU"/>
        </w:rPr>
        <w:t xml:space="preserve"> via Electronic Funds Transfer (EFT)</w:t>
      </w:r>
      <w:r w:rsidRPr="004D307F">
        <w:rPr>
          <w:rFonts w:ascii="VIC" w:eastAsia="Times New Roman" w:hAnsi="VIC" w:cs="Times New Roman"/>
          <w:color w:val="011A3C"/>
          <w:sz w:val="24"/>
          <w:szCs w:val="24"/>
          <w:lang w:val="en" w:eastAsia="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3"/>
        <w:gridCol w:w="1259"/>
        <w:gridCol w:w="1839"/>
        <w:gridCol w:w="1848"/>
        <w:gridCol w:w="1847"/>
      </w:tblGrid>
      <w:tr w:rsidR="000B1FF1" w:rsidRPr="004D307F" w14:paraId="39E0341A" w14:textId="77777777" w:rsidTr="003243F4">
        <w:trPr>
          <w:tblHeader/>
        </w:trPr>
        <w:tc>
          <w:tcPr>
            <w:tcW w:w="0" w:type="auto"/>
            <w:gridSpan w:val="5"/>
            <w:vAlign w:val="center"/>
            <w:hideMark/>
          </w:tcPr>
          <w:p w14:paraId="239F85E4" w14:textId="77777777" w:rsidR="0096466B" w:rsidRPr="004D307F" w:rsidRDefault="0096466B" w:rsidP="003243F4">
            <w:p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val="en" w:eastAsia="en-AU"/>
              </w:rPr>
              <w:t>Example 1: Recovery from Term 3 QCG</w:t>
            </w:r>
          </w:p>
        </w:tc>
      </w:tr>
      <w:tr w:rsidR="000B1FF1" w:rsidRPr="004D307F" w14:paraId="79DD10BF" w14:textId="77777777" w:rsidTr="003243F4">
        <w:trPr>
          <w:tblHeader/>
        </w:trPr>
        <w:tc>
          <w:tcPr>
            <w:tcW w:w="0" w:type="auto"/>
            <w:hideMark/>
          </w:tcPr>
          <w:p w14:paraId="693B8CBB" w14:textId="77777777" w:rsidR="0096466B" w:rsidRPr="004D307F" w:rsidRDefault="0096466B" w:rsidP="00ED4312">
            <w:pPr>
              <w:spacing w:after="0" w:line="240" w:lineRule="auto"/>
              <w:rPr>
                <w:rFonts w:ascii="VIC" w:eastAsia="Times New Roman" w:hAnsi="VIC" w:cs="Times New Roman"/>
                <w:color w:val="323E4F" w:themeColor="text2" w:themeShade="BF"/>
                <w:sz w:val="24"/>
                <w:szCs w:val="24"/>
                <w:lang w:eastAsia="en-AU"/>
              </w:rPr>
            </w:pPr>
          </w:p>
        </w:tc>
        <w:tc>
          <w:tcPr>
            <w:tcW w:w="0" w:type="auto"/>
            <w:hideMark/>
          </w:tcPr>
          <w:p w14:paraId="2C92C01F" w14:textId="77777777" w:rsidR="0096466B" w:rsidRPr="004D307F" w:rsidRDefault="0096466B" w:rsidP="00ED4312">
            <w:pPr>
              <w:spacing w:after="0" w:line="240" w:lineRule="atLeast"/>
              <w:rPr>
                <w:rFonts w:ascii="VIC" w:eastAsia="Times New Roman" w:hAnsi="VIC" w:cs="Times New Roman"/>
                <w:color w:val="323E4F" w:themeColor="text2" w:themeShade="BF"/>
                <w:sz w:val="20"/>
                <w:szCs w:val="20"/>
                <w:lang w:eastAsia="en-AU"/>
              </w:rPr>
            </w:pPr>
          </w:p>
        </w:tc>
        <w:tc>
          <w:tcPr>
            <w:tcW w:w="0" w:type="auto"/>
            <w:hideMark/>
          </w:tcPr>
          <w:p w14:paraId="14E1251B"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3 QCG</w:t>
            </w:r>
          </w:p>
        </w:tc>
        <w:tc>
          <w:tcPr>
            <w:tcW w:w="0" w:type="auto"/>
            <w:hideMark/>
          </w:tcPr>
          <w:p w14:paraId="1C5926FF"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4 QCG</w:t>
            </w:r>
          </w:p>
        </w:tc>
        <w:tc>
          <w:tcPr>
            <w:tcW w:w="0" w:type="auto"/>
            <w:hideMark/>
          </w:tcPr>
          <w:p w14:paraId="2339C23B" w14:textId="6FC2829C" w:rsidR="0096466B" w:rsidRPr="004D307F" w:rsidRDefault="002E5AC9"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EFT/</w:t>
            </w:r>
            <w:r w:rsidR="0096466B" w:rsidRPr="004D307F">
              <w:rPr>
                <w:rFonts w:ascii="VIC" w:eastAsia="Times New Roman" w:hAnsi="VIC" w:cs="Times New Roman"/>
                <w:color w:val="323E4F" w:themeColor="text2" w:themeShade="BF"/>
                <w:sz w:val="24"/>
                <w:szCs w:val="24"/>
                <w:lang w:eastAsia="en-AU"/>
              </w:rPr>
              <w:t>Cheque</w:t>
            </w:r>
          </w:p>
        </w:tc>
      </w:tr>
      <w:tr w:rsidR="000B1FF1" w:rsidRPr="004D307F" w14:paraId="32CE3F30" w14:textId="77777777" w:rsidTr="002E5AC9">
        <w:tc>
          <w:tcPr>
            <w:tcW w:w="0" w:type="auto"/>
            <w:tcBorders>
              <w:bottom w:val="single" w:sz="4" w:space="0" w:color="auto"/>
            </w:tcBorders>
            <w:hideMark/>
          </w:tcPr>
          <w:p w14:paraId="30D85BE2"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QCG Amount</w:t>
            </w:r>
          </w:p>
        </w:tc>
        <w:tc>
          <w:tcPr>
            <w:tcW w:w="0" w:type="auto"/>
            <w:tcBorders>
              <w:bottom w:val="single" w:sz="4" w:space="0" w:color="auto"/>
            </w:tcBorders>
            <w:hideMark/>
          </w:tcPr>
          <w:p w14:paraId="7749C78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c>
          <w:tcPr>
            <w:tcW w:w="0" w:type="auto"/>
            <w:hideMark/>
          </w:tcPr>
          <w:p w14:paraId="6478DC30" w14:textId="41758F44"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0BA3FC60" w14:textId="56060CFA"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2D15A7AC" w14:textId="77777777" w:rsidR="0096466B" w:rsidRPr="004D307F" w:rsidRDefault="0096466B" w:rsidP="002E5AC9">
            <w:pPr>
              <w:spacing w:after="0" w:line="360" w:lineRule="atLeast"/>
              <w:jc w:val="center"/>
              <w:rPr>
                <w:rFonts w:ascii="VIC" w:eastAsia="Times New Roman" w:hAnsi="VIC" w:cs="Times New Roman"/>
                <w:color w:val="323E4F" w:themeColor="text2" w:themeShade="BF"/>
                <w:sz w:val="24"/>
                <w:szCs w:val="24"/>
                <w:lang w:eastAsia="en-AU"/>
              </w:rPr>
            </w:pPr>
          </w:p>
        </w:tc>
      </w:tr>
      <w:tr w:rsidR="000B1FF1" w:rsidRPr="004D307F" w14:paraId="22293A55" w14:textId="77777777" w:rsidTr="002E5AC9">
        <w:tc>
          <w:tcPr>
            <w:tcW w:w="0" w:type="auto"/>
            <w:tcBorders>
              <w:right w:val="nil"/>
            </w:tcBorders>
            <w:hideMark/>
          </w:tcPr>
          <w:p w14:paraId="2D5AD5C7"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Deficit Amount</w:t>
            </w:r>
          </w:p>
        </w:tc>
        <w:tc>
          <w:tcPr>
            <w:tcW w:w="0" w:type="auto"/>
            <w:tcBorders>
              <w:left w:val="nil"/>
            </w:tcBorders>
            <w:hideMark/>
          </w:tcPr>
          <w:p w14:paraId="10C7F5C2" w14:textId="57595115" w:rsidR="0096466B" w:rsidRPr="004D307F" w:rsidRDefault="002E5AC9"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10,000</w:t>
            </w:r>
          </w:p>
        </w:tc>
        <w:tc>
          <w:tcPr>
            <w:tcW w:w="0" w:type="auto"/>
            <w:hideMark/>
          </w:tcPr>
          <w:p w14:paraId="622BCB5F" w14:textId="6B16737C"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10,000</w:t>
            </w:r>
          </w:p>
        </w:tc>
        <w:tc>
          <w:tcPr>
            <w:tcW w:w="0" w:type="auto"/>
            <w:hideMark/>
          </w:tcPr>
          <w:p w14:paraId="4525E8AF" w14:textId="412CB487"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0</w:t>
            </w:r>
          </w:p>
        </w:tc>
        <w:tc>
          <w:tcPr>
            <w:tcW w:w="0" w:type="auto"/>
            <w:hideMark/>
          </w:tcPr>
          <w:p w14:paraId="5A5C4E00" w14:textId="18888858"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0</w:t>
            </w:r>
          </w:p>
        </w:tc>
      </w:tr>
      <w:tr w:rsidR="000B1FF1" w:rsidRPr="004D307F" w14:paraId="4367C060" w14:textId="77777777" w:rsidTr="003243F4">
        <w:trPr>
          <w:tblHeader/>
        </w:trPr>
        <w:tc>
          <w:tcPr>
            <w:tcW w:w="0" w:type="auto"/>
            <w:gridSpan w:val="5"/>
            <w:vAlign w:val="center"/>
            <w:hideMark/>
          </w:tcPr>
          <w:p w14:paraId="22AF8AAC"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Example 2: Recovery starting in Term 3 and finishing Term 4 QCG</w:t>
            </w:r>
          </w:p>
        </w:tc>
      </w:tr>
      <w:tr w:rsidR="000B1FF1" w:rsidRPr="004D307F" w14:paraId="2B2DFE5B" w14:textId="77777777" w:rsidTr="003243F4">
        <w:trPr>
          <w:tblHeader/>
        </w:trPr>
        <w:tc>
          <w:tcPr>
            <w:tcW w:w="0" w:type="auto"/>
            <w:hideMark/>
          </w:tcPr>
          <w:p w14:paraId="7E4BFF2F" w14:textId="77777777" w:rsidR="0096466B" w:rsidRPr="004D307F" w:rsidRDefault="0096466B" w:rsidP="00ED4312">
            <w:pPr>
              <w:spacing w:after="0" w:line="240" w:lineRule="auto"/>
              <w:rPr>
                <w:rFonts w:ascii="VIC" w:eastAsia="Times New Roman" w:hAnsi="VIC" w:cs="Times New Roman"/>
                <w:color w:val="323E4F" w:themeColor="text2" w:themeShade="BF"/>
                <w:sz w:val="24"/>
                <w:szCs w:val="24"/>
                <w:lang w:eastAsia="en-AU"/>
              </w:rPr>
            </w:pPr>
          </w:p>
        </w:tc>
        <w:tc>
          <w:tcPr>
            <w:tcW w:w="0" w:type="auto"/>
            <w:hideMark/>
          </w:tcPr>
          <w:p w14:paraId="4489A5E2" w14:textId="77777777" w:rsidR="0096466B" w:rsidRPr="004D307F" w:rsidRDefault="0096466B" w:rsidP="00ED4312">
            <w:pPr>
              <w:spacing w:after="0" w:line="240" w:lineRule="atLeast"/>
              <w:rPr>
                <w:rFonts w:ascii="VIC" w:eastAsia="Times New Roman" w:hAnsi="VIC" w:cs="Times New Roman"/>
                <w:b/>
                <w:bCs/>
                <w:color w:val="323E4F" w:themeColor="text2" w:themeShade="BF"/>
                <w:sz w:val="20"/>
                <w:szCs w:val="20"/>
                <w:lang w:eastAsia="en-AU"/>
              </w:rPr>
            </w:pPr>
          </w:p>
        </w:tc>
        <w:tc>
          <w:tcPr>
            <w:tcW w:w="0" w:type="auto"/>
            <w:hideMark/>
          </w:tcPr>
          <w:p w14:paraId="6FADBA06"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3 QCG</w:t>
            </w:r>
          </w:p>
        </w:tc>
        <w:tc>
          <w:tcPr>
            <w:tcW w:w="0" w:type="auto"/>
            <w:hideMark/>
          </w:tcPr>
          <w:p w14:paraId="76C659BC"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4 QCG</w:t>
            </w:r>
          </w:p>
        </w:tc>
        <w:tc>
          <w:tcPr>
            <w:tcW w:w="0" w:type="auto"/>
            <w:hideMark/>
          </w:tcPr>
          <w:p w14:paraId="326D6E52" w14:textId="74F17CCD" w:rsidR="0096466B" w:rsidRPr="004D307F" w:rsidRDefault="002E5AC9"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EFT/</w:t>
            </w:r>
            <w:r w:rsidR="0096466B" w:rsidRPr="004D307F">
              <w:rPr>
                <w:rFonts w:ascii="VIC" w:eastAsia="Times New Roman" w:hAnsi="VIC" w:cs="Times New Roman"/>
                <w:color w:val="323E4F" w:themeColor="text2" w:themeShade="BF"/>
                <w:sz w:val="24"/>
                <w:szCs w:val="24"/>
                <w:lang w:eastAsia="en-AU"/>
              </w:rPr>
              <w:t>Cheque</w:t>
            </w:r>
          </w:p>
        </w:tc>
      </w:tr>
      <w:tr w:rsidR="000B1FF1" w:rsidRPr="004D307F" w14:paraId="734A20BE" w14:textId="77777777" w:rsidTr="002E5AC9">
        <w:tc>
          <w:tcPr>
            <w:tcW w:w="0" w:type="auto"/>
            <w:tcBorders>
              <w:bottom w:val="single" w:sz="4" w:space="0" w:color="auto"/>
            </w:tcBorders>
            <w:hideMark/>
          </w:tcPr>
          <w:p w14:paraId="1E83B63D"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QCG Amount</w:t>
            </w:r>
          </w:p>
        </w:tc>
        <w:tc>
          <w:tcPr>
            <w:tcW w:w="0" w:type="auto"/>
            <w:tcBorders>
              <w:bottom w:val="single" w:sz="4" w:space="0" w:color="auto"/>
            </w:tcBorders>
            <w:hideMark/>
          </w:tcPr>
          <w:p w14:paraId="3DF2F91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c>
          <w:tcPr>
            <w:tcW w:w="0" w:type="auto"/>
            <w:hideMark/>
          </w:tcPr>
          <w:p w14:paraId="2D4A79F0" w14:textId="02E4B893"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1D34C7D4" w14:textId="3CB90E2A"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0CE2C91D" w14:textId="77777777" w:rsidR="0096466B" w:rsidRPr="004D307F" w:rsidRDefault="0096466B" w:rsidP="002E5AC9">
            <w:pPr>
              <w:spacing w:after="0" w:line="360" w:lineRule="atLeast"/>
              <w:jc w:val="center"/>
              <w:rPr>
                <w:rFonts w:ascii="VIC" w:eastAsia="Times New Roman" w:hAnsi="VIC" w:cs="Times New Roman"/>
                <w:color w:val="323E4F" w:themeColor="text2" w:themeShade="BF"/>
                <w:sz w:val="24"/>
                <w:szCs w:val="24"/>
                <w:lang w:eastAsia="en-AU"/>
              </w:rPr>
            </w:pPr>
          </w:p>
        </w:tc>
      </w:tr>
      <w:tr w:rsidR="000B1FF1" w:rsidRPr="004D307F" w14:paraId="50C2122D" w14:textId="77777777" w:rsidTr="002E5AC9">
        <w:tc>
          <w:tcPr>
            <w:tcW w:w="0" w:type="auto"/>
            <w:tcBorders>
              <w:right w:val="nil"/>
            </w:tcBorders>
            <w:hideMark/>
          </w:tcPr>
          <w:p w14:paraId="7DD7169A"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Deficit Amount</w:t>
            </w:r>
          </w:p>
        </w:tc>
        <w:tc>
          <w:tcPr>
            <w:tcW w:w="0" w:type="auto"/>
            <w:tcBorders>
              <w:left w:val="nil"/>
            </w:tcBorders>
            <w:hideMark/>
          </w:tcPr>
          <w:p w14:paraId="3F8AFC45" w14:textId="0F246934" w:rsidR="0096466B" w:rsidRPr="004D307F" w:rsidRDefault="002E5AC9"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60,000</w:t>
            </w:r>
          </w:p>
        </w:tc>
        <w:tc>
          <w:tcPr>
            <w:tcW w:w="0" w:type="auto"/>
            <w:hideMark/>
          </w:tcPr>
          <w:p w14:paraId="51FCB350" w14:textId="1B899A39"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6677F281" w14:textId="22612DFD"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10,000</w:t>
            </w:r>
          </w:p>
        </w:tc>
        <w:tc>
          <w:tcPr>
            <w:tcW w:w="0" w:type="auto"/>
            <w:hideMark/>
          </w:tcPr>
          <w:p w14:paraId="229F3507" w14:textId="052DF664"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0</w:t>
            </w:r>
          </w:p>
        </w:tc>
      </w:tr>
    </w:tbl>
    <w:p w14:paraId="404030DF" w14:textId="77777777" w:rsidR="0096466B" w:rsidRPr="004D307F" w:rsidRDefault="0096466B" w:rsidP="0096466B">
      <w:pPr>
        <w:spacing w:after="0" w:line="360" w:lineRule="atLeast"/>
        <w:rPr>
          <w:rFonts w:ascii="VIC" w:eastAsia="Times New Roman" w:hAnsi="VIC" w:cs="Times New Roman"/>
          <w:vanish/>
          <w:color w:val="323E4F" w:themeColor="text2" w:themeShade="BF"/>
          <w:sz w:val="24"/>
          <w:szCs w:val="24"/>
          <w:lang w:val="en"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4"/>
        <w:gridCol w:w="1319"/>
        <w:gridCol w:w="1817"/>
        <w:gridCol w:w="1826"/>
        <w:gridCol w:w="1890"/>
      </w:tblGrid>
      <w:tr w:rsidR="000B1FF1" w:rsidRPr="004D307F" w14:paraId="0125E723" w14:textId="77777777" w:rsidTr="003243F4">
        <w:trPr>
          <w:tblHeader/>
        </w:trPr>
        <w:tc>
          <w:tcPr>
            <w:tcW w:w="0" w:type="auto"/>
            <w:gridSpan w:val="5"/>
            <w:vAlign w:val="center"/>
            <w:hideMark/>
          </w:tcPr>
          <w:p w14:paraId="799FC3C2" w14:textId="77777777" w:rsidR="0096466B" w:rsidRPr="004D307F" w:rsidRDefault="0096466B" w:rsidP="00ED4312">
            <w:pPr>
              <w:spacing w:before="100" w:beforeAutospacing="1" w:after="100" w:afterAutospacing="1" w:line="288" w:lineRule="atLeast"/>
              <w:textAlignment w:val="top"/>
              <w:outlineLvl w:val="3"/>
              <w:rPr>
                <w:rFonts w:ascii="VIC" w:eastAsia="Times New Roman" w:hAnsi="VIC" w:cs="Times New Roman"/>
                <w:b/>
                <w:bCs/>
                <w:color w:val="323E4F" w:themeColor="text2" w:themeShade="BF"/>
                <w:sz w:val="24"/>
                <w:szCs w:val="24"/>
                <w:lang w:eastAsia="en-AU"/>
              </w:rPr>
            </w:pPr>
            <w:r w:rsidRPr="004D307F">
              <w:rPr>
                <w:rFonts w:ascii="VIC" w:eastAsia="Times New Roman" w:hAnsi="VIC" w:cs="Times New Roman"/>
                <w:b/>
                <w:bCs/>
                <w:color w:val="323E4F" w:themeColor="text2" w:themeShade="BF"/>
                <w:sz w:val="24"/>
                <w:szCs w:val="24"/>
                <w:lang w:eastAsia="en-AU"/>
              </w:rPr>
              <w:t>Example 3: Recovery starting in Term 3 QCG and requiring repayment by cheque</w:t>
            </w:r>
          </w:p>
        </w:tc>
      </w:tr>
      <w:tr w:rsidR="000B1FF1" w:rsidRPr="004D307F" w14:paraId="06D443F7" w14:textId="77777777" w:rsidTr="003243F4">
        <w:trPr>
          <w:tblHeader/>
        </w:trPr>
        <w:tc>
          <w:tcPr>
            <w:tcW w:w="0" w:type="auto"/>
            <w:hideMark/>
          </w:tcPr>
          <w:p w14:paraId="2620CE5B" w14:textId="77777777" w:rsidR="0096466B" w:rsidRPr="004D307F" w:rsidRDefault="0096466B" w:rsidP="00ED4312">
            <w:pPr>
              <w:spacing w:after="0" w:line="240" w:lineRule="auto"/>
              <w:rPr>
                <w:rFonts w:ascii="VIC" w:eastAsia="Times New Roman" w:hAnsi="VIC" w:cs="Times New Roman"/>
                <w:color w:val="323E4F" w:themeColor="text2" w:themeShade="BF"/>
                <w:sz w:val="24"/>
                <w:szCs w:val="24"/>
                <w:lang w:eastAsia="en-AU"/>
              </w:rPr>
            </w:pPr>
          </w:p>
        </w:tc>
        <w:tc>
          <w:tcPr>
            <w:tcW w:w="0" w:type="auto"/>
            <w:hideMark/>
          </w:tcPr>
          <w:p w14:paraId="53994C14" w14:textId="77777777" w:rsidR="0096466B" w:rsidRPr="004D307F" w:rsidRDefault="0096466B" w:rsidP="00ED4312">
            <w:pPr>
              <w:spacing w:after="0" w:line="240" w:lineRule="atLeast"/>
              <w:rPr>
                <w:rFonts w:ascii="VIC" w:eastAsia="Times New Roman" w:hAnsi="VIC" w:cs="Times New Roman"/>
                <w:color w:val="323E4F" w:themeColor="text2" w:themeShade="BF"/>
                <w:sz w:val="20"/>
                <w:szCs w:val="20"/>
                <w:lang w:eastAsia="en-AU"/>
              </w:rPr>
            </w:pPr>
          </w:p>
        </w:tc>
        <w:tc>
          <w:tcPr>
            <w:tcW w:w="0" w:type="auto"/>
            <w:hideMark/>
          </w:tcPr>
          <w:p w14:paraId="3B088A7F"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3 QCG</w:t>
            </w:r>
          </w:p>
        </w:tc>
        <w:tc>
          <w:tcPr>
            <w:tcW w:w="0" w:type="auto"/>
            <w:hideMark/>
          </w:tcPr>
          <w:p w14:paraId="51B60998" w14:textId="77777777" w:rsidR="0096466B" w:rsidRPr="004D307F" w:rsidRDefault="0096466B"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4 QCG</w:t>
            </w:r>
          </w:p>
        </w:tc>
        <w:tc>
          <w:tcPr>
            <w:tcW w:w="0" w:type="auto"/>
            <w:hideMark/>
          </w:tcPr>
          <w:p w14:paraId="4F9AF5CB" w14:textId="36E2F6CB" w:rsidR="0096466B" w:rsidRPr="004D307F" w:rsidRDefault="002E5AC9" w:rsidP="002E5AC9">
            <w:pPr>
              <w:spacing w:after="0" w:line="24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EFT/</w:t>
            </w:r>
            <w:r w:rsidR="0096466B" w:rsidRPr="004D307F">
              <w:rPr>
                <w:rFonts w:ascii="VIC" w:eastAsia="Times New Roman" w:hAnsi="VIC" w:cs="Times New Roman"/>
                <w:color w:val="323E4F" w:themeColor="text2" w:themeShade="BF"/>
                <w:sz w:val="24"/>
                <w:szCs w:val="24"/>
                <w:lang w:eastAsia="en-AU"/>
              </w:rPr>
              <w:t>Cheque</w:t>
            </w:r>
          </w:p>
        </w:tc>
      </w:tr>
      <w:tr w:rsidR="000B1FF1" w:rsidRPr="004D307F" w14:paraId="1E45F162" w14:textId="77777777" w:rsidTr="002E5AC9">
        <w:tc>
          <w:tcPr>
            <w:tcW w:w="0" w:type="auto"/>
            <w:tcBorders>
              <w:bottom w:val="single" w:sz="4" w:space="0" w:color="auto"/>
            </w:tcBorders>
            <w:hideMark/>
          </w:tcPr>
          <w:p w14:paraId="18401EB1"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QCG Amount</w:t>
            </w:r>
          </w:p>
        </w:tc>
        <w:tc>
          <w:tcPr>
            <w:tcW w:w="0" w:type="auto"/>
            <w:tcBorders>
              <w:bottom w:val="single" w:sz="4" w:space="0" w:color="auto"/>
            </w:tcBorders>
            <w:hideMark/>
          </w:tcPr>
          <w:p w14:paraId="6EE63C7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p>
        </w:tc>
        <w:tc>
          <w:tcPr>
            <w:tcW w:w="0" w:type="auto"/>
            <w:hideMark/>
          </w:tcPr>
          <w:p w14:paraId="11AAD570" w14:textId="1EDC4A86"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61CAD751" w14:textId="023DF088"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3DB33004" w14:textId="77777777" w:rsidR="0096466B" w:rsidRPr="004D307F" w:rsidRDefault="0096466B" w:rsidP="002E5AC9">
            <w:pPr>
              <w:spacing w:after="0" w:line="360" w:lineRule="atLeast"/>
              <w:jc w:val="center"/>
              <w:rPr>
                <w:rFonts w:ascii="VIC" w:eastAsia="Times New Roman" w:hAnsi="VIC" w:cs="Times New Roman"/>
                <w:color w:val="323E4F" w:themeColor="text2" w:themeShade="BF"/>
                <w:sz w:val="24"/>
                <w:szCs w:val="24"/>
                <w:lang w:eastAsia="en-AU"/>
              </w:rPr>
            </w:pPr>
          </w:p>
        </w:tc>
      </w:tr>
      <w:tr w:rsidR="000B1FF1" w:rsidRPr="004D307F" w14:paraId="29D397E3" w14:textId="77777777" w:rsidTr="002E5AC9">
        <w:tc>
          <w:tcPr>
            <w:tcW w:w="0" w:type="auto"/>
            <w:tcBorders>
              <w:right w:val="nil"/>
            </w:tcBorders>
            <w:hideMark/>
          </w:tcPr>
          <w:p w14:paraId="7C49ED9A"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Deficit Amount</w:t>
            </w:r>
          </w:p>
        </w:tc>
        <w:tc>
          <w:tcPr>
            <w:tcW w:w="0" w:type="auto"/>
            <w:tcBorders>
              <w:left w:val="nil"/>
            </w:tcBorders>
            <w:hideMark/>
          </w:tcPr>
          <w:p w14:paraId="3B2D2535" w14:textId="10296389" w:rsidR="0096466B" w:rsidRPr="004D307F" w:rsidRDefault="002E5AC9"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110,000</w:t>
            </w:r>
          </w:p>
        </w:tc>
        <w:tc>
          <w:tcPr>
            <w:tcW w:w="0" w:type="auto"/>
            <w:hideMark/>
          </w:tcPr>
          <w:p w14:paraId="4DF92A42" w14:textId="0423C2A9"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6AD7152B" w14:textId="6AEF87E9"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50,000</w:t>
            </w:r>
          </w:p>
        </w:tc>
        <w:tc>
          <w:tcPr>
            <w:tcW w:w="0" w:type="auto"/>
            <w:hideMark/>
          </w:tcPr>
          <w:p w14:paraId="585401BD" w14:textId="1D4140B0" w:rsidR="0096466B" w:rsidRPr="004D307F" w:rsidRDefault="002E5AC9" w:rsidP="002E5AC9">
            <w:pPr>
              <w:spacing w:after="0" w:line="360" w:lineRule="atLeast"/>
              <w:jc w:val="center"/>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w:t>
            </w:r>
            <w:r w:rsidR="0096466B" w:rsidRPr="004D307F">
              <w:rPr>
                <w:rFonts w:ascii="VIC" w:eastAsia="Times New Roman" w:hAnsi="VIC" w:cs="Times New Roman"/>
                <w:color w:val="323E4F" w:themeColor="text2" w:themeShade="BF"/>
                <w:sz w:val="24"/>
                <w:szCs w:val="24"/>
                <w:lang w:eastAsia="en-AU"/>
              </w:rPr>
              <w:t>10,000</w:t>
            </w:r>
          </w:p>
        </w:tc>
      </w:tr>
    </w:tbl>
    <w:p w14:paraId="3576AC58" w14:textId="77777777" w:rsidR="0096466B" w:rsidRPr="004D307F" w:rsidRDefault="0096466B" w:rsidP="0096466B">
      <w:pPr>
        <w:rPr>
          <w:rFonts w:ascii="VIC" w:hAnsi="VIC"/>
        </w:rPr>
      </w:pPr>
    </w:p>
    <w:p w14:paraId="24BE6D62" w14:textId="77777777" w:rsidR="0096466B" w:rsidRPr="004D307F" w:rsidRDefault="0096466B" w:rsidP="0096466B">
      <w:pPr>
        <w:rPr>
          <w:rFonts w:ascii="VIC" w:hAnsi="VIC"/>
        </w:rPr>
      </w:pPr>
      <w:r w:rsidRPr="004D307F">
        <w:rPr>
          <w:rFonts w:ascii="VIC" w:hAnsi="VIC"/>
        </w:rPr>
        <w:br w:type="page"/>
      </w:r>
    </w:p>
    <w:p w14:paraId="38771208" w14:textId="55A77E54" w:rsidR="0096466B" w:rsidRPr="004D307F" w:rsidRDefault="0096466B" w:rsidP="00B566E7">
      <w:pPr>
        <w:pStyle w:val="Heading2"/>
      </w:pPr>
      <w:bookmarkStart w:id="140" w:name="_Toc99882798"/>
      <w:r w:rsidRPr="004D307F">
        <w:lastRenderedPageBreak/>
        <w:t>Reports</w:t>
      </w:r>
      <w:bookmarkEnd w:id="140"/>
    </w:p>
    <w:p w14:paraId="4AFB970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Some of the SRP reports are listed and described below.</w:t>
      </w:r>
    </w:p>
    <w:p w14:paraId="30DE6E8B"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School Budget Management Report</w:t>
      </w:r>
    </w:p>
    <w:p w14:paraId="60439366"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Summary</w:t>
      </w:r>
    </w:p>
    <w:p w14:paraId="1B7AA625" w14:textId="6FB484FA"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School Budget Management Report is a </w:t>
      </w:r>
      <w:r w:rsidR="0091293B" w:rsidRPr="004D307F">
        <w:rPr>
          <w:rFonts w:ascii="VIC" w:eastAsia="Times New Roman" w:hAnsi="VIC" w:cs="Times New Roman"/>
          <w:color w:val="011A3C"/>
          <w:sz w:val="24"/>
          <w:szCs w:val="24"/>
          <w:lang w:val="en" w:eastAsia="en-AU"/>
        </w:rPr>
        <w:t>one-page</w:t>
      </w:r>
      <w:r w:rsidRPr="004D307F">
        <w:rPr>
          <w:rFonts w:ascii="VIC" w:eastAsia="Times New Roman" w:hAnsi="VIC" w:cs="Times New Roman"/>
          <w:color w:val="011A3C"/>
          <w:sz w:val="24"/>
          <w:szCs w:val="24"/>
          <w:lang w:val="en" w:eastAsia="en-AU"/>
        </w:rPr>
        <w:t xml:space="preserve"> summary of budget allocations and projected expenditure for your school relating to the current calendar year. It shows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financial position including the projected surplus, or deficit, as </w:t>
      </w:r>
      <w:proofErr w:type="gramStart"/>
      <w:r w:rsidRPr="004D307F">
        <w:rPr>
          <w:rFonts w:ascii="VIC" w:eastAsia="Times New Roman" w:hAnsi="VIC" w:cs="Times New Roman"/>
          <w:color w:val="011A3C"/>
          <w:sz w:val="24"/>
          <w:szCs w:val="24"/>
          <w:lang w:val="en" w:eastAsia="en-AU"/>
        </w:rPr>
        <w:t>at</w:t>
      </w:r>
      <w:proofErr w:type="gramEnd"/>
      <w:r w:rsidRPr="004D307F">
        <w:rPr>
          <w:rFonts w:ascii="VIC" w:eastAsia="Times New Roman" w:hAnsi="VIC" w:cs="Times New Roman"/>
          <w:color w:val="011A3C"/>
          <w:sz w:val="24"/>
          <w:szCs w:val="24"/>
          <w:lang w:val="en" w:eastAsia="en-AU"/>
        </w:rPr>
        <w:t xml:space="preserve"> 31 December based on current salary commitments.</w:t>
      </w:r>
    </w:p>
    <w:p w14:paraId="4B44971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report also provides information on:</w:t>
      </w:r>
    </w:p>
    <w:p w14:paraId="2165D375" w14:textId="77777777" w:rsidR="0096466B" w:rsidRPr="004D307F" w:rsidRDefault="0096466B" w:rsidP="00ED0863">
      <w:pPr>
        <w:numPr>
          <w:ilvl w:val="0"/>
          <w:numId w:val="10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surplus from previous year</w:t>
      </w:r>
    </w:p>
    <w:p w14:paraId="5A6DF184" w14:textId="77777777" w:rsidR="0096466B" w:rsidRPr="004D307F" w:rsidRDefault="0096466B" w:rsidP="00ED0863">
      <w:pPr>
        <w:numPr>
          <w:ilvl w:val="0"/>
          <w:numId w:val="10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total credit to cash transfers</w:t>
      </w:r>
    </w:p>
    <w:p w14:paraId="46D72FC4" w14:textId="77777777" w:rsidR="0096466B" w:rsidRPr="004D307F" w:rsidRDefault="0096466B" w:rsidP="00ED0863">
      <w:pPr>
        <w:numPr>
          <w:ilvl w:val="0"/>
          <w:numId w:val="10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total cash to credit transfers</w:t>
      </w:r>
    </w:p>
    <w:p w14:paraId="485051BD"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Credit Items</w:t>
      </w:r>
    </w:p>
    <w:p w14:paraId="4C5C89D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is a</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report for analysis of expenditure against budget. The report provides:</w:t>
      </w:r>
    </w:p>
    <w:p w14:paraId="1520D034"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year-to-date expenditure broken down into staffing</w:t>
      </w:r>
    </w:p>
    <w:p w14:paraId="26E01F3A"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classifications and on-costs</w:t>
      </w:r>
    </w:p>
    <w:p w14:paraId="7F1AC0B8"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projected credit budget position by offsetting projected salary commitments</w:t>
      </w:r>
    </w:p>
    <w:p w14:paraId="40604C14"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previous year surplus brought forward</w:t>
      </w:r>
    </w:p>
    <w:p w14:paraId="49537135" w14:textId="77777777" w:rsidR="0096466B" w:rsidRPr="004D307F" w:rsidRDefault="0096466B" w:rsidP="00ED0863">
      <w:pPr>
        <w:numPr>
          <w:ilvl w:val="0"/>
          <w:numId w:val="10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 to cash and/or cash to credit transfers undertaken</w:t>
      </w:r>
    </w:p>
    <w:p w14:paraId="212AE535" w14:textId="6BECC896"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that finish the year in a deficit will have </w:t>
      </w:r>
      <w:r w:rsidR="0091293B" w:rsidRPr="004D307F">
        <w:rPr>
          <w:rFonts w:ascii="VIC" w:eastAsia="Times New Roman" w:hAnsi="VIC" w:cs="Times New Roman"/>
          <w:color w:val="011A3C"/>
          <w:sz w:val="24"/>
          <w:szCs w:val="24"/>
          <w:lang w:val="en" w:eastAsia="en-AU"/>
        </w:rPr>
        <w:t xml:space="preserve">that </w:t>
      </w:r>
      <w:r w:rsidRPr="004D307F">
        <w:rPr>
          <w:rFonts w:ascii="VIC" w:eastAsia="Times New Roman" w:hAnsi="VIC" w:cs="Times New Roman"/>
          <w:color w:val="011A3C"/>
          <w:sz w:val="24"/>
          <w:szCs w:val="24"/>
          <w:lang w:val="en" w:eastAsia="en-AU"/>
        </w:rPr>
        <w:t xml:space="preserve">amount deducted from </w:t>
      </w:r>
      <w:r w:rsidR="0091293B" w:rsidRPr="004D307F">
        <w:rPr>
          <w:rFonts w:ascii="VIC" w:eastAsia="Times New Roman" w:hAnsi="VIC" w:cs="Times New Roman"/>
          <w:color w:val="011A3C"/>
          <w:sz w:val="24"/>
          <w:szCs w:val="24"/>
          <w:lang w:val="en" w:eastAsia="en-AU"/>
        </w:rPr>
        <w:t xml:space="preserve">the next </w:t>
      </w:r>
      <w:r w:rsidRPr="004D307F">
        <w:rPr>
          <w:rFonts w:ascii="VIC" w:eastAsia="Times New Roman" w:hAnsi="VIC" w:cs="Times New Roman"/>
          <w:color w:val="011A3C"/>
          <w:sz w:val="24"/>
          <w:szCs w:val="24"/>
          <w:lang w:val="en" w:eastAsia="en-AU"/>
        </w:rPr>
        <w:t>cash grant after the annual reconciliation.</w:t>
      </w:r>
    </w:p>
    <w:p w14:paraId="05A7EBC3"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Cash Items</w:t>
      </w:r>
    </w:p>
    <w:p w14:paraId="4F0BD90E" w14:textId="61D96D6F" w:rsidR="00F85311"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This report details the annual cash grant budget items provided to the school. It also includes processed credit to cash, cash to credit transfers and the long-term leave premium deduction.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Outside Global Budget Items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Section 3</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is included in this report and provides information relating to staff </w:t>
      </w:r>
      <w:r w:rsidRPr="004D307F">
        <w:rPr>
          <w:rFonts w:ascii="VIC" w:eastAsia="Times New Roman" w:hAnsi="VIC" w:cs="Times New Roman"/>
          <w:color w:val="011A3C"/>
          <w:sz w:val="24"/>
          <w:szCs w:val="24"/>
          <w:lang w:val="en" w:eastAsia="en-AU"/>
        </w:rPr>
        <w:lastRenderedPageBreak/>
        <w:t>on long term leave or pay in lieu of long service leave. Outside global budget items are not charged to the school.</w:t>
      </w:r>
    </w:p>
    <w:p w14:paraId="71C9078D"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Salaries Fortnightly Transaction Report</w:t>
      </w:r>
    </w:p>
    <w:p w14:paraId="48339BDE"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hyperlink r:id="rId237" w:history="1">
        <w:r w:rsidRPr="004D307F">
          <w:rPr>
            <w:rFonts w:ascii="VIC" w:eastAsia="Times New Roman" w:hAnsi="VIC" w:cs="Times New Roman"/>
            <w:color w:val="011A3C"/>
            <w:sz w:val="24"/>
            <w:szCs w:val="24"/>
            <w:lang w:val="en" w:eastAsia="en-AU"/>
          </w:rPr>
          <w:t>Salaries Fortnightly Transaction Report</w:t>
        </w:r>
      </w:hyperlink>
      <w:r w:rsidRPr="004D307F">
        <w:rPr>
          <w:rFonts w:ascii="VIC" w:eastAsia="Times New Roman" w:hAnsi="VIC" w:cs="Times New Roman"/>
          <w:color w:val="011A3C"/>
          <w:sz w:val="24"/>
          <w:szCs w:val="24"/>
          <w:lang w:val="en" w:eastAsia="en-AU"/>
        </w:rPr>
        <w:t xml:space="preserve"> (available through the </w:t>
      </w:r>
      <w:hyperlink r:id="rId238"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xml:space="preserve">) displays the salary transactions for each staff member and the year-to-date salary expenditure and payroll liability projected to the end of the calendar year. The payroll liability is based on current information recorded in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Included at the end of the report are items that have been charged outside SRP, that is not charged to the school.</w:t>
      </w:r>
    </w:p>
    <w:p w14:paraId="7EEF5FFF"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Employee Charging History Report</w:t>
      </w:r>
    </w:p>
    <w:p w14:paraId="5B6758D9" w14:textId="4D00C173"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w:t>
      </w:r>
      <w:hyperlink r:id="rId239" w:history="1">
        <w:r w:rsidRPr="004D307F">
          <w:rPr>
            <w:rFonts w:ascii="VIC" w:eastAsia="Times New Roman" w:hAnsi="VIC" w:cs="Times New Roman"/>
            <w:color w:val="011A3C"/>
            <w:sz w:val="24"/>
            <w:szCs w:val="24"/>
            <w:lang w:val="en" w:eastAsia="en-AU"/>
          </w:rPr>
          <w:t>Employee Charging History Report</w:t>
        </w:r>
      </w:hyperlink>
      <w:r w:rsidRPr="004D307F">
        <w:rPr>
          <w:rFonts w:ascii="VIC" w:eastAsia="Times New Roman" w:hAnsi="VIC" w:cs="Times New Roman"/>
          <w:color w:val="011A3C"/>
          <w:sz w:val="24"/>
          <w:szCs w:val="24"/>
          <w:lang w:val="en" w:eastAsia="en-AU"/>
        </w:rPr>
        <w:t xml:space="preserve"> (available through the </w:t>
      </w:r>
      <w:hyperlink r:id="rId240"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w:t>
      </w:r>
      <w:r w:rsidRPr="004D307F">
        <w:rPr>
          <w:rFonts w:ascii="Calibri" w:eastAsia="Times New Roman" w:hAnsi="Calibri" w:cs="Calibri" w:hint="eastAsia"/>
          <w:color w:val="011A3C"/>
          <w:sz w:val="24"/>
          <w:szCs w:val="24"/>
          <w:lang w:val="en" w:eastAsia="en-AU"/>
        </w:rPr>
        <w:t> </w:t>
      </w:r>
      <w:proofErr w:type="spellStart"/>
      <w:r w:rsidRPr="004D307F">
        <w:rPr>
          <w:rFonts w:ascii="VIC" w:eastAsia="Times New Roman" w:hAnsi="VIC" w:cs="Times New Roman"/>
          <w:color w:val="011A3C"/>
          <w:sz w:val="24"/>
          <w:szCs w:val="24"/>
          <w:lang w:val="en" w:eastAsia="en-AU"/>
        </w:rPr>
        <w:t>itemises</w:t>
      </w:r>
      <w:proofErr w:type="spellEnd"/>
      <w:r w:rsidRPr="004D307F">
        <w:rPr>
          <w:rFonts w:ascii="VIC" w:eastAsia="Times New Roman" w:hAnsi="VIC" w:cs="Times New Roman"/>
          <w:color w:val="011A3C"/>
          <w:sz w:val="24"/>
          <w:szCs w:val="24"/>
          <w:lang w:val="en" w:eastAsia="en-AU"/>
        </w:rPr>
        <w:t xml:space="preserve"> the history of salary charges for individual employees, for each fortnight, expenditure year to date and a projection to the end of the year. The report is based on current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xml:space="preserve"> information.</w:t>
      </w:r>
    </w:p>
    <w:p w14:paraId="26C86249" w14:textId="77777777" w:rsidR="0096466B" w:rsidRPr="004D307F" w:rsidRDefault="0096466B" w:rsidP="0096466B">
      <w:pPr>
        <w:rPr>
          <w:rFonts w:ascii="VIC" w:hAnsi="VIC"/>
        </w:rPr>
      </w:pPr>
      <w:r w:rsidRPr="004D307F">
        <w:rPr>
          <w:rFonts w:ascii="VIC" w:hAnsi="VIC"/>
        </w:rPr>
        <w:br w:type="page"/>
      </w:r>
    </w:p>
    <w:p w14:paraId="706F621C" w14:textId="776C58BB" w:rsidR="0096466B" w:rsidRPr="004D307F" w:rsidRDefault="0096466B" w:rsidP="00B566E7">
      <w:pPr>
        <w:pStyle w:val="Heading2"/>
      </w:pPr>
      <w:bookmarkStart w:id="141" w:name="_Toc99882799"/>
      <w:r w:rsidRPr="004D307F">
        <w:lastRenderedPageBreak/>
        <w:t>Planning</w:t>
      </w:r>
      <w:bookmarkEnd w:id="141"/>
    </w:p>
    <w:p w14:paraId="7C13B2F8"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SRP budget planner</w:t>
      </w:r>
    </w:p>
    <w:p w14:paraId="1AC5DC6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SRP budget planner (available through the </w:t>
      </w:r>
      <w:hyperlink r:id="rId241"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is a modelling tool to allow principals and other school planners to model the impact of enrolment variations and other changes impacting the Student Resource Package (SRP), and build an overall workforce plan that acknowledges current salary commitments for staff and considers the affordability of planned changes. The planner allows schools to develop three-year plans. It includes useful analytical tools and graphical information.</w:t>
      </w:r>
    </w:p>
    <w:p w14:paraId="33A4AB6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It is important to remember that the SRP budget planner is a modelling tool, not a personnel or payroll system. It can model a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planning scenarios, but it does not interact with the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xml:space="preserve"> payroll to amend personnel and payroll data. Actual payroll amendments need to be made directly onto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w:t>
      </w:r>
    </w:p>
    <w:p w14:paraId="4F4FE49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planner provides salary projections and estimates using current payroll parameters, such as classifications, time fractions, increment dates and appointment dates. Certain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xml:space="preserve"> entries may not be reflected in the cost projections, particularly those relating to salary reassessments, arrears, or other payments that are independent of these payroll parameters. For this reason, the 'current'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year-to-date figures shown in the planner may, on occasion, vary slightly from the actual expenditure shown in the School Budget Management Report.</w:t>
      </w:r>
    </w:p>
    <w:p w14:paraId="32E860CD" w14:textId="310A4294"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For more information refer to</w:t>
      </w:r>
      <w:r w:rsidRPr="004D307F">
        <w:rPr>
          <w:rFonts w:ascii="Calibri" w:eastAsia="Times New Roman" w:hAnsi="Calibri" w:cs="Calibri" w:hint="eastAsia"/>
          <w:color w:val="011A3C"/>
          <w:sz w:val="24"/>
          <w:szCs w:val="24"/>
          <w:lang w:val="en" w:eastAsia="en-AU"/>
        </w:rPr>
        <w:t> </w:t>
      </w:r>
      <w:hyperlink r:id="rId242" w:history="1">
        <w:r w:rsidRPr="004D307F">
          <w:rPr>
            <w:rFonts w:ascii="VIC" w:eastAsia="Times New Roman" w:hAnsi="VIC" w:cs="Times New Roman"/>
            <w:color w:val="011A3C"/>
            <w:sz w:val="24"/>
            <w:szCs w:val="24"/>
            <w:lang w:val="en" w:eastAsia="en-AU"/>
          </w:rPr>
          <w:t>Planner Overview</w:t>
        </w:r>
      </w:hyperlink>
    </w:p>
    <w:p w14:paraId="17D660A2" w14:textId="77777777" w:rsidR="0096466B" w:rsidRPr="004D307F" w:rsidRDefault="0096466B" w:rsidP="0096466B">
      <w:pPr>
        <w:rPr>
          <w:rFonts w:ascii="VIC" w:hAnsi="VIC"/>
        </w:rPr>
      </w:pPr>
      <w:r w:rsidRPr="004D307F">
        <w:rPr>
          <w:rFonts w:ascii="VIC" w:hAnsi="VIC"/>
        </w:rPr>
        <w:br w:type="page"/>
      </w:r>
    </w:p>
    <w:p w14:paraId="1645D742" w14:textId="07293AB1" w:rsidR="0096466B" w:rsidRPr="004D307F" w:rsidRDefault="0096466B" w:rsidP="00B566E7">
      <w:pPr>
        <w:pStyle w:val="Heading2"/>
      </w:pPr>
      <w:bookmarkStart w:id="142" w:name="_Toc99882800"/>
      <w:r w:rsidRPr="004D307F">
        <w:lastRenderedPageBreak/>
        <w:t>Reconciliation</w:t>
      </w:r>
      <w:bookmarkEnd w:id="142"/>
    </w:p>
    <w:p w14:paraId="105FBF7E"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reconciliation process is undertaken at the end of the calendar year to verify each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Student Resource Package (SRP) budget and expenditure position. This process is completed </w:t>
      </w:r>
      <w:proofErr w:type="gramStart"/>
      <w:r w:rsidRPr="004D307F">
        <w:rPr>
          <w:rFonts w:ascii="VIC" w:eastAsia="Times New Roman" w:hAnsi="VIC" w:cs="Times New Roman"/>
          <w:color w:val="011A3C"/>
          <w:sz w:val="24"/>
          <w:szCs w:val="24"/>
          <w:lang w:val="en" w:eastAsia="en-AU"/>
        </w:rPr>
        <w:t>in order to</w:t>
      </w:r>
      <w:proofErr w:type="gramEnd"/>
      <w:r w:rsidRPr="004D307F">
        <w:rPr>
          <w:rFonts w:ascii="VIC" w:eastAsia="Times New Roman" w:hAnsi="VIC" w:cs="Times New Roman"/>
          <w:color w:val="011A3C"/>
          <w:sz w:val="24"/>
          <w:szCs w:val="24"/>
          <w:lang w:val="en" w:eastAsia="en-AU"/>
        </w:rPr>
        <w:t xml:space="preserve"> </w:t>
      </w:r>
      <w:proofErr w:type="spellStart"/>
      <w:r w:rsidRPr="004D307F">
        <w:rPr>
          <w:rFonts w:ascii="VIC" w:eastAsia="Times New Roman" w:hAnsi="VIC" w:cs="Times New Roman"/>
          <w:color w:val="011A3C"/>
          <w:sz w:val="24"/>
          <w:szCs w:val="24"/>
          <w:lang w:val="en" w:eastAsia="en-AU"/>
        </w:rPr>
        <w:t>finalise</w:t>
      </w:r>
      <w:proofErr w:type="spellEnd"/>
      <w:r w:rsidRPr="004D307F">
        <w:rPr>
          <w:rFonts w:ascii="VIC" w:eastAsia="Times New Roman" w:hAnsi="VIC" w:cs="Times New Roman"/>
          <w:color w:val="011A3C"/>
          <w:sz w:val="24"/>
          <w:szCs w:val="24"/>
          <w:lang w:val="en" w:eastAsia="en-AU"/>
        </w:rPr>
        <w:t xml:space="preserve"> any surplus amount to be carried forward, or deficit amount to be recovered.</w:t>
      </w:r>
    </w:p>
    <w:p w14:paraId="4442074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that do not sign off their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position hold up the process statewide, as the reconciliation requires every school in the state to </w:t>
      </w:r>
      <w:proofErr w:type="spellStart"/>
      <w:r w:rsidRPr="004D307F">
        <w:rPr>
          <w:rFonts w:ascii="VIC" w:eastAsia="Times New Roman" w:hAnsi="VIC" w:cs="Times New Roman"/>
          <w:color w:val="011A3C"/>
          <w:sz w:val="24"/>
          <w:szCs w:val="24"/>
          <w:lang w:val="en" w:eastAsia="en-AU"/>
        </w:rPr>
        <w:t>finalise</w:t>
      </w:r>
      <w:proofErr w:type="spellEnd"/>
      <w:r w:rsidRPr="004D307F">
        <w:rPr>
          <w:rFonts w:ascii="VIC" w:eastAsia="Times New Roman" w:hAnsi="VIC" w:cs="Times New Roman"/>
          <w:color w:val="011A3C"/>
          <w:sz w:val="24"/>
          <w:szCs w:val="24"/>
          <w:lang w:val="en" w:eastAsia="en-AU"/>
        </w:rPr>
        <w:t xml:space="preserve"> the process before surpluses and deficits can be confirmed.</w:t>
      </w:r>
    </w:p>
    <w:p w14:paraId="341F46EE" w14:textId="77777777" w:rsidR="0096466B" w:rsidRPr="004D307F" w:rsidRDefault="0096466B" w:rsidP="00ED0863">
      <w:pPr>
        <w:numPr>
          <w:ilvl w:val="0"/>
          <w:numId w:val="10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What to check</w:t>
      </w:r>
    </w:p>
    <w:p w14:paraId="2EF0DB26" w14:textId="77777777" w:rsidR="0096466B" w:rsidRPr="004D307F" w:rsidRDefault="0096466B" w:rsidP="00ED0863">
      <w:pPr>
        <w:numPr>
          <w:ilvl w:val="0"/>
          <w:numId w:val="10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Attestation</w:t>
      </w:r>
    </w:p>
    <w:p w14:paraId="69140D9B"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What to check</w:t>
      </w:r>
    </w:p>
    <w:p w14:paraId="415AD41E"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Budget</w:t>
      </w:r>
    </w:p>
    <w:p w14:paraId="54885073"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should review their budget details report after any change and forward</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enquiries to the relevant contact in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policy unit or region.</w:t>
      </w:r>
    </w:p>
    <w:p w14:paraId="0C83258B"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Program for students with disabilities</w:t>
      </w:r>
    </w:p>
    <w:p w14:paraId="1E441034" w14:textId="324E059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may be provided with funding through the </w:t>
      </w:r>
      <w:hyperlink r:id="rId243" w:history="1">
        <w:r w:rsidRPr="004D307F">
          <w:rPr>
            <w:rFonts w:ascii="VIC" w:eastAsia="Times New Roman" w:hAnsi="VIC" w:cs="Times New Roman"/>
            <w:color w:val="011A3C"/>
            <w:sz w:val="24"/>
            <w:szCs w:val="24"/>
            <w:lang w:val="en" w:eastAsia="en-AU"/>
          </w:rPr>
          <w:t>Program for Students with Disabilities (PSD)</w:t>
        </w:r>
      </w:hyperlink>
      <w:r w:rsidRPr="004D307F">
        <w:rPr>
          <w:rFonts w:ascii="VIC" w:eastAsia="Times New Roman" w:hAnsi="VIC" w:cs="Times New Roman"/>
          <w:color w:val="011A3C"/>
          <w:sz w:val="24"/>
          <w:szCs w:val="24"/>
          <w:lang w:val="en" w:eastAsia="en-AU"/>
        </w:rPr>
        <w:t xml:space="preserve">. This information should be reviewed in the </w:t>
      </w:r>
      <w:hyperlink r:id="rId244" w:history="1">
        <w:r w:rsidRPr="004D307F">
          <w:rPr>
            <w:rFonts w:ascii="VIC" w:eastAsia="Times New Roman" w:hAnsi="VIC" w:cs="Times New Roman"/>
            <w:color w:val="011A3C"/>
            <w:sz w:val="24"/>
            <w:szCs w:val="24"/>
            <w:lang w:val="en" w:eastAsia="en-AU"/>
          </w:rPr>
          <w:t>Program for Students with Disabilities Management System (PSDMS)</w:t>
        </w:r>
      </w:hyperlink>
      <w:r w:rsidRPr="004D307F">
        <w:rPr>
          <w:rFonts w:ascii="VIC" w:eastAsia="Times New Roman" w:hAnsi="VIC" w:cs="Times New Roman"/>
          <w:color w:val="011A3C"/>
          <w:sz w:val="24"/>
          <w:szCs w:val="24"/>
          <w:lang w:val="en" w:eastAsia="en-AU"/>
        </w:rPr>
        <w:t>. All PSD funding queries can be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submitted via the </w:t>
      </w:r>
      <w:hyperlink r:id="rId245" w:history="1">
        <w:r w:rsidRPr="004D307F">
          <w:rPr>
            <w:rFonts w:ascii="VIC" w:eastAsia="Times New Roman" w:hAnsi="VIC" w:cs="Times New Roman"/>
            <w:color w:val="011A3C"/>
            <w:sz w:val="24"/>
            <w:szCs w:val="24"/>
            <w:lang w:val="en" w:eastAsia="en-AU"/>
          </w:rPr>
          <w:t>DET Service</w:t>
        </w:r>
        <w:r w:rsidR="00557B7E" w:rsidRPr="004D307F">
          <w:rPr>
            <w:rFonts w:ascii="VIC" w:eastAsia="Times New Roman" w:hAnsi="VIC" w:cs="Times New Roman"/>
            <w:color w:val="011A3C"/>
            <w:sz w:val="24"/>
            <w:szCs w:val="24"/>
            <w:lang w:val="en" w:eastAsia="en-AU"/>
          </w:rPr>
          <w:t>s</w:t>
        </w:r>
        <w:r w:rsidRPr="004D307F">
          <w:rPr>
            <w:rFonts w:ascii="VIC" w:eastAsia="Times New Roman" w:hAnsi="VIC" w:cs="Times New Roman"/>
            <w:color w:val="011A3C"/>
            <w:sz w:val="24"/>
            <w:szCs w:val="24"/>
            <w:lang w:val="en" w:eastAsia="en-AU"/>
          </w:rPr>
          <w:t xml:space="preserve"> </w:t>
        </w:r>
        <w:r w:rsidR="00557B7E" w:rsidRPr="004D307F">
          <w:rPr>
            <w:rFonts w:ascii="VIC" w:eastAsia="Times New Roman" w:hAnsi="VIC" w:cs="Times New Roman"/>
            <w:color w:val="011A3C"/>
            <w:sz w:val="24"/>
            <w:szCs w:val="24"/>
            <w:lang w:val="en" w:eastAsia="en-AU"/>
          </w:rPr>
          <w:t>Portal</w:t>
        </w:r>
      </w:hyperlink>
      <w:r w:rsidRPr="004D307F">
        <w:rPr>
          <w:rFonts w:ascii="VIC" w:eastAsia="Times New Roman" w:hAnsi="VIC" w:cs="Times New Roman"/>
          <w:color w:val="011A3C"/>
          <w:sz w:val="24"/>
          <w:szCs w:val="24"/>
          <w:lang w:val="en" w:eastAsia="en-AU"/>
        </w:rPr>
        <w:t xml:space="preserve"> (select 'log a request' and choose 'PSDMS').</w:t>
      </w:r>
    </w:p>
    <w:p w14:paraId="342E520A"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Cleaning</w:t>
      </w:r>
    </w:p>
    <w:p w14:paraId="700E177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cleaning allocation for a school is based on the physical dimensions of the buildings and the schools enrolments (visit </w:t>
      </w:r>
      <w:hyperlink r:id="rId246" w:history="1">
        <w:r w:rsidRPr="004D307F">
          <w:rPr>
            <w:rFonts w:ascii="VIC" w:eastAsia="Times New Roman" w:hAnsi="VIC" w:cs="Times New Roman"/>
            <w:color w:val="011A3C"/>
            <w:sz w:val="24"/>
            <w:szCs w:val="24"/>
            <w:lang w:val="en" w:eastAsia="en-AU"/>
          </w:rPr>
          <w:t>Contract Cleaning</w:t>
        </w:r>
      </w:hyperlink>
      <w:r w:rsidRPr="004D307F">
        <w:rPr>
          <w:rFonts w:ascii="VIC" w:eastAsia="Times New Roman" w:hAnsi="VIC" w:cs="Times New Roman"/>
          <w:color w:val="011A3C"/>
          <w:sz w:val="24"/>
          <w:szCs w:val="24"/>
          <w:lang w:val="en" w:eastAsia="en-AU"/>
        </w:rPr>
        <w:t>). Schools should ensure that their school information in the Atrium system is correct to ensure that they are receiving the correct cleaning budget.</w:t>
      </w:r>
      <w:r w:rsidRPr="004D307F">
        <w:rPr>
          <w:rFonts w:ascii="Calibri" w:eastAsia="Times New Roman" w:hAnsi="Calibri" w:cs="Calibri" w:hint="eastAsia"/>
          <w:color w:val="011A3C"/>
          <w:sz w:val="24"/>
          <w:szCs w:val="24"/>
          <w:lang w:val="en" w:eastAsia="en-AU"/>
        </w:rPr>
        <w:t> </w:t>
      </w:r>
    </w:p>
    <w:p w14:paraId="67A7BF52"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Salary expenditure</w:t>
      </w:r>
    </w:p>
    <w:p w14:paraId="29638D86" w14:textId="75D80C83"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should ensure that they have been charged correctly for all staff at their school in their SRP</w:t>
      </w:r>
      <w:r w:rsidR="0091293B" w:rsidRPr="004D307F">
        <w:rPr>
          <w:rFonts w:ascii="VIC" w:eastAsia="Times New Roman" w:hAnsi="VIC" w:cs="Times New Roman"/>
          <w:color w:val="011A3C"/>
          <w:sz w:val="24"/>
          <w:szCs w:val="24"/>
          <w:lang w:val="en" w:eastAsia="en-AU"/>
        </w:rPr>
        <w:t xml:space="preserve"> by monitoring fortnightly reports when they are published.</w:t>
      </w:r>
    </w:p>
    <w:p w14:paraId="6B391443" w14:textId="77777777" w:rsidR="0096466B" w:rsidRPr="004D307F" w:rsidRDefault="0096466B" w:rsidP="003243F4">
      <w:pPr>
        <w:spacing w:before="100" w:beforeAutospacing="1" w:after="100" w:afterAutospacing="1" w:line="360" w:lineRule="atLeast"/>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Credit to cash</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or Cash to credit</w:t>
      </w:r>
    </w:p>
    <w:p w14:paraId="07CB2C3B"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should ensure that there are no outstanding cash to credit or credit to cash amounts remaining at the end of the year. This can be done by checking the Credit and Cash Transfer Status report for your school. If there are outstanding requests, a correction should be made during the reconciliation attestation process to cancel the outstanding amount of the request.</w:t>
      </w:r>
    </w:p>
    <w:p w14:paraId="186C777A"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Attestation</w:t>
      </w:r>
    </w:p>
    <w:p w14:paraId="143044F6"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end of year attestation process represents recognition by the school principal that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 position is correctly shown in the reports or that the position will be represented correctly factoring in nominated corrections and amendments.</w:t>
      </w:r>
      <w:r w:rsidRPr="004D307F">
        <w:rPr>
          <w:rFonts w:ascii="Calibri" w:eastAsia="Times New Roman" w:hAnsi="Calibri" w:cs="Calibri" w:hint="eastAsia"/>
          <w:color w:val="011A3C"/>
          <w:sz w:val="24"/>
          <w:szCs w:val="24"/>
          <w:lang w:val="en" w:eastAsia="en-AU"/>
        </w:rPr>
        <w:t> </w:t>
      </w:r>
    </w:p>
    <w:p w14:paraId="1AD2495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During the reconciliation period, only adjustments submitted via the reconciliation attestation process will be investigated, and no adjustments will be made to the school reports until after the reconciliation is submitted. When completing the attestation process, a principal has two options:</w:t>
      </w:r>
    </w:p>
    <w:p w14:paraId="10545C62" w14:textId="77777777" w:rsidR="0096466B" w:rsidRPr="004D307F" w:rsidRDefault="0096466B" w:rsidP="00ED0863">
      <w:pPr>
        <w:numPr>
          <w:ilvl w:val="0"/>
          <w:numId w:val="10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Attest</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color w:val="011A3C"/>
          <w:sz w:val="24"/>
          <w:szCs w:val="24"/>
          <w:lang w:val="en" w:eastAsia="en-AU"/>
        </w:rPr>
        <w:br/>
        <w:t>The SRP reports, as shown, accurately reflect the end of year position for the school and no amendments need to be made.</w:t>
      </w:r>
    </w:p>
    <w:p w14:paraId="45FC1FFC" w14:textId="502B44DF" w:rsidR="0096466B" w:rsidRPr="004D307F" w:rsidRDefault="0096466B" w:rsidP="00ED0863">
      <w:pPr>
        <w:numPr>
          <w:ilvl w:val="0"/>
          <w:numId w:val="10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b/>
          <w:bCs/>
          <w:color w:val="011A3C"/>
          <w:sz w:val="24"/>
          <w:szCs w:val="24"/>
          <w:lang w:val="en" w:eastAsia="en-AU"/>
        </w:rPr>
        <w:t>Attest with corrections and</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amendments</w:t>
      </w:r>
      <w:r w:rsidRPr="004D307F">
        <w:rPr>
          <w:rFonts w:ascii="VIC" w:eastAsia="Times New Roman" w:hAnsi="VIC" w:cs="Times New Roman"/>
          <w:color w:val="011A3C"/>
          <w:sz w:val="24"/>
          <w:szCs w:val="24"/>
          <w:lang w:val="en" w:eastAsia="en-AU"/>
        </w:rPr>
        <w:br/>
        <w:t>If corrections or amendments need to be made, you can submit your attestation with corrections or amendments attached. These corrections or amendments will then be investigated by Schools Finance and Resources Branch staff and appropriate action taken.</w:t>
      </w:r>
    </w:p>
    <w:p w14:paraId="7463E52E" w14:textId="77777777" w:rsidR="0096466B" w:rsidRPr="004D307F" w:rsidRDefault="0096466B" w:rsidP="0096466B">
      <w:pPr>
        <w:rPr>
          <w:rFonts w:ascii="VIC" w:hAnsi="VIC"/>
        </w:rPr>
      </w:pPr>
      <w:r w:rsidRPr="004D307F">
        <w:rPr>
          <w:rFonts w:ascii="VIC" w:hAnsi="VIC"/>
        </w:rPr>
        <w:br w:type="page"/>
      </w:r>
    </w:p>
    <w:p w14:paraId="375BFF5C" w14:textId="3B370038" w:rsidR="0096466B" w:rsidRPr="004D307F" w:rsidRDefault="0096466B" w:rsidP="00B566E7">
      <w:pPr>
        <w:pStyle w:val="Heading2"/>
      </w:pPr>
      <w:bookmarkStart w:id="143" w:name="_Toc99882801"/>
      <w:r w:rsidRPr="004D307F">
        <w:lastRenderedPageBreak/>
        <w:t>Cash</w:t>
      </w:r>
      <w:bookmarkEnd w:id="143"/>
    </w:p>
    <w:p w14:paraId="5F604AC1"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Quarterly cash grant</w:t>
      </w:r>
    </w:p>
    <w:p w14:paraId="0C20C24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cash component of the Student Resource Package (SRP) is paid over four quarterly cash grant (QCG) payments on the first day of each term. These payments are based on:</w:t>
      </w:r>
    </w:p>
    <w:p w14:paraId="5FC8FFEB" w14:textId="77777777" w:rsidR="0096466B" w:rsidRPr="004D307F" w:rsidRDefault="0096466B" w:rsidP="00ED0863">
      <w:pPr>
        <w:numPr>
          <w:ilvl w:val="0"/>
          <w:numId w:val="10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Term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1</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grant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Indicative SRP using projected enrolments</w:t>
      </w:r>
    </w:p>
    <w:p w14:paraId="3D0EBF13" w14:textId="77777777" w:rsidR="0096466B" w:rsidRPr="004D307F" w:rsidRDefault="0096466B" w:rsidP="00ED0863">
      <w:pPr>
        <w:numPr>
          <w:ilvl w:val="0"/>
          <w:numId w:val="10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Term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2</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grant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Confirmed SRP using February census enrolments, with a retrospective adjustment (increase or decrease) for Term 1</w:t>
      </w:r>
    </w:p>
    <w:p w14:paraId="79C51A89" w14:textId="77777777" w:rsidR="0096466B" w:rsidRPr="004D307F" w:rsidRDefault="0096466B" w:rsidP="00ED0863">
      <w:pPr>
        <w:numPr>
          <w:ilvl w:val="0"/>
          <w:numId w:val="10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Term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3</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grant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Revised SRP using audit corrections to the February enrolments</w:t>
      </w:r>
    </w:p>
    <w:p w14:paraId="1997E36C" w14:textId="77777777" w:rsidR="0096466B" w:rsidRPr="004D307F" w:rsidRDefault="0096466B" w:rsidP="00ED0863">
      <w:pPr>
        <w:numPr>
          <w:ilvl w:val="0"/>
          <w:numId w:val="10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Term</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4</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grant </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Revised SRP using audit corrections to the February enrolments</w:t>
      </w:r>
    </w:p>
    <w:p w14:paraId="72FC5E3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Note: Census enrolments are subject to audit corrections. In this event both credit allocations and cash grants are adjusted.</w:t>
      </w:r>
    </w:p>
    <w:p w14:paraId="56B6E50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QCG can include:</w:t>
      </w:r>
    </w:p>
    <w:p w14:paraId="417D2C5D" w14:textId="77777777"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Cash allocations from the SRP</w:t>
      </w:r>
    </w:p>
    <w:p w14:paraId="7A1BB80F" w14:textId="77777777"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 to cash transfer amounts from SRP</w:t>
      </w:r>
    </w:p>
    <w:p w14:paraId="14711435" w14:textId="77777777"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Other cash grant amounts such as school support</w:t>
      </w:r>
    </w:p>
    <w:p w14:paraId="5120F95D" w14:textId="77777777"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Deductions for long term sick leave premium</w:t>
      </w:r>
    </w:p>
    <w:p w14:paraId="790B42E4" w14:textId="6BABA22B" w:rsidR="0096466B" w:rsidRPr="004D307F" w:rsidRDefault="0096466B" w:rsidP="00ED0863">
      <w:pPr>
        <w:numPr>
          <w:ilvl w:val="0"/>
          <w:numId w:val="10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Other departmental deductions</w:t>
      </w:r>
    </w:p>
    <w:p w14:paraId="40122A6D"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color w:val="011A3C"/>
          <w:sz w:val="27"/>
          <w:szCs w:val="27"/>
          <w:lang w:val="en" w:eastAsia="en-AU"/>
        </w:rPr>
      </w:pPr>
      <w:r w:rsidRPr="004D307F">
        <w:rPr>
          <w:rFonts w:ascii="VIC" w:eastAsia="Times New Roman" w:hAnsi="VIC" w:cs="Times New Roman"/>
          <w:color w:val="011A3C"/>
          <w:sz w:val="27"/>
          <w:szCs w:val="27"/>
          <w:lang w:val="en" w:eastAsia="en-AU"/>
        </w:rPr>
        <w:t>Electronic Funds Transfer (EFT) remittance advice (how SRP cash appears)</w:t>
      </w:r>
    </w:p>
    <w:p w14:paraId="13F26C58" w14:textId="463F25E2"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Accounts Payable area, in DET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Financial Services Division, provides schools with a remittance advice for every payment that is made to the school. Schools should email Cash Management Unit </w:t>
      </w:r>
      <w:hyperlink r:id="rId247" w:history="1">
        <w:r w:rsidR="00C64A4E" w:rsidRPr="004D307F">
          <w:rPr>
            <w:rStyle w:val="Hyperlink"/>
            <w:rFonts w:ascii="VIC" w:eastAsia="Times New Roman" w:hAnsi="VIC" w:cs="Times New Roman"/>
            <w:sz w:val="24"/>
            <w:szCs w:val="24"/>
            <w:lang w:val="en" w:eastAsia="en-AU"/>
          </w:rPr>
          <w:t>cashmanagement@eduction.vic.gov.au</w:t>
        </w:r>
      </w:hyperlink>
      <w:r w:rsidRPr="004D307F">
        <w:rPr>
          <w:rFonts w:ascii="VIC" w:eastAsia="Times New Roman" w:hAnsi="VIC" w:cs="Times New Roman"/>
          <w:color w:val="011A3C"/>
          <w:sz w:val="24"/>
          <w:szCs w:val="24"/>
          <w:lang w:val="en" w:eastAsia="en-AU"/>
        </w:rPr>
        <w:t xml:space="preserve"> for assistance with EFT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queries.</w:t>
      </w:r>
    </w:p>
    <w:p w14:paraId="5633302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remittance advice provides a breakdown and a description for each component of the payment. Payments made from the SRP or strategic programs will appear on this remittance advice. There are three different types of descriptions that may appear on the remittance advice for a QCG payment:</w:t>
      </w:r>
    </w:p>
    <w:p w14:paraId="04CB2D40"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1. SRP</w:t>
      </w:r>
      <w:r w:rsidRPr="004D307F">
        <w:rPr>
          <w:rFonts w:ascii="Calibri" w:eastAsia="Times New Roman" w:hAnsi="Calibri" w:cs="Calibri" w:hint="eastAsia"/>
          <w:b/>
          <w:bCs/>
          <w:color w:val="011A3C"/>
          <w:sz w:val="24"/>
          <w:szCs w:val="24"/>
          <w:lang w:val="en" w:eastAsia="en-AU"/>
        </w:rPr>
        <w:t> </w:t>
      </w:r>
      <w:r w:rsidRPr="004D307F">
        <w:rPr>
          <w:rFonts w:ascii="VIC" w:eastAsia="Times New Roman" w:hAnsi="VIC" w:cs="Times New Roman"/>
          <w:b/>
          <w:bCs/>
          <w:color w:val="011A3C"/>
          <w:sz w:val="24"/>
          <w:szCs w:val="24"/>
          <w:lang w:val="en" w:eastAsia="en-AU"/>
        </w:rPr>
        <w:t>quarterly cash grant payment</w:t>
      </w:r>
    </w:p>
    <w:p w14:paraId="0193A50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payment includes SRP budget allocations, credit and cash transfers and any deductions:</w:t>
      </w:r>
    </w:p>
    <w:p w14:paraId="182DC60C" w14:textId="77777777" w:rsidR="0096466B" w:rsidRPr="004D307F" w:rsidRDefault="0096466B" w:rsidP="00ED0863">
      <w:pPr>
        <w:numPr>
          <w:ilvl w:val="0"/>
          <w:numId w:val="10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STUDENT RESOURCE PACKAGE (SRP) - BATCH &lt;batch number&gt; - &lt;term 1-4&gt; QUARTERLY CASH GRANT - CASES21 Finance General Ledger &lt;GL Code&gt;: Sub Program &lt;Sub Program Code&gt;</w:t>
      </w:r>
    </w:p>
    <w:p w14:paraId="2F13740F"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2. Other payments</w:t>
      </w:r>
    </w:p>
    <w:p w14:paraId="18581D2F"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Some schools will receive other forms of payment through the SRP payments system at the same time as the QCG:</w:t>
      </w:r>
    </w:p>
    <w:p w14:paraId="076458F9" w14:textId="77777777" w:rsidR="0096466B" w:rsidRPr="004D307F" w:rsidRDefault="0096466B" w:rsidP="00ED0863">
      <w:pPr>
        <w:numPr>
          <w:ilvl w:val="0"/>
          <w:numId w:val="11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&lt;batch number&gt; - &lt;term 1-4&gt; QUARTERLY CASH GRANT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Other Cash Grants - &lt;Other Cash Grants - CASES21 Finance General Ledger &lt;GL Code&gt;: Sub Program &lt;Sub Program Code&gt;</w:t>
      </w:r>
    </w:p>
    <w:p w14:paraId="2FB60FD4"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Definitions</w:t>
      </w:r>
    </w:p>
    <w:p w14:paraId="7689FF28"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 samples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953"/>
        <w:gridCol w:w="7073"/>
      </w:tblGrid>
      <w:tr w:rsidR="0096466B" w:rsidRPr="004D307F" w14:paraId="0977D219" w14:textId="77777777" w:rsidTr="00ED4312">
        <w:trPr>
          <w:tblHeader/>
        </w:trPr>
        <w:tc>
          <w:tcPr>
            <w:tcW w:w="0" w:type="auto"/>
            <w:hideMark/>
          </w:tcPr>
          <w:p w14:paraId="270EA080"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Placeholder</w:t>
            </w:r>
          </w:p>
        </w:tc>
        <w:tc>
          <w:tcPr>
            <w:tcW w:w="0" w:type="auto"/>
            <w:hideMark/>
          </w:tcPr>
          <w:p w14:paraId="77300D36"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Definition</w:t>
            </w:r>
          </w:p>
        </w:tc>
      </w:tr>
      <w:tr w:rsidR="0096466B" w:rsidRPr="004D307F" w14:paraId="4DCFB326" w14:textId="77777777" w:rsidTr="00ED4312">
        <w:tc>
          <w:tcPr>
            <w:tcW w:w="0" w:type="auto"/>
            <w:hideMark/>
          </w:tcPr>
          <w:p w14:paraId="54C3B7C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&lt;batch number&gt;</w:t>
            </w:r>
          </w:p>
        </w:tc>
        <w:tc>
          <w:tcPr>
            <w:tcW w:w="0" w:type="auto"/>
            <w:hideMark/>
          </w:tcPr>
          <w:p w14:paraId="736D93E5" w14:textId="7C64FEB0"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A </w:t>
            </w:r>
            <w:r w:rsidR="0091293B" w:rsidRPr="004D307F">
              <w:rPr>
                <w:rFonts w:ascii="VIC" w:eastAsia="Times New Roman" w:hAnsi="VIC" w:cs="Times New Roman"/>
                <w:color w:val="323E4F" w:themeColor="text2" w:themeShade="BF"/>
                <w:sz w:val="24"/>
                <w:szCs w:val="24"/>
                <w:lang w:eastAsia="en-AU"/>
              </w:rPr>
              <w:t>6-digit</w:t>
            </w:r>
            <w:r w:rsidRPr="004D307F">
              <w:rPr>
                <w:rFonts w:ascii="VIC" w:eastAsia="Times New Roman" w:hAnsi="VIC" w:cs="Times New Roman"/>
                <w:color w:val="323E4F" w:themeColor="text2" w:themeShade="BF"/>
                <w:sz w:val="24"/>
                <w:szCs w:val="24"/>
                <w:lang w:eastAsia="en-AU"/>
              </w:rPr>
              <w:t xml:space="preserve"> number, for example: 000999 The SRP identifier of the payment, this can be used to look up a payment within the SRP </w:t>
            </w:r>
            <w:proofErr w:type="gramStart"/>
            <w:r w:rsidRPr="004D307F">
              <w:rPr>
                <w:rFonts w:ascii="VIC" w:eastAsia="Times New Roman" w:hAnsi="VIC" w:cs="Times New Roman"/>
                <w:color w:val="323E4F" w:themeColor="text2" w:themeShade="BF"/>
                <w:sz w:val="24"/>
                <w:szCs w:val="24"/>
                <w:lang w:eastAsia="en-AU"/>
              </w:rPr>
              <w:t>reports, or</w:t>
            </w:r>
            <w:proofErr w:type="gramEnd"/>
            <w:r w:rsidRPr="004D307F">
              <w:rPr>
                <w:rFonts w:ascii="VIC" w:eastAsia="Times New Roman" w:hAnsi="VIC" w:cs="Times New Roman"/>
                <w:color w:val="323E4F" w:themeColor="text2" w:themeShade="BF"/>
                <w:sz w:val="24"/>
                <w:szCs w:val="24"/>
                <w:lang w:eastAsia="en-AU"/>
              </w:rPr>
              <w:t xml:space="preserve"> can be quoted to SRP support staff when you are making an enquiry regarding your payment.</w:t>
            </w:r>
          </w:p>
        </w:tc>
      </w:tr>
      <w:tr w:rsidR="0096466B" w:rsidRPr="004D307F" w14:paraId="2A2CF03B" w14:textId="77777777" w:rsidTr="00ED4312">
        <w:tc>
          <w:tcPr>
            <w:tcW w:w="0" w:type="auto"/>
            <w:hideMark/>
          </w:tcPr>
          <w:p w14:paraId="3418957E"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&lt;Term1-4&gt;</w:t>
            </w:r>
          </w:p>
        </w:tc>
        <w:tc>
          <w:tcPr>
            <w:tcW w:w="0" w:type="auto"/>
            <w:hideMark/>
          </w:tcPr>
          <w:p w14:paraId="2E2BD0B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Indicates the Term for the QCG payment, possible values are: </w:t>
            </w:r>
          </w:p>
          <w:p w14:paraId="61F23945" w14:textId="77777777" w:rsidR="0096466B" w:rsidRPr="004D307F" w:rsidRDefault="0096466B" w:rsidP="00ED0863">
            <w:pPr>
              <w:numPr>
                <w:ilvl w:val="0"/>
                <w:numId w:val="111"/>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1</w:t>
            </w:r>
          </w:p>
          <w:p w14:paraId="248BE888" w14:textId="77777777" w:rsidR="0096466B" w:rsidRPr="004D307F" w:rsidRDefault="0096466B" w:rsidP="00ED0863">
            <w:pPr>
              <w:numPr>
                <w:ilvl w:val="0"/>
                <w:numId w:val="111"/>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2</w:t>
            </w:r>
          </w:p>
          <w:p w14:paraId="2664626E" w14:textId="77777777" w:rsidR="0096466B" w:rsidRPr="004D307F" w:rsidRDefault="0096466B" w:rsidP="00ED0863">
            <w:pPr>
              <w:numPr>
                <w:ilvl w:val="0"/>
                <w:numId w:val="111"/>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3</w:t>
            </w:r>
          </w:p>
          <w:p w14:paraId="7420D233" w14:textId="77777777" w:rsidR="0096466B" w:rsidRPr="004D307F" w:rsidRDefault="0096466B" w:rsidP="00ED0863">
            <w:pPr>
              <w:numPr>
                <w:ilvl w:val="0"/>
                <w:numId w:val="111"/>
              </w:numPr>
              <w:spacing w:before="100" w:beforeAutospacing="1" w:after="100" w:afterAutospacing="1"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TERM 4</w:t>
            </w:r>
          </w:p>
        </w:tc>
      </w:tr>
      <w:tr w:rsidR="0096466B" w:rsidRPr="004D307F" w14:paraId="7BEDAB32" w14:textId="77777777" w:rsidTr="00ED4312">
        <w:tc>
          <w:tcPr>
            <w:tcW w:w="0" w:type="auto"/>
            <w:hideMark/>
          </w:tcPr>
          <w:p w14:paraId="1908CB1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&lt;GST Status&gt;</w:t>
            </w:r>
          </w:p>
        </w:tc>
        <w:tc>
          <w:tcPr>
            <w:tcW w:w="0" w:type="auto"/>
            <w:hideMark/>
          </w:tcPr>
          <w:p w14:paraId="01643263" w14:textId="0D4386E6"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Indicates if the payment is subject to </w:t>
            </w:r>
            <w:r w:rsidR="0091293B" w:rsidRPr="004D307F">
              <w:rPr>
                <w:rFonts w:ascii="VIC" w:eastAsia="Times New Roman" w:hAnsi="VIC" w:cs="Times New Roman"/>
                <w:color w:val="323E4F" w:themeColor="text2" w:themeShade="BF"/>
                <w:sz w:val="24"/>
                <w:szCs w:val="24"/>
                <w:lang w:eastAsia="en-AU"/>
              </w:rPr>
              <w:t>GST and</w:t>
            </w:r>
            <w:r w:rsidRPr="004D307F">
              <w:rPr>
                <w:rFonts w:ascii="VIC" w:eastAsia="Times New Roman" w:hAnsi="VIC" w:cs="Times New Roman"/>
                <w:color w:val="323E4F" w:themeColor="text2" w:themeShade="BF"/>
                <w:sz w:val="24"/>
                <w:szCs w:val="24"/>
                <w:lang w:eastAsia="en-AU"/>
              </w:rPr>
              <w:t xml:space="preserve"> provides the appropriate code for use in CASES21 Finance. </w:t>
            </w:r>
            <w:r w:rsidR="0091293B" w:rsidRPr="004D307F">
              <w:rPr>
                <w:rFonts w:ascii="VIC" w:eastAsia="Times New Roman" w:hAnsi="VIC" w:cs="Times New Roman"/>
                <w:color w:val="323E4F" w:themeColor="text2" w:themeShade="BF"/>
                <w:sz w:val="24"/>
                <w:szCs w:val="24"/>
                <w:lang w:eastAsia="en-AU"/>
              </w:rPr>
              <w:t>Most</w:t>
            </w:r>
            <w:r w:rsidRPr="004D307F">
              <w:rPr>
                <w:rFonts w:ascii="VIC" w:eastAsia="Times New Roman" w:hAnsi="VIC" w:cs="Times New Roman"/>
                <w:color w:val="323E4F" w:themeColor="text2" w:themeShade="BF"/>
                <w:sz w:val="24"/>
                <w:szCs w:val="24"/>
                <w:lang w:eastAsia="en-AU"/>
              </w:rPr>
              <w:t xml:space="preserve"> payments occurring through the SRP payment system will </w:t>
            </w:r>
            <w:r w:rsidRPr="004D307F">
              <w:rPr>
                <w:rFonts w:ascii="VIC" w:eastAsia="Times New Roman" w:hAnsi="VIC" w:cs="Times New Roman"/>
                <w:color w:val="323E4F" w:themeColor="text2" w:themeShade="BF"/>
                <w:sz w:val="24"/>
                <w:szCs w:val="24"/>
                <w:lang w:eastAsia="en-AU"/>
              </w:rPr>
              <w:lastRenderedPageBreak/>
              <w:t>not be subject to GST and therefore this will be set to 'Not Subject to GST (Code NS6)'.</w:t>
            </w:r>
          </w:p>
        </w:tc>
      </w:tr>
      <w:tr w:rsidR="0096466B" w:rsidRPr="004D307F" w14:paraId="3F153A96" w14:textId="77777777" w:rsidTr="00ED4312">
        <w:tc>
          <w:tcPr>
            <w:tcW w:w="0" w:type="auto"/>
            <w:hideMark/>
          </w:tcPr>
          <w:p w14:paraId="67CD95F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lastRenderedPageBreak/>
              <w:t>&lt;GL Code&gt;</w:t>
            </w:r>
          </w:p>
        </w:tc>
        <w:tc>
          <w:tcPr>
            <w:tcW w:w="0" w:type="auto"/>
            <w:hideMark/>
          </w:tcPr>
          <w:p w14:paraId="54FE692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The CASES21 Finance General Ledger code against which to record the payment.</w:t>
            </w:r>
          </w:p>
        </w:tc>
      </w:tr>
      <w:tr w:rsidR="0096466B" w:rsidRPr="004D307F" w14:paraId="47615C1E" w14:textId="77777777" w:rsidTr="00ED4312">
        <w:tc>
          <w:tcPr>
            <w:tcW w:w="0" w:type="auto"/>
            <w:hideMark/>
          </w:tcPr>
          <w:p w14:paraId="2C756D87"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&lt;Sub Program Code&gt;</w:t>
            </w:r>
          </w:p>
        </w:tc>
        <w:tc>
          <w:tcPr>
            <w:tcW w:w="0" w:type="auto"/>
            <w:hideMark/>
          </w:tcPr>
          <w:p w14:paraId="2FF7902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The CASES21 Finance General Ledger sub-program code against which to record the payment (may not appear for all payments).</w:t>
            </w:r>
          </w:p>
        </w:tc>
      </w:tr>
      <w:tr w:rsidR="0096466B" w:rsidRPr="004D307F" w14:paraId="065134CB" w14:textId="77777777" w:rsidTr="00ED4312">
        <w:tc>
          <w:tcPr>
            <w:tcW w:w="0" w:type="auto"/>
            <w:hideMark/>
          </w:tcPr>
          <w:p w14:paraId="7D17B6B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&lt;Other Cash Grants Description&gt;</w:t>
            </w:r>
          </w:p>
        </w:tc>
        <w:tc>
          <w:tcPr>
            <w:tcW w:w="0" w:type="auto"/>
            <w:hideMark/>
          </w:tcPr>
          <w:p w14:paraId="11C9D085"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If the payment is of the type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Other Cash Grants</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a more detailed description will be provided.</w:t>
            </w:r>
          </w:p>
        </w:tc>
      </w:tr>
    </w:tbl>
    <w:p w14:paraId="7463053E"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Credit and Cash transfers (CCT)</w:t>
      </w:r>
    </w:p>
    <w:p w14:paraId="15CD0FE4"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Eligibility</w:t>
      </w:r>
    </w:p>
    <w:p w14:paraId="76E754BF" w14:textId="729AD4C2"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t>
      </w:r>
      <w:r w:rsidR="0091293B" w:rsidRPr="004D307F">
        <w:rPr>
          <w:rFonts w:ascii="VIC" w:eastAsia="Times New Roman" w:hAnsi="VIC" w:cs="Times New Roman"/>
          <w:color w:val="011A3C"/>
          <w:sz w:val="24"/>
          <w:szCs w:val="24"/>
          <w:lang w:val="en" w:eastAsia="en-AU"/>
        </w:rPr>
        <w:t>can</w:t>
      </w:r>
      <w:r w:rsidRPr="004D307F">
        <w:rPr>
          <w:rFonts w:ascii="VIC" w:eastAsia="Times New Roman" w:hAnsi="VIC" w:cs="Times New Roman"/>
          <w:color w:val="011A3C"/>
          <w:sz w:val="24"/>
          <w:szCs w:val="24"/>
          <w:lang w:val="en" w:eastAsia="en-AU"/>
        </w:rPr>
        <w:t xml:space="preserve"> undertake a credit to cash transfer for uncommitted credit allocations in the SRP. In addition, schools may undertake cash to credit transfers in instances where it is planned to use the cash component of the SRP to appoint ongoing or fixed-term staff on </w:t>
      </w:r>
      <w:proofErr w:type="spellStart"/>
      <w:r w:rsidRPr="004D307F">
        <w:rPr>
          <w:rFonts w:ascii="VIC" w:eastAsia="Times New Roman" w:hAnsi="VIC" w:cs="Times New Roman"/>
          <w:color w:val="011A3C"/>
          <w:sz w:val="24"/>
          <w:szCs w:val="24"/>
          <w:lang w:val="en" w:eastAsia="en-AU"/>
        </w:rPr>
        <w:t>eduPay</w:t>
      </w:r>
      <w:proofErr w:type="spellEnd"/>
      <w:r w:rsidRPr="004D307F">
        <w:rPr>
          <w:rFonts w:ascii="VIC" w:eastAsia="Times New Roman" w:hAnsi="VIC" w:cs="Times New Roman"/>
          <w:color w:val="011A3C"/>
          <w:sz w:val="24"/>
          <w:szCs w:val="24"/>
          <w:lang w:val="en" w:eastAsia="en-AU"/>
        </w:rPr>
        <w:t>. Care must be taken when appointing ongoing staff in this way to ensure the position can continue to be funded in future years. Cash to credit transfers must include provision for salary on-costs (payroll tax and superannuation).</w:t>
      </w:r>
    </w:p>
    <w:p w14:paraId="23AB2910"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Submitting requests</w:t>
      </w:r>
    </w:p>
    <w:p w14:paraId="78530015" w14:textId="2AEE48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w:t>
      </w:r>
      <w:r w:rsidR="0091293B" w:rsidRPr="004D307F">
        <w:rPr>
          <w:rFonts w:ascii="VIC" w:eastAsia="Times New Roman" w:hAnsi="VIC" w:cs="Times New Roman"/>
          <w:color w:val="011A3C"/>
          <w:sz w:val="24"/>
          <w:szCs w:val="24"/>
          <w:lang w:val="en" w:eastAsia="en-AU"/>
        </w:rPr>
        <w:t>can</w:t>
      </w:r>
      <w:r w:rsidRPr="004D307F">
        <w:rPr>
          <w:rFonts w:ascii="VIC" w:eastAsia="Times New Roman" w:hAnsi="VIC" w:cs="Times New Roman"/>
          <w:color w:val="011A3C"/>
          <w:sz w:val="24"/>
          <w:szCs w:val="24"/>
          <w:lang w:val="en" w:eastAsia="en-AU"/>
        </w:rPr>
        <w:t xml:space="preserve"> undertake CCT request using the online Credit Cash Transfer module by selecting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CCT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(Credit Cash Transfer) on the SRP Portal. </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Access to the Credit Cash Transfer module is limited to the principal or the principal</w:t>
      </w:r>
      <w:r w:rsidRPr="004D307F">
        <w:rPr>
          <w:rFonts w:ascii="VIC" w:eastAsia="Times New Roman" w:hAnsi="VIC" w:cs="VIC"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delegate and requires an authenticated </w:t>
      </w:r>
      <w:r w:rsidR="0091293B" w:rsidRPr="004D307F">
        <w:rPr>
          <w:rFonts w:ascii="VIC" w:eastAsia="Times New Roman" w:hAnsi="VIC" w:cs="Times New Roman"/>
          <w:color w:val="011A3C"/>
          <w:sz w:val="24"/>
          <w:szCs w:val="24"/>
          <w:lang w:val="en" w:eastAsia="en-AU"/>
        </w:rPr>
        <w:t xml:space="preserve">username </w:t>
      </w:r>
      <w:r w:rsidRPr="004D307F">
        <w:rPr>
          <w:rFonts w:ascii="VIC" w:eastAsia="Times New Roman" w:hAnsi="VIC" w:cs="Times New Roman"/>
          <w:color w:val="011A3C"/>
          <w:sz w:val="24"/>
          <w:szCs w:val="24"/>
          <w:lang w:val="en" w:eastAsia="en-AU"/>
        </w:rPr>
        <w:t>and password.</w:t>
      </w:r>
      <w:r w:rsidRPr="004D307F">
        <w:rPr>
          <w:rFonts w:ascii="Cambria Math" w:eastAsia="Times New Roman" w:hAnsi="Cambria Math" w:cs="Cambria Math"/>
          <w:color w:val="011A3C"/>
          <w:sz w:val="24"/>
          <w:szCs w:val="24"/>
          <w:lang w:val="en" w:eastAsia="en-AU"/>
        </w:rPr>
        <w:t>​</w:t>
      </w:r>
    </w:p>
    <w:p w14:paraId="23372B74" w14:textId="125EBD13" w:rsidR="0096466B" w:rsidRPr="004D307F" w:rsidRDefault="0091293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Since </w:t>
      </w:r>
      <w:r w:rsidR="0096466B" w:rsidRPr="004D307F">
        <w:rPr>
          <w:rFonts w:ascii="VIC" w:eastAsia="Times New Roman" w:hAnsi="VIC" w:cs="Times New Roman"/>
          <w:color w:val="011A3C"/>
          <w:sz w:val="24"/>
          <w:szCs w:val="24"/>
          <w:lang w:val="en" w:eastAsia="en-AU"/>
        </w:rPr>
        <w:t>2019, schools are required to nominate a category that identifies the purpose of the CCT. In addition, there is the ability to attach supporting information to the request.</w:t>
      </w:r>
    </w:p>
    <w:p w14:paraId="168AC48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list of categories, and some suggestions as to the type of supporting information required, are outlined below. Where possible or relevant, schools should try to link the submission back to Annual Implementation Plans, School Strategic Plans, Professional Learning </w:t>
      </w:r>
      <w:proofErr w:type="gramStart"/>
      <w:r w:rsidRPr="004D307F">
        <w:rPr>
          <w:rFonts w:ascii="VIC" w:eastAsia="Times New Roman" w:hAnsi="VIC" w:cs="Times New Roman"/>
          <w:color w:val="011A3C"/>
          <w:sz w:val="24"/>
          <w:szCs w:val="24"/>
          <w:lang w:val="en" w:eastAsia="en-AU"/>
        </w:rPr>
        <w:t>Plans</w:t>
      </w:r>
      <w:proofErr w:type="gramEnd"/>
      <w:r w:rsidRPr="004D307F">
        <w:rPr>
          <w:rFonts w:ascii="VIC" w:eastAsia="Times New Roman" w:hAnsi="VIC" w:cs="Times New Roman"/>
          <w:color w:val="011A3C"/>
          <w:sz w:val="24"/>
          <w:szCs w:val="24"/>
          <w:lang w:val="en" w:eastAsia="en-AU"/>
        </w:rPr>
        <w:t xml:space="preserve"> or the School Cash Budget.</w:t>
      </w:r>
    </w:p>
    <w:p w14:paraId="64A147A7"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1. Capital Works</w:t>
      </w:r>
    </w:p>
    <w:p w14:paraId="1A46B3C0"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relates to school capital works, such as building additions or refurbishment of buildings or facilities.</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If the project is being undertaken with the Victorian Schools Building Authority (VSBA), noting </w:t>
      </w:r>
      <w:proofErr w:type="gramStart"/>
      <w:r w:rsidRPr="004D307F">
        <w:rPr>
          <w:rFonts w:ascii="VIC" w:eastAsia="Times New Roman" w:hAnsi="VIC" w:cs="Times New Roman"/>
          <w:color w:val="011A3C"/>
          <w:sz w:val="24"/>
          <w:szCs w:val="24"/>
          <w:lang w:val="en" w:eastAsia="en-AU"/>
        </w:rPr>
        <w:t>this</w:t>
      </w:r>
      <w:proofErr w:type="gramEnd"/>
      <w:r w:rsidRPr="004D307F">
        <w:rPr>
          <w:rFonts w:ascii="VIC" w:eastAsia="Times New Roman" w:hAnsi="VIC" w:cs="Times New Roman"/>
          <w:color w:val="011A3C"/>
          <w:sz w:val="24"/>
          <w:szCs w:val="24"/>
          <w:lang w:val="en" w:eastAsia="en-AU"/>
        </w:rPr>
        <w:t xml:space="preserve"> and providing a VSBA reference would be useful information to provide.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If the project is not being undertaken with the VSBA support, schools should </w:t>
      </w:r>
      <w:proofErr w:type="spellStart"/>
      <w:r w:rsidRPr="004D307F">
        <w:rPr>
          <w:rFonts w:ascii="VIC" w:eastAsia="Times New Roman" w:hAnsi="VIC" w:cs="Times New Roman"/>
          <w:color w:val="011A3C"/>
          <w:sz w:val="24"/>
          <w:szCs w:val="24"/>
          <w:lang w:val="en" w:eastAsia="en-AU"/>
        </w:rPr>
        <w:t>endeavour</w:t>
      </w:r>
      <w:proofErr w:type="spellEnd"/>
      <w:r w:rsidRPr="004D307F">
        <w:rPr>
          <w:rFonts w:ascii="VIC" w:eastAsia="Times New Roman" w:hAnsi="VIC" w:cs="Times New Roman"/>
          <w:color w:val="011A3C"/>
          <w:sz w:val="24"/>
          <w:szCs w:val="24"/>
          <w:lang w:val="en" w:eastAsia="en-AU"/>
        </w:rPr>
        <w:t xml:space="preserve"> to attach relevant project information.</w:t>
      </w:r>
    </w:p>
    <w:p w14:paraId="256A9DAD"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2. Equipment</w:t>
      </w:r>
    </w:p>
    <w:p w14:paraId="449EE011" w14:textId="26FDF5EE" w:rsidR="003E6B76"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relates the purchasing of new equipment. As an example, supporting Information may be a quote / scheduling for the installation, etc.</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(Note: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If the equipment is being purchased to support a Curriculum </w:t>
      </w:r>
      <w:proofErr w:type="gramStart"/>
      <w:r w:rsidRPr="004D307F">
        <w:rPr>
          <w:rFonts w:ascii="VIC" w:eastAsia="Times New Roman" w:hAnsi="VIC" w:cs="Times New Roman"/>
          <w:color w:val="011A3C"/>
          <w:sz w:val="24"/>
          <w:szCs w:val="24"/>
          <w:lang w:val="en" w:eastAsia="en-AU"/>
        </w:rPr>
        <w:t>program</w:t>
      </w:r>
      <w:proofErr w:type="gramEnd"/>
      <w:r w:rsidRPr="004D307F">
        <w:rPr>
          <w:rFonts w:ascii="VIC" w:eastAsia="Times New Roman" w:hAnsi="VIC" w:cs="Times New Roman"/>
          <w:color w:val="011A3C"/>
          <w:sz w:val="24"/>
          <w:szCs w:val="24"/>
          <w:lang w:val="en" w:eastAsia="en-AU"/>
        </w:rPr>
        <w:t xml:space="preserve"> then it should be </w:t>
      </w:r>
      <w:proofErr w:type="spellStart"/>
      <w:r w:rsidRPr="004D307F">
        <w:rPr>
          <w:rFonts w:ascii="VIC" w:eastAsia="Times New Roman" w:hAnsi="VIC" w:cs="Times New Roman"/>
          <w:color w:val="011A3C"/>
          <w:sz w:val="24"/>
          <w:szCs w:val="24"/>
          <w:lang w:val="en" w:eastAsia="en-AU"/>
        </w:rPr>
        <w:t>categorised</w:t>
      </w:r>
      <w:proofErr w:type="spellEnd"/>
      <w:r w:rsidRPr="004D307F">
        <w:rPr>
          <w:rFonts w:ascii="VIC" w:eastAsia="Times New Roman" w:hAnsi="VIC" w:cs="Times New Roman"/>
          <w:color w:val="011A3C"/>
          <w:sz w:val="24"/>
          <w:szCs w:val="24"/>
          <w:lang w:val="en" w:eastAsia="en-AU"/>
        </w:rPr>
        <w:t xml:space="preserve"> as part of the Curriculum Program)</w:t>
      </w:r>
    </w:p>
    <w:p w14:paraId="6E7C9B71"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3. Maintenance</w:t>
      </w:r>
    </w:p>
    <w:p w14:paraId="3D642C6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relates to general maintenance in schools. As an example, supporting Information may include the type of maintenance that is required to be undertaken.</w:t>
      </w:r>
    </w:p>
    <w:p w14:paraId="4708F424"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4. Staffing Costs</w:t>
      </w:r>
    </w:p>
    <w:p w14:paraId="3D8AD8CD"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includes costs directly related to staffing, such as Casual Relief Teaching (CRT), local payroll reimbursement or professional development.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Specific examples of support information could include CRT costs to replace someone on sick leave or to top up the CRT budget for the school as specified in the Annual Budget.</w:t>
      </w:r>
      <w:r w:rsidRPr="004D307F">
        <w:rPr>
          <w:rFonts w:ascii="Calibri" w:eastAsia="Times New Roman" w:hAnsi="Calibri" w:cs="Calibri" w:hint="eastAsia"/>
          <w:color w:val="011A3C"/>
          <w:sz w:val="24"/>
          <w:szCs w:val="24"/>
          <w:lang w:val="en" w:eastAsia="en-AU"/>
        </w:rPr>
        <w:t> </w:t>
      </w:r>
    </w:p>
    <w:p w14:paraId="12AC1481"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5. Curriculum Programs and Student Support</w:t>
      </w:r>
    </w:p>
    <w:p w14:paraId="6E9B5F2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This category relates to specific curriculum programs schools operate or support being provided to students.</w:t>
      </w:r>
    </w:p>
    <w:p w14:paraId="599DF6D1"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6. Other</w:t>
      </w:r>
    </w:p>
    <w:p w14:paraId="1C128AD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Any other reason for the CCT request.</w:t>
      </w:r>
    </w:p>
    <w:p w14:paraId="0E64341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Requests must be based on the annual amount of the transfer (not monthly or quarterly) except where the transfer relates to a surplus brought forward from the previous year. Approved transfers against a current-year surplus </w:t>
      </w:r>
      <w:r w:rsidRPr="004D307F">
        <w:rPr>
          <w:rFonts w:ascii="VIC" w:eastAsia="Times New Roman" w:hAnsi="VIC" w:cs="Times New Roman"/>
          <w:color w:val="011A3C"/>
          <w:sz w:val="24"/>
          <w:szCs w:val="24"/>
          <w:lang w:val="en" w:eastAsia="en-AU"/>
        </w:rPr>
        <w:lastRenderedPageBreak/>
        <w:t>will be apportioned equally over the remaining quarterly cash grants for the year. Approved transfers relating to a surplus brought forward from the previous year will be paid as a lump sum.</w:t>
      </w:r>
    </w:p>
    <w:p w14:paraId="352E363C" w14:textId="57882C16"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Credit to cash transfers </w:t>
      </w:r>
      <w:proofErr w:type="gramStart"/>
      <w:r w:rsidRPr="004D307F">
        <w:rPr>
          <w:rFonts w:ascii="VIC" w:eastAsia="Times New Roman" w:hAnsi="VIC" w:cs="Times New Roman"/>
          <w:color w:val="011A3C"/>
          <w:sz w:val="24"/>
          <w:szCs w:val="24"/>
          <w:lang w:val="en" w:eastAsia="en-AU"/>
        </w:rPr>
        <w:t>are</w:t>
      </w:r>
      <w:proofErr w:type="gramEnd"/>
      <w:r w:rsidRPr="004D307F">
        <w:rPr>
          <w:rFonts w:ascii="VIC" w:eastAsia="Times New Roman" w:hAnsi="VIC" w:cs="Times New Roman"/>
          <w:color w:val="011A3C"/>
          <w:sz w:val="24"/>
          <w:szCs w:val="24"/>
          <w:lang w:val="en" w:eastAsia="en-AU"/>
        </w:rPr>
        <w:t xml:space="preserve"> paid and Cash to Credit Transfers are committed quarterly with schools</w:t>
      </w:r>
      <w:r w:rsidR="0091293B" w:rsidRPr="004D307F">
        <w:rPr>
          <w:rFonts w:ascii="VIC" w:eastAsia="Times New Roman" w:hAnsi="VIC" w:cs="Times New Roman" w:hint="eastAsia"/>
          <w:color w:val="011A3C"/>
          <w:sz w:val="24"/>
          <w:szCs w:val="24"/>
          <w:lang w:val="en" w:eastAsia="en-AU"/>
        </w:rPr>
        <w:t>’</w:t>
      </w:r>
      <w:r w:rsidR="0091293B" w:rsidRPr="004D307F">
        <w:rPr>
          <w:rFonts w:ascii="Calibri" w:eastAsia="Times New Roman" w:hAnsi="Calibri" w:cs="Calibri" w:hint="eastAsia"/>
          <w:color w:val="011A3C"/>
          <w:sz w:val="24"/>
          <w:szCs w:val="24"/>
          <w:lang w:val="en" w:eastAsia="en-AU"/>
        </w:rPr>
        <w:t> </w:t>
      </w:r>
      <w:r w:rsidR="0091293B" w:rsidRPr="004D307F">
        <w:rPr>
          <w:rFonts w:ascii="VIC" w:eastAsia="Times New Roman" w:hAnsi="VIC" w:cs="Times New Roman"/>
          <w:color w:val="011A3C"/>
          <w:sz w:val="24"/>
          <w:szCs w:val="24"/>
          <w:lang w:val="en" w:eastAsia="en-AU"/>
        </w:rPr>
        <w:t>Quarterly</w:t>
      </w:r>
      <w:r w:rsidRPr="004D307F">
        <w:rPr>
          <w:rFonts w:ascii="VIC" w:eastAsia="Times New Roman" w:hAnsi="VIC" w:cs="Times New Roman"/>
          <w:color w:val="011A3C"/>
          <w:sz w:val="24"/>
          <w:szCs w:val="24"/>
          <w:lang w:val="en" w:eastAsia="en-AU"/>
        </w:rPr>
        <w:t xml:space="preserve"> Cash Grant.</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 Amounts paid or committed can no longer be adjusted and a new request will need to be submitted.</w:t>
      </w:r>
    </w:p>
    <w:p w14:paraId="48E36F44"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Enquiries can be addressed to the SRP Service Desk and information should be provided in writing to:</w:t>
      </w:r>
    </w:p>
    <w:p w14:paraId="58306AE1" w14:textId="77777777" w:rsidR="0096466B" w:rsidRPr="004D307F" w:rsidRDefault="00A35420" w:rsidP="00ED0863">
      <w:pPr>
        <w:numPr>
          <w:ilvl w:val="0"/>
          <w:numId w:val="112"/>
        </w:numPr>
        <w:spacing w:before="100" w:beforeAutospacing="1" w:after="100" w:afterAutospacing="1" w:line="360" w:lineRule="atLeast"/>
        <w:rPr>
          <w:rFonts w:ascii="VIC" w:eastAsia="Times New Roman" w:hAnsi="VIC" w:cs="Times New Roman"/>
          <w:color w:val="011A3C"/>
          <w:sz w:val="24"/>
          <w:szCs w:val="24"/>
          <w:lang w:val="en" w:eastAsia="en-AU"/>
        </w:rPr>
      </w:pPr>
      <w:hyperlink r:id="rId248" w:history="1">
        <w:r w:rsidR="0096466B" w:rsidRPr="004D307F">
          <w:rPr>
            <w:rFonts w:ascii="VIC" w:eastAsia="Times New Roman" w:hAnsi="VIC" w:cs="Times New Roman"/>
            <w:color w:val="011A3C"/>
            <w:sz w:val="24"/>
            <w:szCs w:val="24"/>
            <w:lang w:val="en" w:eastAsia="en-AU"/>
          </w:rPr>
          <w:t>Service Gateway</w:t>
        </w:r>
      </w:hyperlink>
      <w:r w:rsidR="0096466B" w:rsidRPr="004D307F">
        <w:rPr>
          <w:rFonts w:ascii="VIC" w:eastAsia="Times New Roman" w:hAnsi="VIC" w:cs="Times New Roman"/>
          <w:color w:val="011A3C"/>
          <w:sz w:val="24"/>
          <w:szCs w:val="24"/>
          <w:lang w:val="en" w:eastAsia="en-AU"/>
        </w:rPr>
        <w:t>: or</w:t>
      </w:r>
    </w:p>
    <w:p w14:paraId="54811826" w14:textId="77777777" w:rsidR="0096466B" w:rsidRPr="004D307F" w:rsidRDefault="0096466B" w:rsidP="00ED0863">
      <w:pPr>
        <w:numPr>
          <w:ilvl w:val="0"/>
          <w:numId w:val="112"/>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Log a call on: </w:t>
      </w:r>
      <w:hyperlink r:id="rId249" w:history="1">
        <w:r w:rsidRPr="004D307F">
          <w:rPr>
            <w:rFonts w:ascii="VIC" w:eastAsia="Times New Roman" w:hAnsi="VIC" w:cs="Times New Roman"/>
            <w:color w:val="011A3C"/>
            <w:sz w:val="24"/>
            <w:szCs w:val="24"/>
            <w:lang w:val="en" w:eastAsia="en-AU"/>
          </w:rPr>
          <w:t>1800 641 943</w:t>
        </w:r>
      </w:hyperlink>
    </w:p>
    <w:p w14:paraId="77883E8C"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Verification</w:t>
      </w:r>
    </w:p>
    <w:p w14:paraId="5D23CB3E" w14:textId="53C08045" w:rsidR="00F85311"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are only able to enter a CCT amount up to the value of the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Available SRP Credit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or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Available SRP Cash</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amounts. If a school wants to make a larger transfer, then a service call will need to be logged through </w:t>
      </w:r>
      <w:hyperlink r:id="rId250" w:history="1">
        <w:r w:rsidRPr="004D307F">
          <w:rPr>
            <w:rFonts w:ascii="VIC" w:eastAsia="Times New Roman" w:hAnsi="VIC" w:cs="Times New Roman"/>
            <w:color w:val="011A3C"/>
            <w:sz w:val="24"/>
            <w:szCs w:val="24"/>
            <w:lang w:val="en" w:eastAsia="en-AU"/>
          </w:rPr>
          <w:t>the service gateway</w:t>
        </w:r>
      </w:hyperlink>
      <w:r w:rsidRPr="004D307F">
        <w:rPr>
          <w:rFonts w:ascii="VIC" w:eastAsia="Times New Roman" w:hAnsi="VIC" w:cs="Times New Roman"/>
          <w:color w:val="011A3C"/>
          <w:sz w:val="24"/>
          <w:szCs w:val="24"/>
          <w:lang w:val="en" w:eastAsia="en-AU"/>
        </w:rPr>
        <w:t>.</w:t>
      </w:r>
    </w:p>
    <w:p w14:paraId="30295A03"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Offline payments</w:t>
      </w:r>
    </w:p>
    <w:p w14:paraId="3D6EE7C7"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Offline payments can occur at any time throughout the year. Common reasons for an offline payment to be made are:</w:t>
      </w:r>
    </w:p>
    <w:p w14:paraId="62BE8A18" w14:textId="77777777" w:rsidR="0096466B" w:rsidRPr="004D307F" w:rsidRDefault="0096466B" w:rsidP="00ED0863">
      <w:pPr>
        <w:numPr>
          <w:ilvl w:val="0"/>
          <w:numId w:val="11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credit to cash transfer against previous year SRP surplus</w:t>
      </w:r>
    </w:p>
    <w:p w14:paraId="42C49B87" w14:textId="77777777" w:rsidR="0096466B" w:rsidRPr="004D307F" w:rsidRDefault="0096466B" w:rsidP="00ED0863">
      <w:pPr>
        <w:numPr>
          <w:ilvl w:val="0"/>
          <w:numId w:val="113"/>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leave reimbursement payments</w:t>
      </w:r>
    </w:p>
    <w:p w14:paraId="0B8F5799"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Offline payments can also be triggered by cash flow support payments or other cash grants.</w:t>
      </w:r>
      <w:r w:rsidRPr="004D307F">
        <w:rPr>
          <w:rFonts w:ascii="Calibri" w:eastAsia="Times New Roman" w:hAnsi="Calibri" w:cs="Calibri" w:hint="eastAsia"/>
          <w:color w:val="011A3C"/>
          <w:sz w:val="24"/>
          <w:szCs w:val="24"/>
          <w:lang w:val="en" w:eastAsia="en-AU"/>
        </w:rPr>
        <w:t> </w:t>
      </w:r>
    </w:p>
    <w:p w14:paraId="15203BF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description for offline payments will take the form:</w:t>
      </w:r>
    </w:p>
    <w:p w14:paraId="10A9FD41" w14:textId="77777777" w:rsidR="0096466B" w:rsidRPr="004D307F" w:rsidRDefault="0096466B" w:rsidP="00ED0863">
      <w:pPr>
        <w:numPr>
          <w:ilvl w:val="0"/>
          <w:numId w:val="114"/>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&lt;batch number&gt; - OFFLINE PAYMENT - &lt;program&gt; - &lt;description&gt; - &lt;GST Status&gt;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&lt;GL Code&gt;: Sub Program &lt;Sub Program Code&gt;</w:t>
      </w:r>
    </w:p>
    <w:p w14:paraId="64655DC2" w14:textId="77777777" w:rsidR="0096466B" w:rsidRPr="004D307F" w:rsidRDefault="0096466B" w:rsidP="00A9180D">
      <w:pPr>
        <w:keepNext/>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Definitions</w:t>
      </w:r>
    </w:p>
    <w:p w14:paraId="1FCACFB1"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In the sample above, some placeholders were left using &lt;&gt;, please see the below table for definitions:</w:t>
      </w:r>
    </w:p>
    <w:tbl>
      <w:tblPr>
        <w:tblW w:w="5000" w:type="pct"/>
        <w:tblCellMar>
          <w:top w:w="15" w:type="dxa"/>
          <w:left w:w="15" w:type="dxa"/>
          <w:bottom w:w="15" w:type="dxa"/>
          <w:right w:w="15" w:type="dxa"/>
        </w:tblCellMar>
        <w:tblLook w:val="04A0" w:firstRow="1" w:lastRow="0" w:firstColumn="1" w:lastColumn="0" w:noHBand="0" w:noVBand="1"/>
      </w:tblPr>
      <w:tblGrid>
        <w:gridCol w:w="1761"/>
        <w:gridCol w:w="7265"/>
      </w:tblGrid>
      <w:tr w:rsidR="0096466B" w:rsidRPr="004D307F" w14:paraId="197B558F" w14:textId="77777777" w:rsidTr="00ED4312">
        <w:trPr>
          <w:tblHeader/>
        </w:trPr>
        <w:tc>
          <w:tcPr>
            <w:tcW w:w="0" w:type="auto"/>
            <w:hideMark/>
          </w:tcPr>
          <w:p w14:paraId="428E8893"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Placeholder</w:t>
            </w:r>
          </w:p>
        </w:tc>
        <w:tc>
          <w:tcPr>
            <w:tcW w:w="0" w:type="auto"/>
            <w:hideMark/>
          </w:tcPr>
          <w:p w14:paraId="711A4FFB"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Definition</w:t>
            </w:r>
          </w:p>
        </w:tc>
      </w:tr>
      <w:tr w:rsidR="0096466B" w:rsidRPr="004D307F" w14:paraId="758DC386" w14:textId="77777777" w:rsidTr="00ED4312">
        <w:tc>
          <w:tcPr>
            <w:tcW w:w="0" w:type="auto"/>
            <w:hideMark/>
          </w:tcPr>
          <w:p w14:paraId="2B8E0EB7"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&lt;batch number&gt;</w:t>
            </w:r>
          </w:p>
        </w:tc>
        <w:tc>
          <w:tcPr>
            <w:tcW w:w="0" w:type="auto"/>
            <w:hideMark/>
          </w:tcPr>
          <w:p w14:paraId="03D74C10" w14:textId="6D72C89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A </w:t>
            </w:r>
            <w:r w:rsidR="00EE01F0" w:rsidRPr="004D307F">
              <w:rPr>
                <w:rFonts w:ascii="VIC" w:eastAsia="Times New Roman" w:hAnsi="VIC" w:cs="Times New Roman"/>
                <w:color w:val="323E4F" w:themeColor="text2" w:themeShade="BF"/>
                <w:sz w:val="24"/>
                <w:szCs w:val="24"/>
                <w:lang w:eastAsia="en-AU"/>
              </w:rPr>
              <w:t>6-digit</w:t>
            </w:r>
            <w:r w:rsidRPr="004D307F">
              <w:rPr>
                <w:rFonts w:ascii="VIC" w:eastAsia="Times New Roman" w:hAnsi="VIC" w:cs="Times New Roman"/>
                <w:color w:val="323E4F" w:themeColor="text2" w:themeShade="BF"/>
                <w:sz w:val="24"/>
                <w:szCs w:val="24"/>
                <w:lang w:eastAsia="en-AU"/>
              </w:rPr>
              <w:t xml:space="preserve"> number, for example: 000999. This </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identifier number</w:t>
            </w:r>
            <w:r w:rsidRPr="004D307F">
              <w:rPr>
                <w:rFonts w:ascii="VIC" w:eastAsia="Times New Roman" w:hAnsi="VIC" w:cs="Times New Roman" w:hint="eastAsia"/>
                <w:color w:val="323E4F" w:themeColor="text2" w:themeShade="BF"/>
                <w:sz w:val="24"/>
                <w:szCs w:val="24"/>
                <w:lang w:eastAsia="en-AU"/>
              </w:rPr>
              <w:t>’</w:t>
            </w:r>
            <w:r w:rsidRPr="004D307F">
              <w:rPr>
                <w:rFonts w:ascii="VIC" w:eastAsia="Times New Roman" w:hAnsi="VIC" w:cs="Times New Roman"/>
                <w:color w:val="323E4F" w:themeColor="text2" w:themeShade="BF"/>
                <w:sz w:val="24"/>
                <w:szCs w:val="24"/>
                <w:lang w:eastAsia="en-AU"/>
              </w:rPr>
              <w:t xml:space="preserve"> can be used to look up a payment within the SRP </w:t>
            </w:r>
            <w:r w:rsidR="00EE01F0" w:rsidRPr="004D307F">
              <w:rPr>
                <w:rFonts w:ascii="VIC" w:eastAsia="Times New Roman" w:hAnsi="VIC" w:cs="Times New Roman"/>
                <w:color w:val="323E4F" w:themeColor="text2" w:themeShade="BF"/>
                <w:sz w:val="24"/>
                <w:szCs w:val="24"/>
                <w:lang w:eastAsia="en-AU"/>
              </w:rPr>
              <w:t>reports or</w:t>
            </w:r>
            <w:r w:rsidRPr="004D307F">
              <w:rPr>
                <w:rFonts w:ascii="VIC" w:eastAsia="Times New Roman" w:hAnsi="VIC" w:cs="Times New Roman"/>
                <w:color w:val="323E4F" w:themeColor="text2" w:themeShade="BF"/>
                <w:sz w:val="24"/>
                <w:szCs w:val="24"/>
                <w:lang w:eastAsia="en-AU"/>
              </w:rPr>
              <w:t xml:space="preserve"> can be quoted to SRP support staff when you are making an enquiry regarding your payment.</w:t>
            </w:r>
          </w:p>
        </w:tc>
      </w:tr>
      <w:tr w:rsidR="0096466B" w:rsidRPr="004D307F" w14:paraId="2E351C93" w14:textId="77777777" w:rsidTr="00ED4312">
        <w:tc>
          <w:tcPr>
            <w:tcW w:w="0" w:type="auto"/>
            <w:hideMark/>
          </w:tcPr>
          <w:p w14:paraId="5A92D0FB"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&lt;Program&gt;</w:t>
            </w:r>
          </w:p>
        </w:tc>
        <w:tc>
          <w:tcPr>
            <w:tcW w:w="0" w:type="auto"/>
            <w:hideMark/>
          </w:tcPr>
          <w:p w14:paraId="4D681D33"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For payments against the SRP this will not appear. If a payment is made against a strategic program, the strategic program name will be displayed. If a payment is made from another source, such as a cash flow support payment, it will show as 'Other Cash Grants'.</w:t>
            </w:r>
          </w:p>
        </w:tc>
      </w:tr>
      <w:tr w:rsidR="0096466B" w:rsidRPr="004D307F" w14:paraId="4ACE79D2" w14:textId="77777777" w:rsidTr="00ED4312">
        <w:tc>
          <w:tcPr>
            <w:tcW w:w="0" w:type="auto"/>
            <w:hideMark/>
          </w:tcPr>
          <w:p w14:paraId="4695EE39"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&lt;Description&gt;</w:t>
            </w:r>
          </w:p>
        </w:tc>
        <w:tc>
          <w:tcPr>
            <w:tcW w:w="0" w:type="auto"/>
            <w:hideMark/>
          </w:tcPr>
          <w:p w14:paraId="00E0CABE"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A more detailed description of the payment, this will not appear for all payments, only for those where more information is appropriate, such as a Credit to Cash Transfer payment.</w:t>
            </w:r>
          </w:p>
        </w:tc>
      </w:tr>
      <w:tr w:rsidR="0096466B" w:rsidRPr="004D307F" w14:paraId="127B5881" w14:textId="77777777" w:rsidTr="00ED4312">
        <w:tc>
          <w:tcPr>
            <w:tcW w:w="0" w:type="auto"/>
            <w:hideMark/>
          </w:tcPr>
          <w:p w14:paraId="6E2439DD"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&lt;GST Status&gt;</w:t>
            </w:r>
          </w:p>
        </w:tc>
        <w:tc>
          <w:tcPr>
            <w:tcW w:w="0" w:type="auto"/>
            <w:hideMark/>
          </w:tcPr>
          <w:p w14:paraId="7ECCD103" w14:textId="22B99823"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 xml:space="preserve">Indicates if the payment is subject to </w:t>
            </w:r>
            <w:r w:rsidR="00EE01F0" w:rsidRPr="004D307F">
              <w:rPr>
                <w:rFonts w:ascii="VIC" w:eastAsia="Times New Roman" w:hAnsi="VIC" w:cs="Times New Roman"/>
                <w:color w:val="323E4F" w:themeColor="text2" w:themeShade="BF"/>
                <w:sz w:val="24"/>
                <w:szCs w:val="24"/>
                <w:lang w:eastAsia="en-AU"/>
              </w:rPr>
              <w:t>GST and</w:t>
            </w:r>
            <w:r w:rsidRPr="004D307F">
              <w:rPr>
                <w:rFonts w:ascii="VIC" w:eastAsia="Times New Roman" w:hAnsi="VIC" w:cs="Times New Roman"/>
                <w:color w:val="323E4F" w:themeColor="text2" w:themeShade="BF"/>
                <w:sz w:val="24"/>
                <w:szCs w:val="24"/>
                <w:lang w:eastAsia="en-AU"/>
              </w:rPr>
              <w:t xml:space="preserve"> provides the appropriate code for use in CASES21 Finance. </w:t>
            </w:r>
            <w:r w:rsidR="00EE01F0" w:rsidRPr="004D307F">
              <w:rPr>
                <w:rFonts w:ascii="VIC" w:eastAsia="Times New Roman" w:hAnsi="VIC" w:cs="Times New Roman"/>
                <w:color w:val="323E4F" w:themeColor="text2" w:themeShade="BF"/>
                <w:sz w:val="24"/>
                <w:szCs w:val="24"/>
                <w:lang w:eastAsia="en-AU"/>
              </w:rPr>
              <w:t>Most</w:t>
            </w:r>
            <w:r w:rsidRPr="004D307F">
              <w:rPr>
                <w:rFonts w:ascii="VIC" w:eastAsia="Times New Roman" w:hAnsi="VIC" w:cs="Times New Roman"/>
                <w:color w:val="323E4F" w:themeColor="text2" w:themeShade="BF"/>
                <w:sz w:val="24"/>
                <w:szCs w:val="24"/>
                <w:lang w:eastAsia="en-AU"/>
              </w:rPr>
              <w:t xml:space="preserve"> payments occurring through the SRP Payment System will not be subject to GST and therefore this will be set to 'Not Subject to GST (Code NS6).</w:t>
            </w:r>
          </w:p>
        </w:tc>
      </w:tr>
      <w:tr w:rsidR="0096466B" w:rsidRPr="004D307F" w14:paraId="0EE789DF" w14:textId="77777777" w:rsidTr="00ED4312">
        <w:tc>
          <w:tcPr>
            <w:tcW w:w="0" w:type="auto"/>
            <w:hideMark/>
          </w:tcPr>
          <w:p w14:paraId="20FEFC72"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&lt;GL Code&gt;</w:t>
            </w:r>
          </w:p>
        </w:tc>
        <w:tc>
          <w:tcPr>
            <w:tcW w:w="0" w:type="auto"/>
            <w:hideMark/>
          </w:tcPr>
          <w:p w14:paraId="71276200"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The CASES21 Finance General Ledger code against which to record the payment.</w:t>
            </w:r>
          </w:p>
        </w:tc>
      </w:tr>
      <w:tr w:rsidR="0096466B" w:rsidRPr="004D307F" w14:paraId="3951FC4E" w14:textId="77777777" w:rsidTr="00ED4312">
        <w:tc>
          <w:tcPr>
            <w:tcW w:w="0" w:type="auto"/>
            <w:hideMark/>
          </w:tcPr>
          <w:p w14:paraId="63A0EAD4" w14:textId="77777777" w:rsidR="0096466B" w:rsidRPr="004D307F" w:rsidRDefault="0096466B" w:rsidP="00ED4312">
            <w:pPr>
              <w:spacing w:after="0" w:line="24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&lt;Sub Program Code&gt;</w:t>
            </w:r>
          </w:p>
        </w:tc>
        <w:tc>
          <w:tcPr>
            <w:tcW w:w="0" w:type="auto"/>
            <w:hideMark/>
          </w:tcPr>
          <w:p w14:paraId="2F5DB769" w14:textId="77777777" w:rsidR="0096466B" w:rsidRPr="004D307F" w:rsidRDefault="0096466B" w:rsidP="00ED4312">
            <w:pPr>
              <w:spacing w:after="0" w:line="360" w:lineRule="atLeast"/>
              <w:rPr>
                <w:rFonts w:ascii="VIC" w:eastAsia="Times New Roman" w:hAnsi="VIC" w:cs="Times New Roman"/>
                <w:color w:val="323E4F" w:themeColor="text2" w:themeShade="BF"/>
                <w:sz w:val="24"/>
                <w:szCs w:val="24"/>
                <w:lang w:eastAsia="en-AU"/>
              </w:rPr>
            </w:pPr>
            <w:r w:rsidRPr="004D307F">
              <w:rPr>
                <w:rFonts w:ascii="VIC" w:eastAsia="Times New Roman" w:hAnsi="VIC" w:cs="Times New Roman"/>
                <w:color w:val="323E4F" w:themeColor="text2" w:themeShade="BF"/>
                <w:sz w:val="24"/>
                <w:szCs w:val="24"/>
                <w:lang w:eastAsia="en-AU"/>
              </w:rPr>
              <w:t>The CASES21 Finance General Ledger Sub-Program code against which to record the payment. (May not appear for all payments).</w:t>
            </w:r>
          </w:p>
        </w:tc>
      </w:tr>
    </w:tbl>
    <w:p w14:paraId="194908EA"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Example:</w:t>
      </w:r>
    </w:p>
    <w:p w14:paraId="21E7C4E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below example would relate to a school that is receiving a basic payment against the SRP relating to a budget adjustment occurring after the Term 4 QCG.</w:t>
      </w:r>
    </w:p>
    <w:p w14:paraId="5379F88F" w14:textId="77777777" w:rsidR="0096466B" w:rsidRPr="004D307F" w:rsidRDefault="0096466B" w:rsidP="00ED0863">
      <w:pPr>
        <w:numPr>
          <w:ilvl w:val="0"/>
          <w:numId w:val="115"/>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000999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OFFLINE PAYMENT - Not Subject to GST (Code NS6)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70001</w:t>
      </w:r>
    </w:p>
    <w:p w14:paraId="09415E98"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lastRenderedPageBreak/>
        <w:t>Examples:</w:t>
      </w:r>
    </w:p>
    <w:p w14:paraId="2BD69C20"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below examples would relate to a school that is receiving payment for the SRP, two strategic programs and one other payment. This would represent a complex example of what would be seen on the remittance advice:</w:t>
      </w:r>
    </w:p>
    <w:p w14:paraId="63304639" w14:textId="77777777" w:rsidR="0096466B" w:rsidRPr="004D307F" w:rsidRDefault="0096466B" w:rsidP="00ED0863">
      <w:pPr>
        <w:numPr>
          <w:ilvl w:val="0"/>
          <w:numId w:val="11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000999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TERM 2 QUARTERLY CASH GRANT - Not Subject to GST (Code NS6)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70001</w:t>
      </w:r>
    </w:p>
    <w:p w14:paraId="4E02E74D" w14:textId="77777777" w:rsidR="0096466B" w:rsidRPr="004D307F" w:rsidRDefault="0096466B" w:rsidP="00ED0863">
      <w:pPr>
        <w:numPr>
          <w:ilvl w:val="0"/>
          <w:numId w:val="116"/>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000999 - TERM 2 QUARTERLY CASH GRANT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Other Cash Grants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Repayable Cash Flow Support - Not Subject to GST (Code NS6)</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70001</w:t>
      </w:r>
    </w:p>
    <w:p w14:paraId="607052B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below example would relate to a school that is receiving a payment against the SRP relating to a Credit to Cash Transfer against previous year surplus.</w:t>
      </w:r>
    </w:p>
    <w:p w14:paraId="5021CC82" w14:textId="77777777" w:rsidR="0096466B" w:rsidRPr="004D307F" w:rsidRDefault="0096466B" w:rsidP="00ED0863">
      <w:pPr>
        <w:numPr>
          <w:ilvl w:val="0"/>
          <w:numId w:val="117"/>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STUDENT RESOURCE PACKAGE (SRP) - BATCH 000999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OFFLINE PAYMENT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Credit to Cash Transfer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Previous Year - Not Subject to GST (Code NS6)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CASES21 Finance General Ledger 70001: Sub Program 9611</w:t>
      </w:r>
    </w:p>
    <w:p w14:paraId="3BAF8080"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Cash payment statement</w:t>
      </w:r>
    </w:p>
    <w:p w14:paraId="56E1903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cash payment statement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is produced for every payment made via the SRP Payment System. It is available to schools on the reports page of the </w:t>
      </w:r>
      <w:hyperlink r:id="rId251"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This report provides a detailed breakdown of every payment, including the budget lines from which the payment was made, and any deductions held against the payment.</w:t>
      </w:r>
    </w:p>
    <w:p w14:paraId="266615B3"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End of year cash balance</w:t>
      </w:r>
    </w:p>
    <w:p w14:paraId="0EF068ED" w14:textId="4805BC33" w:rsidR="006E3D8D" w:rsidRPr="004D307F" w:rsidRDefault="0096466B" w:rsidP="006D6E02">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Due to budget changes or other adjustments that occur after the Term 4 QCG, there will often be an outstanding cash balance for a school at the end of the calendar year. A positive cash balance will be paid through the following year</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QCG. A negative cash balance will be deducted from the following year</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QCG.</w:t>
      </w:r>
    </w:p>
    <w:p w14:paraId="091AC298"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CASES21 Finance</w:t>
      </w:r>
    </w:p>
    <w:p w14:paraId="605A82B9" w14:textId="1C82CFEB"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lastRenderedPageBreak/>
        <w:t>All cash payments must be recorded appropriately in CASES21 Finance using the general ledger and sub-program codes provided in the EFT remittance advice descriptions.</w:t>
      </w:r>
    </w:p>
    <w:p w14:paraId="0B55D8F7" w14:textId="77777777" w:rsidR="0096466B" w:rsidRPr="004D307F" w:rsidRDefault="0096466B" w:rsidP="0096466B">
      <w:pPr>
        <w:rPr>
          <w:rFonts w:ascii="VIC" w:hAnsi="VIC"/>
        </w:rPr>
      </w:pPr>
      <w:r w:rsidRPr="004D307F">
        <w:rPr>
          <w:rFonts w:ascii="VIC" w:hAnsi="VIC"/>
        </w:rPr>
        <w:br w:type="page"/>
      </w:r>
    </w:p>
    <w:p w14:paraId="77712277" w14:textId="03C92B0D" w:rsidR="0096466B" w:rsidRPr="004D307F" w:rsidRDefault="0096466B" w:rsidP="00B566E7">
      <w:pPr>
        <w:pStyle w:val="Heading2"/>
      </w:pPr>
      <w:bookmarkStart w:id="144" w:name="_Toc99882802"/>
      <w:r w:rsidRPr="004D307F">
        <w:lastRenderedPageBreak/>
        <w:t>Deficit management and workforce bridging</w:t>
      </w:r>
      <w:bookmarkEnd w:id="144"/>
    </w:p>
    <w:p w14:paraId="4A442BE9"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Background</w:t>
      </w:r>
    </w:p>
    <w:p w14:paraId="34556D13"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Devolved budgets and workforce management responsibility have operated in Victorian schools since 1996. All schools are expected to have planning strategies in place to manage their workforce requirements within available funds.</w:t>
      </w:r>
      <w:r w:rsidRPr="004D307F">
        <w:rPr>
          <w:rFonts w:ascii="Calibri" w:eastAsia="Times New Roman" w:hAnsi="Calibri" w:cs="Calibri" w:hint="eastAsia"/>
          <w:color w:val="011A3C"/>
          <w:sz w:val="24"/>
          <w:szCs w:val="24"/>
          <w:lang w:val="en" w:eastAsia="en-AU"/>
        </w:rPr>
        <w:t> </w:t>
      </w:r>
    </w:p>
    <w:p w14:paraId="4C464D2A"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SRP allocates the available state government funding to all schools in a transparent and equitable manner based on student needs. The imperative for all principals is to manage their school within available resources. Deficit management and workforce planning support may be available to schools in circumstances where the school is not able to meet commitments within their allocated budget. Support is provided in these circumstances through a combination of:</w:t>
      </w:r>
    </w:p>
    <w:p w14:paraId="400B273D" w14:textId="77777777" w:rsidR="0096466B" w:rsidRPr="004D307F" w:rsidRDefault="0096466B" w:rsidP="00ED0863">
      <w:pPr>
        <w:numPr>
          <w:ilvl w:val="0"/>
          <w:numId w:val="11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Management support via workforce planning through </w:t>
      </w:r>
    </w:p>
    <w:p w14:paraId="06ED26FB" w14:textId="77777777" w:rsidR="0096466B" w:rsidRPr="004D307F" w:rsidRDefault="0096466B" w:rsidP="00ED0863">
      <w:pPr>
        <w:numPr>
          <w:ilvl w:val="1"/>
          <w:numId w:val="11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Strategic Financial Management Advisors</w:t>
      </w:r>
    </w:p>
    <w:p w14:paraId="52E192D3" w14:textId="6E50FE28" w:rsidR="0096466B" w:rsidRPr="004D307F" w:rsidRDefault="0096466B" w:rsidP="00ED0863">
      <w:pPr>
        <w:numPr>
          <w:ilvl w:val="1"/>
          <w:numId w:val="11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Schools Finance Liaison Officers</w:t>
      </w:r>
    </w:p>
    <w:p w14:paraId="32CA9320" w14:textId="2EA14975" w:rsidR="0096466B" w:rsidRPr="004D307F" w:rsidRDefault="0096466B" w:rsidP="00ED0863">
      <w:pPr>
        <w:numPr>
          <w:ilvl w:val="0"/>
          <w:numId w:val="118"/>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Financial support via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if the shortfall is not linked to local management decisions</w:t>
      </w:r>
    </w:p>
    <w:p w14:paraId="207B10BD"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This will assist schools to make the transition from a deficit to a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within budget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situation.</w:t>
      </w:r>
    </w:p>
    <w:p w14:paraId="2C3DDB88"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Underlying principles</w:t>
      </w:r>
    </w:p>
    <w:p w14:paraId="5C1BC513"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SRP is allocated to all schools based on principles of equity, </w:t>
      </w:r>
      <w:proofErr w:type="gramStart"/>
      <w:r w:rsidRPr="004D307F">
        <w:rPr>
          <w:rFonts w:ascii="VIC" w:eastAsia="Times New Roman" w:hAnsi="VIC" w:cs="Times New Roman"/>
          <w:color w:val="011A3C"/>
          <w:sz w:val="24"/>
          <w:szCs w:val="24"/>
          <w:lang w:val="en" w:eastAsia="en-AU"/>
        </w:rPr>
        <w:t>consistency</w:t>
      </w:r>
      <w:proofErr w:type="gramEnd"/>
      <w:r w:rsidRPr="004D307F">
        <w:rPr>
          <w:rFonts w:ascii="VIC" w:eastAsia="Times New Roman" w:hAnsi="VIC" w:cs="Times New Roman"/>
          <w:color w:val="011A3C"/>
          <w:sz w:val="24"/>
          <w:szCs w:val="24"/>
          <w:lang w:val="en" w:eastAsia="en-AU"/>
        </w:rPr>
        <w:t xml:space="preserve"> and transparency. The SRP is adjusted periodically to reflect salary and other cost movements, consistent with the state budget and the prevailing Victorian Government Schools Agreement.</w:t>
      </w:r>
    </w:p>
    <w:p w14:paraId="30644D7C"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Schools operate in a devolved environment, where workforce </w:t>
      </w:r>
      <w:proofErr w:type="gramStart"/>
      <w:r w:rsidRPr="004D307F">
        <w:rPr>
          <w:rFonts w:ascii="VIC" w:eastAsia="Times New Roman" w:hAnsi="VIC" w:cs="Times New Roman"/>
          <w:color w:val="011A3C"/>
          <w:sz w:val="24"/>
          <w:szCs w:val="24"/>
          <w:lang w:val="en" w:eastAsia="en-AU"/>
        </w:rPr>
        <w:t>planning</w:t>
      </w:r>
      <w:proofErr w:type="gramEnd"/>
      <w:r w:rsidRPr="004D307F">
        <w:rPr>
          <w:rFonts w:ascii="VIC" w:eastAsia="Times New Roman" w:hAnsi="VIC" w:cs="Times New Roman"/>
          <w:color w:val="011A3C"/>
          <w:sz w:val="24"/>
          <w:szCs w:val="24"/>
          <w:lang w:val="en" w:eastAsia="en-AU"/>
        </w:rPr>
        <w:t xml:space="preserve"> and SRP management is the responsibility of the principal and school council. Principals are therefore expected to have a sustainable workforce management plan for their school that is capable of being funded within the SRP.</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Schools participating in </w:t>
      </w:r>
      <w:proofErr w:type="spellStart"/>
      <w:r w:rsidRPr="004D307F">
        <w:rPr>
          <w:rFonts w:ascii="VIC" w:eastAsia="Times New Roman" w:hAnsi="VIC" w:cs="Times New Roman"/>
          <w:color w:val="011A3C"/>
          <w:sz w:val="24"/>
          <w:szCs w:val="24"/>
          <w:lang w:val="en" w:eastAsia="en-AU"/>
        </w:rPr>
        <w:t>reorganisations</w:t>
      </w:r>
      <w:proofErr w:type="spellEnd"/>
      <w:r w:rsidRPr="004D307F">
        <w:rPr>
          <w:rFonts w:ascii="VIC" w:eastAsia="Times New Roman" w:hAnsi="VIC" w:cs="Times New Roman"/>
          <w:color w:val="011A3C"/>
          <w:sz w:val="24"/>
          <w:szCs w:val="24"/>
          <w:lang w:val="en" w:eastAsia="en-AU"/>
        </w:rPr>
        <w:t xml:space="preserve"> are also expected to undertake workforce planning within their overall budget allocation while giving due </w:t>
      </w:r>
      <w:r w:rsidRPr="004D307F">
        <w:rPr>
          <w:rFonts w:ascii="VIC" w:eastAsia="Times New Roman" w:hAnsi="VIC" w:cs="Times New Roman"/>
          <w:color w:val="011A3C"/>
          <w:sz w:val="24"/>
          <w:szCs w:val="24"/>
          <w:lang w:val="en" w:eastAsia="en-AU"/>
        </w:rPr>
        <w:lastRenderedPageBreak/>
        <w:t>consideration to clauses contained in the</w:t>
      </w:r>
      <w:r w:rsidRPr="004D307F">
        <w:rPr>
          <w:rFonts w:ascii="Calibri" w:eastAsia="Times New Roman" w:hAnsi="Calibri" w:cs="Calibri" w:hint="eastAsia"/>
          <w:color w:val="011A3C"/>
          <w:sz w:val="24"/>
          <w:szCs w:val="24"/>
          <w:lang w:val="en" w:eastAsia="en-AU"/>
        </w:rPr>
        <w:t> </w:t>
      </w:r>
      <w:hyperlink r:id="rId252" w:history="1">
        <w:r w:rsidRPr="004D307F">
          <w:rPr>
            <w:rFonts w:ascii="VIC" w:eastAsia="Times New Roman" w:hAnsi="VIC" w:cs="Times New Roman"/>
            <w:color w:val="011A3C"/>
            <w:sz w:val="24"/>
            <w:szCs w:val="24"/>
            <w:lang w:val="en" w:eastAsia="en-AU"/>
          </w:rPr>
          <w:t xml:space="preserve">Human Resources School Merger or Closure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Staffing Guide.</w:t>
        </w:r>
      </w:hyperlink>
    </w:p>
    <w:p w14:paraId="12FD50E3" w14:textId="450E3368"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School workforce plans must include contingency planning to deal with changing circumstances. This includes accommodating potential budget changes linked to such factors as enrolment </w:t>
      </w:r>
      <w:r w:rsidR="00151158" w:rsidRPr="004D307F">
        <w:rPr>
          <w:rFonts w:ascii="VIC" w:eastAsia="Times New Roman" w:hAnsi="VIC" w:cs="Times New Roman"/>
          <w:color w:val="011A3C"/>
          <w:sz w:val="24"/>
          <w:szCs w:val="24"/>
          <w:lang w:val="en" w:eastAsia="en-AU"/>
        </w:rPr>
        <w:t>variations and</w:t>
      </w:r>
      <w:r w:rsidRPr="004D307F">
        <w:rPr>
          <w:rFonts w:ascii="VIC" w:eastAsia="Times New Roman" w:hAnsi="VIC" w:cs="Times New Roman"/>
          <w:color w:val="011A3C"/>
          <w:sz w:val="24"/>
          <w:szCs w:val="24"/>
          <w:lang w:val="en" w:eastAsia="en-AU"/>
        </w:rPr>
        <w:t xml:space="preserve"> changing workforce commitments including staff salary increments and leave returnees.</w:t>
      </w:r>
    </w:p>
    <w:p w14:paraId="1B14C8D8"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Regional and central office DET staff are available to assist schools with the workforce planning process through the provision of management advice and support. The SRP Planner (accessible from the </w:t>
      </w:r>
      <w:hyperlink r:id="rId253" w:history="1">
        <w:r w:rsidRPr="004D307F">
          <w:rPr>
            <w:rFonts w:ascii="VIC" w:eastAsia="Times New Roman" w:hAnsi="VIC" w:cs="Times New Roman"/>
            <w:color w:val="011A3C"/>
            <w:sz w:val="24"/>
            <w:szCs w:val="24"/>
            <w:lang w:val="en" w:eastAsia="en-AU"/>
          </w:rPr>
          <w:t>SRP Portal</w:t>
        </w:r>
      </w:hyperlink>
      <w:r w:rsidRPr="004D307F">
        <w:rPr>
          <w:rFonts w:ascii="VIC" w:eastAsia="Times New Roman" w:hAnsi="VIC" w:cs="Times New Roman"/>
          <w:color w:val="011A3C"/>
          <w:sz w:val="24"/>
          <w:szCs w:val="24"/>
          <w:lang w:val="en" w:eastAsia="en-AU"/>
        </w:rPr>
        <w:t xml:space="preserve">) provides a useful modelling tool for schools for this purpose. If credit deficits arise, </w:t>
      </w:r>
      <w:proofErr w:type="gramStart"/>
      <w:r w:rsidRPr="004D307F">
        <w:rPr>
          <w:rFonts w:ascii="VIC" w:eastAsia="Times New Roman" w:hAnsi="VIC" w:cs="Times New Roman"/>
          <w:color w:val="011A3C"/>
          <w:sz w:val="24"/>
          <w:szCs w:val="24"/>
          <w:lang w:val="en" w:eastAsia="en-AU"/>
        </w:rPr>
        <w:t>whether or not</w:t>
      </w:r>
      <w:proofErr w:type="gramEnd"/>
      <w:r w:rsidRPr="004D307F">
        <w:rPr>
          <w:rFonts w:ascii="VIC" w:eastAsia="Times New Roman" w:hAnsi="VIC" w:cs="Times New Roman"/>
          <w:color w:val="011A3C"/>
          <w:sz w:val="24"/>
          <w:szCs w:val="24"/>
          <w:lang w:val="en" w:eastAsia="en-AU"/>
        </w:rPr>
        <w:t xml:space="preserve"> caused by local management decisions, it is incumbent on the school to take action to remove the deficit, within appropriate DET policy.</w:t>
      </w:r>
    </w:p>
    <w:p w14:paraId="0769B8AD"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Procedures for assistance</w:t>
      </w:r>
    </w:p>
    <w:p w14:paraId="7DDE6CC8"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Management advice and support</w:t>
      </w:r>
    </w:p>
    <w:p w14:paraId="59002DBD" w14:textId="7C8BC6E5"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Since the first imperative is to manage the schools SRP to avoid a deficit, principals should develop a workforce plan that is capable of being funded within the SRP. Should this process identify that the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school has a need for possible assistance, the principal should contact the Schools Financial Management Support </w:t>
      </w:r>
      <w:r w:rsidR="00434BA9" w:rsidRPr="004D307F">
        <w:rPr>
          <w:rFonts w:ascii="VIC" w:eastAsia="Times New Roman" w:hAnsi="VIC" w:cs="Times New Roman"/>
          <w:color w:val="011A3C"/>
          <w:sz w:val="24"/>
          <w:szCs w:val="24"/>
          <w:lang w:val="en" w:eastAsia="en-AU"/>
        </w:rPr>
        <w:t xml:space="preserve">Unit </w:t>
      </w:r>
      <w:r w:rsidRPr="004D307F">
        <w:rPr>
          <w:rFonts w:ascii="VIC" w:eastAsia="Times New Roman" w:hAnsi="VIC" w:cs="Times New Roman"/>
          <w:color w:val="011A3C"/>
          <w:sz w:val="24"/>
          <w:szCs w:val="24"/>
          <w:lang w:val="en" w:eastAsia="en-AU"/>
        </w:rPr>
        <w:t>(SFMS</w:t>
      </w:r>
      <w:r w:rsidR="00434BA9"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in central office or their Senior Education Improvement Leader (SEIL). The SEIL may refer to SFMS for further support.</w:t>
      </w:r>
    </w:p>
    <w:p w14:paraId="76E799E0" w14:textId="37080E63"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Discussions regarding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00151158" w:rsidRPr="004D307F">
        <w:rPr>
          <w:rFonts w:ascii="VIC" w:eastAsia="Times New Roman" w:hAnsi="VIC" w:cs="Times New Roman"/>
          <w:color w:val="011A3C"/>
          <w:sz w:val="24"/>
          <w:szCs w:val="24"/>
          <w:lang w:val="en" w:eastAsia="en-AU"/>
        </w:rPr>
        <w:t>ridging will</w:t>
      </w:r>
      <w:r w:rsidRPr="004D307F">
        <w:rPr>
          <w:rFonts w:ascii="VIC" w:eastAsia="Times New Roman" w:hAnsi="VIC" w:cs="Times New Roman"/>
          <w:color w:val="011A3C"/>
          <w:sz w:val="24"/>
          <w:szCs w:val="24"/>
          <w:lang w:val="en" w:eastAsia="en-AU"/>
        </w:rPr>
        <w:t xml:space="preserve"> encompass the overall financial position of the school, including salary mischarges, credit-cash </w:t>
      </w:r>
      <w:proofErr w:type="gramStart"/>
      <w:r w:rsidRPr="004D307F">
        <w:rPr>
          <w:rFonts w:ascii="VIC" w:eastAsia="Times New Roman" w:hAnsi="VIC" w:cs="Times New Roman"/>
          <w:color w:val="011A3C"/>
          <w:sz w:val="24"/>
          <w:szCs w:val="24"/>
          <w:lang w:val="en" w:eastAsia="en-AU"/>
        </w:rPr>
        <w:t>transfers</w:t>
      </w:r>
      <w:proofErr w:type="gramEnd"/>
      <w:r w:rsidRPr="004D307F">
        <w:rPr>
          <w:rFonts w:ascii="VIC" w:eastAsia="Times New Roman" w:hAnsi="VIC" w:cs="Times New Roman"/>
          <w:color w:val="011A3C"/>
          <w:sz w:val="24"/>
          <w:szCs w:val="24"/>
          <w:lang w:val="en" w:eastAsia="en-AU"/>
        </w:rPr>
        <w:t xml:space="preserve"> and accumulated surpluses. This analysis will involve assessment of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capacity to manage within its budget.</w:t>
      </w:r>
    </w:p>
    <w:p w14:paraId="2E072DFF"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Support</w:t>
      </w:r>
    </w:p>
    <w:p w14:paraId="647C60C8" w14:textId="1647412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If potential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ridging support is identified, SFMS</w:t>
      </w:r>
      <w:r w:rsidR="00434BA9"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xml:space="preserve"> will assign a </w:t>
      </w:r>
      <w:r w:rsidR="00F343E8" w:rsidRPr="004D307F">
        <w:rPr>
          <w:rFonts w:ascii="VIC" w:eastAsia="Times New Roman" w:hAnsi="VIC" w:cs="Times New Roman"/>
          <w:color w:val="011A3C"/>
          <w:sz w:val="24"/>
          <w:szCs w:val="24"/>
          <w:lang w:val="en" w:eastAsia="en-AU"/>
        </w:rPr>
        <w:t xml:space="preserve">support officer </w:t>
      </w:r>
      <w:r w:rsidRPr="004D307F">
        <w:rPr>
          <w:rFonts w:ascii="VIC" w:eastAsia="Times New Roman" w:hAnsi="VIC" w:cs="Times New Roman"/>
          <w:color w:val="011A3C"/>
          <w:sz w:val="24"/>
          <w:szCs w:val="24"/>
          <w:lang w:val="en" w:eastAsia="en-AU"/>
        </w:rPr>
        <w:t xml:space="preserve">to work with the school and prepare a report for the Workforce Bridging Panel. The </w:t>
      </w:r>
      <w:r w:rsidR="00F343E8" w:rsidRPr="004D307F">
        <w:rPr>
          <w:rFonts w:ascii="VIC" w:eastAsia="Times New Roman" w:hAnsi="VIC" w:cs="Times New Roman"/>
          <w:color w:val="011A3C"/>
          <w:sz w:val="24"/>
          <w:szCs w:val="24"/>
          <w:lang w:val="en" w:eastAsia="en-AU"/>
        </w:rPr>
        <w:t xml:space="preserve">support officer </w:t>
      </w:r>
      <w:r w:rsidRPr="004D307F">
        <w:rPr>
          <w:rFonts w:ascii="VIC" w:eastAsia="Times New Roman" w:hAnsi="VIC" w:cs="Times New Roman"/>
          <w:color w:val="011A3C"/>
          <w:sz w:val="24"/>
          <w:szCs w:val="24"/>
          <w:lang w:val="en" w:eastAsia="en-AU"/>
        </w:rPr>
        <w:t xml:space="preserve">and school principal will develop a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ridging report based on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p</w:t>
      </w:r>
      <w:r w:rsidRPr="004D307F">
        <w:rPr>
          <w:rFonts w:ascii="VIC" w:eastAsia="Times New Roman" w:hAnsi="VIC" w:cs="Times New Roman"/>
          <w:color w:val="011A3C"/>
          <w:sz w:val="24"/>
          <w:szCs w:val="24"/>
          <w:lang w:val="en" w:eastAsia="en-AU"/>
        </w:rPr>
        <w:t xml:space="preserve">lan that will include strategies to return the school to a sustainable budget </w:t>
      </w:r>
      <w:r w:rsidRPr="004D307F">
        <w:rPr>
          <w:rFonts w:ascii="VIC" w:eastAsia="Times New Roman" w:hAnsi="VIC" w:cs="Times New Roman"/>
          <w:color w:val="011A3C"/>
          <w:sz w:val="24"/>
          <w:szCs w:val="24"/>
          <w:lang w:val="en" w:eastAsia="en-AU"/>
        </w:rPr>
        <w:lastRenderedPageBreak/>
        <w:t xml:space="preserve">position. Factors considered in determining whether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ridging financial assistance is provided include:</w:t>
      </w:r>
    </w:p>
    <w:p w14:paraId="1299CDFF" w14:textId="77777777" w:rsidR="0096466B" w:rsidRPr="004D307F" w:rsidRDefault="0096466B" w:rsidP="00ED0863">
      <w:pPr>
        <w:numPr>
          <w:ilvl w:val="0"/>
          <w:numId w:val="11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budget shortfall is not the result of local management decisions</w:t>
      </w:r>
    </w:p>
    <w:p w14:paraId="31807459" w14:textId="77777777" w:rsidR="0096466B" w:rsidRPr="004D307F" w:rsidRDefault="0096466B" w:rsidP="00ED0863">
      <w:pPr>
        <w:numPr>
          <w:ilvl w:val="0"/>
          <w:numId w:val="11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school has a viable deficit management strategy</w:t>
      </w:r>
    </w:p>
    <w:p w14:paraId="27FC4377" w14:textId="1D946316" w:rsidR="0096466B" w:rsidRPr="004D307F" w:rsidRDefault="0096466B" w:rsidP="00ED0863">
      <w:pPr>
        <w:numPr>
          <w:ilvl w:val="0"/>
          <w:numId w:val="119"/>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school undertakes to consult with the SFMS</w:t>
      </w:r>
      <w:r w:rsidR="00434BA9"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xml:space="preserve"> if it anticipates moving outside of its deficit management strategy</w:t>
      </w:r>
    </w:p>
    <w:p w14:paraId="13B4EA80" w14:textId="469BBA3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On completion of discussions, the </w:t>
      </w:r>
      <w:r w:rsidR="00F343E8" w:rsidRPr="004D307F">
        <w:rPr>
          <w:rFonts w:ascii="VIC" w:eastAsia="Times New Roman" w:hAnsi="VIC" w:cs="Times New Roman"/>
          <w:color w:val="011A3C"/>
          <w:sz w:val="24"/>
          <w:szCs w:val="24"/>
          <w:lang w:val="en" w:eastAsia="en-AU"/>
        </w:rPr>
        <w:t xml:space="preserve">support officer </w:t>
      </w:r>
      <w:r w:rsidRPr="004D307F">
        <w:rPr>
          <w:rFonts w:ascii="VIC" w:eastAsia="Times New Roman" w:hAnsi="VIC" w:cs="Times New Roman"/>
          <w:color w:val="011A3C"/>
          <w:sz w:val="24"/>
          <w:szCs w:val="24"/>
          <w:lang w:val="en" w:eastAsia="en-AU"/>
        </w:rPr>
        <w:t>will:</w:t>
      </w:r>
    </w:p>
    <w:p w14:paraId="1E94E1CE" w14:textId="3329A8CD" w:rsidR="0096466B" w:rsidRPr="004D307F" w:rsidRDefault="0096466B" w:rsidP="00ED0863">
      <w:pPr>
        <w:numPr>
          <w:ilvl w:val="0"/>
          <w:numId w:val="12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provide the principal with a copy of the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w:t>
      </w:r>
      <w:r w:rsidR="00F343E8" w:rsidRPr="004D307F">
        <w:rPr>
          <w:rFonts w:ascii="VIC" w:eastAsia="Times New Roman" w:hAnsi="VIC" w:cs="Times New Roman"/>
          <w:color w:val="011A3C"/>
          <w:sz w:val="24"/>
          <w:szCs w:val="24"/>
          <w:lang w:val="en" w:eastAsia="en-AU"/>
        </w:rPr>
        <w:t>r</w:t>
      </w:r>
      <w:r w:rsidRPr="004D307F">
        <w:rPr>
          <w:rFonts w:ascii="VIC" w:eastAsia="Times New Roman" w:hAnsi="VIC" w:cs="Times New Roman"/>
          <w:color w:val="011A3C"/>
          <w:sz w:val="24"/>
          <w:szCs w:val="24"/>
          <w:lang w:val="en" w:eastAsia="en-AU"/>
        </w:rPr>
        <w:t>eport</w:t>
      </w:r>
    </w:p>
    <w:p w14:paraId="50A7633E" w14:textId="66377C78" w:rsidR="0096466B" w:rsidRPr="004D307F" w:rsidRDefault="0096466B" w:rsidP="00ED0863">
      <w:pPr>
        <w:numPr>
          <w:ilvl w:val="0"/>
          <w:numId w:val="120"/>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submit the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w:t>
      </w:r>
      <w:r w:rsidR="00F343E8" w:rsidRPr="004D307F">
        <w:rPr>
          <w:rFonts w:ascii="VIC" w:eastAsia="Times New Roman" w:hAnsi="VIC" w:cs="Times New Roman"/>
          <w:color w:val="011A3C"/>
          <w:sz w:val="24"/>
          <w:szCs w:val="24"/>
          <w:lang w:val="en" w:eastAsia="en-AU"/>
        </w:rPr>
        <w:t>r</w:t>
      </w:r>
      <w:r w:rsidRPr="004D307F">
        <w:rPr>
          <w:rFonts w:ascii="VIC" w:eastAsia="Times New Roman" w:hAnsi="VIC" w:cs="Times New Roman"/>
          <w:color w:val="011A3C"/>
          <w:sz w:val="24"/>
          <w:szCs w:val="24"/>
          <w:lang w:val="en" w:eastAsia="en-AU"/>
        </w:rPr>
        <w:t>eport to SFMS</w:t>
      </w:r>
      <w:r w:rsidR="00434BA9"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xml:space="preserve"> who will present the report to the Workforce Bridging Panel for assessment and possible recommendation to the </w:t>
      </w:r>
      <w:r w:rsidR="00434BA9" w:rsidRPr="004D307F">
        <w:rPr>
          <w:rFonts w:ascii="VIC" w:eastAsia="Times New Roman" w:hAnsi="VIC" w:cs="Times New Roman"/>
          <w:color w:val="011A3C"/>
          <w:sz w:val="24"/>
          <w:szCs w:val="24"/>
          <w:lang w:val="en" w:eastAsia="en-AU"/>
        </w:rPr>
        <w:t xml:space="preserve">Deputy Secretary, Financial </w:t>
      </w:r>
      <w:proofErr w:type="gramStart"/>
      <w:r w:rsidR="00434BA9" w:rsidRPr="004D307F">
        <w:rPr>
          <w:rFonts w:ascii="VIC" w:eastAsia="Times New Roman" w:hAnsi="VIC" w:cs="Times New Roman"/>
          <w:color w:val="011A3C"/>
          <w:sz w:val="24"/>
          <w:szCs w:val="24"/>
          <w:lang w:val="en" w:eastAsia="en-AU"/>
        </w:rPr>
        <w:t>Policy</w:t>
      </w:r>
      <w:proofErr w:type="gramEnd"/>
      <w:r w:rsidR="00434BA9" w:rsidRPr="004D307F">
        <w:rPr>
          <w:rFonts w:ascii="VIC" w:eastAsia="Times New Roman" w:hAnsi="VIC" w:cs="Times New Roman"/>
          <w:color w:val="011A3C"/>
          <w:sz w:val="24"/>
          <w:szCs w:val="24"/>
          <w:lang w:val="en" w:eastAsia="en-AU"/>
        </w:rPr>
        <w:t xml:space="preserve"> and Information Services.</w:t>
      </w:r>
    </w:p>
    <w:p w14:paraId="40971F55" w14:textId="7777777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Panel will meet as required and consists of:</w:t>
      </w:r>
    </w:p>
    <w:p w14:paraId="0099E99B" w14:textId="77777777" w:rsidR="0096466B" w:rsidRPr="004D307F" w:rsidRDefault="0096466B" w:rsidP="00ED0863">
      <w:pPr>
        <w:numPr>
          <w:ilvl w:val="0"/>
          <w:numId w:val="12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w:t>
      </w:r>
      <w:proofErr w:type="gramStart"/>
      <w:r w:rsidRPr="004D307F">
        <w:rPr>
          <w:rFonts w:ascii="VIC" w:eastAsia="Times New Roman" w:hAnsi="VIC" w:cs="Times New Roman"/>
          <w:color w:val="011A3C"/>
          <w:sz w:val="24"/>
          <w:szCs w:val="24"/>
          <w:lang w:val="en" w:eastAsia="en-AU"/>
        </w:rPr>
        <w:t>Chairperson</w:t>
      </w:r>
      <w:proofErr w:type="gramEnd"/>
      <w:r w:rsidRPr="004D307F">
        <w:rPr>
          <w:rFonts w:ascii="VIC" w:eastAsia="Times New Roman" w:hAnsi="VIC" w:cs="Times New Roman"/>
          <w:color w:val="011A3C"/>
          <w:sz w:val="24"/>
          <w:szCs w:val="24"/>
          <w:lang w:val="en" w:eastAsia="en-AU"/>
        </w:rPr>
        <w:t xml:space="preserv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Director, Schools Finance and Resources Branch</w:t>
      </w:r>
    </w:p>
    <w:p w14:paraId="2BA39E1A" w14:textId="77777777" w:rsidR="0096466B" w:rsidRPr="004D307F" w:rsidRDefault="0096466B" w:rsidP="00ED0863">
      <w:pPr>
        <w:numPr>
          <w:ilvl w:val="0"/>
          <w:numId w:val="12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representative of People</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Division</w:t>
      </w:r>
    </w:p>
    <w:p w14:paraId="3EF5072A" w14:textId="7530B3EB" w:rsidR="0096466B" w:rsidRPr="004D307F" w:rsidRDefault="0096466B" w:rsidP="00ED0863">
      <w:pPr>
        <w:numPr>
          <w:ilvl w:val="0"/>
          <w:numId w:val="121"/>
        </w:num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two </w:t>
      </w:r>
      <w:r w:rsidR="00151158" w:rsidRPr="004D307F">
        <w:rPr>
          <w:rFonts w:ascii="VIC" w:eastAsia="Times New Roman" w:hAnsi="VIC" w:cs="Times New Roman"/>
          <w:color w:val="011A3C"/>
          <w:sz w:val="24"/>
          <w:szCs w:val="24"/>
          <w:lang w:val="en" w:eastAsia="en-AU"/>
        </w:rPr>
        <w:t>practicing</w:t>
      </w:r>
      <w:r w:rsidRPr="004D307F">
        <w:rPr>
          <w:rFonts w:ascii="VIC" w:eastAsia="Times New Roman" w:hAnsi="VIC" w:cs="Times New Roman"/>
          <w:color w:val="011A3C"/>
          <w:sz w:val="24"/>
          <w:szCs w:val="24"/>
          <w:lang w:val="en" w:eastAsia="en-AU"/>
        </w:rPr>
        <w:t xml:space="preserve"> principals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one secondary and one primary</w:t>
      </w:r>
    </w:p>
    <w:p w14:paraId="369D71D3" w14:textId="77777777" w:rsidR="00434BA9" w:rsidRPr="004D307F" w:rsidRDefault="00434BA9" w:rsidP="00ED0863">
      <w:pPr>
        <w:pStyle w:val="ListParagraph"/>
        <w:numPr>
          <w:ilvl w:val="0"/>
          <w:numId w:val="121"/>
        </w:numPr>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practicing Strategic Financial Management Advisor</w:t>
      </w:r>
    </w:p>
    <w:p w14:paraId="5920B2AE" w14:textId="6873282B"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 letter confirming the Panel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s decision will be sent to the principal, with copies to the Regional Director and Regional Finance Manager. The principal will be </w:t>
      </w:r>
      <w:r w:rsidR="00434BA9" w:rsidRPr="004D307F">
        <w:rPr>
          <w:rFonts w:ascii="VIC" w:eastAsia="Times New Roman" w:hAnsi="VIC" w:cs="Times New Roman"/>
          <w:color w:val="011A3C"/>
          <w:sz w:val="24"/>
          <w:szCs w:val="24"/>
          <w:lang w:val="en" w:eastAsia="en-AU"/>
        </w:rPr>
        <w:t xml:space="preserve">asked </w:t>
      </w:r>
      <w:r w:rsidRPr="004D307F">
        <w:rPr>
          <w:rFonts w:ascii="VIC" w:eastAsia="Times New Roman" w:hAnsi="VIC" w:cs="Times New Roman"/>
          <w:color w:val="011A3C"/>
          <w:sz w:val="24"/>
          <w:szCs w:val="24"/>
          <w:lang w:val="en" w:eastAsia="en-AU"/>
        </w:rPr>
        <w:t>to inform the school council of the Panel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decision.</w:t>
      </w:r>
    </w:p>
    <w:p w14:paraId="5673AC41" w14:textId="24D8E5BF"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level of support determined by the Panel and approved by the </w:t>
      </w:r>
      <w:r w:rsidR="00434BA9" w:rsidRPr="004D307F">
        <w:rPr>
          <w:rFonts w:ascii="VIC" w:eastAsia="Times New Roman" w:hAnsi="VIC" w:cs="Times New Roman"/>
          <w:color w:val="011A3C"/>
          <w:sz w:val="24"/>
          <w:szCs w:val="24"/>
          <w:lang w:val="en" w:eastAsia="en-AU"/>
        </w:rPr>
        <w:t>Deputy Secretary, Financial Policy and Information Services</w:t>
      </w:r>
      <w:r w:rsidR="00434BA9" w:rsidRPr="004D307F" w:rsidDel="00434BA9">
        <w:rPr>
          <w:rFonts w:ascii="VIC" w:eastAsia="Times New Roman" w:hAnsi="VIC" w:cs="Times New Roman"/>
          <w:color w:val="011A3C"/>
          <w:sz w:val="24"/>
          <w:szCs w:val="24"/>
          <w:lang w:val="en" w:eastAsia="en-AU"/>
        </w:rPr>
        <w:t xml:space="preserve"> </w:t>
      </w:r>
      <w:r w:rsidRPr="004D307F">
        <w:rPr>
          <w:rFonts w:ascii="VIC" w:eastAsia="Times New Roman" w:hAnsi="VIC" w:cs="Times New Roman"/>
          <w:color w:val="011A3C"/>
          <w:sz w:val="24"/>
          <w:szCs w:val="24"/>
          <w:lang w:val="en" w:eastAsia="en-AU"/>
        </w:rPr>
        <w:t>will be reflected on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Budget Management Report.</w:t>
      </w:r>
    </w:p>
    <w:p w14:paraId="2EA41ACC" w14:textId="455BAD60"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final amount of any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financial assistance is subject to confirmation at the end of the calendar year as the amount notionally approved </w:t>
      </w:r>
      <w:r w:rsidR="00434BA9" w:rsidRPr="004D307F">
        <w:rPr>
          <w:rFonts w:ascii="VIC" w:eastAsia="Times New Roman" w:hAnsi="VIC" w:cs="Times New Roman"/>
          <w:color w:val="011A3C"/>
          <w:sz w:val="24"/>
          <w:szCs w:val="24"/>
          <w:lang w:val="en" w:eastAsia="en-AU"/>
        </w:rPr>
        <w:t xml:space="preserve">and </w:t>
      </w:r>
      <w:r w:rsidRPr="004D307F">
        <w:rPr>
          <w:rFonts w:ascii="VIC" w:eastAsia="Times New Roman" w:hAnsi="VIC" w:cs="Times New Roman"/>
          <w:color w:val="011A3C"/>
          <w:sz w:val="24"/>
          <w:szCs w:val="24"/>
          <w:lang w:val="en" w:eastAsia="en-AU"/>
        </w:rPr>
        <w:t>may be reduced subject to reconciliation of the school</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s SRP.</w:t>
      </w:r>
    </w:p>
    <w:p w14:paraId="68A4CE23"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Review</w:t>
      </w:r>
    </w:p>
    <w:p w14:paraId="3E73180A" w14:textId="6917151D" w:rsidR="00151158" w:rsidRPr="004D307F" w:rsidRDefault="0096466B" w:rsidP="00151158">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A process is available for schools </w:t>
      </w:r>
      <w:r w:rsidR="00151158" w:rsidRPr="004D307F">
        <w:rPr>
          <w:rFonts w:ascii="VIC" w:eastAsia="Times New Roman" w:hAnsi="VIC" w:cs="Times New Roman"/>
          <w:color w:val="011A3C"/>
          <w:sz w:val="24"/>
          <w:szCs w:val="24"/>
          <w:lang w:val="en" w:eastAsia="en-AU"/>
        </w:rPr>
        <w:t xml:space="preserve">that </w:t>
      </w:r>
      <w:r w:rsidRPr="004D307F">
        <w:rPr>
          <w:rFonts w:ascii="VIC" w:eastAsia="Times New Roman" w:hAnsi="VIC" w:cs="Times New Roman"/>
          <w:color w:val="011A3C"/>
          <w:sz w:val="24"/>
          <w:szCs w:val="24"/>
          <w:lang w:val="en" w:eastAsia="en-AU"/>
        </w:rPr>
        <w:t xml:space="preserve">wish to have the decision of the Panel reviewed. Requests, outlining the grounds for the review, should be lodged </w:t>
      </w:r>
      <w:r w:rsidR="00434BA9" w:rsidRPr="004D307F">
        <w:rPr>
          <w:rFonts w:ascii="VIC" w:eastAsia="Times New Roman" w:hAnsi="VIC" w:cs="Times New Roman"/>
          <w:color w:val="011A3C"/>
          <w:sz w:val="24"/>
          <w:szCs w:val="24"/>
          <w:lang w:val="en" w:eastAsia="en-AU"/>
        </w:rPr>
        <w:t>within 14 days of the receipt of the</w:t>
      </w:r>
      <w:r w:rsidR="00434BA9" w:rsidRPr="004D307F">
        <w:rPr>
          <w:rFonts w:ascii="Calibri" w:eastAsia="Times New Roman" w:hAnsi="Calibri" w:cs="Calibri" w:hint="eastAsia"/>
          <w:color w:val="011A3C"/>
          <w:sz w:val="24"/>
          <w:szCs w:val="24"/>
          <w:lang w:val="en" w:eastAsia="en-AU"/>
        </w:rPr>
        <w:t> </w:t>
      </w:r>
      <w:r w:rsidR="00434BA9" w:rsidRPr="004D307F">
        <w:rPr>
          <w:rFonts w:ascii="VIC" w:eastAsia="Times New Roman" w:hAnsi="VIC" w:cs="Times New Roman"/>
          <w:color w:val="011A3C"/>
          <w:sz w:val="24"/>
          <w:szCs w:val="24"/>
          <w:lang w:val="en" w:eastAsia="en-AU"/>
        </w:rPr>
        <w:t>letter confirming the Panel</w:t>
      </w:r>
      <w:r w:rsidR="00434BA9" w:rsidRPr="004D307F">
        <w:rPr>
          <w:rFonts w:ascii="VIC" w:eastAsia="Times New Roman" w:hAnsi="VIC" w:cs="VIC" w:hint="eastAsia"/>
          <w:color w:val="011A3C"/>
          <w:sz w:val="24"/>
          <w:szCs w:val="24"/>
          <w:lang w:val="en" w:eastAsia="en-AU"/>
        </w:rPr>
        <w:t>’</w:t>
      </w:r>
      <w:r w:rsidR="00434BA9" w:rsidRPr="004D307F">
        <w:rPr>
          <w:rFonts w:ascii="VIC" w:eastAsia="Times New Roman" w:hAnsi="VIC" w:cs="Times New Roman"/>
          <w:color w:val="011A3C"/>
          <w:sz w:val="24"/>
          <w:szCs w:val="24"/>
          <w:lang w:val="en" w:eastAsia="en-AU"/>
        </w:rPr>
        <w:t>s decision by notifying</w:t>
      </w:r>
      <w:r w:rsidRPr="004D307F">
        <w:rPr>
          <w:rFonts w:ascii="VIC" w:eastAsia="Times New Roman" w:hAnsi="VIC" w:cs="Times New Roman"/>
          <w:color w:val="011A3C"/>
          <w:sz w:val="24"/>
          <w:szCs w:val="24"/>
          <w:lang w:val="en" w:eastAsia="en-AU"/>
        </w:rPr>
        <w:t>:</w:t>
      </w:r>
      <w:r w:rsidRPr="004D307F">
        <w:rPr>
          <w:rFonts w:ascii="VIC" w:eastAsia="Times New Roman" w:hAnsi="VIC" w:cs="Times New Roman"/>
          <w:color w:val="011A3C"/>
          <w:sz w:val="24"/>
          <w:szCs w:val="24"/>
          <w:lang w:val="en" w:eastAsia="en-AU"/>
        </w:rPr>
        <w:br/>
      </w:r>
      <w:r w:rsidRPr="004D307F">
        <w:rPr>
          <w:rFonts w:ascii="VIC" w:eastAsia="Times New Roman" w:hAnsi="VIC" w:cs="Times New Roman"/>
          <w:color w:val="011A3C"/>
          <w:sz w:val="24"/>
          <w:szCs w:val="24"/>
          <w:lang w:val="en" w:eastAsia="en-AU"/>
        </w:rPr>
        <w:lastRenderedPageBreak/>
        <w:br/>
        <w:t>Manager</w:t>
      </w:r>
      <w:r w:rsidRPr="004D307F">
        <w:rPr>
          <w:rFonts w:ascii="VIC" w:eastAsia="Times New Roman" w:hAnsi="VIC" w:cs="Times New Roman"/>
          <w:color w:val="011A3C"/>
          <w:sz w:val="24"/>
          <w:szCs w:val="24"/>
          <w:lang w:val="en" w:eastAsia="en-AU"/>
        </w:rPr>
        <w:br/>
        <w:t>Schools Financial Management Support</w:t>
      </w:r>
      <w:r w:rsidR="00434BA9" w:rsidRPr="004D307F">
        <w:rPr>
          <w:rFonts w:ascii="VIC" w:eastAsia="Times New Roman" w:hAnsi="VIC" w:cs="Times New Roman"/>
          <w:color w:val="011A3C"/>
          <w:sz w:val="24"/>
          <w:szCs w:val="24"/>
          <w:lang w:val="en" w:eastAsia="en-AU"/>
        </w:rPr>
        <w:t xml:space="preserve"> Unit</w:t>
      </w:r>
      <w:r w:rsidRPr="004D307F">
        <w:rPr>
          <w:rFonts w:ascii="VIC" w:eastAsia="Times New Roman" w:hAnsi="VIC" w:cs="Times New Roman"/>
          <w:color w:val="011A3C"/>
          <w:sz w:val="24"/>
          <w:szCs w:val="24"/>
          <w:lang w:val="en" w:eastAsia="en-AU"/>
        </w:rPr>
        <w:br/>
      </w:r>
      <w:r w:rsidR="00151158" w:rsidRPr="004D307F">
        <w:rPr>
          <w:rFonts w:ascii="VIC" w:eastAsia="Times New Roman" w:hAnsi="VIC" w:cs="Times New Roman"/>
          <w:color w:val="011A3C"/>
          <w:sz w:val="24"/>
          <w:szCs w:val="24"/>
          <w:lang w:val="en" w:eastAsia="en-AU"/>
        </w:rPr>
        <w:t>Department of Education and Training</w:t>
      </w:r>
    </w:p>
    <w:p w14:paraId="7C9BBF9D" w14:textId="77777777" w:rsidR="00151158" w:rsidRPr="004D307F" w:rsidRDefault="00151158" w:rsidP="003E6B76">
      <w:pPr>
        <w:pStyle w:val="NoSpacing"/>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Financial Services Division</w:t>
      </w:r>
    </w:p>
    <w:p w14:paraId="6D53E4E1" w14:textId="77777777" w:rsidR="003E6B76" w:rsidRPr="004D307F" w:rsidRDefault="00151158" w:rsidP="003E6B76">
      <w:pPr>
        <w:pStyle w:val="NoSpacing"/>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GPO Box 4367</w:t>
      </w:r>
      <w:r w:rsidRPr="004D307F">
        <w:rPr>
          <w:rFonts w:ascii="Calibri" w:eastAsia="Times New Roman" w:hAnsi="Calibri" w:cs="Calibri" w:hint="eastAsia"/>
          <w:color w:val="011A3C"/>
          <w:sz w:val="24"/>
          <w:szCs w:val="24"/>
          <w:lang w:val="en" w:eastAsia="en-AU"/>
        </w:rPr>
        <w:t>  </w:t>
      </w:r>
    </w:p>
    <w:p w14:paraId="1585003D" w14:textId="3591E030" w:rsidR="0096466B" w:rsidRPr="004D307F" w:rsidRDefault="0096466B" w:rsidP="003E6B76">
      <w:pPr>
        <w:pStyle w:val="NoSpacing"/>
        <w:rPr>
          <w:rFonts w:ascii="VIC" w:hAnsi="VIC"/>
          <w:lang w:val="en" w:eastAsia="en-AU"/>
        </w:rPr>
      </w:pPr>
      <w:r w:rsidRPr="004D307F">
        <w:rPr>
          <w:rFonts w:ascii="VIC" w:eastAsia="Times New Roman" w:hAnsi="VIC" w:cs="Times New Roman"/>
          <w:color w:val="011A3C"/>
          <w:sz w:val="24"/>
          <w:szCs w:val="24"/>
          <w:lang w:val="en" w:eastAsia="en-AU"/>
        </w:rPr>
        <w:t>Melbourne 300</w:t>
      </w:r>
      <w:r w:rsidR="00151158" w:rsidRPr="004D307F">
        <w:rPr>
          <w:rFonts w:ascii="VIC" w:eastAsia="Times New Roman" w:hAnsi="VIC" w:cs="Times New Roman"/>
          <w:color w:val="011A3C"/>
          <w:sz w:val="24"/>
          <w:szCs w:val="24"/>
          <w:lang w:val="en" w:eastAsia="en-AU"/>
        </w:rPr>
        <w:t>1</w:t>
      </w:r>
      <w:r w:rsidRPr="004D307F">
        <w:rPr>
          <w:rFonts w:ascii="VIC" w:eastAsia="Times New Roman" w:hAnsi="VIC" w:cs="Times New Roman"/>
          <w:color w:val="011A3C"/>
          <w:sz w:val="24"/>
          <w:szCs w:val="24"/>
          <w:lang w:val="en" w:eastAsia="en-AU"/>
        </w:rPr>
        <w:br/>
      </w:r>
      <w:r w:rsidRPr="004D307F">
        <w:rPr>
          <w:rFonts w:ascii="VIC" w:hAnsi="VIC"/>
          <w:lang w:val="en" w:eastAsia="en-AU"/>
        </w:rPr>
        <w:br/>
      </w:r>
      <w:r w:rsidRPr="004D307F">
        <w:rPr>
          <w:rFonts w:ascii="VIC" w:hAnsi="VIC"/>
          <w:color w:val="323E4F" w:themeColor="text2" w:themeShade="BF"/>
          <w:lang w:val="en" w:eastAsia="en-AU"/>
        </w:rPr>
        <w:t>If additional information is provided it should be explained why it was not included in the original report.</w:t>
      </w:r>
    </w:p>
    <w:p w14:paraId="2A66F0BD" w14:textId="123529C7"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The review will, in the first instance, be considered by the Panel and may be referred to the Deputy Secretary, Financial Policy and Information </w:t>
      </w:r>
      <w:r w:rsidR="00151158" w:rsidRPr="004D307F">
        <w:rPr>
          <w:rFonts w:ascii="VIC" w:eastAsia="Times New Roman" w:hAnsi="VIC" w:cs="Times New Roman"/>
          <w:color w:val="011A3C"/>
          <w:sz w:val="24"/>
          <w:szCs w:val="24"/>
          <w:lang w:val="en" w:eastAsia="en-AU"/>
        </w:rPr>
        <w:t>Services.</w:t>
      </w:r>
    </w:p>
    <w:p w14:paraId="4A2E4E90" w14:textId="77777777" w:rsidR="0096466B" w:rsidRPr="004D307F" w:rsidRDefault="0096466B" w:rsidP="0096466B">
      <w:pPr>
        <w:spacing w:before="100" w:beforeAutospacing="1" w:after="100" w:afterAutospacing="1" w:line="288" w:lineRule="atLeast"/>
        <w:outlineLvl w:val="3"/>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Ensuring consistency</w:t>
      </w:r>
    </w:p>
    <w:p w14:paraId="32DCBDB6" w14:textId="3B42EF26"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SFMS</w:t>
      </w:r>
      <w:r w:rsidR="00F343E8" w:rsidRPr="004D307F">
        <w:rPr>
          <w:rFonts w:ascii="VIC" w:eastAsia="Times New Roman" w:hAnsi="VIC" w:cs="Times New Roman"/>
          <w:color w:val="011A3C"/>
          <w:sz w:val="24"/>
          <w:szCs w:val="24"/>
          <w:lang w:val="en" w:eastAsia="en-AU"/>
        </w:rPr>
        <w:t>U</w:t>
      </w:r>
      <w:r w:rsidRPr="004D307F">
        <w:rPr>
          <w:rFonts w:ascii="VIC" w:eastAsia="Times New Roman" w:hAnsi="VIC" w:cs="Times New Roman"/>
          <w:color w:val="011A3C"/>
          <w:sz w:val="24"/>
          <w:szCs w:val="24"/>
          <w:lang w:val="en" w:eastAsia="en-AU"/>
        </w:rPr>
        <w:t xml:space="preserve"> has overall responsibility for the </w:t>
      </w:r>
      <w:r w:rsidR="00F343E8" w:rsidRPr="004D307F">
        <w:rPr>
          <w:rFonts w:ascii="VIC" w:eastAsia="Times New Roman" w:hAnsi="VIC" w:cs="Times New Roman"/>
          <w:color w:val="011A3C"/>
          <w:sz w:val="24"/>
          <w:szCs w:val="24"/>
          <w:lang w:val="en" w:eastAsia="en-AU"/>
        </w:rPr>
        <w:t>w</w:t>
      </w:r>
      <w:r w:rsidRPr="004D307F">
        <w:rPr>
          <w:rFonts w:ascii="VIC" w:eastAsia="Times New Roman" w:hAnsi="VIC" w:cs="Times New Roman"/>
          <w:color w:val="011A3C"/>
          <w:sz w:val="24"/>
          <w:szCs w:val="24"/>
          <w:lang w:val="en" w:eastAsia="en-AU"/>
        </w:rPr>
        <w:t xml:space="preserve">orkforce </w:t>
      </w:r>
      <w:r w:rsidR="00F343E8" w:rsidRPr="004D307F">
        <w:rPr>
          <w:rFonts w:ascii="VIC" w:eastAsia="Times New Roman" w:hAnsi="VIC" w:cs="Times New Roman"/>
          <w:color w:val="011A3C"/>
          <w:sz w:val="24"/>
          <w:szCs w:val="24"/>
          <w:lang w:val="en" w:eastAsia="en-AU"/>
        </w:rPr>
        <w:t>b</w:t>
      </w:r>
      <w:r w:rsidRPr="004D307F">
        <w:rPr>
          <w:rFonts w:ascii="VIC" w:eastAsia="Times New Roman" w:hAnsi="VIC" w:cs="Times New Roman"/>
          <w:color w:val="011A3C"/>
          <w:sz w:val="24"/>
          <w:szCs w:val="24"/>
          <w:lang w:val="en" w:eastAsia="en-AU"/>
        </w:rPr>
        <w:t xml:space="preserve">ridging process and works with schools, regions, professional </w:t>
      </w:r>
      <w:r w:rsidR="00F343E8" w:rsidRPr="004D307F">
        <w:rPr>
          <w:rFonts w:ascii="VIC" w:eastAsia="Times New Roman" w:hAnsi="VIC" w:cs="Times New Roman"/>
          <w:color w:val="011A3C"/>
          <w:sz w:val="24"/>
          <w:szCs w:val="24"/>
          <w:lang w:val="en" w:eastAsia="en-AU"/>
        </w:rPr>
        <w:t>associations,</w:t>
      </w:r>
      <w:r w:rsidRPr="004D307F">
        <w:rPr>
          <w:rFonts w:ascii="VIC" w:eastAsia="Times New Roman" w:hAnsi="VIC" w:cs="Times New Roman"/>
          <w:color w:val="011A3C"/>
          <w:sz w:val="24"/>
          <w:szCs w:val="24"/>
          <w:lang w:val="en" w:eastAsia="en-AU"/>
        </w:rPr>
        <w:t xml:space="preserve"> and stakeholder reference groups to ensure that the process is supportive of schools, while remaining fair and consistent with the principles of devolved school self-management.</w:t>
      </w:r>
    </w:p>
    <w:p w14:paraId="5966C476" w14:textId="77777777" w:rsidR="0096466B" w:rsidRPr="004D307F" w:rsidRDefault="0096466B" w:rsidP="0096466B">
      <w:pPr>
        <w:rPr>
          <w:rFonts w:ascii="VIC" w:hAnsi="VIC"/>
        </w:rPr>
      </w:pPr>
      <w:r w:rsidRPr="004D307F">
        <w:rPr>
          <w:rFonts w:ascii="VIC" w:hAnsi="VIC"/>
        </w:rPr>
        <w:br w:type="page"/>
      </w:r>
    </w:p>
    <w:p w14:paraId="568BB86F" w14:textId="7A5C27D1" w:rsidR="0096466B" w:rsidRPr="004D307F" w:rsidRDefault="0096466B" w:rsidP="00B566E7">
      <w:pPr>
        <w:pStyle w:val="Heading2"/>
      </w:pPr>
      <w:bookmarkStart w:id="145" w:name="_Toc99882803"/>
      <w:r w:rsidRPr="004D307F">
        <w:lastRenderedPageBreak/>
        <w:t>Principal classification budget</w:t>
      </w:r>
      <w:bookmarkEnd w:id="145"/>
    </w:p>
    <w:p w14:paraId="492F64CC" w14:textId="77777777" w:rsidR="0096466B" w:rsidRPr="004D307F" w:rsidRDefault="0096466B" w:rsidP="0096466B">
      <w:pPr>
        <w:spacing w:before="100" w:beforeAutospacing="1" w:after="100" w:afterAutospacing="1" w:line="288" w:lineRule="atLeast"/>
        <w:outlineLvl w:val="2"/>
        <w:rPr>
          <w:rFonts w:ascii="VIC" w:eastAsia="Times New Roman" w:hAnsi="VIC" w:cs="Times New Roman"/>
          <w:b/>
          <w:bCs/>
          <w:color w:val="011A3C"/>
          <w:sz w:val="27"/>
          <w:szCs w:val="27"/>
          <w:lang w:val="en" w:eastAsia="en-AU"/>
        </w:rPr>
      </w:pPr>
      <w:r w:rsidRPr="004D307F">
        <w:rPr>
          <w:rFonts w:ascii="VIC" w:eastAsia="Times New Roman" w:hAnsi="VIC" w:cs="Times New Roman"/>
          <w:b/>
          <w:bCs/>
          <w:color w:val="011A3C"/>
          <w:sz w:val="27"/>
          <w:szCs w:val="27"/>
          <w:lang w:val="en" w:eastAsia="en-AU"/>
        </w:rPr>
        <w:t>Budget for principal classification</w:t>
      </w:r>
    </w:p>
    <w:p w14:paraId="3A3AC438" w14:textId="11DD5C2D" w:rsidR="0096466B" w:rsidRPr="004D307F" w:rsidRDefault="0096466B" w:rsidP="0096466B">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Principal Classification Budget is set annually with the 202</w:t>
      </w:r>
      <w:r w:rsidR="005A2BF2" w:rsidRPr="004D307F">
        <w:rPr>
          <w:rFonts w:ascii="VIC" w:eastAsia="Times New Roman" w:hAnsi="VIC" w:cs="Times New Roman"/>
          <w:color w:val="011A3C"/>
          <w:sz w:val="24"/>
          <w:szCs w:val="24"/>
          <w:lang w:val="en" w:eastAsia="en-AU"/>
        </w:rPr>
        <w:t>2</w:t>
      </w:r>
      <w:r w:rsidRPr="004D307F">
        <w:rPr>
          <w:rFonts w:ascii="VIC" w:eastAsia="Times New Roman" w:hAnsi="VIC" w:cs="Times New Roman"/>
          <w:color w:val="011A3C"/>
          <w:sz w:val="24"/>
          <w:szCs w:val="24"/>
          <w:lang w:val="en" w:eastAsia="en-AU"/>
        </w:rPr>
        <w:t xml:space="preserve"> confirmed school resource allocation. It sets the remuneration range for each principal position.</w:t>
      </w:r>
    </w:p>
    <w:p w14:paraId="70A63D6F" w14:textId="518E0C4C" w:rsidR="0096466B" w:rsidRPr="004D307F" w:rsidRDefault="0096466B" w:rsidP="00A9180D">
      <w:pPr>
        <w:spacing w:before="100" w:beforeAutospacing="1" w:after="100" w:afterAutospacing="1" w:line="360" w:lineRule="atLeast"/>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Refer to:</w:t>
      </w:r>
      <w:r w:rsidRPr="004D307F">
        <w:rPr>
          <w:rFonts w:ascii="Calibri" w:eastAsia="Times New Roman" w:hAnsi="Calibri" w:cs="Calibri" w:hint="eastAsia"/>
          <w:color w:val="011A3C"/>
          <w:sz w:val="24"/>
          <w:szCs w:val="24"/>
          <w:lang w:val="en" w:eastAsia="en-AU"/>
        </w:rPr>
        <w:t> </w:t>
      </w:r>
      <w:hyperlink r:id="rId254" w:history="1">
        <w:r w:rsidRPr="004D307F">
          <w:rPr>
            <w:rFonts w:ascii="VIC" w:eastAsia="Times New Roman" w:hAnsi="VIC" w:cs="Times New Roman"/>
            <w:color w:val="011A3C"/>
            <w:sz w:val="24"/>
            <w:szCs w:val="24"/>
            <w:lang w:val="en" w:eastAsia="en-AU"/>
          </w:rPr>
          <w:t>Principal Remuneration Range</w:t>
        </w:r>
      </w:hyperlink>
      <w:r w:rsidRPr="004D307F">
        <w:rPr>
          <w:rFonts w:ascii="VIC" w:eastAsia="Times New Roman" w:hAnsi="VIC" w:cs="Times New Roman"/>
          <w:color w:val="011A3C"/>
          <w:sz w:val="24"/>
          <w:szCs w:val="24"/>
          <w:lang w:val="en" w:eastAsia="en-AU"/>
        </w:rPr>
        <w:t>.</w:t>
      </w:r>
    </w:p>
    <w:p w14:paraId="348FAF0E" w14:textId="77777777" w:rsidR="0096466B" w:rsidRPr="004D307F" w:rsidRDefault="0096466B" w:rsidP="0096466B">
      <w:pPr>
        <w:rPr>
          <w:rFonts w:ascii="VIC" w:hAnsi="VIC"/>
        </w:rPr>
      </w:pPr>
      <w:r w:rsidRPr="004D307F">
        <w:rPr>
          <w:rFonts w:ascii="VIC" w:hAnsi="VIC"/>
        </w:rPr>
        <w:br w:type="page"/>
      </w:r>
    </w:p>
    <w:p w14:paraId="073B7CF0" w14:textId="05575926" w:rsidR="0096466B" w:rsidRPr="004D307F" w:rsidRDefault="0096466B" w:rsidP="00B566E7">
      <w:pPr>
        <w:pStyle w:val="Heading2"/>
      </w:pPr>
      <w:bookmarkStart w:id="146" w:name="_Toc99882804"/>
      <w:r w:rsidRPr="004D307F">
        <w:lastRenderedPageBreak/>
        <w:t>Enrolment Variation Funding</w:t>
      </w:r>
      <w:bookmarkEnd w:id="146"/>
      <w:r w:rsidRPr="004D307F">
        <w:t xml:space="preserve"> </w:t>
      </w:r>
    </w:p>
    <w:p w14:paraId="1034B64B" w14:textId="77777777" w:rsidR="0096466B" w:rsidRPr="004D307F" w:rsidRDefault="0096466B" w:rsidP="0096466B">
      <w:pPr>
        <w:spacing w:after="0" w:line="240" w:lineRule="auto"/>
        <w:rPr>
          <w:rFonts w:ascii="Times New Roman" w:eastAsia="Times New Roman" w:hAnsi="Times New Roman" w:cs="Times New Roman"/>
          <w:b/>
          <w:sz w:val="28"/>
          <w:szCs w:val="28"/>
          <w:lang w:eastAsia="en-AU"/>
        </w:rPr>
      </w:pPr>
    </w:p>
    <w:p w14:paraId="614CB158" w14:textId="77777777" w:rsidR="0024710E" w:rsidRPr="004D307F" w:rsidRDefault="0024710E" w:rsidP="0024710E">
      <w:pPr>
        <w:spacing w:after="0" w:line="240" w:lineRule="auto"/>
        <w:rPr>
          <w:rFonts w:ascii="VIC" w:eastAsia="Times New Roman" w:hAnsi="VIC" w:cs="Times New Roman"/>
          <w:b/>
          <w:bCs/>
          <w:color w:val="011A3C"/>
          <w:sz w:val="24"/>
          <w:szCs w:val="24"/>
          <w:lang w:val="en" w:eastAsia="en-AU"/>
        </w:rPr>
      </w:pPr>
      <w:r w:rsidRPr="004D307F">
        <w:rPr>
          <w:rFonts w:ascii="VIC" w:eastAsia="Times New Roman" w:hAnsi="VIC" w:cs="Times New Roman"/>
          <w:b/>
          <w:bCs/>
          <w:color w:val="011A3C"/>
          <w:sz w:val="24"/>
          <w:szCs w:val="24"/>
          <w:lang w:val="en" w:eastAsia="en-AU"/>
        </w:rPr>
        <w:t xml:space="preserve">Significant Variation </w:t>
      </w:r>
    </w:p>
    <w:p w14:paraId="563C59E1" w14:textId="6B9C1664"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 xml:space="preserve">Significant variation funding is </w:t>
      </w:r>
      <w:r w:rsidR="00D8442E" w:rsidRPr="004D307F">
        <w:rPr>
          <w:rFonts w:ascii="VIC" w:eastAsia="Times New Roman" w:hAnsi="VIC" w:cs="Times New Roman"/>
          <w:color w:val="011A3C"/>
          <w:sz w:val="24"/>
          <w:szCs w:val="24"/>
          <w:lang w:val="en" w:eastAsia="en-AU"/>
        </w:rPr>
        <w:t xml:space="preserve">included </w:t>
      </w:r>
      <w:r w:rsidRPr="004D307F">
        <w:rPr>
          <w:rFonts w:ascii="VIC" w:eastAsia="Times New Roman" w:hAnsi="VIC" w:cs="Times New Roman"/>
          <w:color w:val="011A3C"/>
          <w:sz w:val="24"/>
          <w:szCs w:val="24"/>
          <w:lang w:val="en" w:eastAsia="en-AU"/>
        </w:rPr>
        <w:t>automatically to the term 3 cash grant, after the mid-year census.  It is designed to provide additional cash funds only to schools where there has been an increase in student numbers of:</w:t>
      </w:r>
    </w:p>
    <w:p w14:paraId="6450EF91"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p>
    <w:p w14:paraId="10037DEC"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Primary:</w:t>
      </w:r>
      <w:r w:rsidRPr="004D307F">
        <w:rPr>
          <w:rFonts w:ascii="VIC" w:eastAsia="Times New Roman" w:hAnsi="VIC" w:cs="Times New Roman"/>
          <w:color w:val="011A3C"/>
          <w:sz w:val="24"/>
          <w:szCs w:val="24"/>
          <w:lang w:val="en" w:eastAsia="en-AU"/>
        </w:rPr>
        <w:tab/>
        <w:t>The greater of 10 students or an increase of 10%</w:t>
      </w:r>
    </w:p>
    <w:p w14:paraId="71027DF4"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Secondary:</w:t>
      </w:r>
      <w:r w:rsidRPr="004D307F">
        <w:rPr>
          <w:rFonts w:ascii="VIC" w:eastAsia="Times New Roman" w:hAnsi="VIC" w:cs="Times New Roman"/>
          <w:color w:val="011A3C"/>
          <w:sz w:val="24"/>
          <w:szCs w:val="24"/>
          <w:lang w:val="en" w:eastAsia="en-AU"/>
        </w:rPr>
        <w:tab/>
        <w:t xml:space="preserve">The greater of 40 students or an increase of 10%  </w:t>
      </w:r>
    </w:p>
    <w:p w14:paraId="07A6F4D4"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p>
    <w:p w14:paraId="621D78CB" w14:textId="36E7450A" w:rsidR="0024710E" w:rsidRPr="004D307F" w:rsidRDefault="0024710E" w:rsidP="0024710E">
      <w:pPr>
        <w:spacing w:after="0" w:line="240" w:lineRule="auto"/>
        <w:rPr>
          <w:rFonts w:ascii="VIC" w:eastAsia="Times New Roman" w:hAnsi="VIC" w:cs="Calibri"/>
          <w:lang w:eastAsia="en-AU"/>
        </w:rPr>
      </w:pPr>
      <w:r w:rsidRPr="004D307F">
        <w:rPr>
          <w:rFonts w:ascii="VIC" w:eastAsia="Times New Roman" w:hAnsi="VIC" w:cs="Times New Roman"/>
          <w:color w:val="011A3C"/>
          <w:sz w:val="24"/>
          <w:szCs w:val="24"/>
          <w:lang w:val="en" w:eastAsia="en-AU"/>
        </w:rPr>
        <w:t xml:space="preserve">Only 2 terms equivalent funding will be provided based on the minimum per student cash rate and once assessed will appear in your reports as an item under the </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Curriculum Support</w:t>
      </w:r>
      <w:r w:rsidRPr="004D307F">
        <w:rPr>
          <w:rFonts w:ascii="VIC" w:eastAsia="Times New Roman" w:hAnsi="VIC" w:cs="Times New Roman" w:hint="eastAsia"/>
          <w:color w:val="011A3C"/>
          <w:sz w:val="24"/>
          <w:szCs w:val="24"/>
          <w:lang w:val="en" w:eastAsia="en-AU"/>
        </w:rPr>
        <w:t>’</w:t>
      </w:r>
      <w:r w:rsidRPr="004D307F">
        <w:rPr>
          <w:rFonts w:ascii="VIC" w:eastAsia="Times New Roman" w:hAnsi="VIC" w:cs="Times New Roman"/>
          <w:color w:val="011A3C"/>
          <w:sz w:val="24"/>
          <w:szCs w:val="24"/>
          <w:lang w:val="en" w:eastAsia="en-AU"/>
        </w:rPr>
        <w:t xml:space="preserve"> budget line by end of Term 3.</w:t>
      </w:r>
    </w:p>
    <w:p w14:paraId="1FAFDF3C" w14:textId="77777777" w:rsidR="0024710E" w:rsidRPr="004D307F" w:rsidRDefault="0024710E" w:rsidP="0024710E">
      <w:pPr>
        <w:spacing w:after="0" w:line="240" w:lineRule="auto"/>
        <w:rPr>
          <w:rFonts w:ascii="VIC" w:eastAsia="Times New Roman" w:hAnsi="VIC" w:cs="Calibri"/>
          <w:lang w:eastAsia="en-AU"/>
        </w:rPr>
      </w:pPr>
    </w:p>
    <w:p w14:paraId="3913D252" w14:textId="7425D5E1" w:rsidR="0024710E" w:rsidRPr="004D307F" w:rsidRDefault="0024710E" w:rsidP="0024710E">
      <w:pPr>
        <w:spacing w:after="0" w:line="240" w:lineRule="auto"/>
        <w:rPr>
          <w:rFonts w:ascii="VIC" w:eastAsia="Times New Roman" w:hAnsi="VIC" w:cs="Calibri"/>
          <w:b/>
          <w:bCs/>
          <w:color w:val="323E4F" w:themeColor="text2" w:themeShade="BF"/>
          <w:lang w:eastAsia="en-AU"/>
        </w:rPr>
      </w:pPr>
      <w:r w:rsidRPr="004D307F">
        <w:rPr>
          <w:rFonts w:ascii="VIC" w:eastAsia="Times New Roman" w:hAnsi="VIC" w:cs="Calibri"/>
          <w:b/>
          <w:bCs/>
          <w:color w:val="323E4F" w:themeColor="text2" w:themeShade="BF"/>
          <w:lang w:eastAsia="en-AU"/>
        </w:rPr>
        <w:t xml:space="preserve">For </w:t>
      </w:r>
      <w:proofErr w:type="gramStart"/>
      <w:r w:rsidRPr="004D307F">
        <w:rPr>
          <w:rFonts w:ascii="VIC" w:eastAsia="Times New Roman" w:hAnsi="VIC" w:cs="Calibri"/>
          <w:b/>
          <w:bCs/>
          <w:color w:val="323E4F" w:themeColor="text2" w:themeShade="BF"/>
          <w:lang w:eastAsia="en-AU"/>
        </w:rPr>
        <w:t>example :</w:t>
      </w:r>
      <w:proofErr w:type="gramEnd"/>
      <w:r w:rsidRPr="004D307F">
        <w:rPr>
          <w:rFonts w:ascii="VIC" w:eastAsia="Times New Roman" w:hAnsi="VIC" w:cs="Calibri"/>
          <w:b/>
          <w:bCs/>
          <w:color w:val="323E4F" w:themeColor="text2" w:themeShade="BF"/>
          <w:lang w:eastAsia="en-AU"/>
        </w:rPr>
        <w:t xml:space="preserve"> </w:t>
      </w:r>
    </w:p>
    <w:p w14:paraId="48785F3E" w14:textId="77777777" w:rsidR="0024710E" w:rsidRPr="004D307F" w:rsidRDefault="0024710E" w:rsidP="0024710E">
      <w:pPr>
        <w:spacing w:after="0" w:line="240" w:lineRule="auto"/>
        <w:ind w:left="426"/>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Primary:</w:t>
      </w:r>
    </w:p>
    <w:p w14:paraId="4CEAA3FD"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Enrolment Increase</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 xml:space="preserve">   10</w:t>
      </w:r>
    </w:p>
    <w:p w14:paraId="60A21246" w14:textId="3D571DFC"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Cash Rate</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r>
      <w:r w:rsidR="00D8442E" w:rsidRPr="004D307F">
        <w:rPr>
          <w:rFonts w:ascii="VIC" w:eastAsia="Times New Roman" w:hAnsi="VIC" w:cs="Calibri"/>
          <w:color w:val="323E4F" w:themeColor="text2" w:themeShade="BF"/>
          <w:lang w:eastAsia="en-AU"/>
        </w:rPr>
        <w:t>$469</w:t>
      </w:r>
    </w:p>
    <w:p w14:paraId="44A400D0"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p>
    <w:p w14:paraId="62C00F4A"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Additional Funding</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Enrolment increase × Cash Rate / 2</w:t>
      </w:r>
    </w:p>
    <w:p w14:paraId="7D178104" w14:textId="52261E85"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 xml:space="preserve">10 × </w:t>
      </w:r>
      <w:r w:rsidR="00D8442E" w:rsidRPr="004D307F">
        <w:rPr>
          <w:rFonts w:ascii="VIC" w:eastAsia="Times New Roman" w:hAnsi="VIC" w:cs="Calibri"/>
          <w:color w:val="323E4F" w:themeColor="text2" w:themeShade="BF"/>
          <w:lang w:eastAsia="en-AU"/>
        </w:rPr>
        <w:t>$469</w:t>
      </w:r>
      <w:r w:rsidRPr="004D307F">
        <w:rPr>
          <w:rFonts w:ascii="VIC" w:eastAsia="Times New Roman" w:hAnsi="VIC" w:cs="Calibri"/>
          <w:color w:val="323E4F" w:themeColor="text2" w:themeShade="BF"/>
          <w:lang w:eastAsia="en-AU"/>
        </w:rPr>
        <w:t>/ 2</w:t>
      </w:r>
    </w:p>
    <w:p w14:paraId="09BD6F51" w14:textId="1B6DA338"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r>
      <w:r w:rsidR="00D8442E" w:rsidRPr="004D307F">
        <w:rPr>
          <w:rFonts w:ascii="VIC" w:eastAsia="Times New Roman" w:hAnsi="VIC" w:cs="Calibri"/>
          <w:color w:val="323E4F" w:themeColor="text2" w:themeShade="BF"/>
          <w:lang w:eastAsia="en-AU"/>
        </w:rPr>
        <w:t>$2,345</w:t>
      </w:r>
    </w:p>
    <w:p w14:paraId="43642974" w14:textId="77777777" w:rsidR="0024710E" w:rsidRPr="004D307F" w:rsidRDefault="0024710E" w:rsidP="0024710E">
      <w:pPr>
        <w:spacing w:after="0" w:line="240" w:lineRule="auto"/>
        <w:ind w:left="426"/>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Secondary:</w:t>
      </w:r>
    </w:p>
    <w:p w14:paraId="7497155D"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Enrolment Increase</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 xml:space="preserve">   40</w:t>
      </w:r>
    </w:p>
    <w:p w14:paraId="631B82E6" w14:textId="581B5915"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Cash Rate</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r>
      <w:r w:rsidR="00D8442E" w:rsidRPr="004D307F">
        <w:rPr>
          <w:rFonts w:ascii="VIC" w:eastAsia="Times New Roman" w:hAnsi="VIC" w:cs="Calibri"/>
          <w:color w:val="323E4F" w:themeColor="text2" w:themeShade="BF"/>
          <w:lang w:eastAsia="en-AU"/>
        </w:rPr>
        <w:t>$524</w:t>
      </w:r>
    </w:p>
    <w:p w14:paraId="3179A3F9"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p>
    <w:p w14:paraId="229448F2" w14:textId="77777777"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Additional Funding</w:t>
      </w: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Enrolment increase × Cash Rate / 2</w:t>
      </w:r>
    </w:p>
    <w:p w14:paraId="2DBF3C50" w14:textId="2C356E3F" w:rsidR="0024710E" w:rsidRPr="004D307F" w:rsidRDefault="0024710E" w:rsidP="0024710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t xml:space="preserve">40 × </w:t>
      </w:r>
      <w:r w:rsidR="00D8442E" w:rsidRPr="004D307F">
        <w:rPr>
          <w:rFonts w:ascii="VIC" w:eastAsia="Times New Roman" w:hAnsi="VIC" w:cs="Calibri"/>
          <w:color w:val="323E4F" w:themeColor="text2" w:themeShade="BF"/>
          <w:lang w:eastAsia="en-AU"/>
        </w:rPr>
        <w:t>$524</w:t>
      </w:r>
      <w:r w:rsidRPr="004D307F">
        <w:rPr>
          <w:rFonts w:ascii="VIC" w:eastAsia="Times New Roman" w:hAnsi="VIC" w:cs="Calibri"/>
          <w:color w:val="323E4F" w:themeColor="text2" w:themeShade="BF"/>
          <w:lang w:eastAsia="en-AU"/>
        </w:rPr>
        <w:t>/ 2</w:t>
      </w:r>
    </w:p>
    <w:p w14:paraId="00D8B031" w14:textId="7736C17A" w:rsidR="0024710E" w:rsidRPr="004D307F" w:rsidRDefault="0024710E" w:rsidP="00D8442E">
      <w:pPr>
        <w:tabs>
          <w:tab w:val="left" w:pos="3544"/>
          <w:tab w:val="left" w:pos="3969"/>
        </w:tabs>
        <w:spacing w:after="0" w:line="240" w:lineRule="auto"/>
        <w:ind w:left="993"/>
        <w:rPr>
          <w:rFonts w:ascii="VIC" w:eastAsia="Times New Roman" w:hAnsi="VIC" w:cs="Calibri"/>
          <w:color w:val="323E4F" w:themeColor="text2" w:themeShade="BF"/>
          <w:lang w:eastAsia="en-AU"/>
        </w:rPr>
      </w:pPr>
      <w:r w:rsidRPr="004D307F">
        <w:rPr>
          <w:rFonts w:ascii="VIC" w:eastAsia="Times New Roman" w:hAnsi="VIC" w:cs="Calibri"/>
          <w:color w:val="323E4F" w:themeColor="text2" w:themeShade="BF"/>
          <w:lang w:eastAsia="en-AU"/>
        </w:rPr>
        <w:tab/>
        <w:t>=</w:t>
      </w:r>
      <w:r w:rsidRPr="004D307F">
        <w:rPr>
          <w:rFonts w:ascii="VIC" w:eastAsia="Times New Roman" w:hAnsi="VIC" w:cs="Calibri"/>
          <w:color w:val="323E4F" w:themeColor="text2" w:themeShade="BF"/>
          <w:lang w:eastAsia="en-AU"/>
        </w:rPr>
        <w:tab/>
      </w:r>
      <w:r w:rsidR="00D8442E" w:rsidRPr="004D307F">
        <w:rPr>
          <w:rFonts w:ascii="VIC" w:eastAsia="Times New Roman" w:hAnsi="VIC" w:cs="Calibri"/>
          <w:color w:val="323E4F" w:themeColor="text2" w:themeShade="BF"/>
          <w:lang w:eastAsia="en-AU"/>
        </w:rPr>
        <w:t>$10,480</w:t>
      </w:r>
    </w:p>
    <w:p w14:paraId="13EBE6D3" w14:textId="77777777" w:rsidR="0024710E" w:rsidRPr="004D307F" w:rsidRDefault="0024710E" w:rsidP="0024710E">
      <w:pPr>
        <w:spacing w:after="0" w:line="240" w:lineRule="auto"/>
        <w:rPr>
          <w:rFonts w:ascii="VIC" w:eastAsia="Times New Roman" w:hAnsi="VIC" w:cs="Calibri"/>
          <w:lang w:eastAsia="en-AU"/>
        </w:rPr>
      </w:pPr>
    </w:p>
    <w:p w14:paraId="5C02E7C5"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Additional Funding post February census that must be supported by the Regional Director of the relevant region.</w:t>
      </w:r>
    </w:p>
    <w:p w14:paraId="768261F8" w14:textId="77777777" w:rsidR="0024710E" w:rsidRPr="004D307F" w:rsidRDefault="0024710E" w:rsidP="0024710E">
      <w:pPr>
        <w:spacing w:after="0" w:line="240" w:lineRule="auto"/>
        <w:rPr>
          <w:rFonts w:ascii="VIC" w:eastAsia="Times New Roman" w:hAnsi="VIC" w:cs="Calibri"/>
          <w:b/>
          <w:sz w:val="24"/>
          <w:szCs w:val="24"/>
          <w:lang w:eastAsia="en-AU"/>
        </w:rPr>
      </w:pPr>
    </w:p>
    <w:p w14:paraId="4B702B40" w14:textId="5781C479" w:rsidR="00D8442E" w:rsidRPr="004D307F" w:rsidRDefault="00D8442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Additional</w:t>
      </w:r>
      <w:r w:rsidR="00434BA9" w:rsidRPr="004D307F">
        <w:rPr>
          <w:rFonts w:ascii="VIC" w:eastAsia="Times New Roman" w:hAnsi="VIC" w:cs="Times New Roman"/>
          <w:color w:val="011A3C"/>
          <w:sz w:val="24"/>
          <w:szCs w:val="24"/>
          <w:lang w:val="en" w:eastAsia="en-AU"/>
        </w:rPr>
        <w:t xml:space="preserve"> credit</w:t>
      </w:r>
      <w:r w:rsidRPr="004D307F">
        <w:rPr>
          <w:rFonts w:ascii="VIC" w:eastAsia="Times New Roman" w:hAnsi="VIC" w:cs="Times New Roman"/>
          <w:color w:val="011A3C"/>
          <w:sz w:val="24"/>
          <w:szCs w:val="24"/>
          <w:lang w:val="en" w:eastAsia="en-AU"/>
        </w:rPr>
        <w:t xml:space="preserve"> funding may be considered where a school can demonstrate the establishment of new classes after February census significantly increased costs </w:t>
      </w:r>
      <w:proofErr w:type="gramStart"/>
      <w:r w:rsidRPr="004D307F">
        <w:rPr>
          <w:rFonts w:ascii="VIC" w:eastAsia="Times New Roman" w:hAnsi="VIC" w:cs="Times New Roman"/>
          <w:color w:val="011A3C"/>
          <w:sz w:val="24"/>
          <w:szCs w:val="24"/>
          <w:lang w:val="en" w:eastAsia="en-AU"/>
        </w:rPr>
        <w:t>as a result of</w:t>
      </w:r>
      <w:proofErr w:type="gramEnd"/>
      <w:r w:rsidRPr="004D307F">
        <w:rPr>
          <w:rFonts w:ascii="VIC" w:eastAsia="Times New Roman" w:hAnsi="VIC" w:cs="Times New Roman"/>
          <w:color w:val="011A3C"/>
          <w:sz w:val="24"/>
          <w:szCs w:val="24"/>
          <w:lang w:val="en" w:eastAsia="en-AU"/>
        </w:rPr>
        <w:t xml:space="preserve"> additional student numbers. </w:t>
      </w:r>
      <w:r w:rsidR="00434BA9" w:rsidRPr="004D307F">
        <w:rPr>
          <w:rFonts w:ascii="VIC" w:eastAsia="Times New Roman" w:hAnsi="VIC" w:cs="Times New Roman"/>
          <w:color w:val="011A3C"/>
          <w:sz w:val="24"/>
          <w:szCs w:val="24"/>
          <w:lang w:val="en" w:eastAsia="en-AU"/>
        </w:rPr>
        <w:t>Schools must also demonstrate that additional staffing costs are unable to be accommodated within the existing budget.</w:t>
      </w:r>
    </w:p>
    <w:p w14:paraId="1827675C"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p>
    <w:p w14:paraId="3AB50233" w14:textId="407180CC" w:rsidR="0024710E" w:rsidRPr="004D307F" w:rsidRDefault="0024710E" w:rsidP="0024710E">
      <w:pPr>
        <w:spacing w:after="0" w:line="240" w:lineRule="auto"/>
        <w:rPr>
          <w:rFonts w:ascii="VIC" w:eastAsia="Times New Roman" w:hAnsi="VIC" w:cs="Times New Roman"/>
          <w:color w:val="011A3C"/>
          <w:sz w:val="24"/>
          <w:szCs w:val="24"/>
          <w:lang w:val="en" w:eastAsia="en-AU"/>
        </w:rPr>
      </w:pPr>
      <w:r w:rsidRPr="004D307F">
        <w:rPr>
          <w:rFonts w:ascii="VIC" w:eastAsia="Times New Roman" w:hAnsi="VIC" w:cs="Times New Roman"/>
          <w:color w:val="011A3C"/>
          <w:sz w:val="24"/>
          <w:szCs w:val="24"/>
          <w:lang w:val="en" w:eastAsia="en-AU"/>
        </w:rPr>
        <w:t>The request should be made in writing to the respective regional director and should include a business case outlining the detail</w:t>
      </w:r>
      <w:r w:rsidRPr="004D307F">
        <w:rPr>
          <w:rFonts w:ascii="Calibri" w:eastAsia="Times New Roman" w:hAnsi="Calibri" w:cs="Calibri" w:hint="eastAsia"/>
          <w:color w:val="011A3C"/>
          <w:sz w:val="24"/>
          <w:szCs w:val="24"/>
          <w:lang w:val="en" w:eastAsia="en-AU"/>
        </w:rPr>
        <w:t> </w:t>
      </w:r>
      <w:r w:rsidRPr="004D307F">
        <w:rPr>
          <w:rFonts w:ascii="VIC" w:eastAsia="Times New Roman" w:hAnsi="VIC" w:cs="Times New Roman"/>
          <w:color w:val="011A3C"/>
          <w:sz w:val="24"/>
          <w:szCs w:val="24"/>
          <w:lang w:val="en" w:eastAsia="en-AU"/>
        </w:rPr>
        <w:t xml:space="preserve">of the </w:t>
      </w:r>
      <w:r w:rsidR="00D8442E" w:rsidRPr="004D307F">
        <w:rPr>
          <w:rFonts w:ascii="VIC" w:eastAsia="Times New Roman" w:hAnsi="VIC" w:cs="Times New Roman"/>
          <w:color w:val="011A3C"/>
          <w:sz w:val="24"/>
          <w:szCs w:val="24"/>
          <w:lang w:val="en" w:eastAsia="en-AU"/>
        </w:rPr>
        <w:t xml:space="preserve">enrolment </w:t>
      </w:r>
      <w:r w:rsidRPr="004D307F">
        <w:rPr>
          <w:rFonts w:ascii="VIC" w:eastAsia="Times New Roman" w:hAnsi="VIC" w:cs="Times New Roman"/>
          <w:color w:val="011A3C"/>
          <w:sz w:val="24"/>
          <w:szCs w:val="24"/>
          <w:lang w:val="en" w:eastAsia="en-AU"/>
        </w:rPr>
        <w:t xml:space="preserve">growth and subsequent requirement to add an additional class </w:t>
      </w:r>
      <w:r w:rsidR="00D8442E" w:rsidRPr="004D307F">
        <w:rPr>
          <w:rFonts w:ascii="VIC" w:eastAsia="Times New Roman" w:hAnsi="VIC" w:cs="Times New Roman"/>
          <w:color w:val="011A3C"/>
          <w:sz w:val="24"/>
          <w:szCs w:val="24"/>
          <w:lang w:val="en" w:eastAsia="en-AU"/>
        </w:rPr>
        <w:t xml:space="preserve">after </w:t>
      </w:r>
      <w:r w:rsidRPr="004D307F">
        <w:rPr>
          <w:rFonts w:ascii="VIC" w:eastAsia="Times New Roman" w:hAnsi="VIC" w:cs="Times New Roman"/>
          <w:color w:val="011A3C"/>
          <w:sz w:val="24"/>
          <w:szCs w:val="24"/>
          <w:lang w:val="en" w:eastAsia="en-AU"/>
        </w:rPr>
        <w:t xml:space="preserve">February census and the subsequent employment required to teach the </w:t>
      </w:r>
      <w:r w:rsidRPr="004D307F">
        <w:rPr>
          <w:rFonts w:ascii="VIC" w:eastAsia="Times New Roman" w:hAnsi="VIC" w:cs="Times New Roman"/>
          <w:color w:val="011A3C"/>
          <w:sz w:val="24"/>
          <w:szCs w:val="24"/>
          <w:lang w:val="en" w:eastAsia="en-AU"/>
        </w:rPr>
        <w:lastRenderedPageBreak/>
        <w:t>additional class</w:t>
      </w:r>
      <w:r w:rsidR="00D8442E" w:rsidRPr="004D307F">
        <w:rPr>
          <w:rFonts w:ascii="VIC" w:eastAsia="Times New Roman" w:hAnsi="VIC" w:cs="Times New Roman"/>
          <w:color w:val="011A3C"/>
          <w:sz w:val="24"/>
          <w:szCs w:val="24"/>
          <w:lang w:val="en" w:eastAsia="en-AU"/>
        </w:rPr>
        <w:t>. Employment details</w:t>
      </w:r>
      <w:r w:rsidRPr="004D307F">
        <w:rPr>
          <w:rFonts w:ascii="VIC" w:eastAsia="Times New Roman" w:hAnsi="VIC" w:cs="Times New Roman"/>
          <w:color w:val="011A3C"/>
          <w:sz w:val="24"/>
          <w:szCs w:val="24"/>
          <w:lang w:val="en" w:eastAsia="en-AU"/>
        </w:rPr>
        <w:t xml:space="preserve"> must include teacher name, </w:t>
      </w:r>
      <w:r w:rsidR="00D8442E" w:rsidRPr="004D307F">
        <w:rPr>
          <w:rFonts w:ascii="VIC" w:eastAsia="Times New Roman" w:hAnsi="VIC" w:cs="Times New Roman"/>
          <w:color w:val="011A3C"/>
          <w:sz w:val="24"/>
          <w:szCs w:val="24"/>
          <w:lang w:val="en" w:eastAsia="en-AU"/>
        </w:rPr>
        <w:t xml:space="preserve">PIN </w:t>
      </w:r>
      <w:r w:rsidRPr="004D307F">
        <w:rPr>
          <w:rFonts w:ascii="VIC" w:eastAsia="Times New Roman" w:hAnsi="VIC" w:cs="Times New Roman"/>
          <w:color w:val="011A3C"/>
          <w:sz w:val="24"/>
          <w:szCs w:val="24"/>
          <w:lang w:val="en" w:eastAsia="en-AU"/>
        </w:rPr>
        <w:t>number and date of employment, which must be post census.</w:t>
      </w:r>
    </w:p>
    <w:p w14:paraId="4D223DD6" w14:textId="77777777" w:rsidR="0024710E" w:rsidRPr="004D307F" w:rsidRDefault="0024710E" w:rsidP="0024710E">
      <w:pPr>
        <w:spacing w:after="0" w:line="240" w:lineRule="auto"/>
        <w:rPr>
          <w:rFonts w:ascii="VIC" w:eastAsia="Times New Roman" w:hAnsi="VIC" w:cs="Times New Roman"/>
          <w:color w:val="011A3C"/>
          <w:sz w:val="24"/>
          <w:szCs w:val="24"/>
          <w:lang w:val="en" w:eastAsia="en-AU"/>
        </w:rPr>
      </w:pPr>
    </w:p>
    <w:p w14:paraId="21798575" w14:textId="50D296CF" w:rsidR="00EA34C0" w:rsidRPr="004D307F" w:rsidRDefault="0024710E" w:rsidP="007E3304">
      <w:pPr>
        <w:spacing w:after="0" w:line="240" w:lineRule="auto"/>
        <w:rPr>
          <w:rFonts w:ascii="VIC" w:hAnsi="VIC"/>
        </w:rPr>
      </w:pPr>
      <w:r w:rsidRPr="004D307F">
        <w:rPr>
          <w:rFonts w:ascii="VIC" w:eastAsia="Times New Roman" w:hAnsi="VIC" w:cs="Times New Roman"/>
          <w:color w:val="011A3C"/>
          <w:sz w:val="24"/>
          <w:szCs w:val="24"/>
          <w:lang w:val="en" w:eastAsia="en-AU"/>
        </w:rPr>
        <w:t>The business case will be assessed by the Schools Finance and Resources Branch and a decision will be conveyed to the school and relevant regional officers.</w:t>
      </w:r>
    </w:p>
    <w:sectPr w:rsidR="00EA34C0" w:rsidRPr="004D307F" w:rsidSect="00A41342">
      <w:pgSz w:w="11906" w:h="16838"/>
      <w:pgMar w:top="1440" w:right="1440" w:bottom="1276" w:left="1440" w:header="708" w:footer="708" w:gutter="0"/>
      <w:pgBorders w:display="firstPage"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E804" w14:textId="77777777" w:rsidR="00A35420" w:rsidRDefault="00A35420" w:rsidP="00196C78">
      <w:pPr>
        <w:spacing w:after="0" w:line="240" w:lineRule="auto"/>
      </w:pPr>
      <w:r>
        <w:separator/>
      </w:r>
    </w:p>
    <w:p w14:paraId="7F65A8B5" w14:textId="77777777" w:rsidR="00A35420" w:rsidRDefault="00A35420"/>
  </w:endnote>
  <w:endnote w:type="continuationSeparator" w:id="0">
    <w:p w14:paraId="57B96506" w14:textId="77777777" w:rsidR="00A35420" w:rsidRDefault="00A35420" w:rsidP="00196C78">
      <w:pPr>
        <w:spacing w:after="0" w:line="240" w:lineRule="auto"/>
      </w:pPr>
      <w:r>
        <w:continuationSeparator/>
      </w:r>
    </w:p>
    <w:p w14:paraId="7E658997" w14:textId="77777777" w:rsidR="00A35420" w:rsidRDefault="00A35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IC">
    <w:panose1 w:val="00000500000000000000"/>
    <w:charset w:val="00"/>
    <w:family w:val="modern"/>
    <w:notTrueType/>
    <w:pitch w:val="variable"/>
    <w:sig w:usb0="00000007" w:usb1="00000000" w:usb2="00000000" w:usb3="00000000" w:csb0="00000093" w:csb1="00000000"/>
  </w:font>
  <w:font w:name="VIC-Regular">
    <w:altName w:val="Calibri"/>
    <w:panose1 w:val="00000500000000000000"/>
    <w:charset w:val="00"/>
    <w:family w:val="auto"/>
    <w:pitch w:val="default"/>
  </w:font>
  <w:font w:name="VIC-Bold">
    <w:altName w:val="Calibri"/>
    <w:panose1 w:val="00000800000000000000"/>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6FC4" w14:textId="77777777" w:rsidR="00A35420" w:rsidRDefault="00A35420" w:rsidP="00196C78">
      <w:pPr>
        <w:spacing w:after="0" w:line="240" w:lineRule="auto"/>
      </w:pPr>
      <w:r>
        <w:separator/>
      </w:r>
    </w:p>
    <w:p w14:paraId="314A5BA4" w14:textId="77777777" w:rsidR="00A35420" w:rsidRDefault="00A35420"/>
  </w:footnote>
  <w:footnote w:type="continuationSeparator" w:id="0">
    <w:p w14:paraId="00466B25" w14:textId="77777777" w:rsidR="00A35420" w:rsidRDefault="00A35420" w:rsidP="00196C78">
      <w:pPr>
        <w:spacing w:after="0" w:line="240" w:lineRule="auto"/>
      </w:pPr>
      <w:r>
        <w:continuationSeparator/>
      </w:r>
    </w:p>
    <w:p w14:paraId="28892CD4" w14:textId="77777777" w:rsidR="00A35420" w:rsidRDefault="00A35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DEC6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A92EB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DEFB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B6A1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B014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D023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DC82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20C7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8A79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21A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A35BE"/>
    <w:multiLevelType w:val="hybridMultilevel"/>
    <w:tmpl w:val="F468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724AD6"/>
    <w:multiLevelType w:val="hybridMultilevel"/>
    <w:tmpl w:val="4AB0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0AE415D"/>
    <w:multiLevelType w:val="multilevel"/>
    <w:tmpl w:val="828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0B42016"/>
    <w:multiLevelType w:val="multilevel"/>
    <w:tmpl w:val="221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6B16F1"/>
    <w:multiLevelType w:val="multilevel"/>
    <w:tmpl w:val="A006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050938"/>
    <w:multiLevelType w:val="hybridMultilevel"/>
    <w:tmpl w:val="96745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34C18C1"/>
    <w:multiLevelType w:val="multilevel"/>
    <w:tmpl w:val="9B78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3914A0"/>
    <w:multiLevelType w:val="multilevel"/>
    <w:tmpl w:val="D2F0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5C1845"/>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8C5E8A"/>
    <w:multiLevelType w:val="multilevel"/>
    <w:tmpl w:val="48E6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B57628"/>
    <w:multiLevelType w:val="multilevel"/>
    <w:tmpl w:val="454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B578F2"/>
    <w:multiLevelType w:val="multilevel"/>
    <w:tmpl w:val="7AB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0B67CA"/>
    <w:multiLevelType w:val="multilevel"/>
    <w:tmpl w:val="E32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D81B49"/>
    <w:multiLevelType w:val="multilevel"/>
    <w:tmpl w:val="DC40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136CB6"/>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A424EB"/>
    <w:multiLevelType w:val="multilevel"/>
    <w:tmpl w:val="285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DA45A5"/>
    <w:multiLevelType w:val="hybridMultilevel"/>
    <w:tmpl w:val="1762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A254EAF"/>
    <w:multiLevelType w:val="multilevel"/>
    <w:tmpl w:val="846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4164E1"/>
    <w:multiLevelType w:val="hybridMultilevel"/>
    <w:tmpl w:val="C75EF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C1B12B2"/>
    <w:multiLevelType w:val="multilevel"/>
    <w:tmpl w:val="B7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D7911AD"/>
    <w:multiLevelType w:val="multilevel"/>
    <w:tmpl w:val="9F8AE4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0E6A1A88"/>
    <w:multiLevelType w:val="multilevel"/>
    <w:tmpl w:val="F86A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8F4169"/>
    <w:multiLevelType w:val="hybridMultilevel"/>
    <w:tmpl w:val="2DAC7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BB56CD"/>
    <w:multiLevelType w:val="multilevel"/>
    <w:tmpl w:val="8732F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DD677A"/>
    <w:multiLevelType w:val="multilevel"/>
    <w:tmpl w:val="2276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927DF1"/>
    <w:multiLevelType w:val="multilevel"/>
    <w:tmpl w:val="C33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074E73"/>
    <w:multiLevelType w:val="multilevel"/>
    <w:tmpl w:val="D0FAC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EC798B"/>
    <w:multiLevelType w:val="hybridMultilevel"/>
    <w:tmpl w:val="5CF21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43558C4"/>
    <w:multiLevelType w:val="multilevel"/>
    <w:tmpl w:val="3C00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DF72F5"/>
    <w:multiLevelType w:val="multilevel"/>
    <w:tmpl w:val="C9C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ED00A5"/>
    <w:multiLevelType w:val="multilevel"/>
    <w:tmpl w:val="AC7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AC2BAE"/>
    <w:multiLevelType w:val="multilevel"/>
    <w:tmpl w:val="BC8A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B8745E"/>
    <w:multiLevelType w:val="hybridMultilevel"/>
    <w:tmpl w:val="33BAED40"/>
    <w:lvl w:ilvl="0" w:tplc="DF5C483E">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5D84219"/>
    <w:multiLevelType w:val="multilevel"/>
    <w:tmpl w:val="164C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5F47451"/>
    <w:multiLevelType w:val="multilevel"/>
    <w:tmpl w:val="1BEC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2D3BC9"/>
    <w:multiLevelType w:val="multilevel"/>
    <w:tmpl w:val="BF9E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B35EA6"/>
    <w:multiLevelType w:val="multilevel"/>
    <w:tmpl w:val="C39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4D391D"/>
    <w:multiLevelType w:val="multilevel"/>
    <w:tmpl w:val="B46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A532964"/>
    <w:multiLevelType w:val="multilevel"/>
    <w:tmpl w:val="4FDA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A805515"/>
    <w:multiLevelType w:val="multilevel"/>
    <w:tmpl w:val="96F4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101A06"/>
    <w:multiLevelType w:val="multilevel"/>
    <w:tmpl w:val="2DA0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2E1BF6"/>
    <w:multiLevelType w:val="multilevel"/>
    <w:tmpl w:val="AB70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B97966"/>
    <w:multiLevelType w:val="multilevel"/>
    <w:tmpl w:val="1948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F04061B"/>
    <w:multiLevelType w:val="multilevel"/>
    <w:tmpl w:val="F44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4D7DAE"/>
    <w:multiLevelType w:val="multilevel"/>
    <w:tmpl w:val="7F8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AE66E6"/>
    <w:multiLevelType w:val="multilevel"/>
    <w:tmpl w:val="AF5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2E26099"/>
    <w:multiLevelType w:val="multilevel"/>
    <w:tmpl w:val="4D7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2F2445E"/>
    <w:multiLevelType w:val="multilevel"/>
    <w:tmpl w:val="2DA80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413CBD"/>
    <w:multiLevelType w:val="multilevel"/>
    <w:tmpl w:val="B0C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3BE57FD"/>
    <w:multiLevelType w:val="hybridMultilevel"/>
    <w:tmpl w:val="94D2C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6F364C9"/>
    <w:multiLevelType w:val="multilevel"/>
    <w:tmpl w:val="770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220C58"/>
    <w:multiLevelType w:val="multilevel"/>
    <w:tmpl w:val="72A2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212638"/>
    <w:multiLevelType w:val="multilevel"/>
    <w:tmpl w:val="F10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21181E"/>
    <w:multiLevelType w:val="multilevel"/>
    <w:tmpl w:val="CED6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5A2F36"/>
    <w:multiLevelType w:val="multilevel"/>
    <w:tmpl w:val="CB6A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6E11E3"/>
    <w:multiLevelType w:val="hybridMultilevel"/>
    <w:tmpl w:val="FA7C34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298A414E"/>
    <w:multiLevelType w:val="hybridMultilevel"/>
    <w:tmpl w:val="01743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7" w15:restartNumberingAfterBreak="0">
    <w:nsid w:val="299039BF"/>
    <w:multiLevelType w:val="multilevel"/>
    <w:tmpl w:val="4C5A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A653046"/>
    <w:multiLevelType w:val="multilevel"/>
    <w:tmpl w:val="5D8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ACE577C"/>
    <w:multiLevelType w:val="multilevel"/>
    <w:tmpl w:val="08FA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AD9060A"/>
    <w:multiLevelType w:val="multilevel"/>
    <w:tmpl w:val="B236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6C0F7C"/>
    <w:multiLevelType w:val="multilevel"/>
    <w:tmpl w:val="5BD0A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487DFF"/>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D3E720C"/>
    <w:multiLevelType w:val="multilevel"/>
    <w:tmpl w:val="228C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000356"/>
    <w:multiLevelType w:val="multilevel"/>
    <w:tmpl w:val="5E54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E1228D3"/>
    <w:multiLevelType w:val="multilevel"/>
    <w:tmpl w:val="B44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E1B100D"/>
    <w:multiLevelType w:val="multilevel"/>
    <w:tmpl w:val="D9C4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3A2B3C"/>
    <w:multiLevelType w:val="multilevel"/>
    <w:tmpl w:val="D514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E5F365C"/>
    <w:multiLevelType w:val="multilevel"/>
    <w:tmpl w:val="31CC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B2278F"/>
    <w:multiLevelType w:val="multilevel"/>
    <w:tmpl w:val="C5F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FD9458C"/>
    <w:multiLevelType w:val="multilevel"/>
    <w:tmpl w:val="8B4E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029419D"/>
    <w:multiLevelType w:val="multilevel"/>
    <w:tmpl w:val="BC82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E43B37"/>
    <w:multiLevelType w:val="multilevel"/>
    <w:tmpl w:val="C98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6919AB"/>
    <w:multiLevelType w:val="multilevel"/>
    <w:tmpl w:val="DCF8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86420C"/>
    <w:multiLevelType w:val="hybridMultilevel"/>
    <w:tmpl w:val="BF2A5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7A915A0"/>
    <w:multiLevelType w:val="hybridMultilevel"/>
    <w:tmpl w:val="9872B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3820715C"/>
    <w:multiLevelType w:val="multilevel"/>
    <w:tmpl w:val="605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8955F8A"/>
    <w:multiLevelType w:val="multilevel"/>
    <w:tmpl w:val="F7B4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6B6EE1"/>
    <w:multiLevelType w:val="multilevel"/>
    <w:tmpl w:val="DB02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9C91DAD"/>
    <w:multiLevelType w:val="multilevel"/>
    <w:tmpl w:val="647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A50482D"/>
    <w:multiLevelType w:val="hybridMultilevel"/>
    <w:tmpl w:val="4E9E57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3B10190E"/>
    <w:multiLevelType w:val="multilevel"/>
    <w:tmpl w:val="CD0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EA4EF8"/>
    <w:multiLevelType w:val="multilevel"/>
    <w:tmpl w:val="87F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122EA0"/>
    <w:multiLevelType w:val="multilevel"/>
    <w:tmpl w:val="DDE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EF03672"/>
    <w:multiLevelType w:val="multilevel"/>
    <w:tmpl w:val="D3F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FA27D9F"/>
    <w:multiLevelType w:val="multilevel"/>
    <w:tmpl w:val="223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C4118C"/>
    <w:multiLevelType w:val="multilevel"/>
    <w:tmpl w:val="BF58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08C7A09"/>
    <w:multiLevelType w:val="multilevel"/>
    <w:tmpl w:val="E4DA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5E34E2"/>
    <w:multiLevelType w:val="hybridMultilevel"/>
    <w:tmpl w:val="FE92C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3C3412D"/>
    <w:multiLevelType w:val="multilevel"/>
    <w:tmpl w:val="3A0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4274D56"/>
    <w:multiLevelType w:val="hybridMultilevel"/>
    <w:tmpl w:val="D51C15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1" w15:restartNumberingAfterBreak="0">
    <w:nsid w:val="45AF13BA"/>
    <w:multiLevelType w:val="multilevel"/>
    <w:tmpl w:val="DD92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5D41AAB"/>
    <w:multiLevelType w:val="multilevel"/>
    <w:tmpl w:val="804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33AA6"/>
    <w:multiLevelType w:val="multilevel"/>
    <w:tmpl w:val="4A4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9E510BE"/>
    <w:multiLevelType w:val="multilevel"/>
    <w:tmpl w:val="093C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C6F7F1C"/>
    <w:multiLevelType w:val="multilevel"/>
    <w:tmpl w:val="6564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C952DC5"/>
    <w:multiLevelType w:val="hybridMultilevel"/>
    <w:tmpl w:val="41EEC2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D03357C"/>
    <w:multiLevelType w:val="multilevel"/>
    <w:tmpl w:val="2ED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E067BB0"/>
    <w:multiLevelType w:val="multilevel"/>
    <w:tmpl w:val="E87C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E6F3D22"/>
    <w:multiLevelType w:val="hybridMultilevel"/>
    <w:tmpl w:val="09C8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E9D2FDF"/>
    <w:multiLevelType w:val="multilevel"/>
    <w:tmpl w:val="737E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F3C049E"/>
    <w:multiLevelType w:val="multilevel"/>
    <w:tmpl w:val="8E16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0926AD"/>
    <w:multiLevelType w:val="multilevel"/>
    <w:tmpl w:val="D33C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15903AF"/>
    <w:multiLevelType w:val="multilevel"/>
    <w:tmpl w:val="18FA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1D40B62"/>
    <w:multiLevelType w:val="hybridMultilevel"/>
    <w:tmpl w:val="D04C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20F4527"/>
    <w:multiLevelType w:val="multilevel"/>
    <w:tmpl w:val="3424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41F6525"/>
    <w:multiLevelType w:val="multilevel"/>
    <w:tmpl w:val="1DE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43E218A"/>
    <w:multiLevelType w:val="hybridMultilevel"/>
    <w:tmpl w:val="C312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4A32F53"/>
    <w:multiLevelType w:val="multilevel"/>
    <w:tmpl w:val="6D6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F6173A"/>
    <w:multiLevelType w:val="multilevel"/>
    <w:tmpl w:val="777A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5462578"/>
    <w:multiLevelType w:val="multilevel"/>
    <w:tmpl w:val="3ED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55850DC"/>
    <w:multiLevelType w:val="multilevel"/>
    <w:tmpl w:val="B2B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64E3B6A"/>
    <w:multiLevelType w:val="multilevel"/>
    <w:tmpl w:val="343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66228DC"/>
    <w:multiLevelType w:val="hybridMultilevel"/>
    <w:tmpl w:val="1C6A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6954BB1"/>
    <w:multiLevelType w:val="multilevel"/>
    <w:tmpl w:val="34E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74B1D4D"/>
    <w:multiLevelType w:val="multilevel"/>
    <w:tmpl w:val="81E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84767FA"/>
    <w:multiLevelType w:val="multilevel"/>
    <w:tmpl w:val="5B8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9A6069B"/>
    <w:multiLevelType w:val="multilevel"/>
    <w:tmpl w:val="372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A2170A8"/>
    <w:multiLevelType w:val="multilevel"/>
    <w:tmpl w:val="54C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B2725F3"/>
    <w:multiLevelType w:val="multilevel"/>
    <w:tmpl w:val="1DF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B8D7700"/>
    <w:multiLevelType w:val="multilevel"/>
    <w:tmpl w:val="3340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BCB31D7"/>
    <w:multiLevelType w:val="hybridMultilevel"/>
    <w:tmpl w:val="743EF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CE91350"/>
    <w:multiLevelType w:val="multilevel"/>
    <w:tmpl w:val="15B6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D0E3219"/>
    <w:multiLevelType w:val="multilevel"/>
    <w:tmpl w:val="4EF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E106697"/>
    <w:multiLevelType w:val="multilevel"/>
    <w:tmpl w:val="FC2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EBB0334"/>
    <w:multiLevelType w:val="multilevel"/>
    <w:tmpl w:val="3E0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EE65EEC"/>
    <w:multiLevelType w:val="hybridMultilevel"/>
    <w:tmpl w:val="E2080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F7846EA"/>
    <w:multiLevelType w:val="multilevel"/>
    <w:tmpl w:val="83E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F88318E"/>
    <w:multiLevelType w:val="hybridMultilevel"/>
    <w:tmpl w:val="9D4CE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FE17918"/>
    <w:multiLevelType w:val="multilevel"/>
    <w:tmpl w:val="BDF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1832820"/>
    <w:multiLevelType w:val="multilevel"/>
    <w:tmpl w:val="256C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325601C"/>
    <w:multiLevelType w:val="hybridMultilevel"/>
    <w:tmpl w:val="3626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3CF4F71"/>
    <w:multiLevelType w:val="multilevel"/>
    <w:tmpl w:val="DA8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DE0543"/>
    <w:multiLevelType w:val="hybridMultilevel"/>
    <w:tmpl w:val="32C4D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4" w15:restartNumberingAfterBreak="0">
    <w:nsid w:val="63F501CB"/>
    <w:multiLevelType w:val="multilevel"/>
    <w:tmpl w:val="D23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46E2299"/>
    <w:multiLevelType w:val="multilevel"/>
    <w:tmpl w:val="DF80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4A26635"/>
    <w:multiLevelType w:val="multilevel"/>
    <w:tmpl w:val="98D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543189E"/>
    <w:multiLevelType w:val="multilevel"/>
    <w:tmpl w:val="3C76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640405"/>
    <w:multiLevelType w:val="multilevel"/>
    <w:tmpl w:val="D5C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7060BA1"/>
    <w:multiLevelType w:val="hybridMultilevel"/>
    <w:tmpl w:val="C82A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7A16000"/>
    <w:multiLevelType w:val="multilevel"/>
    <w:tmpl w:val="5F4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82B033A"/>
    <w:multiLevelType w:val="multilevel"/>
    <w:tmpl w:val="03A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92C7FB8"/>
    <w:multiLevelType w:val="multilevel"/>
    <w:tmpl w:val="F9B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A160B9C"/>
    <w:multiLevelType w:val="hybridMultilevel"/>
    <w:tmpl w:val="026C6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A1E3C9D"/>
    <w:multiLevelType w:val="multilevel"/>
    <w:tmpl w:val="2708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A690E00"/>
    <w:multiLevelType w:val="multilevel"/>
    <w:tmpl w:val="6E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A940C97"/>
    <w:multiLevelType w:val="multilevel"/>
    <w:tmpl w:val="4C32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9C7B0D"/>
    <w:multiLevelType w:val="multilevel"/>
    <w:tmpl w:val="F03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BB000B9"/>
    <w:multiLevelType w:val="multilevel"/>
    <w:tmpl w:val="BF4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BE5745E"/>
    <w:multiLevelType w:val="multilevel"/>
    <w:tmpl w:val="FE4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95280E"/>
    <w:multiLevelType w:val="multilevel"/>
    <w:tmpl w:val="A172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EBF6E60"/>
    <w:multiLevelType w:val="multilevel"/>
    <w:tmpl w:val="4028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F293915"/>
    <w:multiLevelType w:val="multilevel"/>
    <w:tmpl w:val="2212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1EE1048"/>
    <w:multiLevelType w:val="multilevel"/>
    <w:tmpl w:val="7F6A7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2794A5F"/>
    <w:multiLevelType w:val="multilevel"/>
    <w:tmpl w:val="A45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2F04089"/>
    <w:multiLevelType w:val="multilevel"/>
    <w:tmpl w:val="2C22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3EF7BC9"/>
    <w:multiLevelType w:val="multilevel"/>
    <w:tmpl w:val="54CC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51445B0"/>
    <w:multiLevelType w:val="multilevel"/>
    <w:tmpl w:val="8A7E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56C7759"/>
    <w:multiLevelType w:val="hybridMultilevel"/>
    <w:tmpl w:val="A2FE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5871B30"/>
    <w:multiLevelType w:val="hybridMultilevel"/>
    <w:tmpl w:val="7EC6F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5C97571"/>
    <w:multiLevelType w:val="multilevel"/>
    <w:tmpl w:val="68CE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75B2562"/>
    <w:multiLevelType w:val="multilevel"/>
    <w:tmpl w:val="C158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8D9740D"/>
    <w:multiLevelType w:val="multilevel"/>
    <w:tmpl w:val="D04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A195956"/>
    <w:multiLevelType w:val="multilevel"/>
    <w:tmpl w:val="01A4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A9D3DC3"/>
    <w:multiLevelType w:val="multilevel"/>
    <w:tmpl w:val="5CD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E36996"/>
    <w:multiLevelType w:val="multilevel"/>
    <w:tmpl w:val="F9B0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DD4122C"/>
    <w:multiLevelType w:val="multilevel"/>
    <w:tmpl w:val="8D66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F117506"/>
    <w:multiLevelType w:val="multilevel"/>
    <w:tmpl w:val="8D6C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8"/>
  </w:num>
  <w:num w:numId="2">
    <w:abstractNumId w:val="45"/>
  </w:num>
  <w:num w:numId="3">
    <w:abstractNumId w:val="43"/>
  </w:num>
  <w:num w:numId="4">
    <w:abstractNumId w:val="16"/>
  </w:num>
  <w:num w:numId="5">
    <w:abstractNumId w:val="25"/>
  </w:num>
  <w:num w:numId="6">
    <w:abstractNumId w:val="79"/>
  </w:num>
  <w:num w:numId="7">
    <w:abstractNumId w:val="38"/>
  </w:num>
  <w:num w:numId="8">
    <w:abstractNumId w:val="135"/>
  </w:num>
  <w:num w:numId="9">
    <w:abstractNumId w:val="73"/>
  </w:num>
  <w:num w:numId="10">
    <w:abstractNumId w:val="145"/>
  </w:num>
  <w:num w:numId="11">
    <w:abstractNumId w:val="95"/>
  </w:num>
  <w:num w:numId="12">
    <w:abstractNumId w:val="44"/>
  </w:num>
  <w:num w:numId="13">
    <w:abstractNumId w:val="146"/>
  </w:num>
  <w:num w:numId="14">
    <w:abstractNumId w:val="116"/>
  </w:num>
  <w:num w:numId="15">
    <w:abstractNumId w:val="36"/>
  </w:num>
  <w:num w:numId="16">
    <w:abstractNumId w:val="142"/>
  </w:num>
  <w:num w:numId="17">
    <w:abstractNumId w:val="93"/>
  </w:num>
  <w:num w:numId="18">
    <w:abstractNumId w:val="55"/>
  </w:num>
  <w:num w:numId="19">
    <w:abstractNumId w:val="31"/>
  </w:num>
  <w:num w:numId="20">
    <w:abstractNumId w:val="102"/>
  </w:num>
  <w:num w:numId="21">
    <w:abstractNumId w:val="167"/>
  </w:num>
  <w:num w:numId="22">
    <w:abstractNumId w:val="115"/>
  </w:num>
  <w:num w:numId="23">
    <w:abstractNumId w:val="158"/>
  </w:num>
  <w:num w:numId="24">
    <w:abstractNumId w:val="77"/>
  </w:num>
  <w:num w:numId="25">
    <w:abstractNumId w:val="56"/>
  </w:num>
  <w:num w:numId="26">
    <w:abstractNumId w:val="140"/>
  </w:num>
  <w:num w:numId="27">
    <w:abstractNumId w:val="172"/>
  </w:num>
  <w:num w:numId="28">
    <w:abstractNumId w:val="152"/>
  </w:num>
  <w:num w:numId="29">
    <w:abstractNumId w:val="68"/>
  </w:num>
  <w:num w:numId="30">
    <w:abstractNumId w:val="99"/>
  </w:num>
  <w:num w:numId="31">
    <w:abstractNumId w:val="29"/>
  </w:num>
  <w:num w:numId="32">
    <w:abstractNumId w:val="86"/>
  </w:num>
  <w:num w:numId="33">
    <w:abstractNumId w:val="160"/>
  </w:num>
  <w:num w:numId="34">
    <w:abstractNumId w:val="122"/>
  </w:num>
  <w:num w:numId="35">
    <w:abstractNumId w:val="166"/>
  </w:num>
  <w:num w:numId="36">
    <w:abstractNumId w:val="155"/>
  </w:num>
  <w:num w:numId="37">
    <w:abstractNumId w:val="81"/>
  </w:num>
  <w:num w:numId="38">
    <w:abstractNumId w:val="17"/>
  </w:num>
  <w:num w:numId="39">
    <w:abstractNumId w:val="34"/>
  </w:num>
  <w:num w:numId="40">
    <w:abstractNumId w:val="112"/>
  </w:num>
  <w:num w:numId="41">
    <w:abstractNumId w:val="156"/>
  </w:num>
  <w:num w:numId="42">
    <w:abstractNumId w:val="40"/>
  </w:num>
  <w:num w:numId="43">
    <w:abstractNumId w:val="137"/>
  </w:num>
  <w:num w:numId="44">
    <w:abstractNumId w:val="39"/>
  </w:num>
  <w:num w:numId="45">
    <w:abstractNumId w:val="173"/>
  </w:num>
  <w:num w:numId="46">
    <w:abstractNumId w:val="61"/>
  </w:num>
  <w:num w:numId="47">
    <w:abstractNumId w:val="74"/>
  </w:num>
  <w:num w:numId="48">
    <w:abstractNumId w:val="119"/>
  </w:num>
  <w:num w:numId="49">
    <w:abstractNumId w:val="159"/>
  </w:num>
  <w:num w:numId="50">
    <w:abstractNumId w:val="110"/>
  </w:num>
  <w:num w:numId="51">
    <w:abstractNumId w:val="168"/>
  </w:num>
  <w:num w:numId="52">
    <w:abstractNumId w:val="150"/>
  </w:num>
  <w:num w:numId="53">
    <w:abstractNumId w:val="30"/>
  </w:num>
  <w:num w:numId="54">
    <w:abstractNumId w:val="84"/>
  </w:num>
  <w:num w:numId="55">
    <w:abstractNumId w:val="72"/>
  </w:num>
  <w:num w:numId="56">
    <w:abstractNumId w:val="134"/>
  </w:num>
  <w:num w:numId="57">
    <w:abstractNumId w:val="71"/>
  </w:num>
  <w:num w:numId="58">
    <w:abstractNumId w:val="48"/>
  </w:num>
  <w:num w:numId="59">
    <w:abstractNumId w:val="22"/>
  </w:num>
  <w:num w:numId="60">
    <w:abstractNumId w:val="163"/>
  </w:num>
  <w:num w:numId="61">
    <w:abstractNumId w:val="20"/>
  </w:num>
  <w:num w:numId="62">
    <w:abstractNumId w:val="21"/>
  </w:num>
  <w:num w:numId="63">
    <w:abstractNumId w:val="125"/>
  </w:num>
  <w:num w:numId="64">
    <w:abstractNumId w:val="97"/>
  </w:num>
  <w:num w:numId="65">
    <w:abstractNumId w:val="67"/>
  </w:num>
  <w:num w:numId="66">
    <w:abstractNumId w:val="14"/>
  </w:num>
  <w:num w:numId="67">
    <w:abstractNumId w:val="121"/>
  </w:num>
  <w:num w:numId="68">
    <w:abstractNumId w:val="171"/>
  </w:num>
  <w:num w:numId="69">
    <w:abstractNumId w:val="111"/>
  </w:num>
  <w:num w:numId="70">
    <w:abstractNumId w:val="176"/>
  </w:num>
  <w:num w:numId="71">
    <w:abstractNumId w:val="132"/>
  </w:num>
  <w:num w:numId="72">
    <w:abstractNumId w:val="92"/>
  </w:num>
  <w:num w:numId="73">
    <w:abstractNumId w:val="130"/>
  </w:num>
  <w:num w:numId="74">
    <w:abstractNumId w:val="177"/>
  </w:num>
  <w:num w:numId="75">
    <w:abstractNumId w:val="103"/>
  </w:num>
  <w:num w:numId="76">
    <w:abstractNumId w:val="120"/>
  </w:num>
  <w:num w:numId="77">
    <w:abstractNumId w:val="64"/>
  </w:num>
  <w:num w:numId="78">
    <w:abstractNumId w:val="60"/>
  </w:num>
  <w:num w:numId="79">
    <w:abstractNumId w:val="76"/>
  </w:num>
  <w:num w:numId="80">
    <w:abstractNumId w:val="170"/>
  </w:num>
  <w:num w:numId="81">
    <w:abstractNumId w:val="37"/>
  </w:num>
  <w:num w:numId="82">
    <w:abstractNumId w:val="69"/>
  </w:num>
  <w:num w:numId="83">
    <w:abstractNumId w:val="27"/>
  </w:num>
  <w:num w:numId="84">
    <w:abstractNumId w:val="133"/>
  </w:num>
  <w:num w:numId="85">
    <w:abstractNumId w:val="91"/>
  </w:num>
  <w:num w:numId="86">
    <w:abstractNumId w:val="13"/>
  </w:num>
  <w:num w:numId="87">
    <w:abstractNumId w:val="174"/>
  </w:num>
  <w:num w:numId="88">
    <w:abstractNumId w:val="80"/>
  </w:num>
  <w:num w:numId="89">
    <w:abstractNumId w:val="89"/>
  </w:num>
  <w:num w:numId="90">
    <w:abstractNumId w:val="49"/>
  </w:num>
  <w:num w:numId="91">
    <w:abstractNumId w:val="47"/>
  </w:num>
  <w:num w:numId="92">
    <w:abstractNumId w:val="54"/>
  </w:num>
  <w:num w:numId="93">
    <w:abstractNumId w:val="149"/>
  </w:num>
  <w:num w:numId="94">
    <w:abstractNumId w:val="129"/>
  </w:num>
  <w:num w:numId="95">
    <w:abstractNumId w:val="128"/>
  </w:num>
  <w:num w:numId="96">
    <w:abstractNumId w:val="153"/>
  </w:num>
  <w:num w:numId="97">
    <w:abstractNumId w:val="62"/>
  </w:num>
  <w:num w:numId="98">
    <w:abstractNumId w:val="118"/>
  </w:num>
  <w:num w:numId="99">
    <w:abstractNumId w:val="53"/>
  </w:num>
  <w:num w:numId="100">
    <w:abstractNumId w:val="144"/>
  </w:num>
  <w:num w:numId="101">
    <w:abstractNumId w:val="19"/>
  </w:num>
  <w:num w:numId="102">
    <w:abstractNumId w:val="12"/>
  </w:num>
  <w:num w:numId="103">
    <w:abstractNumId w:val="82"/>
  </w:num>
  <w:num w:numId="104">
    <w:abstractNumId w:val="46"/>
  </w:num>
  <w:num w:numId="105">
    <w:abstractNumId w:val="83"/>
  </w:num>
  <w:num w:numId="106">
    <w:abstractNumId w:val="127"/>
  </w:num>
  <w:num w:numId="107">
    <w:abstractNumId w:val="175"/>
  </w:num>
  <w:num w:numId="108">
    <w:abstractNumId w:val="165"/>
  </w:num>
  <w:num w:numId="109">
    <w:abstractNumId w:val="23"/>
  </w:num>
  <w:num w:numId="110">
    <w:abstractNumId w:val="151"/>
  </w:num>
  <w:num w:numId="111">
    <w:abstractNumId w:val="35"/>
  </w:num>
  <w:num w:numId="112">
    <w:abstractNumId w:val="113"/>
  </w:num>
  <w:num w:numId="113">
    <w:abstractNumId w:val="139"/>
  </w:num>
  <w:num w:numId="114">
    <w:abstractNumId w:val="157"/>
  </w:num>
  <w:num w:numId="115">
    <w:abstractNumId w:val="178"/>
  </w:num>
  <w:num w:numId="116">
    <w:abstractNumId w:val="41"/>
  </w:num>
  <w:num w:numId="117">
    <w:abstractNumId w:val="162"/>
  </w:num>
  <w:num w:numId="118">
    <w:abstractNumId w:val="51"/>
  </w:num>
  <w:num w:numId="119">
    <w:abstractNumId w:val="50"/>
  </w:num>
  <w:num w:numId="120">
    <w:abstractNumId w:val="124"/>
  </w:num>
  <w:num w:numId="121">
    <w:abstractNumId w:val="63"/>
  </w:num>
  <w:num w:numId="122">
    <w:abstractNumId w:val="70"/>
  </w:num>
  <w:num w:numId="123">
    <w:abstractNumId w:val="78"/>
  </w:num>
  <w:num w:numId="124">
    <w:abstractNumId w:val="161"/>
  </w:num>
  <w:num w:numId="125">
    <w:abstractNumId w:val="105"/>
  </w:num>
  <w:num w:numId="126">
    <w:abstractNumId w:val="57"/>
  </w:num>
  <w:num w:numId="127">
    <w:abstractNumId w:val="107"/>
  </w:num>
  <w:num w:numId="128">
    <w:abstractNumId w:val="126"/>
  </w:num>
  <w:num w:numId="129">
    <w:abstractNumId w:val="75"/>
  </w:num>
  <w:num w:numId="130">
    <w:abstractNumId w:val="42"/>
  </w:num>
  <w:num w:numId="131">
    <w:abstractNumId w:val="18"/>
  </w:num>
  <w:num w:numId="132">
    <w:abstractNumId w:val="24"/>
  </w:num>
  <w:num w:numId="133">
    <w:abstractNumId w:val="101"/>
  </w:num>
  <w:num w:numId="134">
    <w:abstractNumId w:val="32"/>
  </w:num>
  <w:num w:numId="135">
    <w:abstractNumId w:val="109"/>
  </w:num>
  <w:num w:numId="136">
    <w:abstractNumId w:val="154"/>
  </w:num>
  <w:num w:numId="137">
    <w:abstractNumId w:val="84"/>
  </w:num>
  <w:num w:numId="138">
    <w:abstractNumId w:val="141"/>
  </w:num>
  <w:num w:numId="139">
    <w:abstractNumId w:val="164"/>
  </w:num>
  <w:num w:numId="140">
    <w:abstractNumId w:val="33"/>
  </w:num>
  <w:num w:numId="141">
    <w:abstractNumId w:val="147"/>
  </w:num>
  <w:num w:numId="142">
    <w:abstractNumId w:val="114"/>
  </w:num>
  <w:num w:numId="143">
    <w:abstractNumId w:val="26"/>
  </w:num>
  <w:num w:numId="144">
    <w:abstractNumId w:val="108"/>
  </w:num>
  <w:num w:numId="145">
    <w:abstractNumId w:val="11"/>
  </w:num>
  <w:num w:numId="146">
    <w:abstractNumId w:val="100"/>
  </w:num>
  <w:num w:numId="147">
    <w:abstractNumId w:val="15"/>
  </w:num>
  <w:num w:numId="148">
    <w:abstractNumId w:val="143"/>
  </w:num>
  <w:num w:numId="149">
    <w:abstractNumId w:val="96"/>
  </w:num>
  <w:num w:numId="150">
    <w:abstractNumId w:val="52"/>
  </w:num>
  <w:num w:numId="151">
    <w:abstractNumId w:val="88"/>
  </w:num>
  <w:num w:numId="152">
    <w:abstractNumId w:val="94"/>
  </w:num>
  <w:num w:numId="153">
    <w:abstractNumId w:val="28"/>
  </w:num>
  <w:num w:numId="154">
    <w:abstractNumId w:val="138"/>
  </w:num>
  <w:num w:numId="155">
    <w:abstractNumId w:val="65"/>
  </w:num>
  <w:num w:numId="156">
    <w:abstractNumId w:val="123"/>
  </w:num>
  <w:num w:numId="157">
    <w:abstractNumId w:val="104"/>
  </w:num>
  <w:num w:numId="158">
    <w:abstractNumId w:val="131"/>
  </w:num>
  <w:num w:numId="159">
    <w:abstractNumId w:val="10"/>
  </w:num>
  <w:num w:numId="160">
    <w:abstractNumId w:val="85"/>
  </w:num>
  <w:num w:numId="161">
    <w:abstractNumId w:val="117"/>
  </w:num>
  <w:num w:numId="162">
    <w:abstractNumId w:val="136"/>
  </w:num>
  <w:num w:numId="163">
    <w:abstractNumId w:val="169"/>
  </w:num>
  <w:num w:numId="164">
    <w:abstractNumId w:val="87"/>
  </w:num>
  <w:num w:numId="165">
    <w:abstractNumId w:val="98"/>
  </w:num>
  <w:num w:numId="166">
    <w:abstractNumId w:val="84"/>
  </w:num>
  <w:num w:numId="167">
    <w:abstractNumId w:val="90"/>
  </w:num>
  <w:num w:numId="168">
    <w:abstractNumId w:val="58"/>
  </w:num>
  <w:num w:numId="16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6"/>
  </w:num>
  <w:num w:numId="171">
    <w:abstractNumId w:val="9"/>
  </w:num>
  <w:num w:numId="172">
    <w:abstractNumId w:val="7"/>
  </w:num>
  <w:num w:numId="173">
    <w:abstractNumId w:val="6"/>
  </w:num>
  <w:num w:numId="174">
    <w:abstractNumId w:val="5"/>
  </w:num>
  <w:num w:numId="175">
    <w:abstractNumId w:val="4"/>
  </w:num>
  <w:num w:numId="176">
    <w:abstractNumId w:val="8"/>
  </w:num>
  <w:num w:numId="177">
    <w:abstractNumId w:val="3"/>
  </w:num>
  <w:num w:numId="178">
    <w:abstractNumId w:val="2"/>
  </w:num>
  <w:num w:numId="179">
    <w:abstractNumId w:val="1"/>
  </w:num>
  <w:num w:numId="180">
    <w:abstractNumId w:val="0"/>
  </w:num>
  <w:num w:numId="181">
    <w:abstractNumId w:val="59"/>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2NTM1MjI3MDAyMzBV0lEKTi0uzszPAykwqgUA/tr6/ywAAAA="/>
  </w:docVars>
  <w:rsids>
    <w:rsidRoot w:val="001167A8"/>
    <w:rsid w:val="00000933"/>
    <w:rsid w:val="00000FDE"/>
    <w:rsid w:val="000012C9"/>
    <w:rsid w:val="00003318"/>
    <w:rsid w:val="00003EB2"/>
    <w:rsid w:val="00006721"/>
    <w:rsid w:val="00006C3B"/>
    <w:rsid w:val="000073BE"/>
    <w:rsid w:val="00017551"/>
    <w:rsid w:val="000202EC"/>
    <w:rsid w:val="000231FE"/>
    <w:rsid w:val="0002785A"/>
    <w:rsid w:val="00032A75"/>
    <w:rsid w:val="00032CD2"/>
    <w:rsid w:val="0003603B"/>
    <w:rsid w:val="0003626E"/>
    <w:rsid w:val="00036A0A"/>
    <w:rsid w:val="000426E7"/>
    <w:rsid w:val="0004352C"/>
    <w:rsid w:val="00046E37"/>
    <w:rsid w:val="00047337"/>
    <w:rsid w:val="00052385"/>
    <w:rsid w:val="000529F2"/>
    <w:rsid w:val="0005396A"/>
    <w:rsid w:val="00053C08"/>
    <w:rsid w:val="0005415C"/>
    <w:rsid w:val="000623AA"/>
    <w:rsid w:val="00067A38"/>
    <w:rsid w:val="00070E11"/>
    <w:rsid w:val="00071346"/>
    <w:rsid w:val="00072A83"/>
    <w:rsid w:val="00073C34"/>
    <w:rsid w:val="00076552"/>
    <w:rsid w:val="00080034"/>
    <w:rsid w:val="00081E3C"/>
    <w:rsid w:val="00083F97"/>
    <w:rsid w:val="00087C93"/>
    <w:rsid w:val="000920C7"/>
    <w:rsid w:val="000935F0"/>
    <w:rsid w:val="0009365C"/>
    <w:rsid w:val="00093B1C"/>
    <w:rsid w:val="000A6DA4"/>
    <w:rsid w:val="000A6EFD"/>
    <w:rsid w:val="000B1B8C"/>
    <w:rsid w:val="000B1FF1"/>
    <w:rsid w:val="000B237C"/>
    <w:rsid w:val="000B2C90"/>
    <w:rsid w:val="000B4666"/>
    <w:rsid w:val="000B5124"/>
    <w:rsid w:val="000C1ED7"/>
    <w:rsid w:val="000C48A5"/>
    <w:rsid w:val="000D0DF8"/>
    <w:rsid w:val="000D106B"/>
    <w:rsid w:val="000D3CC4"/>
    <w:rsid w:val="000E2834"/>
    <w:rsid w:val="000E2D3A"/>
    <w:rsid w:val="000E377B"/>
    <w:rsid w:val="000F2A00"/>
    <w:rsid w:val="000F3581"/>
    <w:rsid w:val="000F3648"/>
    <w:rsid w:val="000F368D"/>
    <w:rsid w:val="000F3F82"/>
    <w:rsid w:val="000F69C8"/>
    <w:rsid w:val="000F760D"/>
    <w:rsid w:val="00101838"/>
    <w:rsid w:val="001039D9"/>
    <w:rsid w:val="001059CF"/>
    <w:rsid w:val="00106BEA"/>
    <w:rsid w:val="00110966"/>
    <w:rsid w:val="001112BF"/>
    <w:rsid w:val="00113120"/>
    <w:rsid w:val="001167A8"/>
    <w:rsid w:val="00116D76"/>
    <w:rsid w:val="00117415"/>
    <w:rsid w:val="00117C15"/>
    <w:rsid w:val="00117C90"/>
    <w:rsid w:val="0012059E"/>
    <w:rsid w:val="00120C33"/>
    <w:rsid w:val="0012147B"/>
    <w:rsid w:val="0012291B"/>
    <w:rsid w:val="00124D27"/>
    <w:rsid w:val="001271F5"/>
    <w:rsid w:val="00127A2D"/>
    <w:rsid w:val="00132503"/>
    <w:rsid w:val="0013300F"/>
    <w:rsid w:val="00133037"/>
    <w:rsid w:val="00136F45"/>
    <w:rsid w:val="00141005"/>
    <w:rsid w:val="00141B7F"/>
    <w:rsid w:val="00144B23"/>
    <w:rsid w:val="00150D85"/>
    <w:rsid w:val="00151158"/>
    <w:rsid w:val="00157739"/>
    <w:rsid w:val="00157F3F"/>
    <w:rsid w:val="00170FD6"/>
    <w:rsid w:val="0017159D"/>
    <w:rsid w:val="00173B8B"/>
    <w:rsid w:val="00173FDD"/>
    <w:rsid w:val="001778CE"/>
    <w:rsid w:val="00182B9B"/>
    <w:rsid w:val="00190AC0"/>
    <w:rsid w:val="00190EFD"/>
    <w:rsid w:val="00194BEE"/>
    <w:rsid w:val="0019556D"/>
    <w:rsid w:val="00196A88"/>
    <w:rsid w:val="00196C78"/>
    <w:rsid w:val="001A073E"/>
    <w:rsid w:val="001A1640"/>
    <w:rsid w:val="001A4359"/>
    <w:rsid w:val="001A5DCD"/>
    <w:rsid w:val="001A6E8C"/>
    <w:rsid w:val="001A6F18"/>
    <w:rsid w:val="001B2D08"/>
    <w:rsid w:val="001B66F8"/>
    <w:rsid w:val="001C2D5B"/>
    <w:rsid w:val="001C7C81"/>
    <w:rsid w:val="001D1CB6"/>
    <w:rsid w:val="001D28B4"/>
    <w:rsid w:val="001D3811"/>
    <w:rsid w:val="001D7476"/>
    <w:rsid w:val="001E0162"/>
    <w:rsid w:val="001E12C0"/>
    <w:rsid w:val="001E1E44"/>
    <w:rsid w:val="001E6AD4"/>
    <w:rsid w:val="001F1452"/>
    <w:rsid w:val="001F2ECD"/>
    <w:rsid w:val="001F5226"/>
    <w:rsid w:val="001F526B"/>
    <w:rsid w:val="002024B2"/>
    <w:rsid w:val="00203791"/>
    <w:rsid w:val="00205123"/>
    <w:rsid w:val="002104B8"/>
    <w:rsid w:val="00214BFC"/>
    <w:rsid w:val="002157B8"/>
    <w:rsid w:val="00216245"/>
    <w:rsid w:val="002175D0"/>
    <w:rsid w:val="002177B1"/>
    <w:rsid w:val="00221E62"/>
    <w:rsid w:val="00222ED3"/>
    <w:rsid w:val="00230626"/>
    <w:rsid w:val="00232BBD"/>
    <w:rsid w:val="00237A8F"/>
    <w:rsid w:val="00241CB0"/>
    <w:rsid w:val="00242599"/>
    <w:rsid w:val="00243043"/>
    <w:rsid w:val="0024341E"/>
    <w:rsid w:val="0024684E"/>
    <w:rsid w:val="0024710E"/>
    <w:rsid w:val="00252C3D"/>
    <w:rsid w:val="0025480A"/>
    <w:rsid w:val="002629BA"/>
    <w:rsid w:val="00263D20"/>
    <w:rsid w:val="00270119"/>
    <w:rsid w:val="0027052C"/>
    <w:rsid w:val="00272111"/>
    <w:rsid w:val="00274D01"/>
    <w:rsid w:val="00276061"/>
    <w:rsid w:val="002823DB"/>
    <w:rsid w:val="00283E9D"/>
    <w:rsid w:val="002856DA"/>
    <w:rsid w:val="00285B8E"/>
    <w:rsid w:val="00292059"/>
    <w:rsid w:val="00292FBC"/>
    <w:rsid w:val="0029350F"/>
    <w:rsid w:val="002A4A14"/>
    <w:rsid w:val="002A5C97"/>
    <w:rsid w:val="002A5D08"/>
    <w:rsid w:val="002A62F7"/>
    <w:rsid w:val="002B7177"/>
    <w:rsid w:val="002B743A"/>
    <w:rsid w:val="002C006F"/>
    <w:rsid w:val="002C075A"/>
    <w:rsid w:val="002C0C9D"/>
    <w:rsid w:val="002C1457"/>
    <w:rsid w:val="002C736A"/>
    <w:rsid w:val="002C74B8"/>
    <w:rsid w:val="002D4923"/>
    <w:rsid w:val="002D5222"/>
    <w:rsid w:val="002E15F1"/>
    <w:rsid w:val="002E2867"/>
    <w:rsid w:val="002E3184"/>
    <w:rsid w:val="002E5AC9"/>
    <w:rsid w:val="002E6A59"/>
    <w:rsid w:val="002F13F4"/>
    <w:rsid w:val="002F2A24"/>
    <w:rsid w:val="002F49A7"/>
    <w:rsid w:val="002F4A99"/>
    <w:rsid w:val="002F51BC"/>
    <w:rsid w:val="002F58F8"/>
    <w:rsid w:val="003112AE"/>
    <w:rsid w:val="003116B0"/>
    <w:rsid w:val="00311C85"/>
    <w:rsid w:val="00314BC0"/>
    <w:rsid w:val="00314DAA"/>
    <w:rsid w:val="003164D9"/>
    <w:rsid w:val="00317934"/>
    <w:rsid w:val="003243F4"/>
    <w:rsid w:val="0032465A"/>
    <w:rsid w:val="00327D25"/>
    <w:rsid w:val="00327FE1"/>
    <w:rsid w:val="00331ED3"/>
    <w:rsid w:val="00334ADD"/>
    <w:rsid w:val="00335627"/>
    <w:rsid w:val="003357B4"/>
    <w:rsid w:val="00337C31"/>
    <w:rsid w:val="00341AB0"/>
    <w:rsid w:val="00342526"/>
    <w:rsid w:val="00342BAD"/>
    <w:rsid w:val="0034555D"/>
    <w:rsid w:val="003457D4"/>
    <w:rsid w:val="00350C68"/>
    <w:rsid w:val="003514B5"/>
    <w:rsid w:val="00357544"/>
    <w:rsid w:val="003611D0"/>
    <w:rsid w:val="00361546"/>
    <w:rsid w:val="003638CC"/>
    <w:rsid w:val="003658AF"/>
    <w:rsid w:val="00371B75"/>
    <w:rsid w:val="00371D05"/>
    <w:rsid w:val="00373667"/>
    <w:rsid w:val="00376813"/>
    <w:rsid w:val="00377F0E"/>
    <w:rsid w:val="0038388C"/>
    <w:rsid w:val="00385862"/>
    <w:rsid w:val="0038594F"/>
    <w:rsid w:val="003928DD"/>
    <w:rsid w:val="0039304A"/>
    <w:rsid w:val="00394709"/>
    <w:rsid w:val="00395E28"/>
    <w:rsid w:val="00397125"/>
    <w:rsid w:val="003B08EA"/>
    <w:rsid w:val="003B16EE"/>
    <w:rsid w:val="003B30A2"/>
    <w:rsid w:val="003B4C36"/>
    <w:rsid w:val="003C2063"/>
    <w:rsid w:val="003C4725"/>
    <w:rsid w:val="003C5356"/>
    <w:rsid w:val="003C6319"/>
    <w:rsid w:val="003D0744"/>
    <w:rsid w:val="003D146E"/>
    <w:rsid w:val="003D1C61"/>
    <w:rsid w:val="003D433F"/>
    <w:rsid w:val="003D6624"/>
    <w:rsid w:val="003E37AA"/>
    <w:rsid w:val="003E5908"/>
    <w:rsid w:val="003E6B76"/>
    <w:rsid w:val="003F0632"/>
    <w:rsid w:val="003F76E5"/>
    <w:rsid w:val="003F7A0B"/>
    <w:rsid w:val="003F7AF6"/>
    <w:rsid w:val="004001DB"/>
    <w:rsid w:val="00400713"/>
    <w:rsid w:val="00400982"/>
    <w:rsid w:val="00400DB6"/>
    <w:rsid w:val="00411A28"/>
    <w:rsid w:val="004131AD"/>
    <w:rsid w:val="00413518"/>
    <w:rsid w:val="004135E9"/>
    <w:rsid w:val="0041472B"/>
    <w:rsid w:val="00416C24"/>
    <w:rsid w:val="004216E8"/>
    <w:rsid w:val="00421862"/>
    <w:rsid w:val="00423EBD"/>
    <w:rsid w:val="0042488F"/>
    <w:rsid w:val="0042529F"/>
    <w:rsid w:val="00427620"/>
    <w:rsid w:val="004318A7"/>
    <w:rsid w:val="004326DE"/>
    <w:rsid w:val="00434BA9"/>
    <w:rsid w:val="004351B2"/>
    <w:rsid w:val="00436054"/>
    <w:rsid w:val="004363C4"/>
    <w:rsid w:val="00442CC2"/>
    <w:rsid w:val="00443B74"/>
    <w:rsid w:val="004449F8"/>
    <w:rsid w:val="004461F6"/>
    <w:rsid w:val="00460FCA"/>
    <w:rsid w:val="004650F7"/>
    <w:rsid w:val="00466977"/>
    <w:rsid w:val="00466B4C"/>
    <w:rsid w:val="00472147"/>
    <w:rsid w:val="00474C70"/>
    <w:rsid w:val="0047590B"/>
    <w:rsid w:val="004818F0"/>
    <w:rsid w:val="004836CC"/>
    <w:rsid w:val="00485814"/>
    <w:rsid w:val="00487B08"/>
    <w:rsid w:val="004923E8"/>
    <w:rsid w:val="004A05D7"/>
    <w:rsid w:val="004A0E1F"/>
    <w:rsid w:val="004A1101"/>
    <w:rsid w:val="004A334A"/>
    <w:rsid w:val="004A380C"/>
    <w:rsid w:val="004A5C17"/>
    <w:rsid w:val="004A5FCD"/>
    <w:rsid w:val="004A6878"/>
    <w:rsid w:val="004B0E54"/>
    <w:rsid w:val="004B385F"/>
    <w:rsid w:val="004B3B0C"/>
    <w:rsid w:val="004B67E8"/>
    <w:rsid w:val="004C0591"/>
    <w:rsid w:val="004D1CF3"/>
    <w:rsid w:val="004D307F"/>
    <w:rsid w:val="004D40EA"/>
    <w:rsid w:val="004D6760"/>
    <w:rsid w:val="004E099D"/>
    <w:rsid w:val="004E1F6F"/>
    <w:rsid w:val="004E385A"/>
    <w:rsid w:val="004E59C0"/>
    <w:rsid w:val="004F47C4"/>
    <w:rsid w:val="004F5307"/>
    <w:rsid w:val="004F6241"/>
    <w:rsid w:val="004F6329"/>
    <w:rsid w:val="004F6FD9"/>
    <w:rsid w:val="004F70E5"/>
    <w:rsid w:val="00501661"/>
    <w:rsid w:val="00502021"/>
    <w:rsid w:val="005058ED"/>
    <w:rsid w:val="005142CB"/>
    <w:rsid w:val="005145AE"/>
    <w:rsid w:val="00517905"/>
    <w:rsid w:val="0052364D"/>
    <w:rsid w:val="00526ED5"/>
    <w:rsid w:val="005278A5"/>
    <w:rsid w:val="00531290"/>
    <w:rsid w:val="00532A6E"/>
    <w:rsid w:val="005330CA"/>
    <w:rsid w:val="005332CC"/>
    <w:rsid w:val="00533493"/>
    <w:rsid w:val="00540CC9"/>
    <w:rsid w:val="00541C39"/>
    <w:rsid w:val="00543B08"/>
    <w:rsid w:val="00543F1A"/>
    <w:rsid w:val="00544BD2"/>
    <w:rsid w:val="00545553"/>
    <w:rsid w:val="00550811"/>
    <w:rsid w:val="00550BA5"/>
    <w:rsid w:val="00554F86"/>
    <w:rsid w:val="005566AB"/>
    <w:rsid w:val="00557615"/>
    <w:rsid w:val="00557B7E"/>
    <w:rsid w:val="005638EC"/>
    <w:rsid w:val="00565BC7"/>
    <w:rsid w:val="00570DE3"/>
    <w:rsid w:val="00571959"/>
    <w:rsid w:val="005722F0"/>
    <w:rsid w:val="00577C8C"/>
    <w:rsid w:val="00580823"/>
    <w:rsid w:val="00591E6F"/>
    <w:rsid w:val="00592FBD"/>
    <w:rsid w:val="00595AD4"/>
    <w:rsid w:val="005965D3"/>
    <w:rsid w:val="00596BEB"/>
    <w:rsid w:val="005A2BF2"/>
    <w:rsid w:val="005A2F6A"/>
    <w:rsid w:val="005A5270"/>
    <w:rsid w:val="005A7E0A"/>
    <w:rsid w:val="005B0A79"/>
    <w:rsid w:val="005B0FCB"/>
    <w:rsid w:val="005B40E3"/>
    <w:rsid w:val="005B4DAC"/>
    <w:rsid w:val="005B5651"/>
    <w:rsid w:val="005B6592"/>
    <w:rsid w:val="005C36EC"/>
    <w:rsid w:val="005C38F1"/>
    <w:rsid w:val="005C6424"/>
    <w:rsid w:val="005D0FF4"/>
    <w:rsid w:val="005D4751"/>
    <w:rsid w:val="005D4991"/>
    <w:rsid w:val="005D5CA5"/>
    <w:rsid w:val="005D5E2A"/>
    <w:rsid w:val="005D7FA9"/>
    <w:rsid w:val="005E0A83"/>
    <w:rsid w:val="005E2AEF"/>
    <w:rsid w:val="005E4075"/>
    <w:rsid w:val="005E41D9"/>
    <w:rsid w:val="005E6F9E"/>
    <w:rsid w:val="005F3BD1"/>
    <w:rsid w:val="006016E7"/>
    <w:rsid w:val="00604C60"/>
    <w:rsid w:val="006111BC"/>
    <w:rsid w:val="0061200A"/>
    <w:rsid w:val="0061396E"/>
    <w:rsid w:val="0061578B"/>
    <w:rsid w:val="00622B85"/>
    <w:rsid w:val="0062549B"/>
    <w:rsid w:val="00630AFB"/>
    <w:rsid w:val="00642F26"/>
    <w:rsid w:val="00643F23"/>
    <w:rsid w:val="00645F5C"/>
    <w:rsid w:val="00647031"/>
    <w:rsid w:val="00647527"/>
    <w:rsid w:val="00651EB2"/>
    <w:rsid w:val="006537F9"/>
    <w:rsid w:val="00654965"/>
    <w:rsid w:val="006618E7"/>
    <w:rsid w:val="006717C9"/>
    <w:rsid w:val="006757E9"/>
    <w:rsid w:val="00677474"/>
    <w:rsid w:val="006804FE"/>
    <w:rsid w:val="006821A1"/>
    <w:rsid w:val="00683C9C"/>
    <w:rsid w:val="006865F7"/>
    <w:rsid w:val="006870DA"/>
    <w:rsid w:val="00691ECB"/>
    <w:rsid w:val="006920FD"/>
    <w:rsid w:val="006930AA"/>
    <w:rsid w:val="006951C5"/>
    <w:rsid w:val="0069699F"/>
    <w:rsid w:val="006A2D0B"/>
    <w:rsid w:val="006A37EC"/>
    <w:rsid w:val="006A4A67"/>
    <w:rsid w:val="006A5663"/>
    <w:rsid w:val="006A6A87"/>
    <w:rsid w:val="006A743D"/>
    <w:rsid w:val="006B4B01"/>
    <w:rsid w:val="006B4D52"/>
    <w:rsid w:val="006C05C4"/>
    <w:rsid w:val="006C1522"/>
    <w:rsid w:val="006C2643"/>
    <w:rsid w:val="006C3C0D"/>
    <w:rsid w:val="006C6484"/>
    <w:rsid w:val="006C7CCA"/>
    <w:rsid w:val="006D204B"/>
    <w:rsid w:val="006D5A1E"/>
    <w:rsid w:val="006D6E02"/>
    <w:rsid w:val="006D7561"/>
    <w:rsid w:val="006E0408"/>
    <w:rsid w:val="006E043B"/>
    <w:rsid w:val="006E113F"/>
    <w:rsid w:val="006E12BC"/>
    <w:rsid w:val="006E3D8D"/>
    <w:rsid w:val="006E5C9C"/>
    <w:rsid w:val="006F0836"/>
    <w:rsid w:val="006F2DF7"/>
    <w:rsid w:val="006F2ECF"/>
    <w:rsid w:val="006F7D3A"/>
    <w:rsid w:val="00701354"/>
    <w:rsid w:val="007016CD"/>
    <w:rsid w:val="00702D34"/>
    <w:rsid w:val="007106F7"/>
    <w:rsid w:val="00711257"/>
    <w:rsid w:val="0071357E"/>
    <w:rsid w:val="00717502"/>
    <w:rsid w:val="00720CAE"/>
    <w:rsid w:val="00722DF8"/>
    <w:rsid w:val="0072395F"/>
    <w:rsid w:val="007268DF"/>
    <w:rsid w:val="00731961"/>
    <w:rsid w:val="00732833"/>
    <w:rsid w:val="0073330A"/>
    <w:rsid w:val="0073434C"/>
    <w:rsid w:val="00734929"/>
    <w:rsid w:val="00735771"/>
    <w:rsid w:val="007357F3"/>
    <w:rsid w:val="00735FF8"/>
    <w:rsid w:val="00740CCF"/>
    <w:rsid w:val="0074199F"/>
    <w:rsid w:val="007432EF"/>
    <w:rsid w:val="00745BCF"/>
    <w:rsid w:val="00745DC1"/>
    <w:rsid w:val="0076061C"/>
    <w:rsid w:val="0076400D"/>
    <w:rsid w:val="00764441"/>
    <w:rsid w:val="007648E4"/>
    <w:rsid w:val="007653AF"/>
    <w:rsid w:val="007667A1"/>
    <w:rsid w:val="0076693A"/>
    <w:rsid w:val="00773778"/>
    <w:rsid w:val="00777BB8"/>
    <w:rsid w:val="00786EBB"/>
    <w:rsid w:val="00787CC6"/>
    <w:rsid w:val="007920FC"/>
    <w:rsid w:val="00793765"/>
    <w:rsid w:val="007937E1"/>
    <w:rsid w:val="00796B97"/>
    <w:rsid w:val="007A1176"/>
    <w:rsid w:val="007A4272"/>
    <w:rsid w:val="007A6795"/>
    <w:rsid w:val="007A7B8A"/>
    <w:rsid w:val="007B0638"/>
    <w:rsid w:val="007B0EF6"/>
    <w:rsid w:val="007B15AC"/>
    <w:rsid w:val="007B1D0F"/>
    <w:rsid w:val="007B3D11"/>
    <w:rsid w:val="007C3D85"/>
    <w:rsid w:val="007C6B18"/>
    <w:rsid w:val="007D4E66"/>
    <w:rsid w:val="007E0BC0"/>
    <w:rsid w:val="007E3304"/>
    <w:rsid w:val="007E6349"/>
    <w:rsid w:val="007F05D2"/>
    <w:rsid w:val="007F0F4A"/>
    <w:rsid w:val="007F1D90"/>
    <w:rsid w:val="007F4CBA"/>
    <w:rsid w:val="007F66A6"/>
    <w:rsid w:val="007F7D21"/>
    <w:rsid w:val="0080004A"/>
    <w:rsid w:val="00800331"/>
    <w:rsid w:val="00803741"/>
    <w:rsid w:val="00803A89"/>
    <w:rsid w:val="0080519D"/>
    <w:rsid w:val="0081228D"/>
    <w:rsid w:val="00820471"/>
    <w:rsid w:val="008205DE"/>
    <w:rsid w:val="008254A8"/>
    <w:rsid w:val="00825BAF"/>
    <w:rsid w:val="0082626F"/>
    <w:rsid w:val="00827DC4"/>
    <w:rsid w:val="008318CA"/>
    <w:rsid w:val="00837558"/>
    <w:rsid w:val="00842992"/>
    <w:rsid w:val="00845A32"/>
    <w:rsid w:val="008503A1"/>
    <w:rsid w:val="0085324B"/>
    <w:rsid w:val="00854998"/>
    <w:rsid w:val="008552BC"/>
    <w:rsid w:val="0086478A"/>
    <w:rsid w:val="00865FB6"/>
    <w:rsid w:val="0086763C"/>
    <w:rsid w:val="00867C39"/>
    <w:rsid w:val="00870E1E"/>
    <w:rsid w:val="00871288"/>
    <w:rsid w:val="0087250D"/>
    <w:rsid w:val="0087312C"/>
    <w:rsid w:val="00875C66"/>
    <w:rsid w:val="00877911"/>
    <w:rsid w:val="00885B2C"/>
    <w:rsid w:val="00887F85"/>
    <w:rsid w:val="00891D19"/>
    <w:rsid w:val="0089477A"/>
    <w:rsid w:val="008A20A1"/>
    <w:rsid w:val="008A501C"/>
    <w:rsid w:val="008A6CE0"/>
    <w:rsid w:val="008A7098"/>
    <w:rsid w:val="008B6E47"/>
    <w:rsid w:val="008B7566"/>
    <w:rsid w:val="008C0D71"/>
    <w:rsid w:val="008C1C30"/>
    <w:rsid w:val="008C1E4F"/>
    <w:rsid w:val="008C20E6"/>
    <w:rsid w:val="008C477F"/>
    <w:rsid w:val="008C6E3C"/>
    <w:rsid w:val="008D0E24"/>
    <w:rsid w:val="008D5FCB"/>
    <w:rsid w:val="008D628E"/>
    <w:rsid w:val="008D7FC5"/>
    <w:rsid w:val="008E399B"/>
    <w:rsid w:val="008E4E70"/>
    <w:rsid w:val="008E738F"/>
    <w:rsid w:val="008E7838"/>
    <w:rsid w:val="008F2466"/>
    <w:rsid w:val="008F4825"/>
    <w:rsid w:val="00902C6B"/>
    <w:rsid w:val="0090506F"/>
    <w:rsid w:val="0091293B"/>
    <w:rsid w:val="009141FD"/>
    <w:rsid w:val="009144B7"/>
    <w:rsid w:val="00916320"/>
    <w:rsid w:val="00920576"/>
    <w:rsid w:val="009212A4"/>
    <w:rsid w:val="00922FC2"/>
    <w:rsid w:val="0092304F"/>
    <w:rsid w:val="00930482"/>
    <w:rsid w:val="00930B6B"/>
    <w:rsid w:val="00933AC3"/>
    <w:rsid w:val="00934E2E"/>
    <w:rsid w:val="00936D06"/>
    <w:rsid w:val="0094136D"/>
    <w:rsid w:val="00944A9C"/>
    <w:rsid w:val="00945D4C"/>
    <w:rsid w:val="0094634B"/>
    <w:rsid w:val="00946FE5"/>
    <w:rsid w:val="00947063"/>
    <w:rsid w:val="00947647"/>
    <w:rsid w:val="009508E3"/>
    <w:rsid w:val="00950931"/>
    <w:rsid w:val="00953812"/>
    <w:rsid w:val="00953A7E"/>
    <w:rsid w:val="009540CB"/>
    <w:rsid w:val="00954B65"/>
    <w:rsid w:val="009607D7"/>
    <w:rsid w:val="00960A69"/>
    <w:rsid w:val="00961B80"/>
    <w:rsid w:val="00962104"/>
    <w:rsid w:val="0096466B"/>
    <w:rsid w:val="00966C65"/>
    <w:rsid w:val="00971F3D"/>
    <w:rsid w:val="009753DC"/>
    <w:rsid w:val="009758B9"/>
    <w:rsid w:val="00976FD5"/>
    <w:rsid w:val="009817C3"/>
    <w:rsid w:val="00983CC8"/>
    <w:rsid w:val="00985091"/>
    <w:rsid w:val="009866A7"/>
    <w:rsid w:val="00987916"/>
    <w:rsid w:val="00990116"/>
    <w:rsid w:val="00991B22"/>
    <w:rsid w:val="00992D19"/>
    <w:rsid w:val="00993130"/>
    <w:rsid w:val="00993FB3"/>
    <w:rsid w:val="00996321"/>
    <w:rsid w:val="009A130D"/>
    <w:rsid w:val="009A26CF"/>
    <w:rsid w:val="009A31A7"/>
    <w:rsid w:val="009A3AC6"/>
    <w:rsid w:val="009A4715"/>
    <w:rsid w:val="009A4969"/>
    <w:rsid w:val="009A4CFA"/>
    <w:rsid w:val="009A70F7"/>
    <w:rsid w:val="009B124F"/>
    <w:rsid w:val="009B1B1C"/>
    <w:rsid w:val="009B2D25"/>
    <w:rsid w:val="009B4FB8"/>
    <w:rsid w:val="009B668A"/>
    <w:rsid w:val="009C379F"/>
    <w:rsid w:val="009C610B"/>
    <w:rsid w:val="009C7551"/>
    <w:rsid w:val="009D1411"/>
    <w:rsid w:val="009D3396"/>
    <w:rsid w:val="009D3F6B"/>
    <w:rsid w:val="009E0FA9"/>
    <w:rsid w:val="009E32AE"/>
    <w:rsid w:val="009E5A39"/>
    <w:rsid w:val="009E615E"/>
    <w:rsid w:val="009E681D"/>
    <w:rsid w:val="009F12E0"/>
    <w:rsid w:val="009F6D1E"/>
    <w:rsid w:val="00A015BD"/>
    <w:rsid w:val="00A113C0"/>
    <w:rsid w:val="00A11F95"/>
    <w:rsid w:val="00A12061"/>
    <w:rsid w:val="00A1372D"/>
    <w:rsid w:val="00A158D2"/>
    <w:rsid w:val="00A15BDF"/>
    <w:rsid w:val="00A22085"/>
    <w:rsid w:val="00A22876"/>
    <w:rsid w:val="00A2334C"/>
    <w:rsid w:val="00A23F6B"/>
    <w:rsid w:val="00A257E0"/>
    <w:rsid w:val="00A266A0"/>
    <w:rsid w:val="00A35420"/>
    <w:rsid w:val="00A41097"/>
    <w:rsid w:val="00A41342"/>
    <w:rsid w:val="00A45EB1"/>
    <w:rsid w:val="00A46A99"/>
    <w:rsid w:val="00A515CE"/>
    <w:rsid w:val="00A53BF9"/>
    <w:rsid w:val="00A56EA7"/>
    <w:rsid w:val="00A61A0C"/>
    <w:rsid w:val="00A61BF4"/>
    <w:rsid w:val="00A641BD"/>
    <w:rsid w:val="00A65133"/>
    <w:rsid w:val="00A67A58"/>
    <w:rsid w:val="00A72674"/>
    <w:rsid w:val="00A77971"/>
    <w:rsid w:val="00A82D75"/>
    <w:rsid w:val="00A8797A"/>
    <w:rsid w:val="00A9180D"/>
    <w:rsid w:val="00A92C40"/>
    <w:rsid w:val="00A95154"/>
    <w:rsid w:val="00A954D8"/>
    <w:rsid w:val="00A966AD"/>
    <w:rsid w:val="00A97F91"/>
    <w:rsid w:val="00AA14CA"/>
    <w:rsid w:val="00AA4D4B"/>
    <w:rsid w:val="00AA54CC"/>
    <w:rsid w:val="00AB4323"/>
    <w:rsid w:val="00AB56A8"/>
    <w:rsid w:val="00AB7BB2"/>
    <w:rsid w:val="00AC2E56"/>
    <w:rsid w:val="00AC5BCB"/>
    <w:rsid w:val="00AD03DE"/>
    <w:rsid w:val="00AD16F0"/>
    <w:rsid w:val="00AD1818"/>
    <w:rsid w:val="00AD25F3"/>
    <w:rsid w:val="00AD6B17"/>
    <w:rsid w:val="00AE36FE"/>
    <w:rsid w:val="00AE3868"/>
    <w:rsid w:val="00AE5803"/>
    <w:rsid w:val="00AF025A"/>
    <w:rsid w:val="00AF1F09"/>
    <w:rsid w:val="00AF24FC"/>
    <w:rsid w:val="00AF6410"/>
    <w:rsid w:val="00B0116D"/>
    <w:rsid w:val="00B0156B"/>
    <w:rsid w:val="00B046EE"/>
    <w:rsid w:val="00B05338"/>
    <w:rsid w:val="00B12348"/>
    <w:rsid w:val="00B125AF"/>
    <w:rsid w:val="00B129DC"/>
    <w:rsid w:val="00B13202"/>
    <w:rsid w:val="00B15241"/>
    <w:rsid w:val="00B21CA6"/>
    <w:rsid w:val="00B24032"/>
    <w:rsid w:val="00B241D3"/>
    <w:rsid w:val="00B24721"/>
    <w:rsid w:val="00B25992"/>
    <w:rsid w:val="00B2707E"/>
    <w:rsid w:val="00B31C84"/>
    <w:rsid w:val="00B421F2"/>
    <w:rsid w:val="00B449D7"/>
    <w:rsid w:val="00B473C1"/>
    <w:rsid w:val="00B52991"/>
    <w:rsid w:val="00B5354D"/>
    <w:rsid w:val="00B54779"/>
    <w:rsid w:val="00B55C31"/>
    <w:rsid w:val="00B5606E"/>
    <w:rsid w:val="00B566E7"/>
    <w:rsid w:val="00B5762C"/>
    <w:rsid w:val="00B605AD"/>
    <w:rsid w:val="00B614CB"/>
    <w:rsid w:val="00B61E94"/>
    <w:rsid w:val="00B63F2C"/>
    <w:rsid w:val="00B6662C"/>
    <w:rsid w:val="00B67D77"/>
    <w:rsid w:val="00B73652"/>
    <w:rsid w:val="00B77069"/>
    <w:rsid w:val="00B81AAF"/>
    <w:rsid w:val="00B846F8"/>
    <w:rsid w:val="00B84ACC"/>
    <w:rsid w:val="00B8658A"/>
    <w:rsid w:val="00B8745E"/>
    <w:rsid w:val="00B93959"/>
    <w:rsid w:val="00BA2190"/>
    <w:rsid w:val="00BA2950"/>
    <w:rsid w:val="00BA44E5"/>
    <w:rsid w:val="00BA4FA2"/>
    <w:rsid w:val="00BA5750"/>
    <w:rsid w:val="00BB1A60"/>
    <w:rsid w:val="00BB42B7"/>
    <w:rsid w:val="00BB47D9"/>
    <w:rsid w:val="00BB5BE4"/>
    <w:rsid w:val="00BB6150"/>
    <w:rsid w:val="00BC0116"/>
    <w:rsid w:val="00BC1042"/>
    <w:rsid w:val="00BC3588"/>
    <w:rsid w:val="00BC385F"/>
    <w:rsid w:val="00BC5F5F"/>
    <w:rsid w:val="00BC6155"/>
    <w:rsid w:val="00BC6C91"/>
    <w:rsid w:val="00BD04CA"/>
    <w:rsid w:val="00BD0831"/>
    <w:rsid w:val="00BD1262"/>
    <w:rsid w:val="00BD1530"/>
    <w:rsid w:val="00BD43A2"/>
    <w:rsid w:val="00BD50A1"/>
    <w:rsid w:val="00BE29E7"/>
    <w:rsid w:val="00BE358B"/>
    <w:rsid w:val="00BE4714"/>
    <w:rsid w:val="00BE4C65"/>
    <w:rsid w:val="00BE77A1"/>
    <w:rsid w:val="00BF0EE8"/>
    <w:rsid w:val="00BF1637"/>
    <w:rsid w:val="00C002DD"/>
    <w:rsid w:val="00C02DB9"/>
    <w:rsid w:val="00C05DD4"/>
    <w:rsid w:val="00C07075"/>
    <w:rsid w:val="00C116FE"/>
    <w:rsid w:val="00C13317"/>
    <w:rsid w:val="00C16EED"/>
    <w:rsid w:val="00C23301"/>
    <w:rsid w:val="00C30C5F"/>
    <w:rsid w:val="00C31DB5"/>
    <w:rsid w:val="00C32B87"/>
    <w:rsid w:val="00C33589"/>
    <w:rsid w:val="00C34127"/>
    <w:rsid w:val="00C35771"/>
    <w:rsid w:val="00C358CE"/>
    <w:rsid w:val="00C370BC"/>
    <w:rsid w:val="00C37A79"/>
    <w:rsid w:val="00C4053B"/>
    <w:rsid w:val="00C42D86"/>
    <w:rsid w:val="00C43BE1"/>
    <w:rsid w:val="00C521AA"/>
    <w:rsid w:val="00C537C4"/>
    <w:rsid w:val="00C53D2A"/>
    <w:rsid w:val="00C53D64"/>
    <w:rsid w:val="00C55926"/>
    <w:rsid w:val="00C60A9C"/>
    <w:rsid w:val="00C614D8"/>
    <w:rsid w:val="00C63679"/>
    <w:rsid w:val="00C638D8"/>
    <w:rsid w:val="00C64A4E"/>
    <w:rsid w:val="00C71CF6"/>
    <w:rsid w:val="00C74227"/>
    <w:rsid w:val="00C80E5A"/>
    <w:rsid w:val="00C82A09"/>
    <w:rsid w:val="00C837D8"/>
    <w:rsid w:val="00C8414A"/>
    <w:rsid w:val="00C9456F"/>
    <w:rsid w:val="00C95606"/>
    <w:rsid w:val="00C95C6E"/>
    <w:rsid w:val="00C96EF4"/>
    <w:rsid w:val="00C97565"/>
    <w:rsid w:val="00CA0A0C"/>
    <w:rsid w:val="00CA1FF9"/>
    <w:rsid w:val="00CA202D"/>
    <w:rsid w:val="00CA2F05"/>
    <w:rsid w:val="00CA42BD"/>
    <w:rsid w:val="00CA476D"/>
    <w:rsid w:val="00CA677C"/>
    <w:rsid w:val="00CA6F96"/>
    <w:rsid w:val="00CB1045"/>
    <w:rsid w:val="00CB2BF3"/>
    <w:rsid w:val="00CB3350"/>
    <w:rsid w:val="00CB38EB"/>
    <w:rsid w:val="00CB5C2F"/>
    <w:rsid w:val="00CC07DD"/>
    <w:rsid w:val="00CC1030"/>
    <w:rsid w:val="00CC1433"/>
    <w:rsid w:val="00CC1F05"/>
    <w:rsid w:val="00CC32D2"/>
    <w:rsid w:val="00CC34D4"/>
    <w:rsid w:val="00CC53FD"/>
    <w:rsid w:val="00CC5894"/>
    <w:rsid w:val="00CC77CA"/>
    <w:rsid w:val="00CD0853"/>
    <w:rsid w:val="00CD4CD9"/>
    <w:rsid w:val="00CD5D36"/>
    <w:rsid w:val="00CD6DD9"/>
    <w:rsid w:val="00CE13CE"/>
    <w:rsid w:val="00CE1887"/>
    <w:rsid w:val="00CE3A3F"/>
    <w:rsid w:val="00CE4DD7"/>
    <w:rsid w:val="00CE4F76"/>
    <w:rsid w:val="00CE78A9"/>
    <w:rsid w:val="00CF1CCA"/>
    <w:rsid w:val="00CF603A"/>
    <w:rsid w:val="00D0026E"/>
    <w:rsid w:val="00D145D1"/>
    <w:rsid w:val="00D14A94"/>
    <w:rsid w:val="00D17353"/>
    <w:rsid w:val="00D22D9F"/>
    <w:rsid w:val="00D25027"/>
    <w:rsid w:val="00D36A42"/>
    <w:rsid w:val="00D37D07"/>
    <w:rsid w:val="00D37FD1"/>
    <w:rsid w:val="00D429CE"/>
    <w:rsid w:val="00D44C90"/>
    <w:rsid w:val="00D47403"/>
    <w:rsid w:val="00D5064D"/>
    <w:rsid w:val="00D56CEA"/>
    <w:rsid w:val="00D56F2A"/>
    <w:rsid w:val="00D57242"/>
    <w:rsid w:val="00D603B5"/>
    <w:rsid w:val="00D62581"/>
    <w:rsid w:val="00D62E8F"/>
    <w:rsid w:val="00D666FF"/>
    <w:rsid w:val="00D67E51"/>
    <w:rsid w:val="00D71AF6"/>
    <w:rsid w:val="00D7249E"/>
    <w:rsid w:val="00D72EEB"/>
    <w:rsid w:val="00D73BC0"/>
    <w:rsid w:val="00D753F7"/>
    <w:rsid w:val="00D8139D"/>
    <w:rsid w:val="00D82973"/>
    <w:rsid w:val="00D836DB"/>
    <w:rsid w:val="00D8442E"/>
    <w:rsid w:val="00D84794"/>
    <w:rsid w:val="00D855AF"/>
    <w:rsid w:val="00D85A5B"/>
    <w:rsid w:val="00D871F9"/>
    <w:rsid w:val="00D90311"/>
    <w:rsid w:val="00D905F3"/>
    <w:rsid w:val="00D92EC8"/>
    <w:rsid w:val="00D93949"/>
    <w:rsid w:val="00D9699C"/>
    <w:rsid w:val="00D97AC3"/>
    <w:rsid w:val="00DA1745"/>
    <w:rsid w:val="00DA20FD"/>
    <w:rsid w:val="00DA3AE6"/>
    <w:rsid w:val="00DA69E7"/>
    <w:rsid w:val="00DB1ECE"/>
    <w:rsid w:val="00DB47A1"/>
    <w:rsid w:val="00DB5C39"/>
    <w:rsid w:val="00DB5CA6"/>
    <w:rsid w:val="00DB7539"/>
    <w:rsid w:val="00DB7B5B"/>
    <w:rsid w:val="00DC1403"/>
    <w:rsid w:val="00DC4BCB"/>
    <w:rsid w:val="00DC5B1F"/>
    <w:rsid w:val="00DC5ED6"/>
    <w:rsid w:val="00DD0198"/>
    <w:rsid w:val="00DD239B"/>
    <w:rsid w:val="00DD35AA"/>
    <w:rsid w:val="00DD3790"/>
    <w:rsid w:val="00DD45EC"/>
    <w:rsid w:val="00DD4FDB"/>
    <w:rsid w:val="00DD54B0"/>
    <w:rsid w:val="00DD5A70"/>
    <w:rsid w:val="00DD62EE"/>
    <w:rsid w:val="00DD7C2D"/>
    <w:rsid w:val="00DD7ED8"/>
    <w:rsid w:val="00DE1813"/>
    <w:rsid w:val="00DE701E"/>
    <w:rsid w:val="00DF01DE"/>
    <w:rsid w:val="00DF2C5A"/>
    <w:rsid w:val="00DF605D"/>
    <w:rsid w:val="00DF6FB6"/>
    <w:rsid w:val="00DF78FB"/>
    <w:rsid w:val="00E000E8"/>
    <w:rsid w:val="00E072B7"/>
    <w:rsid w:val="00E11795"/>
    <w:rsid w:val="00E14875"/>
    <w:rsid w:val="00E14C13"/>
    <w:rsid w:val="00E15ED5"/>
    <w:rsid w:val="00E16BB3"/>
    <w:rsid w:val="00E177EC"/>
    <w:rsid w:val="00E2153A"/>
    <w:rsid w:val="00E22070"/>
    <w:rsid w:val="00E24F78"/>
    <w:rsid w:val="00E32723"/>
    <w:rsid w:val="00E36784"/>
    <w:rsid w:val="00E40973"/>
    <w:rsid w:val="00E42436"/>
    <w:rsid w:val="00E42675"/>
    <w:rsid w:val="00E42F06"/>
    <w:rsid w:val="00E44A5A"/>
    <w:rsid w:val="00E47D1A"/>
    <w:rsid w:val="00E47FC7"/>
    <w:rsid w:val="00E54AA9"/>
    <w:rsid w:val="00E61F6A"/>
    <w:rsid w:val="00E63531"/>
    <w:rsid w:val="00E67D70"/>
    <w:rsid w:val="00E70DB3"/>
    <w:rsid w:val="00E70EC6"/>
    <w:rsid w:val="00E71622"/>
    <w:rsid w:val="00E72D67"/>
    <w:rsid w:val="00E74517"/>
    <w:rsid w:val="00E75C41"/>
    <w:rsid w:val="00E75F12"/>
    <w:rsid w:val="00E76EB2"/>
    <w:rsid w:val="00E86406"/>
    <w:rsid w:val="00E87536"/>
    <w:rsid w:val="00E913EB"/>
    <w:rsid w:val="00E923C4"/>
    <w:rsid w:val="00E92D87"/>
    <w:rsid w:val="00E9633D"/>
    <w:rsid w:val="00E96E5D"/>
    <w:rsid w:val="00EA2308"/>
    <w:rsid w:val="00EA2B94"/>
    <w:rsid w:val="00EA34C0"/>
    <w:rsid w:val="00EA42F1"/>
    <w:rsid w:val="00EA6F80"/>
    <w:rsid w:val="00EA7A43"/>
    <w:rsid w:val="00EC0EB3"/>
    <w:rsid w:val="00EC143E"/>
    <w:rsid w:val="00EC1445"/>
    <w:rsid w:val="00EC7A25"/>
    <w:rsid w:val="00ED0863"/>
    <w:rsid w:val="00ED2F0A"/>
    <w:rsid w:val="00ED4312"/>
    <w:rsid w:val="00ED4653"/>
    <w:rsid w:val="00ED4ED2"/>
    <w:rsid w:val="00ED5B56"/>
    <w:rsid w:val="00ED7496"/>
    <w:rsid w:val="00EE01F0"/>
    <w:rsid w:val="00EE0B25"/>
    <w:rsid w:val="00EE757E"/>
    <w:rsid w:val="00EE7EDD"/>
    <w:rsid w:val="00EF1322"/>
    <w:rsid w:val="00EF15DF"/>
    <w:rsid w:val="00EF1AD6"/>
    <w:rsid w:val="00EF3F0C"/>
    <w:rsid w:val="00EF40DA"/>
    <w:rsid w:val="00F01784"/>
    <w:rsid w:val="00F01BB5"/>
    <w:rsid w:val="00F04286"/>
    <w:rsid w:val="00F12663"/>
    <w:rsid w:val="00F126FF"/>
    <w:rsid w:val="00F12C7A"/>
    <w:rsid w:val="00F14857"/>
    <w:rsid w:val="00F148B2"/>
    <w:rsid w:val="00F1688C"/>
    <w:rsid w:val="00F1729B"/>
    <w:rsid w:val="00F173EC"/>
    <w:rsid w:val="00F1742D"/>
    <w:rsid w:val="00F20EC8"/>
    <w:rsid w:val="00F21FD8"/>
    <w:rsid w:val="00F24B13"/>
    <w:rsid w:val="00F27577"/>
    <w:rsid w:val="00F303E2"/>
    <w:rsid w:val="00F32009"/>
    <w:rsid w:val="00F324DE"/>
    <w:rsid w:val="00F343E8"/>
    <w:rsid w:val="00F34CE4"/>
    <w:rsid w:val="00F35586"/>
    <w:rsid w:val="00F42077"/>
    <w:rsid w:val="00F42171"/>
    <w:rsid w:val="00F43093"/>
    <w:rsid w:val="00F45270"/>
    <w:rsid w:val="00F53074"/>
    <w:rsid w:val="00F640B5"/>
    <w:rsid w:val="00F651B8"/>
    <w:rsid w:val="00F66851"/>
    <w:rsid w:val="00F70E7B"/>
    <w:rsid w:val="00F74042"/>
    <w:rsid w:val="00F7405B"/>
    <w:rsid w:val="00F75BD6"/>
    <w:rsid w:val="00F76074"/>
    <w:rsid w:val="00F80BBD"/>
    <w:rsid w:val="00F80C3F"/>
    <w:rsid w:val="00F81F24"/>
    <w:rsid w:val="00F8251A"/>
    <w:rsid w:val="00F82BE0"/>
    <w:rsid w:val="00F83D66"/>
    <w:rsid w:val="00F84D7F"/>
    <w:rsid w:val="00F85311"/>
    <w:rsid w:val="00F8662F"/>
    <w:rsid w:val="00FA1F1F"/>
    <w:rsid w:val="00FA4946"/>
    <w:rsid w:val="00FB0D57"/>
    <w:rsid w:val="00FB4222"/>
    <w:rsid w:val="00FB4A51"/>
    <w:rsid w:val="00FB5204"/>
    <w:rsid w:val="00FC074C"/>
    <w:rsid w:val="00FC103A"/>
    <w:rsid w:val="00FC250B"/>
    <w:rsid w:val="00FC29EB"/>
    <w:rsid w:val="00FC2A10"/>
    <w:rsid w:val="00FC586C"/>
    <w:rsid w:val="00FD2C89"/>
    <w:rsid w:val="00FD4D38"/>
    <w:rsid w:val="00FD588E"/>
    <w:rsid w:val="00FD7AF4"/>
    <w:rsid w:val="00FE010D"/>
    <w:rsid w:val="00FE494F"/>
    <w:rsid w:val="00FE4980"/>
    <w:rsid w:val="00FE4C38"/>
    <w:rsid w:val="00FE7086"/>
    <w:rsid w:val="00FF15A0"/>
    <w:rsid w:val="00FF25C9"/>
    <w:rsid w:val="00FF32A4"/>
    <w:rsid w:val="00FF3826"/>
    <w:rsid w:val="00FF479D"/>
    <w:rsid w:val="00FF5368"/>
    <w:rsid w:val="00FF7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03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96"/>
  </w:style>
  <w:style w:type="paragraph" w:styleId="Heading1">
    <w:name w:val="heading 1"/>
    <w:basedOn w:val="Normal"/>
    <w:link w:val="Heading1Char"/>
    <w:autoRedefine/>
    <w:uiPriority w:val="9"/>
    <w:qFormat/>
    <w:rsid w:val="000F3581"/>
    <w:pPr>
      <w:spacing w:before="161" w:after="161" w:line="240" w:lineRule="auto"/>
      <w:outlineLvl w:val="0"/>
    </w:pPr>
    <w:rPr>
      <w:rFonts w:asciiTheme="majorHAnsi" w:eastAsia="Times New Roman" w:hAnsiTheme="majorHAnsi" w:cs="Times New Roman"/>
      <w:b/>
      <w:bCs/>
      <w:color w:val="323E4F" w:themeColor="text2" w:themeShade="BF"/>
      <w:kern w:val="36"/>
      <w:sz w:val="48"/>
      <w:szCs w:val="48"/>
      <w:lang w:eastAsia="en-AU"/>
    </w:rPr>
  </w:style>
  <w:style w:type="paragraph" w:styleId="Heading2">
    <w:name w:val="heading 2"/>
    <w:basedOn w:val="Normal"/>
    <w:next w:val="Normal"/>
    <w:link w:val="Heading2Char"/>
    <w:autoRedefine/>
    <w:uiPriority w:val="9"/>
    <w:unhideWhenUsed/>
    <w:qFormat/>
    <w:rsid w:val="00B566E7"/>
    <w:pPr>
      <w:keepNext/>
      <w:keepLines/>
      <w:spacing w:before="40" w:after="0"/>
      <w:outlineLvl w:val="1"/>
    </w:pPr>
    <w:rPr>
      <w:rFonts w:asciiTheme="majorHAnsi" w:eastAsia="Calibri" w:hAnsiTheme="majorHAnsi" w:cstheme="majorBidi"/>
      <w:b/>
      <w:color w:val="2F5496" w:themeColor="accent1" w:themeShade="BF"/>
      <w:sz w:val="36"/>
      <w:szCs w:val="26"/>
      <w:lang w:val="en" w:eastAsia="en-AU"/>
    </w:rPr>
  </w:style>
  <w:style w:type="paragraph" w:styleId="Heading3">
    <w:name w:val="heading 3"/>
    <w:basedOn w:val="Normal"/>
    <w:next w:val="Normal"/>
    <w:link w:val="Heading3Char"/>
    <w:uiPriority w:val="9"/>
    <w:unhideWhenUsed/>
    <w:qFormat/>
    <w:rsid w:val="00EA3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34C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8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086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086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08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08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581"/>
    <w:rPr>
      <w:rFonts w:asciiTheme="majorHAnsi" w:eastAsia="Times New Roman" w:hAnsiTheme="majorHAnsi" w:cs="Times New Roman"/>
      <w:b/>
      <w:bCs/>
      <w:color w:val="323E4F" w:themeColor="text2" w:themeShade="BF"/>
      <w:kern w:val="36"/>
      <w:sz w:val="48"/>
      <w:szCs w:val="48"/>
      <w:lang w:eastAsia="en-AU"/>
    </w:rPr>
  </w:style>
  <w:style w:type="character" w:customStyle="1" w:styleId="Heading2Char">
    <w:name w:val="Heading 2 Char"/>
    <w:basedOn w:val="DefaultParagraphFont"/>
    <w:link w:val="Heading2"/>
    <w:uiPriority w:val="9"/>
    <w:rsid w:val="00B566E7"/>
    <w:rPr>
      <w:rFonts w:asciiTheme="majorHAnsi" w:eastAsia="Calibri" w:hAnsiTheme="majorHAnsi" w:cstheme="majorBidi"/>
      <w:b/>
      <w:color w:val="2F5496" w:themeColor="accent1" w:themeShade="BF"/>
      <w:sz w:val="36"/>
      <w:szCs w:val="26"/>
      <w:lang w:val="en" w:eastAsia="en-AU"/>
    </w:rPr>
  </w:style>
  <w:style w:type="character" w:customStyle="1" w:styleId="Heading3Char">
    <w:name w:val="Heading 3 Char"/>
    <w:basedOn w:val="DefaultParagraphFont"/>
    <w:link w:val="Heading3"/>
    <w:uiPriority w:val="9"/>
    <w:rsid w:val="00EA34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A34C0"/>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E4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9"/>
    <w:rPr>
      <w:rFonts w:ascii="Segoe UI" w:hAnsi="Segoe UI" w:cs="Segoe UI"/>
      <w:sz w:val="18"/>
      <w:szCs w:val="18"/>
    </w:rPr>
  </w:style>
  <w:style w:type="character" w:styleId="CommentReference">
    <w:name w:val="annotation reference"/>
    <w:basedOn w:val="DefaultParagraphFont"/>
    <w:uiPriority w:val="99"/>
    <w:unhideWhenUsed/>
    <w:rsid w:val="005E41D9"/>
    <w:rPr>
      <w:sz w:val="16"/>
      <w:szCs w:val="16"/>
    </w:rPr>
  </w:style>
  <w:style w:type="paragraph" w:styleId="CommentText">
    <w:name w:val="annotation text"/>
    <w:basedOn w:val="Normal"/>
    <w:link w:val="CommentTextChar"/>
    <w:uiPriority w:val="99"/>
    <w:unhideWhenUsed/>
    <w:rsid w:val="005E41D9"/>
    <w:pPr>
      <w:spacing w:line="240" w:lineRule="auto"/>
    </w:pPr>
    <w:rPr>
      <w:sz w:val="20"/>
      <w:szCs w:val="20"/>
    </w:rPr>
  </w:style>
  <w:style w:type="character" w:customStyle="1" w:styleId="CommentTextChar">
    <w:name w:val="Comment Text Char"/>
    <w:basedOn w:val="DefaultParagraphFont"/>
    <w:link w:val="CommentText"/>
    <w:uiPriority w:val="99"/>
    <w:rsid w:val="005E41D9"/>
    <w:rPr>
      <w:sz w:val="20"/>
      <w:szCs w:val="20"/>
    </w:rPr>
  </w:style>
  <w:style w:type="paragraph" w:styleId="ListParagraph">
    <w:name w:val="List Paragraph"/>
    <w:aliases w:val="Bullet Point,List Paragraph - bullets,Use Case List Paragraph,Bullet List,List Paragraph11,Bullet point,L,List Paragraph1,Recommendation,DDM Gen Text,NFP GP Bulleted List,bullet point list,Bullet points,Content descriptions,Dot Points"/>
    <w:basedOn w:val="Normal"/>
    <w:link w:val="ListParagraphChar"/>
    <w:uiPriority w:val="34"/>
    <w:qFormat/>
    <w:rsid w:val="005E41D9"/>
    <w:pPr>
      <w:ind w:left="720"/>
      <w:contextualSpacing/>
    </w:pPr>
  </w:style>
  <w:style w:type="paragraph" w:styleId="CommentSubject">
    <w:name w:val="annotation subject"/>
    <w:basedOn w:val="CommentText"/>
    <w:next w:val="CommentText"/>
    <w:link w:val="CommentSubjectChar"/>
    <w:uiPriority w:val="99"/>
    <w:semiHidden/>
    <w:unhideWhenUsed/>
    <w:rsid w:val="005E41D9"/>
    <w:rPr>
      <w:b/>
      <w:bCs/>
    </w:rPr>
  </w:style>
  <w:style w:type="character" w:customStyle="1" w:styleId="CommentSubjectChar">
    <w:name w:val="Comment Subject Char"/>
    <w:basedOn w:val="CommentTextChar"/>
    <w:link w:val="CommentSubject"/>
    <w:uiPriority w:val="99"/>
    <w:semiHidden/>
    <w:rsid w:val="005E41D9"/>
    <w:rPr>
      <w:b/>
      <w:bCs/>
      <w:sz w:val="20"/>
      <w:szCs w:val="20"/>
    </w:rPr>
  </w:style>
  <w:style w:type="paragraph" w:styleId="NoSpacing">
    <w:name w:val="No Spacing"/>
    <w:link w:val="NoSpacingChar"/>
    <w:uiPriority w:val="1"/>
    <w:qFormat/>
    <w:rsid w:val="004E1F6F"/>
    <w:pPr>
      <w:spacing w:after="0" w:line="240" w:lineRule="auto"/>
    </w:pPr>
  </w:style>
  <w:style w:type="character" w:styleId="IntenseReference">
    <w:name w:val="Intense Reference"/>
    <w:basedOn w:val="DefaultParagraphFont"/>
    <w:uiPriority w:val="32"/>
    <w:qFormat/>
    <w:rsid w:val="00116D76"/>
    <w:rPr>
      <w:b/>
      <w:bCs/>
      <w:smallCaps/>
      <w:color w:val="4472C4" w:themeColor="accent1"/>
      <w:spacing w:val="5"/>
    </w:rPr>
  </w:style>
  <w:style w:type="paragraph" w:styleId="Title">
    <w:name w:val="Title"/>
    <w:basedOn w:val="Normal"/>
    <w:next w:val="Normal"/>
    <w:link w:val="TitleChar"/>
    <w:uiPriority w:val="10"/>
    <w:qFormat/>
    <w:rsid w:val="00116D7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116D76"/>
    <w:rPr>
      <w:rFonts w:asciiTheme="majorHAnsi" w:eastAsiaTheme="majorEastAsia" w:hAnsiTheme="majorHAnsi" w:cstheme="majorBidi"/>
      <w:spacing w:val="-10"/>
      <w:kern w:val="28"/>
      <w:sz w:val="40"/>
      <w:szCs w:val="56"/>
    </w:rPr>
  </w:style>
  <w:style w:type="character" w:styleId="Hyperlink">
    <w:name w:val="Hyperlink"/>
    <w:basedOn w:val="DefaultParagraphFont"/>
    <w:uiPriority w:val="99"/>
    <w:unhideWhenUsed/>
    <w:rsid w:val="0076693A"/>
    <w:rPr>
      <w:color w:val="0563C1" w:themeColor="hyperlink"/>
      <w:u w:val="single"/>
    </w:rPr>
  </w:style>
  <w:style w:type="paragraph" w:styleId="NormalWeb">
    <w:name w:val="Normal (Web)"/>
    <w:basedOn w:val="Normal"/>
    <w:link w:val="NormalWebChar"/>
    <w:uiPriority w:val="99"/>
    <w:unhideWhenUsed/>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publication-menuitem">
    <w:name w:val="det-publication-menu__item"/>
    <w:basedOn w:val="Normal"/>
    <w:rsid w:val="00ED43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linkinner1">
    <w:name w:val="rpl-link__inner1"/>
    <w:basedOn w:val="DefaultParagraphFont"/>
    <w:rsid w:val="00ED4312"/>
    <w:rPr>
      <w:vanish w:val="0"/>
      <w:webHidden w:val="0"/>
      <w:specVanish w:val="0"/>
    </w:rPr>
  </w:style>
  <w:style w:type="character" w:customStyle="1" w:styleId="det-publication-menuitem-link-text">
    <w:name w:val="det-publication-menu__item-link-text"/>
    <w:basedOn w:val="DefaultParagraphFont"/>
    <w:rsid w:val="00ED4312"/>
  </w:style>
  <w:style w:type="character" w:customStyle="1" w:styleId="det-chapters-title">
    <w:name w:val="det-chapters-title"/>
    <w:basedOn w:val="DefaultParagraphFont"/>
    <w:rsid w:val="00ED4312"/>
  </w:style>
  <w:style w:type="character" w:customStyle="1" w:styleId="rpl-text-label2">
    <w:name w:val="rpl-text-label2"/>
    <w:basedOn w:val="DefaultParagraphFont"/>
    <w:rsid w:val="00ED4312"/>
    <w:rPr>
      <w:strike w:val="0"/>
      <w:dstrike w:val="0"/>
      <w:color w:val="011A3C"/>
      <w:u w:val="none"/>
      <w:effect w:val="none"/>
    </w:rPr>
  </w:style>
  <w:style w:type="character" w:styleId="Strong">
    <w:name w:val="Strong"/>
    <w:basedOn w:val="DefaultParagraphFont"/>
    <w:uiPriority w:val="22"/>
    <w:qFormat/>
    <w:rsid w:val="00ED4312"/>
    <w:rPr>
      <w:b/>
      <w:bCs/>
    </w:rPr>
  </w:style>
  <w:style w:type="character" w:customStyle="1" w:styleId="rpl-text-icongroup1">
    <w:name w:val="rpl-text-icon__group1"/>
    <w:basedOn w:val="DefaultParagraphFont"/>
    <w:rsid w:val="00ED4312"/>
  </w:style>
  <w:style w:type="paragraph" w:styleId="TOCHeading">
    <w:name w:val="TOC Heading"/>
    <w:basedOn w:val="Heading1"/>
    <w:next w:val="Normal"/>
    <w:uiPriority w:val="39"/>
    <w:unhideWhenUsed/>
    <w:qFormat/>
    <w:rsid w:val="00BE4C65"/>
    <w:pPr>
      <w:keepNext/>
      <w:keepLines/>
      <w:spacing w:before="240" w:after="0" w:line="259" w:lineRule="auto"/>
      <w:outlineLvl w:val="9"/>
    </w:pPr>
    <w:rPr>
      <w:rFonts w:eastAsiaTheme="majorEastAsia"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0F3581"/>
    <w:pPr>
      <w:tabs>
        <w:tab w:val="right" w:leader="dot" w:pos="9016"/>
      </w:tabs>
      <w:spacing w:after="100"/>
    </w:pPr>
  </w:style>
  <w:style w:type="paragraph" w:styleId="TOC2">
    <w:name w:val="toc 2"/>
    <w:basedOn w:val="Normal"/>
    <w:next w:val="Normal"/>
    <w:autoRedefine/>
    <w:uiPriority w:val="39"/>
    <w:unhideWhenUsed/>
    <w:rsid w:val="000F3581"/>
    <w:pPr>
      <w:tabs>
        <w:tab w:val="right" w:leader="dot" w:pos="9016"/>
      </w:tabs>
      <w:spacing w:after="100"/>
      <w:ind w:left="220"/>
    </w:pPr>
  </w:style>
  <w:style w:type="paragraph" w:styleId="TOC3">
    <w:name w:val="toc 3"/>
    <w:basedOn w:val="Normal"/>
    <w:next w:val="Normal"/>
    <w:autoRedefine/>
    <w:uiPriority w:val="39"/>
    <w:unhideWhenUsed/>
    <w:rsid w:val="00BE4C65"/>
    <w:pPr>
      <w:spacing w:after="100"/>
      <w:ind w:left="440"/>
    </w:pPr>
  </w:style>
  <w:style w:type="character" w:customStyle="1" w:styleId="NoSpacingChar">
    <w:name w:val="No Spacing Char"/>
    <w:basedOn w:val="DefaultParagraphFont"/>
    <w:link w:val="NoSpacing"/>
    <w:uiPriority w:val="1"/>
    <w:rsid w:val="00777BB8"/>
  </w:style>
  <w:style w:type="paragraph" w:styleId="Subtitle">
    <w:name w:val="Subtitle"/>
    <w:basedOn w:val="Normal"/>
    <w:next w:val="Normal"/>
    <w:link w:val="SubtitleChar"/>
    <w:uiPriority w:val="11"/>
    <w:qFormat/>
    <w:rsid w:val="006920FD"/>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920FD"/>
    <w:rPr>
      <w:rFonts w:eastAsiaTheme="minorEastAsia" w:cs="Times New Roman"/>
      <w:color w:val="5A5A5A" w:themeColor="text1" w:themeTint="A5"/>
      <w:spacing w:val="15"/>
      <w:lang w:val="en-US"/>
    </w:rPr>
  </w:style>
  <w:style w:type="paragraph" w:styleId="Revision">
    <w:name w:val="Revision"/>
    <w:hidden/>
    <w:uiPriority w:val="99"/>
    <w:semiHidden/>
    <w:rsid w:val="006C7CCA"/>
    <w:pPr>
      <w:spacing w:after="0" w:line="240" w:lineRule="auto"/>
    </w:pPr>
  </w:style>
  <w:style w:type="character" w:styleId="UnresolvedMention">
    <w:name w:val="Unresolved Mention"/>
    <w:basedOn w:val="DefaultParagraphFont"/>
    <w:uiPriority w:val="99"/>
    <w:semiHidden/>
    <w:unhideWhenUsed/>
    <w:rsid w:val="007F1D90"/>
    <w:rPr>
      <w:color w:val="605E5C"/>
      <w:shd w:val="clear" w:color="auto" w:fill="E1DFDD"/>
    </w:rPr>
  </w:style>
  <w:style w:type="paragraph" w:styleId="Header">
    <w:name w:val="header"/>
    <w:basedOn w:val="Normal"/>
    <w:link w:val="HeaderChar"/>
    <w:uiPriority w:val="99"/>
    <w:unhideWhenUsed/>
    <w:rsid w:val="00196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C78"/>
  </w:style>
  <w:style w:type="paragraph" w:styleId="Footer">
    <w:name w:val="footer"/>
    <w:basedOn w:val="Normal"/>
    <w:link w:val="FooterChar"/>
    <w:uiPriority w:val="99"/>
    <w:unhideWhenUsed/>
    <w:rsid w:val="00196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C78"/>
  </w:style>
  <w:style w:type="character" w:styleId="FollowedHyperlink">
    <w:name w:val="FollowedHyperlink"/>
    <w:basedOn w:val="DefaultParagraphFont"/>
    <w:uiPriority w:val="99"/>
    <w:semiHidden/>
    <w:unhideWhenUsed/>
    <w:rsid w:val="00740CCF"/>
    <w:rPr>
      <w:color w:val="954F72" w:themeColor="followedHyperlink"/>
      <w:u w:val="single"/>
    </w:rPr>
  </w:style>
  <w:style w:type="character" w:customStyle="1" w:styleId="ListParagraphChar">
    <w:name w:val="List Paragraph Char"/>
    <w:aliases w:val="Bullet Point Char,List Paragraph - bullets Char,Use Case List Paragraph Char,Bullet List Char,List Paragraph11 Char,Bullet point Char,L Char,List Paragraph1 Char,Recommendation Char,DDM Gen Text Char,NFP GP Bulleted List Char"/>
    <w:basedOn w:val="DefaultParagraphFont"/>
    <w:link w:val="ListParagraph"/>
    <w:uiPriority w:val="34"/>
    <w:qFormat/>
    <w:locked/>
    <w:rsid w:val="00F20EC8"/>
  </w:style>
  <w:style w:type="table" w:styleId="TableGrid">
    <w:name w:val="Table Grid"/>
    <w:basedOn w:val="TableNormal"/>
    <w:uiPriority w:val="39"/>
    <w:rsid w:val="00F20EC8"/>
    <w:pPr>
      <w:spacing w:after="0" w:line="240" w:lineRule="auto"/>
    </w:pPr>
    <w:rPr>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paragraph" w:customStyle="1" w:styleId="wysiwyg-callout">
    <w:name w:val="wysiwyg-callout"/>
    <w:basedOn w:val="Normal"/>
    <w:rsid w:val="00BB5BE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1">
    <w:name w:val="Table Grid11"/>
    <w:basedOn w:val="TableNormal"/>
    <w:rsid w:val="00BB5BE4"/>
    <w:pPr>
      <w:spacing w:after="90" w:line="220" w:lineRule="atLeas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7A1176"/>
    <w:pPr>
      <w:numPr>
        <w:numId w:val="141"/>
      </w:numPr>
      <w:spacing w:after="120" w:line="240" w:lineRule="auto"/>
      <w:ind w:left="284" w:hanging="284"/>
    </w:pPr>
    <w:rPr>
      <w:szCs w:val="24"/>
    </w:rPr>
  </w:style>
  <w:style w:type="character" w:customStyle="1" w:styleId="NormalWebChar">
    <w:name w:val="Normal (Web) Char"/>
    <w:basedOn w:val="DefaultParagraphFont"/>
    <w:link w:val="NormalWeb"/>
    <w:uiPriority w:val="99"/>
    <w:rsid w:val="000B5124"/>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B5124"/>
  </w:style>
  <w:style w:type="character" w:customStyle="1" w:styleId="rpl-text-label">
    <w:name w:val="rpl-text-label"/>
    <w:basedOn w:val="DefaultParagraphFont"/>
    <w:rsid w:val="00F66851"/>
  </w:style>
  <w:style w:type="character" w:customStyle="1" w:styleId="rpl-text-icongroup">
    <w:name w:val="rpl-text-icon__group"/>
    <w:basedOn w:val="DefaultParagraphFont"/>
    <w:rsid w:val="00F66851"/>
  </w:style>
  <w:style w:type="character" w:customStyle="1" w:styleId="Heading5Char">
    <w:name w:val="Heading 5 Char"/>
    <w:basedOn w:val="DefaultParagraphFont"/>
    <w:link w:val="Heading5"/>
    <w:uiPriority w:val="9"/>
    <w:semiHidden/>
    <w:rsid w:val="00F66851"/>
    <w:rPr>
      <w:rFonts w:asciiTheme="majorHAnsi" w:eastAsiaTheme="majorEastAsia" w:hAnsiTheme="majorHAnsi" w:cstheme="majorBidi"/>
      <w:color w:val="2F5496" w:themeColor="accent1" w:themeShade="BF"/>
    </w:rPr>
  </w:style>
  <w:style w:type="paragraph" w:customStyle="1" w:styleId="mld-paragraph">
    <w:name w:val="mld-paragraph"/>
    <w:basedOn w:val="Normal"/>
    <w:rsid w:val="00683C9C"/>
    <w:pPr>
      <w:spacing w:before="100" w:beforeAutospacing="1" w:after="100" w:afterAutospacing="1" w:line="240" w:lineRule="auto"/>
    </w:pPr>
    <w:rPr>
      <w:rFonts w:ascii="Calibri" w:hAnsi="Calibri" w:cs="Calibri"/>
      <w:lang w:eastAsia="en-AU"/>
    </w:rPr>
  </w:style>
  <w:style w:type="paragraph" w:styleId="BodyText">
    <w:name w:val="Body Text"/>
    <w:basedOn w:val="Normal"/>
    <w:link w:val="BodyTextChar"/>
    <w:semiHidden/>
    <w:unhideWhenUsed/>
    <w:qFormat/>
    <w:rsid w:val="00F8251A"/>
    <w:pPr>
      <w:spacing w:before="120" w:after="120" w:line="288" w:lineRule="auto"/>
      <w:jc w:val="both"/>
    </w:pPr>
    <w:rPr>
      <w:rFonts w:ascii="Arial" w:hAnsi="Arial"/>
      <w:color w:val="323E4F" w:themeColor="text2" w:themeShade="BF"/>
      <w:spacing w:val="4"/>
      <w:kern w:val="20"/>
      <w:sz w:val="20"/>
    </w:rPr>
  </w:style>
  <w:style w:type="character" w:customStyle="1" w:styleId="BodyTextChar">
    <w:name w:val="Body Text Char"/>
    <w:basedOn w:val="DefaultParagraphFont"/>
    <w:link w:val="BodyText"/>
    <w:semiHidden/>
    <w:rsid w:val="00F8251A"/>
    <w:rPr>
      <w:rFonts w:ascii="Arial" w:hAnsi="Arial"/>
      <w:color w:val="323E4F" w:themeColor="text2" w:themeShade="BF"/>
      <w:spacing w:val="4"/>
      <w:kern w:val="20"/>
      <w:sz w:val="20"/>
    </w:rPr>
  </w:style>
  <w:style w:type="table" w:customStyle="1" w:styleId="TableGrid111">
    <w:name w:val="Table Grid111"/>
    <w:basedOn w:val="TableNormal"/>
    <w:rsid w:val="00F8251A"/>
    <w:pPr>
      <w:spacing w:after="90" w:line="220" w:lineRule="atLeast"/>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ED0863"/>
  </w:style>
  <w:style w:type="paragraph" w:styleId="BlockText">
    <w:name w:val="Block Text"/>
    <w:basedOn w:val="Normal"/>
    <w:uiPriority w:val="99"/>
    <w:semiHidden/>
    <w:unhideWhenUsed/>
    <w:rsid w:val="00ED086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ED0863"/>
    <w:pPr>
      <w:spacing w:after="120" w:line="480" w:lineRule="auto"/>
    </w:pPr>
  </w:style>
  <w:style w:type="character" w:customStyle="1" w:styleId="BodyText2Char">
    <w:name w:val="Body Text 2 Char"/>
    <w:basedOn w:val="DefaultParagraphFont"/>
    <w:link w:val="BodyText2"/>
    <w:uiPriority w:val="99"/>
    <w:semiHidden/>
    <w:rsid w:val="00ED0863"/>
  </w:style>
  <w:style w:type="paragraph" w:styleId="BodyText3">
    <w:name w:val="Body Text 3"/>
    <w:basedOn w:val="Normal"/>
    <w:link w:val="BodyText3Char"/>
    <w:uiPriority w:val="99"/>
    <w:semiHidden/>
    <w:unhideWhenUsed/>
    <w:rsid w:val="00ED0863"/>
    <w:pPr>
      <w:spacing w:after="120"/>
    </w:pPr>
    <w:rPr>
      <w:sz w:val="16"/>
      <w:szCs w:val="16"/>
    </w:rPr>
  </w:style>
  <w:style w:type="character" w:customStyle="1" w:styleId="BodyText3Char">
    <w:name w:val="Body Text 3 Char"/>
    <w:basedOn w:val="DefaultParagraphFont"/>
    <w:link w:val="BodyText3"/>
    <w:uiPriority w:val="99"/>
    <w:semiHidden/>
    <w:rsid w:val="00ED0863"/>
    <w:rPr>
      <w:sz w:val="16"/>
      <w:szCs w:val="16"/>
    </w:rPr>
  </w:style>
  <w:style w:type="paragraph" w:styleId="BodyTextFirstIndent">
    <w:name w:val="Body Text First Indent"/>
    <w:basedOn w:val="BodyText"/>
    <w:link w:val="BodyTextFirstIndentChar"/>
    <w:uiPriority w:val="99"/>
    <w:semiHidden/>
    <w:unhideWhenUsed/>
    <w:rsid w:val="00ED0863"/>
    <w:pPr>
      <w:spacing w:before="0" w:after="160" w:line="259" w:lineRule="auto"/>
      <w:ind w:firstLine="360"/>
      <w:jc w:val="left"/>
    </w:pPr>
    <w:rPr>
      <w:rFonts w:asciiTheme="minorHAnsi" w:hAnsiTheme="minorHAnsi"/>
      <w:color w:val="auto"/>
      <w:spacing w:val="0"/>
      <w:kern w:val="0"/>
      <w:sz w:val="22"/>
    </w:rPr>
  </w:style>
  <w:style w:type="character" w:customStyle="1" w:styleId="BodyTextFirstIndentChar">
    <w:name w:val="Body Text First Indent Char"/>
    <w:basedOn w:val="BodyTextChar"/>
    <w:link w:val="BodyTextFirstIndent"/>
    <w:uiPriority w:val="99"/>
    <w:semiHidden/>
    <w:rsid w:val="00ED0863"/>
    <w:rPr>
      <w:rFonts w:ascii="Arial" w:hAnsi="Arial"/>
      <w:color w:val="323E4F" w:themeColor="text2" w:themeShade="BF"/>
      <w:spacing w:val="4"/>
      <w:kern w:val="20"/>
      <w:sz w:val="20"/>
    </w:rPr>
  </w:style>
  <w:style w:type="paragraph" w:styleId="BodyTextIndent">
    <w:name w:val="Body Text Indent"/>
    <w:basedOn w:val="Normal"/>
    <w:link w:val="BodyTextIndentChar"/>
    <w:uiPriority w:val="99"/>
    <w:semiHidden/>
    <w:unhideWhenUsed/>
    <w:rsid w:val="00ED0863"/>
    <w:pPr>
      <w:spacing w:after="120"/>
      <w:ind w:left="283"/>
    </w:pPr>
  </w:style>
  <w:style w:type="character" w:customStyle="1" w:styleId="BodyTextIndentChar">
    <w:name w:val="Body Text Indent Char"/>
    <w:basedOn w:val="DefaultParagraphFont"/>
    <w:link w:val="BodyTextIndent"/>
    <w:uiPriority w:val="99"/>
    <w:semiHidden/>
    <w:rsid w:val="00ED0863"/>
  </w:style>
  <w:style w:type="paragraph" w:styleId="BodyTextFirstIndent2">
    <w:name w:val="Body Text First Indent 2"/>
    <w:basedOn w:val="BodyTextIndent"/>
    <w:link w:val="BodyTextFirstIndent2Char"/>
    <w:uiPriority w:val="99"/>
    <w:semiHidden/>
    <w:unhideWhenUsed/>
    <w:rsid w:val="00ED086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ED0863"/>
  </w:style>
  <w:style w:type="paragraph" w:styleId="BodyTextIndent2">
    <w:name w:val="Body Text Indent 2"/>
    <w:basedOn w:val="Normal"/>
    <w:link w:val="BodyTextIndent2Char"/>
    <w:uiPriority w:val="99"/>
    <w:semiHidden/>
    <w:unhideWhenUsed/>
    <w:rsid w:val="00ED0863"/>
    <w:pPr>
      <w:spacing w:after="120" w:line="480" w:lineRule="auto"/>
      <w:ind w:left="283"/>
    </w:pPr>
  </w:style>
  <w:style w:type="character" w:customStyle="1" w:styleId="BodyTextIndent2Char">
    <w:name w:val="Body Text Indent 2 Char"/>
    <w:basedOn w:val="DefaultParagraphFont"/>
    <w:link w:val="BodyTextIndent2"/>
    <w:uiPriority w:val="99"/>
    <w:semiHidden/>
    <w:rsid w:val="00ED0863"/>
  </w:style>
  <w:style w:type="paragraph" w:styleId="BodyTextIndent3">
    <w:name w:val="Body Text Indent 3"/>
    <w:basedOn w:val="Normal"/>
    <w:link w:val="BodyTextIndent3Char"/>
    <w:uiPriority w:val="99"/>
    <w:semiHidden/>
    <w:unhideWhenUsed/>
    <w:rsid w:val="00ED08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0863"/>
    <w:rPr>
      <w:sz w:val="16"/>
      <w:szCs w:val="16"/>
    </w:rPr>
  </w:style>
  <w:style w:type="paragraph" w:styleId="Caption">
    <w:name w:val="caption"/>
    <w:basedOn w:val="Normal"/>
    <w:next w:val="Normal"/>
    <w:uiPriority w:val="35"/>
    <w:semiHidden/>
    <w:unhideWhenUsed/>
    <w:qFormat/>
    <w:rsid w:val="00ED086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D0863"/>
    <w:pPr>
      <w:spacing w:after="0" w:line="240" w:lineRule="auto"/>
      <w:ind w:left="4252"/>
    </w:pPr>
  </w:style>
  <w:style w:type="character" w:customStyle="1" w:styleId="ClosingChar">
    <w:name w:val="Closing Char"/>
    <w:basedOn w:val="DefaultParagraphFont"/>
    <w:link w:val="Closing"/>
    <w:uiPriority w:val="99"/>
    <w:semiHidden/>
    <w:rsid w:val="00ED0863"/>
  </w:style>
  <w:style w:type="paragraph" w:styleId="Date">
    <w:name w:val="Date"/>
    <w:basedOn w:val="Normal"/>
    <w:next w:val="Normal"/>
    <w:link w:val="DateChar"/>
    <w:uiPriority w:val="99"/>
    <w:semiHidden/>
    <w:unhideWhenUsed/>
    <w:rsid w:val="00ED0863"/>
  </w:style>
  <w:style w:type="character" w:customStyle="1" w:styleId="DateChar">
    <w:name w:val="Date Char"/>
    <w:basedOn w:val="DefaultParagraphFont"/>
    <w:link w:val="Date"/>
    <w:uiPriority w:val="99"/>
    <w:semiHidden/>
    <w:rsid w:val="00ED0863"/>
  </w:style>
  <w:style w:type="paragraph" w:styleId="DocumentMap">
    <w:name w:val="Document Map"/>
    <w:basedOn w:val="Normal"/>
    <w:link w:val="DocumentMapChar"/>
    <w:uiPriority w:val="99"/>
    <w:semiHidden/>
    <w:unhideWhenUsed/>
    <w:rsid w:val="00ED08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0863"/>
    <w:rPr>
      <w:rFonts w:ascii="Segoe UI" w:hAnsi="Segoe UI" w:cs="Segoe UI"/>
      <w:sz w:val="16"/>
      <w:szCs w:val="16"/>
    </w:rPr>
  </w:style>
  <w:style w:type="paragraph" w:styleId="E-mailSignature">
    <w:name w:val="E-mail Signature"/>
    <w:basedOn w:val="Normal"/>
    <w:link w:val="E-mailSignatureChar"/>
    <w:uiPriority w:val="99"/>
    <w:semiHidden/>
    <w:unhideWhenUsed/>
    <w:rsid w:val="00ED0863"/>
    <w:pPr>
      <w:spacing w:after="0" w:line="240" w:lineRule="auto"/>
    </w:pPr>
  </w:style>
  <w:style w:type="character" w:customStyle="1" w:styleId="E-mailSignatureChar">
    <w:name w:val="E-mail Signature Char"/>
    <w:basedOn w:val="DefaultParagraphFont"/>
    <w:link w:val="E-mailSignature"/>
    <w:uiPriority w:val="99"/>
    <w:semiHidden/>
    <w:rsid w:val="00ED0863"/>
  </w:style>
  <w:style w:type="paragraph" w:styleId="EndnoteText">
    <w:name w:val="endnote text"/>
    <w:basedOn w:val="Normal"/>
    <w:link w:val="EndnoteTextChar"/>
    <w:uiPriority w:val="99"/>
    <w:semiHidden/>
    <w:unhideWhenUsed/>
    <w:rsid w:val="00ED08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0863"/>
    <w:rPr>
      <w:sz w:val="20"/>
      <w:szCs w:val="20"/>
    </w:rPr>
  </w:style>
  <w:style w:type="paragraph" w:styleId="EnvelopeAddress">
    <w:name w:val="envelope address"/>
    <w:basedOn w:val="Normal"/>
    <w:uiPriority w:val="99"/>
    <w:semiHidden/>
    <w:unhideWhenUsed/>
    <w:rsid w:val="00ED08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086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D08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863"/>
    <w:rPr>
      <w:sz w:val="20"/>
      <w:szCs w:val="20"/>
    </w:rPr>
  </w:style>
  <w:style w:type="character" w:customStyle="1" w:styleId="Heading6Char">
    <w:name w:val="Heading 6 Char"/>
    <w:basedOn w:val="DefaultParagraphFont"/>
    <w:link w:val="Heading6"/>
    <w:uiPriority w:val="9"/>
    <w:semiHidden/>
    <w:rsid w:val="00ED08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08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08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086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0863"/>
    <w:pPr>
      <w:spacing w:after="0" w:line="240" w:lineRule="auto"/>
    </w:pPr>
    <w:rPr>
      <w:i/>
      <w:iCs/>
    </w:rPr>
  </w:style>
  <w:style w:type="character" w:customStyle="1" w:styleId="HTMLAddressChar">
    <w:name w:val="HTML Address Char"/>
    <w:basedOn w:val="DefaultParagraphFont"/>
    <w:link w:val="HTMLAddress"/>
    <w:uiPriority w:val="99"/>
    <w:semiHidden/>
    <w:rsid w:val="00ED0863"/>
    <w:rPr>
      <w:i/>
      <w:iCs/>
    </w:rPr>
  </w:style>
  <w:style w:type="paragraph" w:styleId="HTMLPreformatted">
    <w:name w:val="HTML Preformatted"/>
    <w:basedOn w:val="Normal"/>
    <w:link w:val="HTMLPreformattedChar"/>
    <w:uiPriority w:val="99"/>
    <w:semiHidden/>
    <w:unhideWhenUsed/>
    <w:rsid w:val="00ED08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0863"/>
    <w:rPr>
      <w:rFonts w:ascii="Consolas" w:hAnsi="Consolas"/>
      <w:sz w:val="20"/>
      <w:szCs w:val="20"/>
    </w:rPr>
  </w:style>
  <w:style w:type="paragraph" w:styleId="Index1">
    <w:name w:val="index 1"/>
    <w:basedOn w:val="Normal"/>
    <w:next w:val="Normal"/>
    <w:autoRedefine/>
    <w:uiPriority w:val="99"/>
    <w:semiHidden/>
    <w:unhideWhenUsed/>
    <w:rsid w:val="00ED0863"/>
    <w:pPr>
      <w:spacing w:after="0" w:line="240" w:lineRule="auto"/>
      <w:ind w:left="220" w:hanging="220"/>
    </w:pPr>
  </w:style>
  <w:style w:type="paragraph" w:styleId="Index2">
    <w:name w:val="index 2"/>
    <w:basedOn w:val="Normal"/>
    <w:next w:val="Normal"/>
    <w:autoRedefine/>
    <w:uiPriority w:val="99"/>
    <w:semiHidden/>
    <w:unhideWhenUsed/>
    <w:rsid w:val="00ED0863"/>
    <w:pPr>
      <w:spacing w:after="0" w:line="240" w:lineRule="auto"/>
      <w:ind w:left="440" w:hanging="220"/>
    </w:pPr>
  </w:style>
  <w:style w:type="paragraph" w:styleId="Index3">
    <w:name w:val="index 3"/>
    <w:basedOn w:val="Normal"/>
    <w:next w:val="Normal"/>
    <w:autoRedefine/>
    <w:uiPriority w:val="99"/>
    <w:semiHidden/>
    <w:unhideWhenUsed/>
    <w:rsid w:val="00ED0863"/>
    <w:pPr>
      <w:spacing w:after="0" w:line="240" w:lineRule="auto"/>
      <w:ind w:left="660" w:hanging="220"/>
    </w:pPr>
  </w:style>
  <w:style w:type="paragraph" w:styleId="Index4">
    <w:name w:val="index 4"/>
    <w:basedOn w:val="Normal"/>
    <w:next w:val="Normal"/>
    <w:autoRedefine/>
    <w:uiPriority w:val="99"/>
    <w:semiHidden/>
    <w:unhideWhenUsed/>
    <w:rsid w:val="00ED0863"/>
    <w:pPr>
      <w:spacing w:after="0" w:line="240" w:lineRule="auto"/>
      <w:ind w:left="880" w:hanging="220"/>
    </w:pPr>
  </w:style>
  <w:style w:type="paragraph" w:styleId="Index5">
    <w:name w:val="index 5"/>
    <w:basedOn w:val="Normal"/>
    <w:next w:val="Normal"/>
    <w:autoRedefine/>
    <w:uiPriority w:val="99"/>
    <w:semiHidden/>
    <w:unhideWhenUsed/>
    <w:rsid w:val="00ED0863"/>
    <w:pPr>
      <w:spacing w:after="0" w:line="240" w:lineRule="auto"/>
      <w:ind w:left="1100" w:hanging="220"/>
    </w:pPr>
  </w:style>
  <w:style w:type="paragraph" w:styleId="Index6">
    <w:name w:val="index 6"/>
    <w:basedOn w:val="Normal"/>
    <w:next w:val="Normal"/>
    <w:autoRedefine/>
    <w:uiPriority w:val="99"/>
    <w:semiHidden/>
    <w:unhideWhenUsed/>
    <w:rsid w:val="00ED0863"/>
    <w:pPr>
      <w:spacing w:after="0" w:line="240" w:lineRule="auto"/>
      <w:ind w:left="1320" w:hanging="220"/>
    </w:pPr>
  </w:style>
  <w:style w:type="paragraph" w:styleId="Index7">
    <w:name w:val="index 7"/>
    <w:basedOn w:val="Normal"/>
    <w:next w:val="Normal"/>
    <w:autoRedefine/>
    <w:uiPriority w:val="99"/>
    <w:semiHidden/>
    <w:unhideWhenUsed/>
    <w:rsid w:val="00ED0863"/>
    <w:pPr>
      <w:spacing w:after="0" w:line="240" w:lineRule="auto"/>
      <w:ind w:left="1540" w:hanging="220"/>
    </w:pPr>
  </w:style>
  <w:style w:type="paragraph" w:styleId="Index8">
    <w:name w:val="index 8"/>
    <w:basedOn w:val="Normal"/>
    <w:next w:val="Normal"/>
    <w:autoRedefine/>
    <w:uiPriority w:val="99"/>
    <w:semiHidden/>
    <w:unhideWhenUsed/>
    <w:rsid w:val="00ED0863"/>
    <w:pPr>
      <w:spacing w:after="0" w:line="240" w:lineRule="auto"/>
      <w:ind w:left="1760" w:hanging="220"/>
    </w:pPr>
  </w:style>
  <w:style w:type="paragraph" w:styleId="Index9">
    <w:name w:val="index 9"/>
    <w:basedOn w:val="Normal"/>
    <w:next w:val="Normal"/>
    <w:autoRedefine/>
    <w:uiPriority w:val="99"/>
    <w:semiHidden/>
    <w:unhideWhenUsed/>
    <w:rsid w:val="00ED0863"/>
    <w:pPr>
      <w:spacing w:after="0" w:line="240" w:lineRule="auto"/>
      <w:ind w:left="1980" w:hanging="220"/>
    </w:pPr>
  </w:style>
  <w:style w:type="paragraph" w:styleId="IndexHeading">
    <w:name w:val="index heading"/>
    <w:basedOn w:val="Normal"/>
    <w:next w:val="Index1"/>
    <w:uiPriority w:val="99"/>
    <w:semiHidden/>
    <w:unhideWhenUsed/>
    <w:rsid w:val="00ED0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08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0863"/>
    <w:rPr>
      <w:i/>
      <w:iCs/>
      <w:color w:val="4472C4" w:themeColor="accent1"/>
    </w:rPr>
  </w:style>
  <w:style w:type="paragraph" w:styleId="List">
    <w:name w:val="List"/>
    <w:basedOn w:val="Normal"/>
    <w:uiPriority w:val="99"/>
    <w:semiHidden/>
    <w:unhideWhenUsed/>
    <w:rsid w:val="00ED0863"/>
    <w:pPr>
      <w:ind w:left="283" w:hanging="283"/>
      <w:contextualSpacing/>
    </w:pPr>
  </w:style>
  <w:style w:type="paragraph" w:styleId="List2">
    <w:name w:val="List 2"/>
    <w:basedOn w:val="Normal"/>
    <w:uiPriority w:val="99"/>
    <w:semiHidden/>
    <w:unhideWhenUsed/>
    <w:rsid w:val="00ED0863"/>
    <w:pPr>
      <w:ind w:left="566" w:hanging="283"/>
      <w:contextualSpacing/>
    </w:pPr>
  </w:style>
  <w:style w:type="paragraph" w:styleId="List3">
    <w:name w:val="List 3"/>
    <w:basedOn w:val="Normal"/>
    <w:uiPriority w:val="99"/>
    <w:semiHidden/>
    <w:unhideWhenUsed/>
    <w:rsid w:val="00ED0863"/>
    <w:pPr>
      <w:ind w:left="849" w:hanging="283"/>
      <w:contextualSpacing/>
    </w:pPr>
  </w:style>
  <w:style w:type="paragraph" w:styleId="List4">
    <w:name w:val="List 4"/>
    <w:basedOn w:val="Normal"/>
    <w:uiPriority w:val="99"/>
    <w:semiHidden/>
    <w:unhideWhenUsed/>
    <w:rsid w:val="00ED0863"/>
    <w:pPr>
      <w:ind w:left="1132" w:hanging="283"/>
      <w:contextualSpacing/>
    </w:pPr>
  </w:style>
  <w:style w:type="paragraph" w:styleId="List5">
    <w:name w:val="List 5"/>
    <w:basedOn w:val="Normal"/>
    <w:uiPriority w:val="99"/>
    <w:semiHidden/>
    <w:unhideWhenUsed/>
    <w:rsid w:val="00ED0863"/>
    <w:pPr>
      <w:ind w:left="1415" w:hanging="283"/>
      <w:contextualSpacing/>
    </w:pPr>
  </w:style>
  <w:style w:type="paragraph" w:styleId="ListBullet">
    <w:name w:val="List Bullet"/>
    <w:basedOn w:val="Normal"/>
    <w:uiPriority w:val="99"/>
    <w:semiHidden/>
    <w:unhideWhenUsed/>
    <w:rsid w:val="00ED0863"/>
    <w:pPr>
      <w:numPr>
        <w:numId w:val="171"/>
      </w:numPr>
      <w:contextualSpacing/>
    </w:pPr>
  </w:style>
  <w:style w:type="paragraph" w:styleId="ListBullet2">
    <w:name w:val="List Bullet 2"/>
    <w:basedOn w:val="Normal"/>
    <w:uiPriority w:val="99"/>
    <w:semiHidden/>
    <w:unhideWhenUsed/>
    <w:rsid w:val="00ED0863"/>
    <w:pPr>
      <w:numPr>
        <w:numId w:val="172"/>
      </w:numPr>
      <w:contextualSpacing/>
    </w:pPr>
  </w:style>
  <w:style w:type="paragraph" w:styleId="ListBullet3">
    <w:name w:val="List Bullet 3"/>
    <w:basedOn w:val="Normal"/>
    <w:uiPriority w:val="99"/>
    <w:semiHidden/>
    <w:unhideWhenUsed/>
    <w:rsid w:val="00ED0863"/>
    <w:pPr>
      <w:numPr>
        <w:numId w:val="173"/>
      </w:numPr>
      <w:contextualSpacing/>
    </w:pPr>
  </w:style>
  <w:style w:type="paragraph" w:styleId="ListBullet4">
    <w:name w:val="List Bullet 4"/>
    <w:basedOn w:val="Normal"/>
    <w:uiPriority w:val="99"/>
    <w:semiHidden/>
    <w:unhideWhenUsed/>
    <w:rsid w:val="00ED0863"/>
    <w:pPr>
      <w:numPr>
        <w:numId w:val="174"/>
      </w:numPr>
      <w:contextualSpacing/>
    </w:pPr>
  </w:style>
  <w:style w:type="paragraph" w:styleId="ListBullet5">
    <w:name w:val="List Bullet 5"/>
    <w:basedOn w:val="Normal"/>
    <w:uiPriority w:val="99"/>
    <w:semiHidden/>
    <w:unhideWhenUsed/>
    <w:rsid w:val="00ED0863"/>
    <w:pPr>
      <w:numPr>
        <w:numId w:val="175"/>
      </w:numPr>
      <w:contextualSpacing/>
    </w:pPr>
  </w:style>
  <w:style w:type="paragraph" w:styleId="ListContinue">
    <w:name w:val="List Continue"/>
    <w:basedOn w:val="Normal"/>
    <w:uiPriority w:val="99"/>
    <w:semiHidden/>
    <w:unhideWhenUsed/>
    <w:rsid w:val="00ED0863"/>
    <w:pPr>
      <w:spacing w:after="120"/>
      <w:ind w:left="283"/>
      <w:contextualSpacing/>
    </w:pPr>
  </w:style>
  <w:style w:type="paragraph" w:styleId="ListContinue2">
    <w:name w:val="List Continue 2"/>
    <w:basedOn w:val="Normal"/>
    <w:uiPriority w:val="99"/>
    <w:semiHidden/>
    <w:unhideWhenUsed/>
    <w:rsid w:val="00ED0863"/>
    <w:pPr>
      <w:spacing w:after="120"/>
      <w:ind w:left="566"/>
      <w:contextualSpacing/>
    </w:pPr>
  </w:style>
  <w:style w:type="paragraph" w:styleId="ListContinue3">
    <w:name w:val="List Continue 3"/>
    <w:basedOn w:val="Normal"/>
    <w:uiPriority w:val="99"/>
    <w:semiHidden/>
    <w:unhideWhenUsed/>
    <w:rsid w:val="00ED0863"/>
    <w:pPr>
      <w:spacing w:after="120"/>
      <w:ind w:left="849"/>
      <w:contextualSpacing/>
    </w:pPr>
  </w:style>
  <w:style w:type="paragraph" w:styleId="ListContinue4">
    <w:name w:val="List Continue 4"/>
    <w:basedOn w:val="Normal"/>
    <w:uiPriority w:val="99"/>
    <w:semiHidden/>
    <w:unhideWhenUsed/>
    <w:rsid w:val="00ED0863"/>
    <w:pPr>
      <w:spacing w:after="120"/>
      <w:ind w:left="1132"/>
      <w:contextualSpacing/>
    </w:pPr>
  </w:style>
  <w:style w:type="paragraph" w:styleId="ListContinue5">
    <w:name w:val="List Continue 5"/>
    <w:basedOn w:val="Normal"/>
    <w:uiPriority w:val="99"/>
    <w:semiHidden/>
    <w:unhideWhenUsed/>
    <w:rsid w:val="00ED0863"/>
    <w:pPr>
      <w:spacing w:after="120"/>
      <w:ind w:left="1415"/>
      <w:contextualSpacing/>
    </w:pPr>
  </w:style>
  <w:style w:type="paragraph" w:styleId="ListNumber">
    <w:name w:val="List Number"/>
    <w:basedOn w:val="Normal"/>
    <w:uiPriority w:val="99"/>
    <w:semiHidden/>
    <w:unhideWhenUsed/>
    <w:rsid w:val="00ED0863"/>
    <w:pPr>
      <w:numPr>
        <w:numId w:val="176"/>
      </w:numPr>
      <w:contextualSpacing/>
    </w:pPr>
  </w:style>
  <w:style w:type="paragraph" w:styleId="ListNumber2">
    <w:name w:val="List Number 2"/>
    <w:basedOn w:val="Normal"/>
    <w:uiPriority w:val="99"/>
    <w:semiHidden/>
    <w:unhideWhenUsed/>
    <w:rsid w:val="00ED0863"/>
    <w:pPr>
      <w:numPr>
        <w:numId w:val="177"/>
      </w:numPr>
      <w:contextualSpacing/>
    </w:pPr>
  </w:style>
  <w:style w:type="paragraph" w:styleId="ListNumber3">
    <w:name w:val="List Number 3"/>
    <w:basedOn w:val="Normal"/>
    <w:uiPriority w:val="99"/>
    <w:semiHidden/>
    <w:unhideWhenUsed/>
    <w:rsid w:val="00ED0863"/>
    <w:pPr>
      <w:numPr>
        <w:numId w:val="178"/>
      </w:numPr>
      <w:contextualSpacing/>
    </w:pPr>
  </w:style>
  <w:style w:type="paragraph" w:styleId="ListNumber4">
    <w:name w:val="List Number 4"/>
    <w:basedOn w:val="Normal"/>
    <w:uiPriority w:val="99"/>
    <w:semiHidden/>
    <w:unhideWhenUsed/>
    <w:rsid w:val="00ED0863"/>
    <w:pPr>
      <w:numPr>
        <w:numId w:val="179"/>
      </w:numPr>
      <w:contextualSpacing/>
    </w:pPr>
  </w:style>
  <w:style w:type="paragraph" w:styleId="ListNumber5">
    <w:name w:val="List Number 5"/>
    <w:basedOn w:val="Normal"/>
    <w:uiPriority w:val="99"/>
    <w:semiHidden/>
    <w:unhideWhenUsed/>
    <w:rsid w:val="00ED0863"/>
    <w:pPr>
      <w:numPr>
        <w:numId w:val="180"/>
      </w:numPr>
      <w:contextualSpacing/>
    </w:pPr>
  </w:style>
  <w:style w:type="paragraph" w:styleId="MacroText">
    <w:name w:val="macro"/>
    <w:link w:val="MacroTextChar"/>
    <w:uiPriority w:val="99"/>
    <w:semiHidden/>
    <w:unhideWhenUsed/>
    <w:rsid w:val="00ED08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D0863"/>
    <w:rPr>
      <w:rFonts w:ascii="Consolas" w:hAnsi="Consolas"/>
      <w:sz w:val="20"/>
      <w:szCs w:val="20"/>
    </w:rPr>
  </w:style>
  <w:style w:type="paragraph" w:styleId="MessageHeader">
    <w:name w:val="Message Header"/>
    <w:basedOn w:val="Normal"/>
    <w:link w:val="MessageHeaderChar"/>
    <w:uiPriority w:val="99"/>
    <w:semiHidden/>
    <w:unhideWhenUsed/>
    <w:rsid w:val="00ED08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086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D0863"/>
    <w:pPr>
      <w:ind w:left="720"/>
    </w:pPr>
  </w:style>
  <w:style w:type="paragraph" w:styleId="NoteHeading">
    <w:name w:val="Note Heading"/>
    <w:basedOn w:val="Normal"/>
    <w:next w:val="Normal"/>
    <w:link w:val="NoteHeadingChar"/>
    <w:uiPriority w:val="99"/>
    <w:semiHidden/>
    <w:unhideWhenUsed/>
    <w:rsid w:val="00ED0863"/>
    <w:pPr>
      <w:spacing w:after="0" w:line="240" w:lineRule="auto"/>
    </w:pPr>
  </w:style>
  <w:style w:type="character" w:customStyle="1" w:styleId="NoteHeadingChar">
    <w:name w:val="Note Heading Char"/>
    <w:basedOn w:val="DefaultParagraphFont"/>
    <w:link w:val="NoteHeading"/>
    <w:uiPriority w:val="99"/>
    <w:semiHidden/>
    <w:rsid w:val="00ED0863"/>
  </w:style>
  <w:style w:type="paragraph" w:styleId="PlainText">
    <w:name w:val="Plain Text"/>
    <w:basedOn w:val="Normal"/>
    <w:link w:val="PlainTextChar"/>
    <w:uiPriority w:val="99"/>
    <w:semiHidden/>
    <w:unhideWhenUsed/>
    <w:rsid w:val="00ED08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0863"/>
    <w:rPr>
      <w:rFonts w:ascii="Consolas" w:hAnsi="Consolas"/>
      <w:sz w:val="21"/>
      <w:szCs w:val="21"/>
    </w:rPr>
  </w:style>
  <w:style w:type="paragraph" w:styleId="Quote">
    <w:name w:val="Quote"/>
    <w:basedOn w:val="Normal"/>
    <w:next w:val="Normal"/>
    <w:link w:val="QuoteChar"/>
    <w:uiPriority w:val="29"/>
    <w:qFormat/>
    <w:rsid w:val="00ED08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863"/>
    <w:rPr>
      <w:i/>
      <w:iCs/>
      <w:color w:val="404040" w:themeColor="text1" w:themeTint="BF"/>
    </w:rPr>
  </w:style>
  <w:style w:type="paragraph" w:styleId="Salutation">
    <w:name w:val="Salutation"/>
    <w:basedOn w:val="Normal"/>
    <w:next w:val="Normal"/>
    <w:link w:val="SalutationChar"/>
    <w:uiPriority w:val="99"/>
    <w:semiHidden/>
    <w:unhideWhenUsed/>
    <w:rsid w:val="00ED0863"/>
  </w:style>
  <w:style w:type="character" w:customStyle="1" w:styleId="SalutationChar">
    <w:name w:val="Salutation Char"/>
    <w:basedOn w:val="DefaultParagraphFont"/>
    <w:link w:val="Salutation"/>
    <w:uiPriority w:val="99"/>
    <w:semiHidden/>
    <w:rsid w:val="00ED0863"/>
  </w:style>
  <w:style w:type="paragraph" w:styleId="Signature">
    <w:name w:val="Signature"/>
    <w:basedOn w:val="Normal"/>
    <w:link w:val="SignatureChar"/>
    <w:uiPriority w:val="99"/>
    <w:semiHidden/>
    <w:unhideWhenUsed/>
    <w:rsid w:val="00ED0863"/>
    <w:pPr>
      <w:spacing w:after="0" w:line="240" w:lineRule="auto"/>
      <w:ind w:left="4252"/>
    </w:pPr>
  </w:style>
  <w:style w:type="character" w:customStyle="1" w:styleId="SignatureChar">
    <w:name w:val="Signature Char"/>
    <w:basedOn w:val="DefaultParagraphFont"/>
    <w:link w:val="Signature"/>
    <w:uiPriority w:val="99"/>
    <w:semiHidden/>
    <w:rsid w:val="00ED0863"/>
  </w:style>
  <w:style w:type="paragraph" w:styleId="TableofAuthorities">
    <w:name w:val="table of authorities"/>
    <w:basedOn w:val="Normal"/>
    <w:next w:val="Normal"/>
    <w:uiPriority w:val="99"/>
    <w:semiHidden/>
    <w:unhideWhenUsed/>
    <w:rsid w:val="00ED0863"/>
    <w:pPr>
      <w:spacing w:after="0"/>
      <w:ind w:left="220" w:hanging="220"/>
    </w:pPr>
  </w:style>
  <w:style w:type="paragraph" w:styleId="TableofFigures">
    <w:name w:val="table of figures"/>
    <w:basedOn w:val="Normal"/>
    <w:next w:val="Normal"/>
    <w:uiPriority w:val="99"/>
    <w:semiHidden/>
    <w:unhideWhenUsed/>
    <w:rsid w:val="00ED0863"/>
    <w:pPr>
      <w:spacing w:after="0"/>
    </w:pPr>
  </w:style>
  <w:style w:type="paragraph" w:styleId="TOAHeading">
    <w:name w:val="toa heading"/>
    <w:basedOn w:val="Normal"/>
    <w:next w:val="Normal"/>
    <w:uiPriority w:val="99"/>
    <w:semiHidden/>
    <w:unhideWhenUsed/>
    <w:rsid w:val="00ED086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ED0863"/>
    <w:pPr>
      <w:spacing w:after="100"/>
      <w:ind w:left="660"/>
    </w:pPr>
  </w:style>
  <w:style w:type="paragraph" w:styleId="TOC5">
    <w:name w:val="toc 5"/>
    <w:basedOn w:val="Normal"/>
    <w:next w:val="Normal"/>
    <w:autoRedefine/>
    <w:uiPriority w:val="39"/>
    <w:semiHidden/>
    <w:unhideWhenUsed/>
    <w:rsid w:val="00ED0863"/>
    <w:pPr>
      <w:spacing w:after="100"/>
      <w:ind w:left="880"/>
    </w:pPr>
  </w:style>
  <w:style w:type="paragraph" w:styleId="TOC6">
    <w:name w:val="toc 6"/>
    <w:basedOn w:val="Normal"/>
    <w:next w:val="Normal"/>
    <w:autoRedefine/>
    <w:uiPriority w:val="39"/>
    <w:semiHidden/>
    <w:unhideWhenUsed/>
    <w:rsid w:val="00ED0863"/>
    <w:pPr>
      <w:spacing w:after="100"/>
      <w:ind w:left="1100"/>
    </w:pPr>
  </w:style>
  <w:style w:type="paragraph" w:styleId="TOC7">
    <w:name w:val="toc 7"/>
    <w:basedOn w:val="Normal"/>
    <w:next w:val="Normal"/>
    <w:autoRedefine/>
    <w:uiPriority w:val="39"/>
    <w:semiHidden/>
    <w:unhideWhenUsed/>
    <w:rsid w:val="00ED0863"/>
    <w:pPr>
      <w:spacing w:after="100"/>
      <w:ind w:left="1320"/>
    </w:pPr>
  </w:style>
  <w:style w:type="paragraph" w:styleId="TOC8">
    <w:name w:val="toc 8"/>
    <w:basedOn w:val="Normal"/>
    <w:next w:val="Normal"/>
    <w:autoRedefine/>
    <w:uiPriority w:val="39"/>
    <w:semiHidden/>
    <w:unhideWhenUsed/>
    <w:rsid w:val="00ED0863"/>
    <w:pPr>
      <w:spacing w:after="100"/>
      <w:ind w:left="1540"/>
    </w:pPr>
  </w:style>
  <w:style w:type="paragraph" w:styleId="TOC9">
    <w:name w:val="toc 9"/>
    <w:basedOn w:val="Normal"/>
    <w:next w:val="Normal"/>
    <w:autoRedefine/>
    <w:uiPriority w:val="39"/>
    <w:semiHidden/>
    <w:unhideWhenUsed/>
    <w:rsid w:val="00ED0863"/>
    <w:pPr>
      <w:spacing w:after="100"/>
      <w:ind w:left="1760"/>
    </w:pPr>
  </w:style>
  <w:style w:type="paragraph" w:customStyle="1" w:styleId="xmsonormal">
    <w:name w:val="x_msonormal"/>
    <w:basedOn w:val="Normal"/>
    <w:rsid w:val="00B421F2"/>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1383">
      <w:bodyDiv w:val="1"/>
      <w:marLeft w:val="0"/>
      <w:marRight w:val="0"/>
      <w:marTop w:val="0"/>
      <w:marBottom w:val="0"/>
      <w:divBdr>
        <w:top w:val="none" w:sz="0" w:space="0" w:color="auto"/>
        <w:left w:val="none" w:sz="0" w:space="0" w:color="auto"/>
        <w:bottom w:val="none" w:sz="0" w:space="0" w:color="auto"/>
        <w:right w:val="none" w:sz="0" w:space="0" w:color="auto"/>
      </w:divBdr>
    </w:div>
    <w:div w:id="72552503">
      <w:bodyDiv w:val="1"/>
      <w:marLeft w:val="0"/>
      <w:marRight w:val="0"/>
      <w:marTop w:val="0"/>
      <w:marBottom w:val="0"/>
      <w:divBdr>
        <w:top w:val="none" w:sz="0" w:space="0" w:color="auto"/>
        <w:left w:val="none" w:sz="0" w:space="0" w:color="auto"/>
        <w:bottom w:val="none" w:sz="0" w:space="0" w:color="auto"/>
        <w:right w:val="none" w:sz="0" w:space="0" w:color="auto"/>
      </w:divBdr>
      <w:divsChild>
        <w:div w:id="1479569166">
          <w:marLeft w:val="0"/>
          <w:marRight w:val="0"/>
          <w:marTop w:val="0"/>
          <w:marBottom w:val="0"/>
          <w:divBdr>
            <w:top w:val="none" w:sz="0" w:space="0" w:color="auto"/>
            <w:left w:val="none" w:sz="0" w:space="0" w:color="auto"/>
            <w:bottom w:val="none" w:sz="0" w:space="0" w:color="auto"/>
            <w:right w:val="none" w:sz="0" w:space="0" w:color="auto"/>
          </w:divBdr>
          <w:divsChild>
            <w:div w:id="1490829168">
              <w:marLeft w:val="0"/>
              <w:marRight w:val="0"/>
              <w:marTop w:val="0"/>
              <w:marBottom w:val="0"/>
              <w:divBdr>
                <w:top w:val="none" w:sz="0" w:space="0" w:color="auto"/>
                <w:left w:val="none" w:sz="0" w:space="0" w:color="auto"/>
                <w:bottom w:val="none" w:sz="0" w:space="0" w:color="auto"/>
                <w:right w:val="none" w:sz="0" w:space="0" w:color="auto"/>
              </w:divBdr>
              <w:divsChild>
                <w:div w:id="962271633">
                  <w:marLeft w:val="0"/>
                  <w:marRight w:val="0"/>
                  <w:marTop w:val="0"/>
                  <w:marBottom w:val="0"/>
                  <w:divBdr>
                    <w:top w:val="none" w:sz="0" w:space="0" w:color="auto"/>
                    <w:left w:val="none" w:sz="0" w:space="0" w:color="auto"/>
                    <w:bottom w:val="none" w:sz="0" w:space="0" w:color="auto"/>
                    <w:right w:val="none" w:sz="0" w:space="0" w:color="auto"/>
                  </w:divBdr>
                  <w:divsChild>
                    <w:div w:id="2118863725">
                      <w:marLeft w:val="0"/>
                      <w:marRight w:val="0"/>
                      <w:marTop w:val="0"/>
                      <w:marBottom w:val="0"/>
                      <w:divBdr>
                        <w:top w:val="none" w:sz="0" w:space="0" w:color="auto"/>
                        <w:left w:val="none" w:sz="0" w:space="0" w:color="auto"/>
                        <w:bottom w:val="none" w:sz="0" w:space="0" w:color="auto"/>
                        <w:right w:val="none" w:sz="0" w:space="0" w:color="auto"/>
                      </w:divBdr>
                      <w:divsChild>
                        <w:div w:id="50615935">
                          <w:marLeft w:val="0"/>
                          <w:marRight w:val="0"/>
                          <w:marTop w:val="0"/>
                          <w:marBottom w:val="0"/>
                          <w:divBdr>
                            <w:top w:val="none" w:sz="0" w:space="0" w:color="auto"/>
                            <w:left w:val="none" w:sz="0" w:space="0" w:color="auto"/>
                            <w:bottom w:val="none" w:sz="0" w:space="0" w:color="auto"/>
                            <w:right w:val="none" w:sz="0" w:space="0" w:color="auto"/>
                          </w:divBdr>
                          <w:divsChild>
                            <w:div w:id="1451824023">
                              <w:marLeft w:val="0"/>
                              <w:marRight w:val="0"/>
                              <w:marTop w:val="0"/>
                              <w:marBottom w:val="0"/>
                              <w:divBdr>
                                <w:top w:val="none" w:sz="0" w:space="0" w:color="auto"/>
                                <w:left w:val="none" w:sz="0" w:space="0" w:color="auto"/>
                                <w:bottom w:val="none" w:sz="0" w:space="0" w:color="auto"/>
                                <w:right w:val="none" w:sz="0" w:space="0" w:color="auto"/>
                              </w:divBdr>
                              <w:divsChild>
                                <w:div w:id="305625202">
                                  <w:marLeft w:val="0"/>
                                  <w:marRight w:val="0"/>
                                  <w:marTop w:val="0"/>
                                  <w:marBottom w:val="0"/>
                                  <w:divBdr>
                                    <w:top w:val="none" w:sz="0" w:space="0" w:color="auto"/>
                                    <w:left w:val="none" w:sz="0" w:space="0" w:color="auto"/>
                                    <w:bottom w:val="none" w:sz="0" w:space="0" w:color="auto"/>
                                    <w:right w:val="none" w:sz="0" w:space="0" w:color="auto"/>
                                  </w:divBdr>
                                  <w:divsChild>
                                    <w:div w:id="717172583">
                                      <w:marLeft w:val="0"/>
                                      <w:marRight w:val="0"/>
                                      <w:marTop w:val="0"/>
                                      <w:marBottom w:val="0"/>
                                      <w:divBdr>
                                        <w:top w:val="none" w:sz="0" w:space="0" w:color="auto"/>
                                        <w:left w:val="none" w:sz="0" w:space="0" w:color="auto"/>
                                        <w:bottom w:val="none" w:sz="0" w:space="0" w:color="auto"/>
                                        <w:right w:val="none" w:sz="0" w:space="0" w:color="auto"/>
                                      </w:divBdr>
                                      <w:divsChild>
                                        <w:div w:id="3087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764">
                          <w:marLeft w:val="0"/>
                          <w:marRight w:val="0"/>
                          <w:marTop w:val="0"/>
                          <w:marBottom w:val="0"/>
                          <w:divBdr>
                            <w:top w:val="none" w:sz="0" w:space="0" w:color="auto"/>
                            <w:left w:val="none" w:sz="0" w:space="0" w:color="auto"/>
                            <w:bottom w:val="none" w:sz="0" w:space="0" w:color="auto"/>
                            <w:right w:val="none" w:sz="0" w:space="0" w:color="auto"/>
                          </w:divBdr>
                          <w:divsChild>
                            <w:div w:id="846823236">
                              <w:marLeft w:val="0"/>
                              <w:marRight w:val="0"/>
                              <w:marTop w:val="0"/>
                              <w:marBottom w:val="0"/>
                              <w:divBdr>
                                <w:top w:val="none" w:sz="0" w:space="0" w:color="auto"/>
                                <w:left w:val="none" w:sz="0" w:space="0" w:color="auto"/>
                                <w:bottom w:val="none" w:sz="0" w:space="0" w:color="auto"/>
                                <w:right w:val="none" w:sz="0" w:space="0" w:color="auto"/>
                              </w:divBdr>
                              <w:divsChild>
                                <w:div w:id="1073046600">
                                  <w:marLeft w:val="0"/>
                                  <w:marRight w:val="0"/>
                                  <w:marTop w:val="0"/>
                                  <w:marBottom w:val="0"/>
                                  <w:divBdr>
                                    <w:top w:val="none" w:sz="0" w:space="0" w:color="auto"/>
                                    <w:left w:val="none" w:sz="0" w:space="0" w:color="auto"/>
                                    <w:bottom w:val="none" w:sz="0" w:space="0" w:color="auto"/>
                                    <w:right w:val="none" w:sz="0" w:space="0" w:color="auto"/>
                                  </w:divBdr>
                                  <w:divsChild>
                                    <w:div w:id="1252155941">
                                      <w:marLeft w:val="0"/>
                                      <w:marRight w:val="0"/>
                                      <w:marTop w:val="0"/>
                                      <w:marBottom w:val="0"/>
                                      <w:divBdr>
                                        <w:top w:val="none" w:sz="0" w:space="0" w:color="auto"/>
                                        <w:left w:val="none" w:sz="0" w:space="0" w:color="auto"/>
                                        <w:bottom w:val="none" w:sz="0" w:space="0" w:color="auto"/>
                                        <w:right w:val="none" w:sz="0" w:space="0" w:color="auto"/>
                                      </w:divBdr>
                                      <w:divsChild>
                                        <w:div w:id="160170555">
                                          <w:marLeft w:val="0"/>
                                          <w:marRight w:val="0"/>
                                          <w:marTop w:val="0"/>
                                          <w:marBottom w:val="0"/>
                                          <w:divBdr>
                                            <w:top w:val="none" w:sz="0" w:space="0" w:color="auto"/>
                                            <w:left w:val="none" w:sz="0" w:space="0" w:color="auto"/>
                                            <w:bottom w:val="none" w:sz="0" w:space="0" w:color="auto"/>
                                            <w:right w:val="none" w:sz="0" w:space="0" w:color="auto"/>
                                          </w:divBdr>
                                          <w:divsChild>
                                            <w:div w:id="331031291">
                                              <w:marLeft w:val="0"/>
                                              <w:marRight w:val="0"/>
                                              <w:marTop w:val="0"/>
                                              <w:marBottom w:val="0"/>
                                              <w:divBdr>
                                                <w:top w:val="none" w:sz="0" w:space="0" w:color="auto"/>
                                                <w:left w:val="none" w:sz="0" w:space="0" w:color="auto"/>
                                                <w:bottom w:val="none" w:sz="0" w:space="0" w:color="auto"/>
                                                <w:right w:val="none" w:sz="0" w:space="0" w:color="auto"/>
                                              </w:divBdr>
                                              <w:divsChild>
                                                <w:div w:id="6378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637">
                                          <w:marLeft w:val="0"/>
                                          <w:marRight w:val="0"/>
                                          <w:marTop w:val="0"/>
                                          <w:marBottom w:val="0"/>
                                          <w:divBdr>
                                            <w:top w:val="none" w:sz="0" w:space="0" w:color="auto"/>
                                            <w:left w:val="none" w:sz="0" w:space="0" w:color="auto"/>
                                            <w:bottom w:val="none" w:sz="0" w:space="0" w:color="auto"/>
                                            <w:right w:val="none" w:sz="0" w:space="0" w:color="auto"/>
                                          </w:divBdr>
                                          <w:divsChild>
                                            <w:div w:id="1594391618">
                                              <w:marLeft w:val="0"/>
                                              <w:marRight w:val="0"/>
                                              <w:marTop w:val="0"/>
                                              <w:marBottom w:val="0"/>
                                              <w:divBdr>
                                                <w:top w:val="none" w:sz="0" w:space="0" w:color="auto"/>
                                                <w:left w:val="none" w:sz="0" w:space="0" w:color="auto"/>
                                                <w:bottom w:val="none" w:sz="0" w:space="0" w:color="auto"/>
                                                <w:right w:val="none" w:sz="0" w:space="0" w:color="auto"/>
                                              </w:divBdr>
                                              <w:divsChild>
                                                <w:div w:id="2867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53841">
      <w:bodyDiv w:val="1"/>
      <w:marLeft w:val="0"/>
      <w:marRight w:val="0"/>
      <w:marTop w:val="0"/>
      <w:marBottom w:val="0"/>
      <w:divBdr>
        <w:top w:val="none" w:sz="0" w:space="0" w:color="auto"/>
        <w:left w:val="none" w:sz="0" w:space="0" w:color="auto"/>
        <w:bottom w:val="none" w:sz="0" w:space="0" w:color="auto"/>
        <w:right w:val="none" w:sz="0" w:space="0" w:color="auto"/>
      </w:divBdr>
    </w:div>
    <w:div w:id="100609977">
      <w:bodyDiv w:val="1"/>
      <w:marLeft w:val="0"/>
      <w:marRight w:val="0"/>
      <w:marTop w:val="0"/>
      <w:marBottom w:val="0"/>
      <w:divBdr>
        <w:top w:val="none" w:sz="0" w:space="0" w:color="auto"/>
        <w:left w:val="none" w:sz="0" w:space="0" w:color="auto"/>
        <w:bottom w:val="none" w:sz="0" w:space="0" w:color="auto"/>
        <w:right w:val="none" w:sz="0" w:space="0" w:color="auto"/>
      </w:divBdr>
    </w:div>
    <w:div w:id="103816850">
      <w:bodyDiv w:val="1"/>
      <w:marLeft w:val="0"/>
      <w:marRight w:val="0"/>
      <w:marTop w:val="0"/>
      <w:marBottom w:val="0"/>
      <w:divBdr>
        <w:top w:val="none" w:sz="0" w:space="0" w:color="auto"/>
        <w:left w:val="none" w:sz="0" w:space="0" w:color="auto"/>
        <w:bottom w:val="none" w:sz="0" w:space="0" w:color="auto"/>
        <w:right w:val="none" w:sz="0" w:space="0" w:color="auto"/>
      </w:divBdr>
    </w:div>
    <w:div w:id="167142714">
      <w:bodyDiv w:val="1"/>
      <w:marLeft w:val="0"/>
      <w:marRight w:val="0"/>
      <w:marTop w:val="0"/>
      <w:marBottom w:val="0"/>
      <w:divBdr>
        <w:top w:val="none" w:sz="0" w:space="0" w:color="auto"/>
        <w:left w:val="none" w:sz="0" w:space="0" w:color="auto"/>
        <w:bottom w:val="none" w:sz="0" w:space="0" w:color="auto"/>
        <w:right w:val="none" w:sz="0" w:space="0" w:color="auto"/>
      </w:divBdr>
    </w:div>
    <w:div w:id="248127396">
      <w:bodyDiv w:val="1"/>
      <w:marLeft w:val="0"/>
      <w:marRight w:val="0"/>
      <w:marTop w:val="0"/>
      <w:marBottom w:val="0"/>
      <w:divBdr>
        <w:top w:val="none" w:sz="0" w:space="0" w:color="auto"/>
        <w:left w:val="none" w:sz="0" w:space="0" w:color="auto"/>
        <w:bottom w:val="none" w:sz="0" w:space="0" w:color="auto"/>
        <w:right w:val="none" w:sz="0" w:space="0" w:color="auto"/>
      </w:divBdr>
      <w:divsChild>
        <w:div w:id="964576301">
          <w:marLeft w:val="0"/>
          <w:marRight w:val="0"/>
          <w:marTop w:val="0"/>
          <w:marBottom w:val="0"/>
          <w:divBdr>
            <w:top w:val="none" w:sz="0" w:space="0" w:color="auto"/>
            <w:left w:val="none" w:sz="0" w:space="0" w:color="auto"/>
            <w:bottom w:val="none" w:sz="0" w:space="0" w:color="auto"/>
            <w:right w:val="none" w:sz="0" w:space="0" w:color="auto"/>
          </w:divBdr>
          <w:divsChild>
            <w:div w:id="62610410">
              <w:marLeft w:val="0"/>
              <w:marRight w:val="0"/>
              <w:marTop w:val="0"/>
              <w:marBottom w:val="0"/>
              <w:divBdr>
                <w:top w:val="none" w:sz="0" w:space="0" w:color="auto"/>
                <w:left w:val="none" w:sz="0" w:space="0" w:color="auto"/>
                <w:bottom w:val="none" w:sz="0" w:space="0" w:color="auto"/>
                <w:right w:val="none" w:sz="0" w:space="0" w:color="auto"/>
              </w:divBdr>
              <w:divsChild>
                <w:div w:id="1199927084">
                  <w:marLeft w:val="0"/>
                  <w:marRight w:val="0"/>
                  <w:marTop w:val="0"/>
                  <w:marBottom w:val="0"/>
                  <w:divBdr>
                    <w:top w:val="none" w:sz="0" w:space="0" w:color="auto"/>
                    <w:left w:val="none" w:sz="0" w:space="0" w:color="auto"/>
                    <w:bottom w:val="none" w:sz="0" w:space="0" w:color="auto"/>
                    <w:right w:val="none" w:sz="0" w:space="0" w:color="auto"/>
                  </w:divBdr>
                  <w:divsChild>
                    <w:div w:id="776175573">
                      <w:marLeft w:val="0"/>
                      <w:marRight w:val="0"/>
                      <w:marTop w:val="0"/>
                      <w:marBottom w:val="0"/>
                      <w:divBdr>
                        <w:top w:val="none" w:sz="0" w:space="0" w:color="auto"/>
                        <w:left w:val="none" w:sz="0" w:space="0" w:color="auto"/>
                        <w:bottom w:val="none" w:sz="0" w:space="0" w:color="auto"/>
                        <w:right w:val="none" w:sz="0" w:space="0" w:color="auto"/>
                      </w:divBdr>
                      <w:divsChild>
                        <w:div w:id="1757434936">
                          <w:marLeft w:val="0"/>
                          <w:marRight w:val="0"/>
                          <w:marTop w:val="0"/>
                          <w:marBottom w:val="0"/>
                          <w:divBdr>
                            <w:top w:val="none" w:sz="0" w:space="0" w:color="auto"/>
                            <w:left w:val="none" w:sz="0" w:space="0" w:color="auto"/>
                            <w:bottom w:val="none" w:sz="0" w:space="0" w:color="auto"/>
                            <w:right w:val="none" w:sz="0" w:space="0" w:color="auto"/>
                          </w:divBdr>
                          <w:divsChild>
                            <w:div w:id="1233202819">
                              <w:marLeft w:val="0"/>
                              <w:marRight w:val="0"/>
                              <w:marTop w:val="0"/>
                              <w:marBottom w:val="0"/>
                              <w:divBdr>
                                <w:top w:val="none" w:sz="0" w:space="0" w:color="auto"/>
                                <w:left w:val="none" w:sz="0" w:space="0" w:color="auto"/>
                                <w:bottom w:val="none" w:sz="0" w:space="0" w:color="auto"/>
                                <w:right w:val="none" w:sz="0" w:space="0" w:color="auto"/>
                              </w:divBdr>
                              <w:divsChild>
                                <w:div w:id="925722563">
                                  <w:marLeft w:val="0"/>
                                  <w:marRight w:val="0"/>
                                  <w:marTop w:val="0"/>
                                  <w:marBottom w:val="0"/>
                                  <w:divBdr>
                                    <w:top w:val="none" w:sz="0" w:space="0" w:color="auto"/>
                                    <w:left w:val="none" w:sz="0" w:space="0" w:color="auto"/>
                                    <w:bottom w:val="none" w:sz="0" w:space="0" w:color="auto"/>
                                    <w:right w:val="none" w:sz="0" w:space="0" w:color="auto"/>
                                  </w:divBdr>
                                  <w:divsChild>
                                    <w:div w:id="205142111">
                                      <w:marLeft w:val="0"/>
                                      <w:marRight w:val="0"/>
                                      <w:marTop w:val="0"/>
                                      <w:marBottom w:val="0"/>
                                      <w:divBdr>
                                        <w:top w:val="none" w:sz="0" w:space="0" w:color="auto"/>
                                        <w:left w:val="none" w:sz="0" w:space="0" w:color="auto"/>
                                        <w:bottom w:val="none" w:sz="0" w:space="0" w:color="auto"/>
                                        <w:right w:val="none" w:sz="0" w:space="0" w:color="auto"/>
                                      </w:divBdr>
                                      <w:divsChild>
                                        <w:div w:id="9165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8592">
                          <w:marLeft w:val="0"/>
                          <w:marRight w:val="0"/>
                          <w:marTop w:val="0"/>
                          <w:marBottom w:val="0"/>
                          <w:divBdr>
                            <w:top w:val="none" w:sz="0" w:space="0" w:color="auto"/>
                            <w:left w:val="none" w:sz="0" w:space="0" w:color="auto"/>
                            <w:bottom w:val="none" w:sz="0" w:space="0" w:color="auto"/>
                            <w:right w:val="none" w:sz="0" w:space="0" w:color="auto"/>
                          </w:divBdr>
                          <w:divsChild>
                            <w:div w:id="1330521157">
                              <w:marLeft w:val="0"/>
                              <w:marRight w:val="0"/>
                              <w:marTop w:val="0"/>
                              <w:marBottom w:val="0"/>
                              <w:divBdr>
                                <w:top w:val="none" w:sz="0" w:space="0" w:color="auto"/>
                                <w:left w:val="none" w:sz="0" w:space="0" w:color="auto"/>
                                <w:bottom w:val="none" w:sz="0" w:space="0" w:color="auto"/>
                                <w:right w:val="none" w:sz="0" w:space="0" w:color="auto"/>
                              </w:divBdr>
                              <w:divsChild>
                                <w:div w:id="1729953977">
                                  <w:marLeft w:val="0"/>
                                  <w:marRight w:val="0"/>
                                  <w:marTop w:val="0"/>
                                  <w:marBottom w:val="0"/>
                                  <w:divBdr>
                                    <w:top w:val="none" w:sz="0" w:space="0" w:color="auto"/>
                                    <w:left w:val="none" w:sz="0" w:space="0" w:color="auto"/>
                                    <w:bottom w:val="none" w:sz="0" w:space="0" w:color="auto"/>
                                    <w:right w:val="none" w:sz="0" w:space="0" w:color="auto"/>
                                  </w:divBdr>
                                  <w:divsChild>
                                    <w:div w:id="1198350952">
                                      <w:marLeft w:val="0"/>
                                      <w:marRight w:val="0"/>
                                      <w:marTop w:val="0"/>
                                      <w:marBottom w:val="0"/>
                                      <w:divBdr>
                                        <w:top w:val="none" w:sz="0" w:space="0" w:color="auto"/>
                                        <w:left w:val="none" w:sz="0" w:space="0" w:color="auto"/>
                                        <w:bottom w:val="none" w:sz="0" w:space="0" w:color="auto"/>
                                        <w:right w:val="none" w:sz="0" w:space="0" w:color="auto"/>
                                      </w:divBdr>
                                      <w:divsChild>
                                        <w:div w:id="1718623523">
                                          <w:marLeft w:val="0"/>
                                          <w:marRight w:val="0"/>
                                          <w:marTop w:val="0"/>
                                          <w:marBottom w:val="0"/>
                                          <w:divBdr>
                                            <w:top w:val="none" w:sz="0" w:space="0" w:color="auto"/>
                                            <w:left w:val="none" w:sz="0" w:space="0" w:color="auto"/>
                                            <w:bottom w:val="none" w:sz="0" w:space="0" w:color="auto"/>
                                            <w:right w:val="none" w:sz="0" w:space="0" w:color="auto"/>
                                          </w:divBdr>
                                          <w:divsChild>
                                            <w:div w:id="1699040761">
                                              <w:marLeft w:val="0"/>
                                              <w:marRight w:val="0"/>
                                              <w:marTop w:val="0"/>
                                              <w:marBottom w:val="0"/>
                                              <w:divBdr>
                                                <w:top w:val="none" w:sz="0" w:space="0" w:color="auto"/>
                                                <w:left w:val="none" w:sz="0" w:space="0" w:color="auto"/>
                                                <w:bottom w:val="none" w:sz="0" w:space="0" w:color="auto"/>
                                                <w:right w:val="none" w:sz="0" w:space="0" w:color="auto"/>
                                              </w:divBdr>
                                              <w:divsChild>
                                                <w:div w:id="15996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2882">
                                          <w:marLeft w:val="0"/>
                                          <w:marRight w:val="0"/>
                                          <w:marTop w:val="0"/>
                                          <w:marBottom w:val="0"/>
                                          <w:divBdr>
                                            <w:top w:val="none" w:sz="0" w:space="0" w:color="auto"/>
                                            <w:left w:val="none" w:sz="0" w:space="0" w:color="auto"/>
                                            <w:bottom w:val="none" w:sz="0" w:space="0" w:color="auto"/>
                                            <w:right w:val="none" w:sz="0" w:space="0" w:color="auto"/>
                                          </w:divBdr>
                                          <w:divsChild>
                                            <w:div w:id="1207715979">
                                              <w:marLeft w:val="0"/>
                                              <w:marRight w:val="0"/>
                                              <w:marTop w:val="0"/>
                                              <w:marBottom w:val="0"/>
                                              <w:divBdr>
                                                <w:top w:val="none" w:sz="0" w:space="0" w:color="auto"/>
                                                <w:left w:val="none" w:sz="0" w:space="0" w:color="auto"/>
                                                <w:bottom w:val="none" w:sz="0" w:space="0" w:color="auto"/>
                                                <w:right w:val="none" w:sz="0" w:space="0" w:color="auto"/>
                                              </w:divBdr>
                                              <w:divsChild>
                                                <w:div w:id="18889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156958">
      <w:bodyDiv w:val="1"/>
      <w:marLeft w:val="0"/>
      <w:marRight w:val="0"/>
      <w:marTop w:val="0"/>
      <w:marBottom w:val="0"/>
      <w:divBdr>
        <w:top w:val="none" w:sz="0" w:space="0" w:color="auto"/>
        <w:left w:val="none" w:sz="0" w:space="0" w:color="auto"/>
        <w:bottom w:val="none" w:sz="0" w:space="0" w:color="auto"/>
        <w:right w:val="none" w:sz="0" w:space="0" w:color="auto"/>
      </w:divBdr>
    </w:div>
    <w:div w:id="322970772">
      <w:bodyDiv w:val="1"/>
      <w:marLeft w:val="0"/>
      <w:marRight w:val="0"/>
      <w:marTop w:val="0"/>
      <w:marBottom w:val="0"/>
      <w:divBdr>
        <w:top w:val="none" w:sz="0" w:space="0" w:color="auto"/>
        <w:left w:val="none" w:sz="0" w:space="0" w:color="auto"/>
        <w:bottom w:val="none" w:sz="0" w:space="0" w:color="auto"/>
        <w:right w:val="none" w:sz="0" w:space="0" w:color="auto"/>
      </w:divBdr>
    </w:div>
    <w:div w:id="357514539">
      <w:bodyDiv w:val="1"/>
      <w:marLeft w:val="0"/>
      <w:marRight w:val="0"/>
      <w:marTop w:val="0"/>
      <w:marBottom w:val="0"/>
      <w:divBdr>
        <w:top w:val="none" w:sz="0" w:space="0" w:color="auto"/>
        <w:left w:val="none" w:sz="0" w:space="0" w:color="auto"/>
        <w:bottom w:val="none" w:sz="0" w:space="0" w:color="auto"/>
        <w:right w:val="none" w:sz="0" w:space="0" w:color="auto"/>
      </w:divBdr>
      <w:divsChild>
        <w:div w:id="493961755">
          <w:marLeft w:val="0"/>
          <w:marRight w:val="0"/>
          <w:marTop w:val="0"/>
          <w:marBottom w:val="0"/>
          <w:divBdr>
            <w:top w:val="none" w:sz="0" w:space="0" w:color="auto"/>
            <w:left w:val="none" w:sz="0" w:space="0" w:color="auto"/>
            <w:bottom w:val="none" w:sz="0" w:space="0" w:color="auto"/>
            <w:right w:val="none" w:sz="0" w:space="0" w:color="auto"/>
          </w:divBdr>
          <w:divsChild>
            <w:div w:id="656304329">
              <w:marLeft w:val="0"/>
              <w:marRight w:val="0"/>
              <w:marTop w:val="0"/>
              <w:marBottom w:val="0"/>
              <w:divBdr>
                <w:top w:val="none" w:sz="0" w:space="0" w:color="auto"/>
                <w:left w:val="none" w:sz="0" w:space="0" w:color="auto"/>
                <w:bottom w:val="none" w:sz="0" w:space="0" w:color="auto"/>
                <w:right w:val="none" w:sz="0" w:space="0" w:color="auto"/>
              </w:divBdr>
              <w:divsChild>
                <w:div w:id="420568959">
                  <w:marLeft w:val="0"/>
                  <w:marRight w:val="0"/>
                  <w:marTop w:val="0"/>
                  <w:marBottom w:val="0"/>
                  <w:divBdr>
                    <w:top w:val="none" w:sz="0" w:space="0" w:color="auto"/>
                    <w:left w:val="none" w:sz="0" w:space="0" w:color="auto"/>
                    <w:bottom w:val="none" w:sz="0" w:space="0" w:color="auto"/>
                    <w:right w:val="none" w:sz="0" w:space="0" w:color="auto"/>
                  </w:divBdr>
                  <w:divsChild>
                    <w:div w:id="680935529">
                      <w:marLeft w:val="0"/>
                      <w:marRight w:val="0"/>
                      <w:marTop w:val="0"/>
                      <w:marBottom w:val="0"/>
                      <w:divBdr>
                        <w:top w:val="none" w:sz="0" w:space="0" w:color="auto"/>
                        <w:left w:val="none" w:sz="0" w:space="0" w:color="auto"/>
                        <w:bottom w:val="none" w:sz="0" w:space="0" w:color="auto"/>
                        <w:right w:val="none" w:sz="0" w:space="0" w:color="auto"/>
                      </w:divBdr>
                      <w:divsChild>
                        <w:div w:id="71203429">
                          <w:marLeft w:val="0"/>
                          <w:marRight w:val="0"/>
                          <w:marTop w:val="0"/>
                          <w:marBottom w:val="0"/>
                          <w:divBdr>
                            <w:top w:val="none" w:sz="0" w:space="0" w:color="auto"/>
                            <w:left w:val="none" w:sz="0" w:space="0" w:color="auto"/>
                            <w:bottom w:val="none" w:sz="0" w:space="0" w:color="auto"/>
                            <w:right w:val="none" w:sz="0" w:space="0" w:color="auto"/>
                          </w:divBdr>
                          <w:divsChild>
                            <w:div w:id="194391277">
                              <w:marLeft w:val="0"/>
                              <w:marRight w:val="0"/>
                              <w:marTop w:val="0"/>
                              <w:marBottom w:val="0"/>
                              <w:divBdr>
                                <w:top w:val="none" w:sz="0" w:space="0" w:color="auto"/>
                                <w:left w:val="none" w:sz="0" w:space="0" w:color="auto"/>
                                <w:bottom w:val="none" w:sz="0" w:space="0" w:color="auto"/>
                                <w:right w:val="none" w:sz="0" w:space="0" w:color="auto"/>
                              </w:divBdr>
                              <w:divsChild>
                                <w:div w:id="152068653">
                                  <w:marLeft w:val="0"/>
                                  <w:marRight w:val="0"/>
                                  <w:marTop w:val="0"/>
                                  <w:marBottom w:val="0"/>
                                  <w:divBdr>
                                    <w:top w:val="none" w:sz="0" w:space="0" w:color="auto"/>
                                    <w:left w:val="none" w:sz="0" w:space="0" w:color="auto"/>
                                    <w:bottom w:val="none" w:sz="0" w:space="0" w:color="auto"/>
                                    <w:right w:val="none" w:sz="0" w:space="0" w:color="auto"/>
                                  </w:divBdr>
                                  <w:divsChild>
                                    <w:div w:id="550307864">
                                      <w:marLeft w:val="0"/>
                                      <w:marRight w:val="0"/>
                                      <w:marTop w:val="0"/>
                                      <w:marBottom w:val="0"/>
                                      <w:divBdr>
                                        <w:top w:val="none" w:sz="0" w:space="0" w:color="auto"/>
                                        <w:left w:val="none" w:sz="0" w:space="0" w:color="auto"/>
                                        <w:bottom w:val="none" w:sz="0" w:space="0" w:color="auto"/>
                                        <w:right w:val="none" w:sz="0" w:space="0" w:color="auto"/>
                                      </w:divBdr>
                                      <w:divsChild>
                                        <w:div w:id="10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3841">
                          <w:marLeft w:val="0"/>
                          <w:marRight w:val="0"/>
                          <w:marTop w:val="0"/>
                          <w:marBottom w:val="0"/>
                          <w:divBdr>
                            <w:top w:val="none" w:sz="0" w:space="0" w:color="auto"/>
                            <w:left w:val="none" w:sz="0" w:space="0" w:color="auto"/>
                            <w:bottom w:val="none" w:sz="0" w:space="0" w:color="auto"/>
                            <w:right w:val="none" w:sz="0" w:space="0" w:color="auto"/>
                          </w:divBdr>
                          <w:divsChild>
                            <w:div w:id="229925851">
                              <w:marLeft w:val="0"/>
                              <w:marRight w:val="0"/>
                              <w:marTop w:val="0"/>
                              <w:marBottom w:val="0"/>
                              <w:divBdr>
                                <w:top w:val="none" w:sz="0" w:space="0" w:color="auto"/>
                                <w:left w:val="none" w:sz="0" w:space="0" w:color="auto"/>
                                <w:bottom w:val="none" w:sz="0" w:space="0" w:color="auto"/>
                                <w:right w:val="none" w:sz="0" w:space="0" w:color="auto"/>
                              </w:divBdr>
                              <w:divsChild>
                                <w:div w:id="140925301">
                                  <w:marLeft w:val="0"/>
                                  <w:marRight w:val="0"/>
                                  <w:marTop w:val="0"/>
                                  <w:marBottom w:val="0"/>
                                  <w:divBdr>
                                    <w:top w:val="none" w:sz="0" w:space="0" w:color="auto"/>
                                    <w:left w:val="none" w:sz="0" w:space="0" w:color="auto"/>
                                    <w:bottom w:val="none" w:sz="0" w:space="0" w:color="auto"/>
                                    <w:right w:val="none" w:sz="0" w:space="0" w:color="auto"/>
                                  </w:divBdr>
                                  <w:divsChild>
                                    <w:div w:id="1869677702">
                                      <w:marLeft w:val="0"/>
                                      <w:marRight w:val="0"/>
                                      <w:marTop w:val="0"/>
                                      <w:marBottom w:val="0"/>
                                      <w:divBdr>
                                        <w:top w:val="none" w:sz="0" w:space="0" w:color="auto"/>
                                        <w:left w:val="none" w:sz="0" w:space="0" w:color="auto"/>
                                        <w:bottom w:val="none" w:sz="0" w:space="0" w:color="auto"/>
                                        <w:right w:val="none" w:sz="0" w:space="0" w:color="auto"/>
                                      </w:divBdr>
                                      <w:divsChild>
                                        <w:div w:id="1488326215">
                                          <w:marLeft w:val="0"/>
                                          <w:marRight w:val="0"/>
                                          <w:marTop w:val="0"/>
                                          <w:marBottom w:val="0"/>
                                          <w:divBdr>
                                            <w:top w:val="none" w:sz="0" w:space="0" w:color="auto"/>
                                            <w:left w:val="none" w:sz="0" w:space="0" w:color="auto"/>
                                            <w:bottom w:val="none" w:sz="0" w:space="0" w:color="auto"/>
                                            <w:right w:val="none" w:sz="0" w:space="0" w:color="auto"/>
                                          </w:divBdr>
                                          <w:divsChild>
                                            <w:div w:id="1978681528">
                                              <w:marLeft w:val="0"/>
                                              <w:marRight w:val="0"/>
                                              <w:marTop w:val="0"/>
                                              <w:marBottom w:val="0"/>
                                              <w:divBdr>
                                                <w:top w:val="none" w:sz="0" w:space="0" w:color="auto"/>
                                                <w:left w:val="none" w:sz="0" w:space="0" w:color="auto"/>
                                                <w:bottom w:val="none" w:sz="0" w:space="0" w:color="auto"/>
                                                <w:right w:val="none" w:sz="0" w:space="0" w:color="auto"/>
                                              </w:divBdr>
                                              <w:divsChild>
                                                <w:div w:id="59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9028">
                                          <w:marLeft w:val="0"/>
                                          <w:marRight w:val="0"/>
                                          <w:marTop w:val="0"/>
                                          <w:marBottom w:val="0"/>
                                          <w:divBdr>
                                            <w:top w:val="none" w:sz="0" w:space="0" w:color="auto"/>
                                            <w:left w:val="none" w:sz="0" w:space="0" w:color="auto"/>
                                            <w:bottom w:val="none" w:sz="0" w:space="0" w:color="auto"/>
                                            <w:right w:val="none" w:sz="0" w:space="0" w:color="auto"/>
                                          </w:divBdr>
                                          <w:divsChild>
                                            <w:div w:id="579952618">
                                              <w:marLeft w:val="0"/>
                                              <w:marRight w:val="0"/>
                                              <w:marTop w:val="0"/>
                                              <w:marBottom w:val="0"/>
                                              <w:divBdr>
                                                <w:top w:val="none" w:sz="0" w:space="0" w:color="auto"/>
                                                <w:left w:val="none" w:sz="0" w:space="0" w:color="auto"/>
                                                <w:bottom w:val="none" w:sz="0" w:space="0" w:color="auto"/>
                                                <w:right w:val="none" w:sz="0" w:space="0" w:color="auto"/>
                                              </w:divBdr>
                                              <w:divsChild>
                                                <w:div w:id="8656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387345">
      <w:bodyDiv w:val="1"/>
      <w:marLeft w:val="0"/>
      <w:marRight w:val="0"/>
      <w:marTop w:val="0"/>
      <w:marBottom w:val="0"/>
      <w:divBdr>
        <w:top w:val="none" w:sz="0" w:space="0" w:color="auto"/>
        <w:left w:val="none" w:sz="0" w:space="0" w:color="auto"/>
        <w:bottom w:val="none" w:sz="0" w:space="0" w:color="auto"/>
        <w:right w:val="none" w:sz="0" w:space="0" w:color="auto"/>
      </w:divBdr>
    </w:div>
    <w:div w:id="467363419">
      <w:bodyDiv w:val="1"/>
      <w:marLeft w:val="0"/>
      <w:marRight w:val="0"/>
      <w:marTop w:val="0"/>
      <w:marBottom w:val="0"/>
      <w:divBdr>
        <w:top w:val="none" w:sz="0" w:space="0" w:color="auto"/>
        <w:left w:val="none" w:sz="0" w:space="0" w:color="auto"/>
        <w:bottom w:val="none" w:sz="0" w:space="0" w:color="auto"/>
        <w:right w:val="none" w:sz="0" w:space="0" w:color="auto"/>
      </w:divBdr>
      <w:divsChild>
        <w:div w:id="1443957001">
          <w:marLeft w:val="0"/>
          <w:marRight w:val="0"/>
          <w:marTop w:val="0"/>
          <w:marBottom w:val="0"/>
          <w:divBdr>
            <w:top w:val="none" w:sz="0" w:space="0" w:color="auto"/>
            <w:left w:val="none" w:sz="0" w:space="0" w:color="auto"/>
            <w:bottom w:val="none" w:sz="0" w:space="0" w:color="auto"/>
            <w:right w:val="none" w:sz="0" w:space="0" w:color="auto"/>
          </w:divBdr>
          <w:divsChild>
            <w:div w:id="420033412">
              <w:marLeft w:val="0"/>
              <w:marRight w:val="0"/>
              <w:marTop w:val="0"/>
              <w:marBottom w:val="0"/>
              <w:divBdr>
                <w:top w:val="none" w:sz="0" w:space="0" w:color="auto"/>
                <w:left w:val="none" w:sz="0" w:space="0" w:color="auto"/>
                <w:bottom w:val="none" w:sz="0" w:space="0" w:color="auto"/>
                <w:right w:val="none" w:sz="0" w:space="0" w:color="auto"/>
              </w:divBdr>
              <w:divsChild>
                <w:div w:id="2056925178">
                  <w:marLeft w:val="0"/>
                  <w:marRight w:val="0"/>
                  <w:marTop w:val="0"/>
                  <w:marBottom w:val="0"/>
                  <w:divBdr>
                    <w:top w:val="none" w:sz="0" w:space="0" w:color="auto"/>
                    <w:left w:val="none" w:sz="0" w:space="0" w:color="auto"/>
                    <w:bottom w:val="none" w:sz="0" w:space="0" w:color="auto"/>
                    <w:right w:val="none" w:sz="0" w:space="0" w:color="auto"/>
                  </w:divBdr>
                  <w:divsChild>
                    <w:div w:id="365571165">
                      <w:marLeft w:val="0"/>
                      <w:marRight w:val="0"/>
                      <w:marTop w:val="0"/>
                      <w:marBottom w:val="0"/>
                      <w:divBdr>
                        <w:top w:val="none" w:sz="0" w:space="0" w:color="auto"/>
                        <w:left w:val="none" w:sz="0" w:space="0" w:color="auto"/>
                        <w:bottom w:val="none" w:sz="0" w:space="0" w:color="auto"/>
                        <w:right w:val="none" w:sz="0" w:space="0" w:color="auto"/>
                      </w:divBdr>
                      <w:divsChild>
                        <w:div w:id="735006769">
                          <w:marLeft w:val="0"/>
                          <w:marRight w:val="0"/>
                          <w:marTop w:val="0"/>
                          <w:marBottom w:val="0"/>
                          <w:divBdr>
                            <w:top w:val="none" w:sz="0" w:space="0" w:color="auto"/>
                            <w:left w:val="none" w:sz="0" w:space="0" w:color="auto"/>
                            <w:bottom w:val="none" w:sz="0" w:space="0" w:color="auto"/>
                            <w:right w:val="none" w:sz="0" w:space="0" w:color="auto"/>
                          </w:divBdr>
                          <w:divsChild>
                            <w:div w:id="1491826010">
                              <w:marLeft w:val="0"/>
                              <w:marRight w:val="0"/>
                              <w:marTop w:val="0"/>
                              <w:marBottom w:val="0"/>
                              <w:divBdr>
                                <w:top w:val="none" w:sz="0" w:space="0" w:color="auto"/>
                                <w:left w:val="none" w:sz="0" w:space="0" w:color="auto"/>
                                <w:bottom w:val="none" w:sz="0" w:space="0" w:color="auto"/>
                                <w:right w:val="none" w:sz="0" w:space="0" w:color="auto"/>
                              </w:divBdr>
                              <w:divsChild>
                                <w:div w:id="1446272352">
                                  <w:marLeft w:val="0"/>
                                  <w:marRight w:val="0"/>
                                  <w:marTop w:val="0"/>
                                  <w:marBottom w:val="0"/>
                                  <w:divBdr>
                                    <w:top w:val="none" w:sz="0" w:space="0" w:color="auto"/>
                                    <w:left w:val="none" w:sz="0" w:space="0" w:color="auto"/>
                                    <w:bottom w:val="none" w:sz="0" w:space="0" w:color="auto"/>
                                    <w:right w:val="none" w:sz="0" w:space="0" w:color="auto"/>
                                  </w:divBdr>
                                  <w:divsChild>
                                    <w:div w:id="1990399330">
                                      <w:marLeft w:val="0"/>
                                      <w:marRight w:val="0"/>
                                      <w:marTop w:val="0"/>
                                      <w:marBottom w:val="0"/>
                                      <w:divBdr>
                                        <w:top w:val="none" w:sz="0" w:space="0" w:color="auto"/>
                                        <w:left w:val="none" w:sz="0" w:space="0" w:color="auto"/>
                                        <w:bottom w:val="none" w:sz="0" w:space="0" w:color="auto"/>
                                        <w:right w:val="none" w:sz="0" w:space="0" w:color="auto"/>
                                      </w:divBdr>
                                      <w:divsChild>
                                        <w:div w:id="1400901633">
                                          <w:marLeft w:val="0"/>
                                          <w:marRight w:val="0"/>
                                          <w:marTop w:val="0"/>
                                          <w:marBottom w:val="0"/>
                                          <w:divBdr>
                                            <w:top w:val="none" w:sz="0" w:space="0" w:color="auto"/>
                                            <w:left w:val="none" w:sz="0" w:space="0" w:color="auto"/>
                                            <w:bottom w:val="none" w:sz="0" w:space="0" w:color="auto"/>
                                            <w:right w:val="none" w:sz="0" w:space="0" w:color="auto"/>
                                          </w:divBdr>
                                          <w:divsChild>
                                            <w:div w:id="736828704">
                                              <w:marLeft w:val="0"/>
                                              <w:marRight w:val="0"/>
                                              <w:marTop w:val="0"/>
                                              <w:marBottom w:val="0"/>
                                              <w:divBdr>
                                                <w:top w:val="none" w:sz="0" w:space="0" w:color="auto"/>
                                                <w:left w:val="none" w:sz="0" w:space="0" w:color="auto"/>
                                                <w:bottom w:val="none" w:sz="0" w:space="0" w:color="auto"/>
                                                <w:right w:val="none" w:sz="0" w:space="0" w:color="auto"/>
                                              </w:divBdr>
                                              <w:divsChild>
                                                <w:div w:id="195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885225">
      <w:bodyDiv w:val="1"/>
      <w:marLeft w:val="0"/>
      <w:marRight w:val="0"/>
      <w:marTop w:val="0"/>
      <w:marBottom w:val="0"/>
      <w:divBdr>
        <w:top w:val="none" w:sz="0" w:space="0" w:color="auto"/>
        <w:left w:val="none" w:sz="0" w:space="0" w:color="auto"/>
        <w:bottom w:val="none" w:sz="0" w:space="0" w:color="auto"/>
        <w:right w:val="none" w:sz="0" w:space="0" w:color="auto"/>
      </w:divBdr>
      <w:divsChild>
        <w:div w:id="205408335">
          <w:marLeft w:val="0"/>
          <w:marRight w:val="0"/>
          <w:marTop w:val="0"/>
          <w:marBottom w:val="0"/>
          <w:divBdr>
            <w:top w:val="none" w:sz="0" w:space="0" w:color="auto"/>
            <w:left w:val="none" w:sz="0" w:space="0" w:color="auto"/>
            <w:bottom w:val="none" w:sz="0" w:space="0" w:color="auto"/>
            <w:right w:val="none" w:sz="0" w:space="0" w:color="auto"/>
          </w:divBdr>
          <w:divsChild>
            <w:div w:id="1729526066">
              <w:marLeft w:val="0"/>
              <w:marRight w:val="0"/>
              <w:marTop w:val="0"/>
              <w:marBottom w:val="0"/>
              <w:divBdr>
                <w:top w:val="none" w:sz="0" w:space="0" w:color="auto"/>
                <w:left w:val="none" w:sz="0" w:space="0" w:color="auto"/>
                <w:bottom w:val="none" w:sz="0" w:space="0" w:color="auto"/>
                <w:right w:val="none" w:sz="0" w:space="0" w:color="auto"/>
              </w:divBdr>
              <w:divsChild>
                <w:div w:id="1254506453">
                  <w:marLeft w:val="0"/>
                  <w:marRight w:val="0"/>
                  <w:marTop w:val="0"/>
                  <w:marBottom w:val="0"/>
                  <w:divBdr>
                    <w:top w:val="none" w:sz="0" w:space="0" w:color="auto"/>
                    <w:left w:val="none" w:sz="0" w:space="0" w:color="auto"/>
                    <w:bottom w:val="none" w:sz="0" w:space="0" w:color="auto"/>
                    <w:right w:val="none" w:sz="0" w:space="0" w:color="auto"/>
                  </w:divBdr>
                  <w:divsChild>
                    <w:div w:id="347491569">
                      <w:marLeft w:val="0"/>
                      <w:marRight w:val="0"/>
                      <w:marTop w:val="0"/>
                      <w:marBottom w:val="0"/>
                      <w:divBdr>
                        <w:top w:val="none" w:sz="0" w:space="0" w:color="auto"/>
                        <w:left w:val="none" w:sz="0" w:space="0" w:color="auto"/>
                        <w:bottom w:val="none" w:sz="0" w:space="0" w:color="auto"/>
                        <w:right w:val="none" w:sz="0" w:space="0" w:color="auto"/>
                      </w:divBdr>
                      <w:divsChild>
                        <w:div w:id="551691187">
                          <w:marLeft w:val="0"/>
                          <w:marRight w:val="0"/>
                          <w:marTop w:val="0"/>
                          <w:marBottom w:val="0"/>
                          <w:divBdr>
                            <w:top w:val="none" w:sz="0" w:space="0" w:color="auto"/>
                            <w:left w:val="none" w:sz="0" w:space="0" w:color="auto"/>
                            <w:bottom w:val="none" w:sz="0" w:space="0" w:color="auto"/>
                            <w:right w:val="none" w:sz="0" w:space="0" w:color="auto"/>
                          </w:divBdr>
                          <w:divsChild>
                            <w:div w:id="1471630068">
                              <w:marLeft w:val="0"/>
                              <w:marRight w:val="0"/>
                              <w:marTop w:val="0"/>
                              <w:marBottom w:val="0"/>
                              <w:divBdr>
                                <w:top w:val="none" w:sz="0" w:space="0" w:color="auto"/>
                                <w:left w:val="none" w:sz="0" w:space="0" w:color="auto"/>
                                <w:bottom w:val="none" w:sz="0" w:space="0" w:color="auto"/>
                                <w:right w:val="none" w:sz="0" w:space="0" w:color="auto"/>
                              </w:divBdr>
                              <w:divsChild>
                                <w:div w:id="1330406052">
                                  <w:marLeft w:val="0"/>
                                  <w:marRight w:val="0"/>
                                  <w:marTop w:val="0"/>
                                  <w:marBottom w:val="0"/>
                                  <w:divBdr>
                                    <w:top w:val="none" w:sz="0" w:space="0" w:color="auto"/>
                                    <w:left w:val="none" w:sz="0" w:space="0" w:color="auto"/>
                                    <w:bottom w:val="none" w:sz="0" w:space="0" w:color="auto"/>
                                    <w:right w:val="none" w:sz="0" w:space="0" w:color="auto"/>
                                  </w:divBdr>
                                  <w:divsChild>
                                    <w:div w:id="957956299">
                                      <w:marLeft w:val="0"/>
                                      <w:marRight w:val="0"/>
                                      <w:marTop w:val="0"/>
                                      <w:marBottom w:val="0"/>
                                      <w:divBdr>
                                        <w:top w:val="none" w:sz="0" w:space="0" w:color="auto"/>
                                        <w:left w:val="none" w:sz="0" w:space="0" w:color="auto"/>
                                        <w:bottom w:val="none" w:sz="0" w:space="0" w:color="auto"/>
                                        <w:right w:val="none" w:sz="0" w:space="0" w:color="auto"/>
                                      </w:divBdr>
                                      <w:divsChild>
                                        <w:div w:id="2043088019">
                                          <w:marLeft w:val="0"/>
                                          <w:marRight w:val="0"/>
                                          <w:marTop w:val="0"/>
                                          <w:marBottom w:val="0"/>
                                          <w:divBdr>
                                            <w:top w:val="none" w:sz="0" w:space="0" w:color="auto"/>
                                            <w:left w:val="none" w:sz="0" w:space="0" w:color="auto"/>
                                            <w:bottom w:val="none" w:sz="0" w:space="0" w:color="auto"/>
                                            <w:right w:val="none" w:sz="0" w:space="0" w:color="auto"/>
                                          </w:divBdr>
                                          <w:divsChild>
                                            <w:div w:id="963391498">
                                              <w:marLeft w:val="0"/>
                                              <w:marRight w:val="0"/>
                                              <w:marTop w:val="0"/>
                                              <w:marBottom w:val="0"/>
                                              <w:divBdr>
                                                <w:top w:val="none" w:sz="0" w:space="0" w:color="auto"/>
                                                <w:left w:val="none" w:sz="0" w:space="0" w:color="auto"/>
                                                <w:bottom w:val="none" w:sz="0" w:space="0" w:color="auto"/>
                                                <w:right w:val="none" w:sz="0" w:space="0" w:color="auto"/>
                                              </w:divBdr>
                                              <w:divsChild>
                                                <w:div w:id="6916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318">
                                          <w:marLeft w:val="0"/>
                                          <w:marRight w:val="0"/>
                                          <w:marTop w:val="0"/>
                                          <w:marBottom w:val="0"/>
                                          <w:divBdr>
                                            <w:top w:val="none" w:sz="0" w:space="0" w:color="auto"/>
                                            <w:left w:val="none" w:sz="0" w:space="0" w:color="auto"/>
                                            <w:bottom w:val="none" w:sz="0" w:space="0" w:color="auto"/>
                                            <w:right w:val="none" w:sz="0" w:space="0" w:color="auto"/>
                                          </w:divBdr>
                                          <w:divsChild>
                                            <w:div w:id="242835353">
                                              <w:marLeft w:val="0"/>
                                              <w:marRight w:val="0"/>
                                              <w:marTop w:val="0"/>
                                              <w:marBottom w:val="0"/>
                                              <w:divBdr>
                                                <w:top w:val="none" w:sz="0" w:space="0" w:color="auto"/>
                                                <w:left w:val="none" w:sz="0" w:space="0" w:color="auto"/>
                                                <w:bottom w:val="none" w:sz="0" w:space="0" w:color="auto"/>
                                                <w:right w:val="none" w:sz="0" w:space="0" w:color="auto"/>
                                              </w:divBdr>
                                              <w:divsChild>
                                                <w:div w:id="1818297254">
                                                  <w:marLeft w:val="0"/>
                                                  <w:marRight w:val="0"/>
                                                  <w:marTop w:val="0"/>
                                                  <w:marBottom w:val="0"/>
                                                  <w:divBdr>
                                                    <w:top w:val="none" w:sz="0" w:space="0" w:color="auto"/>
                                                    <w:left w:val="none" w:sz="0" w:space="0" w:color="auto"/>
                                                    <w:bottom w:val="none" w:sz="0" w:space="0" w:color="auto"/>
                                                    <w:right w:val="none" w:sz="0" w:space="0" w:color="auto"/>
                                                  </w:divBdr>
                                                  <w:divsChild>
                                                    <w:div w:id="108283583">
                                                      <w:marLeft w:val="0"/>
                                                      <w:marRight w:val="0"/>
                                                      <w:marTop w:val="0"/>
                                                      <w:marBottom w:val="0"/>
                                                      <w:divBdr>
                                                        <w:top w:val="none" w:sz="0" w:space="0" w:color="auto"/>
                                                        <w:left w:val="none" w:sz="0" w:space="0" w:color="auto"/>
                                                        <w:bottom w:val="none" w:sz="0" w:space="0" w:color="auto"/>
                                                        <w:right w:val="none" w:sz="0" w:space="0" w:color="auto"/>
                                                      </w:divBdr>
                                                    </w:div>
                                                    <w:div w:id="14986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5187">
                                              <w:marLeft w:val="0"/>
                                              <w:marRight w:val="0"/>
                                              <w:marTop w:val="0"/>
                                              <w:marBottom w:val="0"/>
                                              <w:divBdr>
                                                <w:top w:val="none" w:sz="0" w:space="0" w:color="auto"/>
                                                <w:left w:val="none" w:sz="0" w:space="0" w:color="auto"/>
                                                <w:bottom w:val="none" w:sz="0" w:space="0" w:color="auto"/>
                                                <w:right w:val="none" w:sz="0" w:space="0" w:color="auto"/>
                                              </w:divBdr>
                                              <w:divsChild>
                                                <w:div w:id="1784957733">
                                                  <w:marLeft w:val="0"/>
                                                  <w:marRight w:val="0"/>
                                                  <w:marTop w:val="0"/>
                                                  <w:marBottom w:val="0"/>
                                                  <w:divBdr>
                                                    <w:top w:val="none" w:sz="0" w:space="0" w:color="auto"/>
                                                    <w:left w:val="none" w:sz="0" w:space="0" w:color="auto"/>
                                                    <w:bottom w:val="none" w:sz="0" w:space="0" w:color="auto"/>
                                                    <w:right w:val="none" w:sz="0" w:space="0" w:color="auto"/>
                                                  </w:divBdr>
                                                  <w:divsChild>
                                                    <w:div w:id="966810875">
                                                      <w:marLeft w:val="0"/>
                                                      <w:marRight w:val="0"/>
                                                      <w:marTop w:val="0"/>
                                                      <w:marBottom w:val="0"/>
                                                      <w:divBdr>
                                                        <w:top w:val="none" w:sz="0" w:space="0" w:color="auto"/>
                                                        <w:left w:val="none" w:sz="0" w:space="0" w:color="auto"/>
                                                        <w:bottom w:val="none" w:sz="0" w:space="0" w:color="auto"/>
                                                        <w:right w:val="none" w:sz="0" w:space="0" w:color="auto"/>
                                                      </w:divBdr>
                                                    </w:div>
                                                    <w:div w:id="8346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490935">
      <w:bodyDiv w:val="1"/>
      <w:marLeft w:val="0"/>
      <w:marRight w:val="0"/>
      <w:marTop w:val="0"/>
      <w:marBottom w:val="0"/>
      <w:divBdr>
        <w:top w:val="none" w:sz="0" w:space="0" w:color="auto"/>
        <w:left w:val="none" w:sz="0" w:space="0" w:color="auto"/>
        <w:bottom w:val="none" w:sz="0" w:space="0" w:color="auto"/>
        <w:right w:val="none" w:sz="0" w:space="0" w:color="auto"/>
      </w:divBdr>
    </w:div>
    <w:div w:id="575482206">
      <w:bodyDiv w:val="1"/>
      <w:marLeft w:val="0"/>
      <w:marRight w:val="0"/>
      <w:marTop w:val="0"/>
      <w:marBottom w:val="0"/>
      <w:divBdr>
        <w:top w:val="none" w:sz="0" w:space="0" w:color="auto"/>
        <w:left w:val="none" w:sz="0" w:space="0" w:color="auto"/>
        <w:bottom w:val="none" w:sz="0" w:space="0" w:color="auto"/>
        <w:right w:val="none" w:sz="0" w:space="0" w:color="auto"/>
      </w:divBdr>
    </w:div>
    <w:div w:id="599029251">
      <w:bodyDiv w:val="1"/>
      <w:marLeft w:val="0"/>
      <w:marRight w:val="0"/>
      <w:marTop w:val="0"/>
      <w:marBottom w:val="0"/>
      <w:divBdr>
        <w:top w:val="none" w:sz="0" w:space="0" w:color="auto"/>
        <w:left w:val="none" w:sz="0" w:space="0" w:color="auto"/>
        <w:bottom w:val="none" w:sz="0" w:space="0" w:color="auto"/>
        <w:right w:val="none" w:sz="0" w:space="0" w:color="auto"/>
      </w:divBdr>
      <w:divsChild>
        <w:div w:id="1377200013">
          <w:marLeft w:val="0"/>
          <w:marRight w:val="0"/>
          <w:marTop w:val="0"/>
          <w:marBottom w:val="0"/>
          <w:divBdr>
            <w:top w:val="none" w:sz="0" w:space="0" w:color="auto"/>
            <w:left w:val="none" w:sz="0" w:space="0" w:color="auto"/>
            <w:bottom w:val="none" w:sz="0" w:space="0" w:color="auto"/>
            <w:right w:val="none" w:sz="0" w:space="0" w:color="auto"/>
          </w:divBdr>
          <w:divsChild>
            <w:div w:id="866017512">
              <w:marLeft w:val="0"/>
              <w:marRight w:val="0"/>
              <w:marTop w:val="0"/>
              <w:marBottom w:val="0"/>
              <w:divBdr>
                <w:top w:val="none" w:sz="0" w:space="0" w:color="auto"/>
                <w:left w:val="none" w:sz="0" w:space="0" w:color="auto"/>
                <w:bottom w:val="none" w:sz="0" w:space="0" w:color="auto"/>
                <w:right w:val="none" w:sz="0" w:space="0" w:color="auto"/>
              </w:divBdr>
              <w:divsChild>
                <w:div w:id="1813323272">
                  <w:marLeft w:val="0"/>
                  <w:marRight w:val="0"/>
                  <w:marTop w:val="0"/>
                  <w:marBottom w:val="0"/>
                  <w:divBdr>
                    <w:top w:val="none" w:sz="0" w:space="0" w:color="auto"/>
                    <w:left w:val="none" w:sz="0" w:space="0" w:color="auto"/>
                    <w:bottom w:val="none" w:sz="0" w:space="0" w:color="auto"/>
                    <w:right w:val="none" w:sz="0" w:space="0" w:color="auto"/>
                  </w:divBdr>
                  <w:divsChild>
                    <w:div w:id="537812781">
                      <w:marLeft w:val="0"/>
                      <w:marRight w:val="0"/>
                      <w:marTop w:val="0"/>
                      <w:marBottom w:val="0"/>
                      <w:divBdr>
                        <w:top w:val="none" w:sz="0" w:space="0" w:color="auto"/>
                        <w:left w:val="none" w:sz="0" w:space="0" w:color="auto"/>
                        <w:bottom w:val="none" w:sz="0" w:space="0" w:color="auto"/>
                        <w:right w:val="none" w:sz="0" w:space="0" w:color="auto"/>
                      </w:divBdr>
                      <w:divsChild>
                        <w:div w:id="2045597252">
                          <w:marLeft w:val="0"/>
                          <w:marRight w:val="0"/>
                          <w:marTop w:val="0"/>
                          <w:marBottom w:val="0"/>
                          <w:divBdr>
                            <w:top w:val="none" w:sz="0" w:space="0" w:color="auto"/>
                            <w:left w:val="none" w:sz="0" w:space="0" w:color="auto"/>
                            <w:bottom w:val="none" w:sz="0" w:space="0" w:color="auto"/>
                            <w:right w:val="none" w:sz="0" w:space="0" w:color="auto"/>
                          </w:divBdr>
                          <w:divsChild>
                            <w:div w:id="621885614">
                              <w:marLeft w:val="0"/>
                              <w:marRight w:val="0"/>
                              <w:marTop w:val="0"/>
                              <w:marBottom w:val="0"/>
                              <w:divBdr>
                                <w:top w:val="none" w:sz="0" w:space="0" w:color="auto"/>
                                <w:left w:val="none" w:sz="0" w:space="0" w:color="auto"/>
                                <w:bottom w:val="none" w:sz="0" w:space="0" w:color="auto"/>
                                <w:right w:val="none" w:sz="0" w:space="0" w:color="auto"/>
                              </w:divBdr>
                              <w:divsChild>
                                <w:div w:id="2098285764">
                                  <w:marLeft w:val="0"/>
                                  <w:marRight w:val="0"/>
                                  <w:marTop w:val="0"/>
                                  <w:marBottom w:val="0"/>
                                  <w:divBdr>
                                    <w:top w:val="none" w:sz="0" w:space="0" w:color="auto"/>
                                    <w:left w:val="none" w:sz="0" w:space="0" w:color="auto"/>
                                    <w:bottom w:val="none" w:sz="0" w:space="0" w:color="auto"/>
                                    <w:right w:val="none" w:sz="0" w:space="0" w:color="auto"/>
                                  </w:divBdr>
                                  <w:divsChild>
                                    <w:div w:id="509413670">
                                      <w:marLeft w:val="0"/>
                                      <w:marRight w:val="0"/>
                                      <w:marTop w:val="0"/>
                                      <w:marBottom w:val="0"/>
                                      <w:divBdr>
                                        <w:top w:val="none" w:sz="0" w:space="0" w:color="auto"/>
                                        <w:left w:val="none" w:sz="0" w:space="0" w:color="auto"/>
                                        <w:bottom w:val="none" w:sz="0" w:space="0" w:color="auto"/>
                                        <w:right w:val="none" w:sz="0" w:space="0" w:color="auto"/>
                                      </w:divBdr>
                                      <w:divsChild>
                                        <w:div w:id="1796026125">
                                          <w:marLeft w:val="0"/>
                                          <w:marRight w:val="0"/>
                                          <w:marTop w:val="0"/>
                                          <w:marBottom w:val="0"/>
                                          <w:divBdr>
                                            <w:top w:val="none" w:sz="0" w:space="0" w:color="auto"/>
                                            <w:left w:val="none" w:sz="0" w:space="0" w:color="auto"/>
                                            <w:bottom w:val="none" w:sz="0" w:space="0" w:color="auto"/>
                                            <w:right w:val="none" w:sz="0" w:space="0" w:color="auto"/>
                                          </w:divBdr>
                                          <w:divsChild>
                                            <w:div w:id="1335304587">
                                              <w:marLeft w:val="0"/>
                                              <w:marRight w:val="0"/>
                                              <w:marTop w:val="0"/>
                                              <w:marBottom w:val="0"/>
                                              <w:divBdr>
                                                <w:top w:val="none" w:sz="0" w:space="0" w:color="auto"/>
                                                <w:left w:val="none" w:sz="0" w:space="0" w:color="auto"/>
                                                <w:bottom w:val="none" w:sz="0" w:space="0" w:color="auto"/>
                                                <w:right w:val="none" w:sz="0" w:space="0" w:color="auto"/>
                                              </w:divBdr>
                                              <w:divsChild>
                                                <w:div w:id="10901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465954">
      <w:bodyDiv w:val="1"/>
      <w:marLeft w:val="0"/>
      <w:marRight w:val="0"/>
      <w:marTop w:val="0"/>
      <w:marBottom w:val="0"/>
      <w:divBdr>
        <w:top w:val="none" w:sz="0" w:space="0" w:color="auto"/>
        <w:left w:val="none" w:sz="0" w:space="0" w:color="auto"/>
        <w:bottom w:val="none" w:sz="0" w:space="0" w:color="auto"/>
        <w:right w:val="none" w:sz="0" w:space="0" w:color="auto"/>
      </w:divBdr>
      <w:divsChild>
        <w:div w:id="749040552">
          <w:marLeft w:val="0"/>
          <w:marRight w:val="0"/>
          <w:marTop w:val="0"/>
          <w:marBottom w:val="0"/>
          <w:divBdr>
            <w:top w:val="none" w:sz="0" w:space="0" w:color="auto"/>
            <w:left w:val="none" w:sz="0" w:space="0" w:color="auto"/>
            <w:bottom w:val="none" w:sz="0" w:space="0" w:color="auto"/>
            <w:right w:val="none" w:sz="0" w:space="0" w:color="auto"/>
          </w:divBdr>
          <w:divsChild>
            <w:div w:id="292564306">
              <w:marLeft w:val="0"/>
              <w:marRight w:val="0"/>
              <w:marTop w:val="0"/>
              <w:marBottom w:val="0"/>
              <w:divBdr>
                <w:top w:val="none" w:sz="0" w:space="0" w:color="auto"/>
                <w:left w:val="none" w:sz="0" w:space="0" w:color="auto"/>
                <w:bottom w:val="none" w:sz="0" w:space="0" w:color="auto"/>
                <w:right w:val="none" w:sz="0" w:space="0" w:color="auto"/>
              </w:divBdr>
              <w:divsChild>
                <w:div w:id="956982006">
                  <w:marLeft w:val="0"/>
                  <w:marRight w:val="0"/>
                  <w:marTop w:val="0"/>
                  <w:marBottom w:val="0"/>
                  <w:divBdr>
                    <w:top w:val="none" w:sz="0" w:space="0" w:color="auto"/>
                    <w:left w:val="none" w:sz="0" w:space="0" w:color="auto"/>
                    <w:bottom w:val="none" w:sz="0" w:space="0" w:color="auto"/>
                    <w:right w:val="none" w:sz="0" w:space="0" w:color="auto"/>
                  </w:divBdr>
                  <w:divsChild>
                    <w:div w:id="1510102057">
                      <w:marLeft w:val="0"/>
                      <w:marRight w:val="0"/>
                      <w:marTop w:val="0"/>
                      <w:marBottom w:val="0"/>
                      <w:divBdr>
                        <w:top w:val="none" w:sz="0" w:space="0" w:color="auto"/>
                        <w:left w:val="none" w:sz="0" w:space="0" w:color="auto"/>
                        <w:bottom w:val="none" w:sz="0" w:space="0" w:color="auto"/>
                        <w:right w:val="none" w:sz="0" w:space="0" w:color="auto"/>
                      </w:divBdr>
                      <w:divsChild>
                        <w:div w:id="221143353">
                          <w:marLeft w:val="0"/>
                          <w:marRight w:val="0"/>
                          <w:marTop w:val="0"/>
                          <w:marBottom w:val="0"/>
                          <w:divBdr>
                            <w:top w:val="none" w:sz="0" w:space="0" w:color="auto"/>
                            <w:left w:val="none" w:sz="0" w:space="0" w:color="auto"/>
                            <w:bottom w:val="none" w:sz="0" w:space="0" w:color="auto"/>
                            <w:right w:val="none" w:sz="0" w:space="0" w:color="auto"/>
                          </w:divBdr>
                          <w:divsChild>
                            <w:div w:id="929433707">
                              <w:marLeft w:val="0"/>
                              <w:marRight w:val="0"/>
                              <w:marTop w:val="0"/>
                              <w:marBottom w:val="0"/>
                              <w:divBdr>
                                <w:top w:val="none" w:sz="0" w:space="0" w:color="auto"/>
                                <w:left w:val="none" w:sz="0" w:space="0" w:color="auto"/>
                                <w:bottom w:val="none" w:sz="0" w:space="0" w:color="auto"/>
                                <w:right w:val="none" w:sz="0" w:space="0" w:color="auto"/>
                              </w:divBdr>
                              <w:divsChild>
                                <w:div w:id="1636568480">
                                  <w:marLeft w:val="0"/>
                                  <w:marRight w:val="0"/>
                                  <w:marTop w:val="0"/>
                                  <w:marBottom w:val="0"/>
                                  <w:divBdr>
                                    <w:top w:val="none" w:sz="0" w:space="0" w:color="auto"/>
                                    <w:left w:val="none" w:sz="0" w:space="0" w:color="auto"/>
                                    <w:bottom w:val="none" w:sz="0" w:space="0" w:color="auto"/>
                                    <w:right w:val="none" w:sz="0" w:space="0" w:color="auto"/>
                                  </w:divBdr>
                                  <w:divsChild>
                                    <w:div w:id="1352336874">
                                      <w:marLeft w:val="0"/>
                                      <w:marRight w:val="0"/>
                                      <w:marTop w:val="0"/>
                                      <w:marBottom w:val="0"/>
                                      <w:divBdr>
                                        <w:top w:val="none" w:sz="0" w:space="0" w:color="auto"/>
                                        <w:left w:val="none" w:sz="0" w:space="0" w:color="auto"/>
                                        <w:bottom w:val="none" w:sz="0" w:space="0" w:color="auto"/>
                                        <w:right w:val="none" w:sz="0" w:space="0" w:color="auto"/>
                                      </w:divBdr>
                                      <w:divsChild>
                                        <w:div w:id="1816608234">
                                          <w:marLeft w:val="0"/>
                                          <w:marRight w:val="0"/>
                                          <w:marTop w:val="0"/>
                                          <w:marBottom w:val="0"/>
                                          <w:divBdr>
                                            <w:top w:val="none" w:sz="0" w:space="0" w:color="auto"/>
                                            <w:left w:val="none" w:sz="0" w:space="0" w:color="auto"/>
                                            <w:bottom w:val="none" w:sz="0" w:space="0" w:color="auto"/>
                                            <w:right w:val="none" w:sz="0" w:space="0" w:color="auto"/>
                                          </w:divBdr>
                                          <w:divsChild>
                                            <w:div w:id="1188643741">
                                              <w:marLeft w:val="0"/>
                                              <w:marRight w:val="0"/>
                                              <w:marTop w:val="0"/>
                                              <w:marBottom w:val="0"/>
                                              <w:divBdr>
                                                <w:top w:val="none" w:sz="0" w:space="0" w:color="auto"/>
                                                <w:left w:val="none" w:sz="0" w:space="0" w:color="auto"/>
                                                <w:bottom w:val="none" w:sz="0" w:space="0" w:color="auto"/>
                                                <w:right w:val="none" w:sz="0" w:space="0" w:color="auto"/>
                                              </w:divBdr>
                                              <w:divsChild>
                                                <w:div w:id="149442410">
                                                  <w:marLeft w:val="0"/>
                                                  <w:marRight w:val="0"/>
                                                  <w:marTop w:val="0"/>
                                                  <w:marBottom w:val="0"/>
                                                  <w:divBdr>
                                                    <w:top w:val="none" w:sz="0" w:space="0" w:color="auto"/>
                                                    <w:left w:val="none" w:sz="0" w:space="0" w:color="auto"/>
                                                    <w:bottom w:val="none" w:sz="0" w:space="0" w:color="auto"/>
                                                    <w:right w:val="none" w:sz="0" w:space="0" w:color="auto"/>
                                                  </w:divBdr>
                                                  <w:divsChild>
                                                    <w:div w:id="1654798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844977523">
      <w:bodyDiv w:val="1"/>
      <w:marLeft w:val="0"/>
      <w:marRight w:val="0"/>
      <w:marTop w:val="0"/>
      <w:marBottom w:val="0"/>
      <w:divBdr>
        <w:top w:val="none" w:sz="0" w:space="0" w:color="auto"/>
        <w:left w:val="none" w:sz="0" w:space="0" w:color="auto"/>
        <w:bottom w:val="none" w:sz="0" w:space="0" w:color="auto"/>
        <w:right w:val="none" w:sz="0" w:space="0" w:color="auto"/>
      </w:divBdr>
      <w:divsChild>
        <w:div w:id="886725089">
          <w:marLeft w:val="0"/>
          <w:marRight w:val="0"/>
          <w:marTop w:val="0"/>
          <w:marBottom w:val="0"/>
          <w:divBdr>
            <w:top w:val="none" w:sz="0" w:space="0" w:color="auto"/>
            <w:left w:val="none" w:sz="0" w:space="0" w:color="auto"/>
            <w:bottom w:val="none" w:sz="0" w:space="0" w:color="auto"/>
            <w:right w:val="none" w:sz="0" w:space="0" w:color="auto"/>
          </w:divBdr>
          <w:divsChild>
            <w:div w:id="549150955">
              <w:marLeft w:val="0"/>
              <w:marRight w:val="0"/>
              <w:marTop w:val="0"/>
              <w:marBottom w:val="0"/>
              <w:divBdr>
                <w:top w:val="none" w:sz="0" w:space="0" w:color="auto"/>
                <w:left w:val="none" w:sz="0" w:space="0" w:color="auto"/>
                <w:bottom w:val="none" w:sz="0" w:space="0" w:color="auto"/>
                <w:right w:val="none" w:sz="0" w:space="0" w:color="auto"/>
              </w:divBdr>
              <w:divsChild>
                <w:div w:id="1383366372">
                  <w:marLeft w:val="0"/>
                  <w:marRight w:val="0"/>
                  <w:marTop w:val="0"/>
                  <w:marBottom w:val="0"/>
                  <w:divBdr>
                    <w:top w:val="none" w:sz="0" w:space="0" w:color="auto"/>
                    <w:left w:val="none" w:sz="0" w:space="0" w:color="auto"/>
                    <w:bottom w:val="none" w:sz="0" w:space="0" w:color="auto"/>
                    <w:right w:val="none" w:sz="0" w:space="0" w:color="auto"/>
                  </w:divBdr>
                  <w:divsChild>
                    <w:div w:id="1968313114">
                      <w:marLeft w:val="0"/>
                      <w:marRight w:val="0"/>
                      <w:marTop w:val="0"/>
                      <w:marBottom w:val="0"/>
                      <w:divBdr>
                        <w:top w:val="none" w:sz="0" w:space="0" w:color="auto"/>
                        <w:left w:val="none" w:sz="0" w:space="0" w:color="auto"/>
                        <w:bottom w:val="none" w:sz="0" w:space="0" w:color="auto"/>
                        <w:right w:val="none" w:sz="0" w:space="0" w:color="auto"/>
                      </w:divBdr>
                      <w:divsChild>
                        <w:div w:id="582184361">
                          <w:marLeft w:val="0"/>
                          <w:marRight w:val="0"/>
                          <w:marTop w:val="0"/>
                          <w:marBottom w:val="0"/>
                          <w:divBdr>
                            <w:top w:val="none" w:sz="0" w:space="0" w:color="auto"/>
                            <w:left w:val="none" w:sz="0" w:space="0" w:color="auto"/>
                            <w:bottom w:val="none" w:sz="0" w:space="0" w:color="auto"/>
                            <w:right w:val="none" w:sz="0" w:space="0" w:color="auto"/>
                          </w:divBdr>
                          <w:divsChild>
                            <w:div w:id="2001350356">
                              <w:marLeft w:val="0"/>
                              <w:marRight w:val="0"/>
                              <w:marTop w:val="0"/>
                              <w:marBottom w:val="0"/>
                              <w:divBdr>
                                <w:top w:val="none" w:sz="0" w:space="0" w:color="auto"/>
                                <w:left w:val="none" w:sz="0" w:space="0" w:color="auto"/>
                                <w:bottom w:val="none" w:sz="0" w:space="0" w:color="auto"/>
                                <w:right w:val="none" w:sz="0" w:space="0" w:color="auto"/>
                              </w:divBdr>
                              <w:divsChild>
                                <w:div w:id="1457989601">
                                  <w:marLeft w:val="0"/>
                                  <w:marRight w:val="0"/>
                                  <w:marTop w:val="0"/>
                                  <w:marBottom w:val="0"/>
                                  <w:divBdr>
                                    <w:top w:val="none" w:sz="0" w:space="0" w:color="auto"/>
                                    <w:left w:val="none" w:sz="0" w:space="0" w:color="auto"/>
                                    <w:bottom w:val="none" w:sz="0" w:space="0" w:color="auto"/>
                                    <w:right w:val="none" w:sz="0" w:space="0" w:color="auto"/>
                                  </w:divBdr>
                                  <w:divsChild>
                                    <w:div w:id="288980416">
                                      <w:marLeft w:val="0"/>
                                      <w:marRight w:val="0"/>
                                      <w:marTop w:val="0"/>
                                      <w:marBottom w:val="0"/>
                                      <w:divBdr>
                                        <w:top w:val="none" w:sz="0" w:space="0" w:color="auto"/>
                                        <w:left w:val="none" w:sz="0" w:space="0" w:color="auto"/>
                                        <w:bottom w:val="none" w:sz="0" w:space="0" w:color="auto"/>
                                        <w:right w:val="none" w:sz="0" w:space="0" w:color="auto"/>
                                      </w:divBdr>
                                      <w:divsChild>
                                        <w:div w:id="10560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30119">
                          <w:marLeft w:val="0"/>
                          <w:marRight w:val="0"/>
                          <w:marTop w:val="0"/>
                          <w:marBottom w:val="0"/>
                          <w:divBdr>
                            <w:top w:val="none" w:sz="0" w:space="0" w:color="auto"/>
                            <w:left w:val="none" w:sz="0" w:space="0" w:color="auto"/>
                            <w:bottom w:val="none" w:sz="0" w:space="0" w:color="auto"/>
                            <w:right w:val="none" w:sz="0" w:space="0" w:color="auto"/>
                          </w:divBdr>
                          <w:divsChild>
                            <w:div w:id="91702966">
                              <w:marLeft w:val="0"/>
                              <w:marRight w:val="0"/>
                              <w:marTop w:val="0"/>
                              <w:marBottom w:val="0"/>
                              <w:divBdr>
                                <w:top w:val="none" w:sz="0" w:space="0" w:color="auto"/>
                                <w:left w:val="none" w:sz="0" w:space="0" w:color="auto"/>
                                <w:bottom w:val="none" w:sz="0" w:space="0" w:color="auto"/>
                                <w:right w:val="none" w:sz="0" w:space="0" w:color="auto"/>
                              </w:divBdr>
                              <w:divsChild>
                                <w:div w:id="608895410">
                                  <w:marLeft w:val="0"/>
                                  <w:marRight w:val="0"/>
                                  <w:marTop w:val="0"/>
                                  <w:marBottom w:val="0"/>
                                  <w:divBdr>
                                    <w:top w:val="none" w:sz="0" w:space="0" w:color="auto"/>
                                    <w:left w:val="none" w:sz="0" w:space="0" w:color="auto"/>
                                    <w:bottom w:val="none" w:sz="0" w:space="0" w:color="auto"/>
                                    <w:right w:val="none" w:sz="0" w:space="0" w:color="auto"/>
                                  </w:divBdr>
                                  <w:divsChild>
                                    <w:div w:id="1992169271">
                                      <w:marLeft w:val="0"/>
                                      <w:marRight w:val="0"/>
                                      <w:marTop w:val="0"/>
                                      <w:marBottom w:val="0"/>
                                      <w:divBdr>
                                        <w:top w:val="none" w:sz="0" w:space="0" w:color="auto"/>
                                        <w:left w:val="none" w:sz="0" w:space="0" w:color="auto"/>
                                        <w:bottom w:val="none" w:sz="0" w:space="0" w:color="auto"/>
                                        <w:right w:val="none" w:sz="0" w:space="0" w:color="auto"/>
                                      </w:divBdr>
                                      <w:divsChild>
                                        <w:div w:id="45880172">
                                          <w:marLeft w:val="0"/>
                                          <w:marRight w:val="0"/>
                                          <w:marTop w:val="0"/>
                                          <w:marBottom w:val="0"/>
                                          <w:divBdr>
                                            <w:top w:val="none" w:sz="0" w:space="0" w:color="auto"/>
                                            <w:left w:val="none" w:sz="0" w:space="0" w:color="auto"/>
                                            <w:bottom w:val="none" w:sz="0" w:space="0" w:color="auto"/>
                                            <w:right w:val="none" w:sz="0" w:space="0" w:color="auto"/>
                                          </w:divBdr>
                                          <w:divsChild>
                                            <w:div w:id="128059176">
                                              <w:marLeft w:val="0"/>
                                              <w:marRight w:val="0"/>
                                              <w:marTop w:val="0"/>
                                              <w:marBottom w:val="0"/>
                                              <w:divBdr>
                                                <w:top w:val="none" w:sz="0" w:space="0" w:color="auto"/>
                                                <w:left w:val="none" w:sz="0" w:space="0" w:color="auto"/>
                                                <w:bottom w:val="none" w:sz="0" w:space="0" w:color="auto"/>
                                                <w:right w:val="none" w:sz="0" w:space="0" w:color="auto"/>
                                              </w:divBdr>
                                              <w:divsChild>
                                                <w:div w:id="427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418">
                                          <w:marLeft w:val="0"/>
                                          <w:marRight w:val="0"/>
                                          <w:marTop w:val="0"/>
                                          <w:marBottom w:val="0"/>
                                          <w:divBdr>
                                            <w:top w:val="none" w:sz="0" w:space="0" w:color="auto"/>
                                            <w:left w:val="none" w:sz="0" w:space="0" w:color="auto"/>
                                            <w:bottom w:val="none" w:sz="0" w:space="0" w:color="auto"/>
                                            <w:right w:val="none" w:sz="0" w:space="0" w:color="auto"/>
                                          </w:divBdr>
                                          <w:divsChild>
                                            <w:div w:id="684404083">
                                              <w:marLeft w:val="0"/>
                                              <w:marRight w:val="0"/>
                                              <w:marTop w:val="0"/>
                                              <w:marBottom w:val="0"/>
                                              <w:divBdr>
                                                <w:top w:val="none" w:sz="0" w:space="0" w:color="auto"/>
                                                <w:left w:val="none" w:sz="0" w:space="0" w:color="auto"/>
                                                <w:bottom w:val="none" w:sz="0" w:space="0" w:color="auto"/>
                                                <w:right w:val="none" w:sz="0" w:space="0" w:color="auto"/>
                                              </w:divBdr>
                                              <w:divsChild>
                                                <w:div w:id="226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768150">
      <w:bodyDiv w:val="1"/>
      <w:marLeft w:val="0"/>
      <w:marRight w:val="0"/>
      <w:marTop w:val="0"/>
      <w:marBottom w:val="0"/>
      <w:divBdr>
        <w:top w:val="none" w:sz="0" w:space="0" w:color="auto"/>
        <w:left w:val="none" w:sz="0" w:space="0" w:color="auto"/>
        <w:bottom w:val="none" w:sz="0" w:space="0" w:color="auto"/>
        <w:right w:val="none" w:sz="0" w:space="0" w:color="auto"/>
      </w:divBdr>
      <w:divsChild>
        <w:div w:id="1743679711">
          <w:marLeft w:val="0"/>
          <w:marRight w:val="0"/>
          <w:marTop w:val="0"/>
          <w:marBottom w:val="0"/>
          <w:divBdr>
            <w:top w:val="none" w:sz="0" w:space="0" w:color="auto"/>
            <w:left w:val="none" w:sz="0" w:space="0" w:color="auto"/>
            <w:bottom w:val="none" w:sz="0" w:space="0" w:color="auto"/>
            <w:right w:val="none" w:sz="0" w:space="0" w:color="auto"/>
          </w:divBdr>
          <w:divsChild>
            <w:div w:id="470947934">
              <w:marLeft w:val="0"/>
              <w:marRight w:val="0"/>
              <w:marTop w:val="0"/>
              <w:marBottom w:val="0"/>
              <w:divBdr>
                <w:top w:val="none" w:sz="0" w:space="0" w:color="auto"/>
                <w:left w:val="none" w:sz="0" w:space="0" w:color="auto"/>
                <w:bottom w:val="none" w:sz="0" w:space="0" w:color="auto"/>
                <w:right w:val="none" w:sz="0" w:space="0" w:color="auto"/>
              </w:divBdr>
              <w:divsChild>
                <w:div w:id="637225526">
                  <w:marLeft w:val="0"/>
                  <w:marRight w:val="0"/>
                  <w:marTop w:val="0"/>
                  <w:marBottom w:val="0"/>
                  <w:divBdr>
                    <w:top w:val="none" w:sz="0" w:space="0" w:color="auto"/>
                    <w:left w:val="none" w:sz="0" w:space="0" w:color="auto"/>
                    <w:bottom w:val="none" w:sz="0" w:space="0" w:color="auto"/>
                    <w:right w:val="none" w:sz="0" w:space="0" w:color="auto"/>
                  </w:divBdr>
                  <w:divsChild>
                    <w:div w:id="346834746">
                      <w:marLeft w:val="0"/>
                      <w:marRight w:val="0"/>
                      <w:marTop w:val="0"/>
                      <w:marBottom w:val="0"/>
                      <w:divBdr>
                        <w:top w:val="none" w:sz="0" w:space="0" w:color="auto"/>
                        <w:left w:val="none" w:sz="0" w:space="0" w:color="auto"/>
                        <w:bottom w:val="none" w:sz="0" w:space="0" w:color="auto"/>
                        <w:right w:val="none" w:sz="0" w:space="0" w:color="auto"/>
                      </w:divBdr>
                      <w:divsChild>
                        <w:div w:id="694623431">
                          <w:marLeft w:val="0"/>
                          <w:marRight w:val="0"/>
                          <w:marTop w:val="0"/>
                          <w:marBottom w:val="0"/>
                          <w:divBdr>
                            <w:top w:val="none" w:sz="0" w:space="0" w:color="auto"/>
                            <w:left w:val="none" w:sz="0" w:space="0" w:color="auto"/>
                            <w:bottom w:val="none" w:sz="0" w:space="0" w:color="auto"/>
                            <w:right w:val="none" w:sz="0" w:space="0" w:color="auto"/>
                          </w:divBdr>
                          <w:divsChild>
                            <w:div w:id="261568984">
                              <w:marLeft w:val="0"/>
                              <w:marRight w:val="0"/>
                              <w:marTop w:val="0"/>
                              <w:marBottom w:val="0"/>
                              <w:divBdr>
                                <w:top w:val="none" w:sz="0" w:space="0" w:color="auto"/>
                                <w:left w:val="none" w:sz="0" w:space="0" w:color="auto"/>
                                <w:bottom w:val="none" w:sz="0" w:space="0" w:color="auto"/>
                                <w:right w:val="none" w:sz="0" w:space="0" w:color="auto"/>
                              </w:divBdr>
                              <w:divsChild>
                                <w:div w:id="482090083">
                                  <w:marLeft w:val="0"/>
                                  <w:marRight w:val="0"/>
                                  <w:marTop w:val="0"/>
                                  <w:marBottom w:val="0"/>
                                  <w:divBdr>
                                    <w:top w:val="none" w:sz="0" w:space="0" w:color="auto"/>
                                    <w:left w:val="none" w:sz="0" w:space="0" w:color="auto"/>
                                    <w:bottom w:val="none" w:sz="0" w:space="0" w:color="auto"/>
                                    <w:right w:val="none" w:sz="0" w:space="0" w:color="auto"/>
                                  </w:divBdr>
                                  <w:divsChild>
                                    <w:div w:id="903880730">
                                      <w:marLeft w:val="0"/>
                                      <w:marRight w:val="0"/>
                                      <w:marTop w:val="0"/>
                                      <w:marBottom w:val="0"/>
                                      <w:divBdr>
                                        <w:top w:val="none" w:sz="0" w:space="0" w:color="auto"/>
                                        <w:left w:val="none" w:sz="0" w:space="0" w:color="auto"/>
                                        <w:bottom w:val="none" w:sz="0" w:space="0" w:color="auto"/>
                                        <w:right w:val="none" w:sz="0" w:space="0" w:color="auto"/>
                                      </w:divBdr>
                                      <w:divsChild>
                                        <w:div w:id="2049262378">
                                          <w:marLeft w:val="0"/>
                                          <w:marRight w:val="0"/>
                                          <w:marTop w:val="0"/>
                                          <w:marBottom w:val="0"/>
                                          <w:divBdr>
                                            <w:top w:val="none" w:sz="0" w:space="0" w:color="auto"/>
                                            <w:left w:val="none" w:sz="0" w:space="0" w:color="auto"/>
                                            <w:bottom w:val="none" w:sz="0" w:space="0" w:color="auto"/>
                                            <w:right w:val="none" w:sz="0" w:space="0" w:color="auto"/>
                                          </w:divBdr>
                                          <w:divsChild>
                                            <w:div w:id="1189903569">
                                              <w:marLeft w:val="0"/>
                                              <w:marRight w:val="0"/>
                                              <w:marTop w:val="0"/>
                                              <w:marBottom w:val="0"/>
                                              <w:divBdr>
                                                <w:top w:val="none" w:sz="0" w:space="0" w:color="auto"/>
                                                <w:left w:val="none" w:sz="0" w:space="0" w:color="auto"/>
                                                <w:bottom w:val="none" w:sz="0" w:space="0" w:color="auto"/>
                                                <w:right w:val="none" w:sz="0" w:space="0" w:color="auto"/>
                                              </w:divBdr>
                                              <w:divsChild>
                                                <w:div w:id="17176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41996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9">
          <w:marLeft w:val="0"/>
          <w:marRight w:val="0"/>
          <w:marTop w:val="0"/>
          <w:marBottom w:val="0"/>
          <w:divBdr>
            <w:top w:val="none" w:sz="0" w:space="0" w:color="auto"/>
            <w:left w:val="none" w:sz="0" w:space="0" w:color="auto"/>
            <w:bottom w:val="none" w:sz="0" w:space="0" w:color="auto"/>
            <w:right w:val="none" w:sz="0" w:space="0" w:color="auto"/>
          </w:divBdr>
          <w:divsChild>
            <w:div w:id="539439595">
              <w:marLeft w:val="0"/>
              <w:marRight w:val="0"/>
              <w:marTop w:val="0"/>
              <w:marBottom w:val="0"/>
              <w:divBdr>
                <w:top w:val="none" w:sz="0" w:space="0" w:color="auto"/>
                <w:left w:val="none" w:sz="0" w:space="0" w:color="auto"/>
                <w:bottom w:val="none" w:sz="0" w:space="0" w:color="auto"/>
                <w:right w:val="none" w:sz="0" w:space="0" w:color="auto"/>
              </w:divBdr>
              <w:divsChild>
                <w:div w:id="230165736">
                  <w:marLeft w:val="0"/>
                  <w:marRight w:val="0"/>
                  <w:marTop w:val="0"/>
                  <w:marBottom w:val="0"/>
                  <w:divBdr>
                    <w:top w:val="none" w:sz="0" w:space="0" w:color="auto"/>
                    <w:left w:val="none" w:sz="0" w:space="0" w:color="auto"/>
                    <w:bottom w:val="none" w:sz="0" w:space="0" w:color="auto"/>
                    <w:right w:val="none" w:sz="0" w:space="0" w:color="auto"/>
                  </w:divBdr>
                  <w:divsChild>
                    <w:div w:id="2128818166">
                      <w:marLeft w:val="0"/>
                      <w:marRight w:val="0"/>
                      <w:marTop w:val="0"/>
                      <w:marBottom w:val="0"/>
                      <w:divBdr>
                        <w:top w:val="none" w:sz="0" w:space="0" w:color="auto"/>
                        <w:left w:val="none" w:sz="0" w:space="0" w:color="auto"/>
                        <w:bottom w:val="none" w:sz="0" w:space="0" w:color="auto"/>
                        <w:right w:val="none" w:sz="0" w:space="0" w:color="auto"/>
                      </w:divBdr>
                      <w:divsChild>
                        <w:div w:id="482890923">
                          <w:marLeft w:val="0"/>
                          <w:marRight w:val="0"/>
                          <w:marTop w:val="0"/>
                          <w:marBottom w:val="0"/>
                          <w:divBdr>
                            <w:top w:val="none" w:sz="0" w:space="0" w:color="auto"/>
                            <w:left w:val="none" w:sz="0" w:space="0" w:color="auto"/>
                            <w:bottom w:val="none" w:sz="0" w:space="0" w:color="auto"/>
                            <w:right w:val="none" w:sz="0" w:space="0" w:color="auto"/>
                          </w:divBdr>
                          <w:divsChild>
                            <w:div w:id="630329576">
                              <w:marLeft w:val="0"/>
                              <w:marRight w:val="0"/>
                              <w:marTop w:val="0"/>
                              <w:marBottom w:val="0"/>
                              <w:divBdr>
                                <w:top w:val="none" w:sz="0" w:space="0" w:color="auto"/>
                                <w:left w:val="none" w:sz="0" w:space="0" w:color="auto"/>
                                <w:bottom w:val="none" w:sz="0" w:space="0" w:color="auto"/>
                                <w:right w:val="none" w:sz="0" w:space="0" w:color="auto"/>
                              </w:divBdr>
                              <w:divsChild>
                                <w:div w:id="741489839">
                                  <w:marLeft w:val="0"/>
                                  <w:marRight w:val="0"/>
                                  <w:marTop w:val="0"/>
                                  <w:marBottom w:val="0"/>
                                  <w:divBdr>
                                    <w:top w:val="none" w:sz="0" w:space="0" w:color="auto"/>
                                    <w:left w:val="none" w:sz="0" w:space="0" w:color="auto"/>
                                    <w:bottom w:val="none" w:sz="0" w:space="0" w:color="auto"/>
                                    <w:right w:val="none" w:sz="0" w:space="0" w:color="auto"/>
                                  </w:divBdr>
                                  <w:divsChild>
                                    <w:div w:id="811991912">
                                      <w:marLeft w:val="0"/>
                                      <w:marRight w:val="0"/>
                                      <w:marTop w:val="0"/>
                                      <w:marBottom w:val="0"/>
                                      <w:divBdr>
                                        <w:top w:val="none" w:sz="0" w:space="0" w:color="auto"/>
                                        <w:left w:val="none" w:sz="0" w:space="0" w:color="auto"/>
                                        <w:bottom w:val="none" w:sz="0" w:space="0" w:color="auto"/>
                                        <w:right w:val="none" w:sz="0" w:space="0" w:color="auto"/>
                                      </w:divBdr>
                                      <w:divsChild>
                                        <w:div w:id="20260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6742">
                          <w:marLeft w:val="0"/>
                          <w:marRight w:val="0"/>
                          <w:marTop w:val="0"/>
                          <w:marBottom w:val="0"/>
                          <w:divBdr>
                            <w:top w:val="none" w:sz="0" w:space="0" w:color="auto"/>
                            <w:left w:val="none" w:sz="0" w:space="0" w:color="auto"/>
                            <w:bottom w:val="none" w:sz="0" w:space="0" w:color="auto"/>
                            <w:right w:val="none" w:sz="0" w:space="0" w:color="auto"/>
                          </w:divBdr>
                          <w:divsChild>
                            <w:div w:id="661348703">
                              <w:marLeft w:val="0"/>
                              <w:marRight w:val="0"/>
                              <w:marTop w:val="0"/>
                              <w:marBottom w:val="0"/>
                              <w:divBdr>
                                <w:top w:val="none" w:sz="0" w:space="0" w:color="auto"/>
                                <w:left w:val="none" w:sz="0" w:space="0" w:color="auto"/>
                                <w:bottom w:val="none" w:sz="0" w:space="0" w:color="auto"/>
                                <w:right w:val="none" w:sz="0" w:space="0" w:color="auto"/>
                              </w:divBdr>
                              <w:divsChild>
                                <w:div w:id="1834711947">
                                  <w:marLeft w:val="0"/>
                                  <w:marRight w:val="0"/>
                                  <w:marTop w:val="0"/>
                                  <w:marBottom w:val="0"/>
                                  <w:divBdr>
                                    <w:top w:val="none" w:sz="0" w:space="0" w:color="auto"/>
                                    <w:left w:val="none" w:sz="0" w:space="0" w:color="auto"/>
                                    <w:bottom w:val="none" w:sz="0" w:space="0" w:color="auto"/>
                                    <w:right w:val="none" w:sz="0" w:space="0" w:color="auto"/>
                                  </w:divBdr>
                                  <w:divsChild>
                                    <w:div w:id="2025670844">
                                      <w:marLeft w:val="0"/>
                                      <w:marRight w:val="0"/>
                                      <w:marTop w:val="0"/>
                                      <w:marBottom w:val="0"/>
                                      <w:divBdr>
                                        <w:top w:val="none" w:sz="0" w:space="0" w:color="auto"/>
                                        <w:left w:val="none" w:sz="0" w:space="0" w:color="auto"/>
                                        <w:bottom w:val="none" w:sz="0" w:space="0" w:color="auto"/>
                                        <w:right w:val="none" w:sz="0" w:space="0" w:color="auto"/>
                                      </w:divBdr>
                                      <w:divsChild>
                                        <w:div w:id="1761681430">
                                          <w:marLeft w:val="0"/>
                                          <w:marRight w:val="0"/>
                                          <w:marTop w:val="0"/>
                                          <w:marBottom w:val="0"/>
                                          <w:divBdr>
                                            <w:top w:val="none" w:sz="0" w:space="0" w:color="auto"/>
                                            <w:left w:val="none" w:sz="0" w:space="0" w:color="auto"/>
                                            <w:bottom w:val="none" w:sz="0" w:space="0" w:color="auto"/>
                                            <w:right w:val="none" w:sz="0" w:space="0" w:color="auto"/>
                                          </w:divBdr>
                                          <w:divsChild>
                                            <w:div w:id="1850018296">
                                              <w:marLeft w:val="0"/>
                                              <w:marRight w:val="0"/>
                                              <w:marTop w:val="0"/>
                                              <w:marBottom w:val="0"/>
                                              <w:divBdr>
                                                <w:top w:val="none" w:sz="0" w:space="0" w:color="auto"/>
                                                <w:left w:val="none" w:sz="0" w:space="0" w:color="auto"/>
                                                <w:bottom w:val="none" w:sz="0" w:space="0" w:color="auto"/>
                                                <w:right w:val="none" w:sz="0" w:space="0" w:color="auto"/>
                                              </w:divBdr>
                                              <w:divsChild>
                                                <w:div w:id="7145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0611">
                                          <w:marLeft w:val="0"/>
                                          <w:marRight w:val="0"/>
                                          <w:marTop w:val="0"/>
                                          <w:marBottom w:val="0"/>
                                          <w:divBdr>
                                            <w:top w:val="none" w:sz="0" w:space="0" w:color="auto"/>
                                            <w:left w:val="none" w:sz="0" w:space="0" w:color="auto"/>
                                            <w:bottom w:val="none" w:sz="0" w:space="0" w:color="auto"/>
                                            <w:right w:val="none" w:sz="0" w:space="0" w:color="auto"/>
                                          </w:divBdr>
                                          <w:divsChild>
                                            <w:div w:id="1954240714">
                                              <w:marLeft w:val="0"/>
                                              <w:marRight w:val="0"/>
                                              <w:marTop w:val="0"/>
                                              <w:marBottom w:val="0"/>
                                              <w:divBdr>
                                                <w:top w:val="none" w:sz="0" w:space="0" w:color="auto"/>
                                                <w:left w:val="none" w:sz="0" w:space="0" w:color="auto"/>
                                                <w:bottom w:val="none" w:sz="0" w:space="0" w:color="auto"/>
                                                <w:right w:val="none" w:sz="0" w:space="0" w:color="auto"/>
                                              </w:divBdr>
                                              <w:divsChild>
                                                <w:div w:id="1953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448207">
      <w:bodyDiv w:val="1"/>
      <w:marLeft w:val="0"/>
      <w:marRight w:val="0"/>
      <w:marTop w:val="0"/>
      <w:marBottom w:val="0"/>
      <w:divBdr>
        <w:top w:val="none" w:sz="0" w:space="0" w:color="auto"/>
        <w:left w:val="none" w:sz="0" w:space="0" w:color="auto"/>
        <w:bottom w:val="none" w:sz="0" w:space="0" w:color="auto"/>
        <w:right w:val="none" w:sz="0" w:space="0" w:color="auto"/>
      </w:divBdr>
    </w:div>
    <w:div w:id="904997416">
      <w:bodyDiv w:val="1"/>
      <w:marLeft w:val="0"/>
      <w:marRight w:val="0"/>
      <w:marTop w:val="0"/>
      <w:marBottom w:val="0"/>
      <w:divBdr>
        <w:top w:val="none" w:sz="0" w:space="0" w:color="auto"/>
        <w:left w:val="none" w:sz="0" w:space="0" w:color="auto"/>
        <w:bottom w:val="none" w:sz="0" w:space="0" w:color="auto"/>
        <w:right w:val="none" w:sz="0" w:space="0" w:color="auto"/>
      </w:divBdr>
      <w:divsChild>
        <w:div w:id="1539389212">
          <w:marLeft w:val="0"/>
          <w:marRight w:val="0"/>
          <w:marTop w:val="0"/>
          <w:marBottom w:val="0"/>
          <w:divBdr>
            <w:top w:val="none" w:sz="0" w:space="0" w:color="auto"/>
            <w:left w:val="none" w:sz="0" w:space="0" w:color="auto"/>
            <w:bottom w:val="none" w:sz="0" w:space="0" w:color="auto"/>
            <w:right w:val="none" w:sz="0" w:space="0" w:color="auto"/>
          </w:divBdr>
          <w:divsChild>
            <w:div w:id="683023104">
              <w:marLeft w:val="0"/>
              <w:marRight w:val="0"/>
              <w:marTop w:val="0"/>
              <w:marBottom w:val="0"/>
              <w:divBdr>
                <w:top w:val="none" w:sz="0" w:space="0" w:color="auto"/>
                <w:left w:val="none" w:sz="0" w:space="0" w:color="auto"/>
                <w:bottom w:val="none" w:sz="0" w:space="0" w:color="auto"/>
                <w:right w:val="none" w:sz="0" w:space="0" w:color="auto"/>
              </w:divBdr>
              <w:divsChild>
                <w:div w:id="1921597472">
                  <w:marLeft w:val="0"/>
                  <w:marRight w:val="0"/>
                  <w:marTop w:val="0"/>
                  <w:marBottom w:val="0"/>
                  <w:divBdr>
                    <w:top w:val="none" w:sz="0" w:space="0" w:color="auto"/>
                    <w:left w:val="none" w:sz="0" w:space="0" w:color="auto"/>
                    <w:bottom w:val="none" w:sz="0" w:space="0" w:color="auto"/>
                    <w:right w:val="none" w:sz="0" w:space="0" w:color="auto"/>
                  </w:divBdr>
                  <w:divsChild>
                    <w:div w:id="750741844">
                      <w:marLeft w:val="0"/>
                      <w:marRight w:val="0"/>
                      <w:marTop w:val="0"/>
                      <w:marBottom w:val="0"/>
                      <w:divBdr>
                        <w:top w:val="none" w:sz="0" w:space="0" w:color="auto"/>
                        <w:left w:val="none" w:sz="0" w:space="0" w:color="auto"/>
                        <w:bottom w:val="none" w:sz="0" w:space="0" w:color="auto"/>
                        <w:right w:val="none" w:sz="0" w:space="0" w:color="auto"/>
                      </w:divBdr>
                      <w:divsChild>
                        <w:div w:id="1724330969">
                          <w:marLeft w:val="0"/>
                          <w:marRight w:val="0"/>
                          <w:marTop w:val="0"/>
                          <w:marBottom w:val="0"/>
                          <w:divBdr>
                            <w:top w:val="none" w:sz="0" w:space="0" w:color="auto"/>
                            <w:left w:val="none" w:sz="0" w:space="0" w:color="auto"/>
                            <w:bottom w:val="none" w:sz="0" w:space="0" w:color="auto"/>
                            <w:right w:val="none" w:sz="0" w:space="0" w:color="auto"/>
                          </w:divBdr>
                          <w:divsChild>
                            <w:div w:id="1278025339">
                              <w:marLeft w:val="0"/>
                              <w:marRight w:val="0"/>
                              <w:marTop w:val="0"/>
                              <w:marBottom w:val="0"/>
                              <w:divBdr>
                                <w:top w:val="none" w:sz="0" w:space="0" w:color="auto"/>
                                <w:left w:val="none" w:sz="0" w:space="0" w:color="auto"/>
                                <w:bottom w:val="none" w:sz="0" w:space="0" w:color="auto"/>
                                <w:right w:val="none" w:sz="0" w:space="0" w:color="auto"/>
                              </w:divBdr>
                              <w:divsChild>
                                <w:div w:id="943462854">
                                  <w:marLeft w:val="0"/>
                                  <w:marRight w:val="0"/>
                                  <w:marTop w:val="0"/>
                                  <w:marBottom w:val="0"/>
                                  <w:divBdr>
                                    <w:top w:val="none" w:sz="0" w:space="0" w:color="auto"/>
                                    <w:left w:val="none" w:sz="0" w:space="0" w:color="auto"/>
                                    <w:bottom w:val="none" w:sz="0" w:space="0" w:color="auto"/>
                                    <w:right w:val="none" w:sz="0" w:space="0" w:color="auto"/>
                                  </w:divBdr>
                                  <w:divsChild>
                                    <w:div w:id="680931116">
                                      <w:marLeft w:val="0"/>
                                      <w:marRight w:val="0"/>
                                      <w:marTop w:val="0"/>
                                      <w:marBottom w:val="0"/>
                                      <w:divBdr>
                                        <w:top w:val="none" w:sz="0" w:space="0" w:color="auto"/>
                                        <w:left w:val="none" w:sz="0" w:space="0" w:color="auto"/>
                                        <w:bottom w:val="none" w:sz="0" w:space="0" w:color="auto"/>
                                        <w:right w:val="none" w:sz="0" w:space="0" w:color="auto"/>
                                      </w:divBdr>
                                      <w:divsChild>
                                        <w:div w:id="1501197111">
                                          <w:marLeft w:val="0"/>
                                          <w:marRight w:val="0"/>
                                          <w:marTop w:val="0"/>
                                          <w:marBottom w:val="0"/>
                                          <w:divBdr>
                                            <w:top w:val="none" w:sz="0" w:space="0" w:color="auto"/>
                                            <w:left w:val="none" w:sz="0" w:space="0" w:color="auto"/>
                                            <w:bottom w:val="none" w:sz="0" w:space="0" w:color="auto"/>
                                            <w:right w:val="none" w:sz="0" w:space="0" w:color="auto"/>
                                          </w:divBdr>
                                          <w:divsChild>
                                            <w:div w:id="1997105555">
                                              <w:marLeft w:val="0"/>
                                              <w:marRight w:val="0"/>
                                              <w:marTop w:val="0"/>
                                              <w:marBottom w:val="0"/>
                                              <w:divBdr>
                                                <w:top w:val="none" w:sz="0" w:space="0" w:color="auto"/>
                                                <w:left w:val="none" w:sz="0" w:space="0" w:color="auto"/>
                                                <w:bottom w:val="none" w:sz="0" w:space="0" w:color="auto"/>
                                                <w:right w:val="none" w:sz="0" w:space="0" w:color="auto"/>
                                              </w:divBdr>
                                              <w:divsChild>
                                                <w:div w:id="1451049298">
                                                  <w:marLeft w:val="0"/>
                                                  <w:marRight w:val="0"/>
                                                  <w:marTop w:val="0"/>
                                                  <w:marBottom w:val="0"/>
                                                  <w:divBdr>
                                                    <w:top w:val="none" w:sz="0" w:space="0" w:color="auto"/>
                                                    <w:left w:val="none" w:sz="0" w:space="0" w:color="auto"/>
                                                    <w:bottom w:val="none" w:sz="0" w:space="0" w:color="auto"/>
                                                    <w:right w:val="none" w:sz="0" w:space="0" w:color="auto"/>
                                                  </w:divBdr>
                                                  <w:divsChild>
                                                    <w:div w:id="1969974721">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909390590">
      <w:bodyDiv w:val="1"/>
      <w:marLeft w:val="0"/>
      <w:marRight w:val="0"/>
      <w:marTop w:val="0"/>
      <w:marBottom w:val="0"/>
      <w:divBdr>
        <w:top w:val="none" w:sz="0" w:space="0" w:color="auto"/>
        <w:left w:val="none" w:sz="0" w:space="0" w:color="auto"/>
        <w:bottom w:val="none" w:sz="0" w:space="0" w:color="auto"/>
        <w:right w:val="none" w:sz="0" w:space="0" w:color="auto"/>
      </w:divBdr>
      <w:divsChild>
        <w:div w:id="196504485">
          <w:marLeft w:val="0"/>
          <w:marRight w:val="0"/>
          <w:marTop w:val="0"/>
          <w:marBottom w:val="0"/>
          <w:divBdr>
            <w:top w:val="none" w:sz="0" w:space="0" w:color="auto"/>
            <w:left w:val="none" w:sz="0" w:space="0" w:color="auto"/>
            <w:bottom w:val="none" w:sz="0" w:space="0" w:color="auto"/>
            <w:right w:val="none" w:sz="0" w:space="0" w:color="auto"/>
          </w:divBdr>
          <w:divsChild>
            <w:div w:id="798961677">
              <w:marLeft w:val="0"/>
              <w:marRight w:val="0"/>
              <w:marTop w:val="0"/>
              <w:marBottom w:val="0"/>
              <w:divBdr>
                <w:top w:val="none" w:sz="0" w:space="0" w:color="auto"/>
                <w:left w:val="none" w:sz="0" w:space="0" w:color="auto"/>
                <w:bottom w:val="none" w:sz="0" w:space="0" w:color="auto"/>
                <w:right w:val="none" w:sz="0" w:space="0" w:color="auto"/>
              </w:divBdr>
              <w:divsChild>
                <w:div w:id="476184974">
                  <w:marLeft w:val="0"/>
                  <w:marRight w:val="0"/>
                  <w:marTop w:val="0"/>
                  <w:marBottom w:val="0"/>
                  <w:divBdr>
                    <w:top w:val="none" w:sz="0" w:space="0" w:color="auto"/>
                    <w:left w:val="none" w:sz="0" w:space="0" w:color="auto"/>
                    <w:bottom w:val="none" w:sz="0" w:space="0" w:color="auto"/>
                    <w:right w:val="none" w:sz="0" w:space="0" w:color="auto"/>
                  </w:divBdr>
                  <w:divsChild>
                    <w:div w:id="1568609509">
                      <w:marLeft w:val="0"/>
                      <w:marRight w:val="0"/>
                      <w:marTop w:val="0"/>
                      <w:marBottom w:val="0"/>
                      <w:divBdr>
                        <w:top w:val="none" w:sz="0" w:space="0" w:color="auto"/>
                        <w:left w:val="none" w:sz="0" w:space="0" w:color="auto"/>
                        <w:bottom w:val="none" w:sz="0" w:space="0" w:color="auto"/>
                        <w:right w:val="none" w:sz="0" w:space="0" w:color="auto"/>
                      </w:divBdr>
                      <w:divsChild>
                        <w:div w:id="1358577934">
                          <w:marLeft w:val="0"/>
                          <w:marRight w:val="0"/>
                          <w:marTop w:val="0"/>
                          <w:marBottom w:val="0"/>
                          <w:divBdr>
                            <w:top w:val="none" w:sz="0" w:space="0" w:color="auto"/>
                            <w:left w:val="none" w:sz="0" w:space="0" w:color="auto"/>
                            <w:bottom w:val="none" w:sz="0" w:space="0" w:color="auto"/>
                            <w:right w:val="none" w:sz="0" w:space="0" w:color="auto"/>
                          </w:divBdr>
                          <w:divsChild>
                            <w:div w:id="42953170">
                              <w:marLeft w:val="0"/>
                              <w:marRight w:val="0"/>
                              <w:marTop w:val="0"/>
                              <w:marBottom w:val="0"/>
                              <w:divBdr>
                                <w:top w:val="none" w:sz="0" w:space="0" w:color="auto"/>
                                <w:left w:val="none" w:sz="0" w:space="0" w:color="auto"/>
                                <w:bottom w:val="none" w:sz="0" w:space="0" w:color="auto"/>
                                <w:right w:val="none" w:sz="0" w:space="0" w:color="auto"/>
                              </w:divBdr>
                              <w:divsChild>
                                <w:div w:id="1442409206">
                                  <w:marLeft w:val="0"/>
                                  <w:marRight w:val="0"/>
                                  <w:marTop w:val="0"/>
                                  <w:marBottom w:val="0"/>
                                  <w:divBdr>
                                    <w:top w:val="none" w:sz="0" w:space="0" w:color="auto"/>
                                    <w:left w:val="none" w:sz="0" w:space="0" w:color="auto"/>
                                    <w:bottom w:val="none" w:sz="0" w:space="0" w:color="auto"/>
                                    <w:right w:val="none" w:sz="0" w:space="0" w:color="auto"/>
                                  </w:divBdr>
                                  <w:divsChild>
                                    <w:div w:id="1976979777">
                                      <w:marLeft w:val="0"/>
                                      <w:marRight w:val="0"/>
                                      <w:marTop w:val="0"/>
                                      <w:marBottom w:val="0"/>
                                      <w:divBdr>
                                        <w:top w:val="none" w:sz="0" w:space="0" w:color="auto"/>
                                        <w:left w:val="none" w:sz="0" w:space="0" w:color="auto"/>
                                        <w:bottom w:val="none" w:sz="0" w:space="0" w:color="auto"/>
                                        <w:right w:val="none" w:sz="0" w:space="0" w:color="auto"/>
                                      </w:divBdr>
                                      <w:divsChild>
                                        <w:div w:id="1771268890">
                                          <w:marLeft w:val="0"/>
                                          <w:marRight w:val="0"/>
                                          <w:marTop w:val="0"/>
                                          <w:marBottom w:val="0"/>
                                          <w:divBdr>
                                            <w:top w:val="none" w:sz="0" w:space="0" w:color="auto"/>
                                            <w:left w:val="none" w:sz="0" w:space="0" w:color="auto"/>
                                            <w:bottom w:val="none" w:sz="0" w:space="0" w:color="auto"/>
                                            <w:right w:val="none" w:sz="0" w:space="0" w:color="auto"/>
                                          </w:divBdr>
                                          <w:divsChild>
                                            <w:div w:id="1500579333">
                                              <w:marLeft w:val="0"/>
                                              <w:marRight w:val="0"/>
                                              <w:marTop w:val="0"/>
                                              <w:marBottom w:val="0"/>
                                              <w:divBdr>
                                                <w:top w:val="none" w:sz="0" w:space="0" w:color="auto"/>
                                                <w:left w:val="none" w:sz="0" w:space="0" w:color="auto"/>
                                                <w:bottom w:val="none" w:sz="0" w:space="0" w:color="auto"/>
                                                <w:right w:val="none" w:sz="0" w:space="0" w:color="auto"/>
                                              </w:divBdr>
                                              <w:divsChild>
                                                <w:div w:id="908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420757">
      <w:bodyDiv w:val="1"/>
      <w:marLeft w:val="0"/>
      <w:marRight w:val="0"/>
      <w:marTop w:val="0"/>
      <w:marBottom w:val="0"/>
      <w:divBdr>
        <w:top w:val="none" w:sz="0" w:space="0" w:color="auto"/>
        <w:left w:val="none" w:sz="0" w:space="0" w:color="auto"/>
        <w:bottom w:val="none" w:sz="0" w:space="0" w:color="auto"/>
        <w:right w:val="none" w:sz="0" w:space="0" w:color="auto"/>
      </w:divBdr>
    </w:div>
    <w:div w:id="1032460462">
      <w:bodyDiv w:val="1"/>
      <w:marLeft w:val="0"/>
      <w:marRight w:val="0"/>
      <w:marTop w:val="0"/>
      <w:marBottom w:val="0"/>
      <w:divBdr>
        <w:top w:val="none" w:sz="0" w:space="0" w:color="auto"/>
        <w:left w:val="none" w:sz="0" w:space="0" w:color="auto"/>
        <w:bottom w:val="none" w:sz="0" w:space="0" w:color="auto"/>
        <w:right w:val="none" w:sz="0" w:space="0" w:color="auto"/>
      </w:divBdr>
      <w:divsChild>
        <w:div w:id="1298493232">
          <w:marLeft w:val="0"/>
          <w:marRight w:val="0"/>
          <w:marTop w:val="0"/>
          <w:marBottom w:val="0"/>
          <w:divBdr>
            <w:top w:val="none" w:sz="0" w:space="0" w:color="auto"/>
            <w:left w:val="none" w:sz="0" w:space="0" w:color="auto"/>
            <w:bottom w:val="none" w:sz="0" w:space="0" w:color="auto"/>
            <w:right w:val="none" w:sz="0" w:space="0" w:color="auto"/>
          </w:divBdr>
          <w:divsChild>
            <w:div w:id="955062612">
              <w:marLeft w:val="0"/>
              <w:marRight w:val="0"/>
              <w:marTop w:val="0"/>
              <w:marBottom w:val="0"/>
              <w:divBdr>
                <w:top w:val="none" w:sz="0" w:space="0" w:color="auto"/>
                <w:left w:val="none" w:sz="0" w:space="0" w:color="auto"/>
                <w:bottom w:val="none" w:sz="0" w:space="0" w:color="auto"/>
                <w:right w:val="none" w:sz="0" w:space="0" w:color="auto"/>
              </w:divBdr>
              <w:divsChild>
                <w:div w:id="567881639">
                  <w:marLeft w:val="0"/>
                  <w:marRight w:val="0"/>
                  <w:marTop w:val="0"/>
                  <w:marBottom w:val="0"/>
                  <w:divBdr>
                    <w:top w:val="none" w:sz="0" w:space="0" w:color="auto"/>
                    <w:left w:val="none" w:sz="0" w:space="0" w:color="auto"/>
                    <w:bottom w:val="none" w:sz="0" w:space="0" w:color="auto"/>
                    <w:right w:val="none" w:sz="0" w:space="0" w:color="auto"/>
                  </w:divBdr>
                  <w:divsChild>
                    <w:div w:id="948851045">
                      <w:marLeft w:val="0"/>
                      <w:marRight w:val="0"/>
                      <w:marTop w:val="0"/>
                      <w:marBottom w:val="0"/>
                      <w:divBdr>
                        <w:top w:val="none" w:sz="0" w:space="0" w:color="auto"/>
                        <w:left w:val="none" w:sz="0" w:space="0" w:color="auto"/>
                        <w:bottom w:val="none" w:sz="0" w:space="0" w:color="auto"/>
                        <w:right w:val="none" w:sz="0" w:space="0" w:color="auto"/>
                      </w:divBdr>
                      <w:divsChild>
                        <w:div w:id="1442458041">
                          <w:marLeft w:val="0"/>
                          <w:marRight w:val="0"/>
                          <w:marTop w:val="0"/>
                          <w:marBottom w:val="0"/>
                          <w:divBdr>
                            <w:top w:val="none" w:sz="0" w:space="0" w:color="auto"/>
                            <w:left w:val="none" w:sz="0" w:space="0" w:color="auto"/>
                            <w:bottom w:val="none" w:sz="0" w:space="0" w:color="auto"/>
                            <w:right w:val="none" w:sz="0" w:space="0" w:color="auto"/>
                          </w:divBdr>
                          <w:divsChild>
                            <w:div w:id="902258166">
                              <w:marLeft w:val="0"/>
                              <w:marRight w:val="0"/>
                              <w:marTop w:val="0"/>
                              <w:marBottom w:val="0"/>
                              <w:divBdr>
                                <w:top w:val="none" w:sz="0" w:space="0" w:color="auto"/>
                                <w:left w:val="none" w:sz="0" w:space="0" w:color="auto"/>
                                <w:bottom w:val="none" w:sz="0" w:space="0" w:color="auto"/>
                                <w:right w:val="none" w:sz="0" w:space="0" w:color="auto"/>
                              </w:divBdr>
                              <w:divsChild>
                                <w:div w:id="1276138610">
                                  <w:marLeft w:val="0"/>
                                  <w:marRight w:val="0"/>
                                  <w:marTop w:val="0"/>
                                  <w:marBottom w:val="0"/>
                                  <w:divBdr>
                                    <w:top w:val="none" w:sz="0" w:space="0" w:color="auto"/>
                                    <w:left w:val="none" w:sz="0" w:space="0" w:color="auto"/>
                                    <w:bottom w:val="none" w:sz="0" w:space="0" w:color="auto"/>
                                    <w:right w:val="none" w:sz="0" w:space="0" w:color="auto"/>
                                  </w:divBdr>
                                  <w:divsChild>
                                    <w:div w:id="997073360">
                                      <w:marLeft w:val="0"/>
                                      <w:marRight w:val="0"/>
                                      <w:marTop w:val="0"/>
                                      <w:marBottom w:val="0"/>
                                      <w:divBdr>
                                        <w:top w:val="none" w:sz="0" w:space="0" w:color="auto"/>
                                        <w:left w:val="none" w:sz="0" w:space="0" w:color="auto"/>
                                        <w:bottom w:val="none" w:sz="0" w:space="0" w:color="auto"/>
                                        <w:right w:val="none" w:sz="0" w:space="0" w:color="auto"/>
                                      </w:divBdr>
                                      <w:divsChild>
                                        <w:div w:id="1870601510">
                                          <w:marLeft w:val="0"/>
                                          <w:marRight w:val="0"/>
                                          <w:marTop w:val="0"/>
                                          <w:marBottom w:val="0"/>
                                          <w:divBdr>
                                            <w:top w:val="none" w:sz="0" w:space="0" w:color="auto"/>
                                            <w:left w:val="none" w:sz="0" w:space="0" w:color="auto"/>
                                            <w:bottom w:val="none" w:sz="0" w:space="0" w:color="auto"/>
                                            <w:right w:val="none" w:sz="0" w:space="0" w:color="auto"/>
                                          </w:divBdr>
                                          <w:divsChild>
                                            <w:div w:id="1246766025">
                                              <w:marLeft w:val="0"/>
                                              <w:marRight w:val="0"/>
                                              <w:marTop w:val="0"/>
                                              <w:marBottom w:val="0"/>
                                              <w:divBdr>
                                                <w:top w:val="none" w:sz="0" w:space="0" w:color="auto"/>
                                                <w:left w:val="none" w:sz="0" w:space="0" w:color="auto"/>
                                                <w:bottom w:val="none" w:sz="0" w:space="0" w:color="auto"/>
                                                <w:right w:val="none" w:sz="0" w:space="0" w:color="auto"/>
                                              </w:divBdr>
                                              <w:divsChild>
                                                <w:div w:id="1866168097">
                                                  <w:marLeft w:val="0"/>
                                                  <w:marRight w:val="0"/>
                                                  <w:marTop w:val="0"/>
                                                  <w:marBottom w:val="0"/>
                                                  <w:divBdr>
                                                    <w:top w:val="none" w:sz="0" w:space="0" w:color="auto"/>
                                                    <w:left w:val="none" w:sz="0" w:space="0" w:color="auto"/>
                                                    <w:bottom w:val="none" w:sz="0" w:space="0" w:color="auto"/>
                                                    <w:right w:val="none" w:sz="0" w:space="0" w:color="auto"/>
                                                  </w:divBdr>
                                                  <w:divsChild>
                                                    <w:div w:id="1309553392">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051995876">
      <w:bodyDiv w:val="1"/>
      <w:marLeft w:val="0"/>
      <w:marRight w:val="0"/>
      <w:marTop w:val="0"/>
      <w:marBottom w:val="0"/>
      <w:divBdr>
        <w:top w:val="none" w:sz="0" w:space="0" w:color="auto"/>
        <w:left w:val="none" w:sz="0" w:space="0" w:color="auto"/>
        <w:bottom w:val="none" w:sz="0" w:space="0" w:color="auto"/>
        <w:right w:val="none" w:sz="0" w:space="0" w:color="auto"/>
      </w:divBdr>
      <w:divsChild>
        <w:div w:id="939266194">
          <w:marLeft w:val="0"/>
          <w:marRight w:val="0"/>
          <w:marTop w:val="0"/>
          <w:marBottom w:val="0"/>
          <w:divBdr>
            <w:top w:val="none" w:sz="0" w:space="0" w:color="auto"/>
            <w:left w:val="none" w:sz="0" w:space="0" w:color="auto"/>
            <w:bottom w:val="none" w:sz="0" w:space="0" w:color="auto"/>
            <w:right w:val="none" w:sz="0" w:space="0" w:color="auto"/>
          </w:divBdr>
          <w:divsChild>
            <w:div w:id="624625172">
              <w:marLeft w:val="0"/>
              <w:marRight w:val="0"/>
              <w:marTop w:val="0"/>
              <w:marBottom w:val="0"/>
              <w:divBdr>
                <w:top w:val="none" w:sz="0" w:space="0" w:color="auto"/>
                <w:left w:val="none" w:sz="0" w:space="0" w:color="auto"/>
                <w:bottom w:val="none" w:sz="0" w:space="0" w:color="auto"/>
                <w:right w:val="none" w:sz="0" w:space="0" w:color="auto"/>
              </w:divBdr>
              <w:divsChild>
                <w:div w:id="1972010948">
                  <w:marLeft w:val="0"/>
                  <w:marRight w:val="0"/>
                  <w:marTop w:val="0"/>
                  <w:marBottom w:val="0"/>
                  <w:divBdr>
                    <w:top w:val="none" w:sz="0" w:space="0" w:color="auto"/>
                    <w:left w:val="none" w:sz="0" w:space="0" w:color="auto"/>
                    <w:bottom w:val="none" w:sz="0" w:space="0" w:color="auto"/>
                    <w:right w:val="none" w:sz="0" w:space="0" w:color="auto"/>
                  </w:divBdr>
                  <w:divsChild>
                    <w:div w:id="2008555652">
                      <w:marLeft w:val="0"/>
                      <w:marRight w:val="0"/>
                      <w:marTop w:val="0"/>
                      <w:marBottom w:val="0"/>
                      <w:divBdr>
                        <w:top w:val="none" w:sz="0" w:space="0" w:color="auto"/>
                        <w:left w:val="none" w:sz="0" w:space="0" w:color="auto"/>
                        <w:bottom w:val="none" w:sz="0" w:space="0" w:color="auto"/>
                        <w:right w:val="none" w:sz="0" w:space="0" w:color="auto"/>
                      </w:divBdr>
                      <w:divsChild>
                        <w:div w:id="1416899967">
                          <w:marLeft w:val="0"/>
                          <w:marRight w:val="0"/>
                          <w:marTop w:val="0"/>
                          <w:marBottom w:val="0"/>
                          <w:divBdr>
                            <w:top w:val="none" w:sz="0" w:space="0" w:color="auto"/>
                            <w:left w:val="none" w:sz="0" w:space="0" w:color="auto"/>
                            <w:bottom w:val="none" w:sz="0" w:space="0" w:color="auto"/>
                            <w:right w:val="none" w:sz="0" w:space="0" w:color="auto"/>
                          </w:divBdr>
                          <w:divsChild>
                            <w:div w:id="1956911461">
                              <w:marLeft w:val="0"/>
                              <w:marRight w:val="0"/>
                              <w:marTop w:val="0"/>
                              <w:marBottom w:val="0"/>
                              <w:divBdr>
                                <w:top w:val="none" w:sz="0" w:space="0" w:color="auto"/>
                                <w:left w:val="none" w:sz="0" w:space="0" w:color="auto"/>
                                <w:bottom w:val="none" w:sz="0" w:space="0" w:color="auto"/>
                                <w:right w:val="none" w:sz="0" w:space="0" w:color="auto"/>
                              </w:divBdr>
                              <w:divsChild>
                                <w:div w:id="1075978899">
                                  <w:marLeft w:val="0"/>
                                  <w:marRight w:val="0"/>
                                  <w:marTop w:val="0"/>
                                  <w:marBottom w:val="0"/>
                                  <w:divBdr>
                                    <w:top w:val="none" w:sz="0" w:space="0" w:color="auto"/>
                                    <w:left w:val="none" w:sz="0" w:space="0" w:color="auto"/>
                                    <w:bottom w:val="none" w:sz="0" w:space="0" w:color="auto"/>
                                    <w:right w:val="none" w:sz="0" w:space="0" w:color="auto"/>
                                  </w:divBdr>
                                  <w:divsChild>
                                    <w:div w:id="1305088523">
                                      <w:marLeft w:val="0"/>
                                      <w:marRight w:val="0"/>
                                      <w:marTop w:val="0"/>
                                      <w:marBottom w:val="0"/>
                                      <w:divBdr>
                                        <w:top w:val="none" w:sz="0" w:space="0" w:color="auto"/>
                                        <w:left w:val="none" w:sz="0" w:space="0" w:color="auto"/>
                                        <w:bottom w:val="none" w:sz="0" w:space="0" w:color="auto"/>
                                        <w:right w:val="none" w:sz="0" w:space="0" w:color="auto"/>
                                      </w:divBdr>
                                      <w:divsChild>
                                        <w:div w:id="1287857617">
                                          <w:marLeft w:val="0"/>
                                          <w:marRight w:val="0"/>
                                          <w:marTop w:val="0"/>
                                          <w:marBottom w:val="0"/>
                                          <w:divBdr>
                                            <w:top w:val="none" w:sz="0" w:space="0" w:color="auto"/>
                                            <w:left w:val="none" w:sz="0" w:space="0" w:color="auto"/>
                                            <w:bottom w:val="none" w:sz="0" w:space="0" w:color="auto"/>
                                            <w:right w:val="none" w:sz="0" w:space="0" w:color="auto"/>
                                          </w:divBdr>
                                          <w:divsChild>
                                            <w:div w:id="794566547">
                                              <w:marLeft w:val="0"/>
                                              <w:marRight w:val="0"/>
                                              <w:marTop w:val="0"/>
                                              <w:marBottom w:val="0"/>
                                              <w:divBdr>
                                                <w:top w:val="none" w:sz="0" w:space="0" w:color="auto"/>
                                                <w:left w:val="none" w:sz="0" w:space="0" w:color="auto"/>
                                                <w:bottom w:val="none" w:sz="0" w:space="0" w:color="auto"/>
                                                <w:right w:val="none" w:sz="0" w:space="0" w:color="auto"/>
                                              </w:divBdr>
                                              <w:divsChild>
                                                <w:div w:id="15486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347790">
      <w:bodyDiv w:val="1"/>
      <w:marLeft w:val="0"/>
      <w:marRight w:val="0"/>
      <w:marTop w:val="0"/>
      <w:marBottom w:val="0"/>
      <w:divBdr>
        <w:top w:val="none" w:sz="0" w:space="0" w:color="auto"/>
        <w:left w:val="none" w:sz="0" w:space="0" w:color="auto"/>
        <w:bottom w:val="none" w:sz="0" w:space="0" w:color="auto"/>
        <w:right w:val="none" w:sz="0" w:space="0" w:color="auto"/>
      </w:divBdr>
    </w:div>
    <w:div w:id="1194348134">
      <w:bodyDiv w:val="1"/>
      <w:marLeft w:val="0"/>
      <w:marRight w:val="0"/>
      <w:marTop w:val="0"/>
      <w:marBottom w:val="0"/>
      <w:divBdr>
        <w:top w:val="none" w:sz="0" w:space="0" w:color="auto"/>
        <w:left w:val="none" w:sz="0" w:space="0" w:color="auto"/>
        <w:bottom w:val="none" w:sz="0" w:space="0" w:color="auto"/>
        <w:right w:val="none" w:sz="0" w:space="0" w:color="auto"/>
      </w:divBdr>
    </w:div>
    <w:div w:id="1246303873">
      <w:bodyDiv w:val="1"/>
      <w:marLeft w:val="0"/>
      <w:marRight w:val="0"/>
      <w:marTop w:val="0"/>
      <w:marBottom w:val="0"/>
      <w:divBdr>
        <w:top w:val="none" w:sz="0" w:space="0" w:color="auto"/>
        <w:left w:val="none" w:sz="0" w:space="0" w:color="auto"/>
        <w:bottom w:val="none" w:sz="0" w:space="0" w:color="auto"/>
        <w:right w:val="none" w:sz="0" w:space="0" w:color="auto"/>
      </w:divBdr>
      <w:divsChild>
        <w:div w:id="188103616">
          <w:marLeft w:val="0"/>
          <w:marRight w:val="0"/>
          <w:marTop w:val="0"/>
          <w:marBottom w:val="0"/>
          <w:divBdr>
            <w:top w:val="none" w:sz="0" w:space="0" w:color="auto"/>
            <w:left w:val="none" w:sz="0" w:space="0" w:color="auto"/>
            <w:bottom w:val="none" w:sz="0" w:space="0" w:color="auto"/>
            <w:right w:val="none" w:sz="0" w:space="0" w:color="auto"/>
          </w:divBdr>
          <w:divsChild>
            <w:div w:id="223027806">
              <w:marLeft w:val="0"/>
              <w:marRight w:val="0"/>
              <w:marTop w:val="0"/>
              <w:marBottom w:val="0"/>
              <w:divBdr>
                <w:top w:val="none" w:sz="0" w:space="0" w:color="auto"/>
                <w:left w:val="none" w:sz="0" w:space="0" w:color="auto"/>
                <w:bottom w:val="none" w:sz="0" w:space="0" w:color="auto"/>
                <w:right w:val="none" w:sz="0" w:space="0" w:color="auto"/>
              </w:divBdr>
              <w:divsChild>
                <w:div w:id="443041220">
                  <w:marLeft w:val="0"/>
                  <w:marRight w:val="0"/>
                  <w:marTop w:val="0"/>
                  <w:marBottom w:val="0"/>
                  <w:divBdr>
                    <w:top w:val="none" w:sz="0" w:space="0" w:color="auto"/>
                    <w:left w:val="none" w:sz="0" w:space="0" w:color="auto"/>
                    <w:bottom w:val="none" w:sz="0" w:space="0" w:color="auto"/>
                    <w:right w:val="none" w:sz="0" w:space="0" w:color="auto"/>
                  </w:divBdr>
                  <w:divsChild>
                    <w:div w:id="908879433">
                      <w:marLeft w:val="0"/>
                      <w:marRight w:val="0"/>
                      <w:marTop w:val="0"/>
                      <w:marBottom w:val="0"/>
                      <w:divBdr>
                        <w:top w:val="none" w:sz="0" w:space="0" w:color="auto"/>
                        <w:left w:val="none" w:sz="0" w:space="0" w:color="auto"/>
                        <w:bottom w:val="none" w:sz="0" w:space="0" w:color="auto"/>
                        <w:right w:val="none" w:sz="0" w:space="0" w:color="auto"/>
                      </w:divBdr>
                      <w:divsChild>
                        <w:div w:id="1616254779">
                          <w:marLeft w:val="0"/>
                          <w:marRight w:val="0"/>
                          <w:marTop w:val="0"/>
                          <w:marBottom w:val="0"/>
                          <w:divBdr>
                            <w:top w:val="none" w:sz="0" w:space="0" w:color="auto"/>
                            <w:left w:val="none" w:sz="0" w:space="0" w:color="auto"/>
                            <w:bottom w:val="none" w:sz="0" w:space="0" w:color="auto"/>
                            <w:right w:val="none" w:sz="0" w:space="0" w:color="auto"/>
                          </w:divBdr>
                          <w:divsChild>
                            <w:div w:id="1749645203">
                              <w:marLeft w:val="0"/>
                              <w:marRight w:val="0"/>
                              <w:marTop w:val="0"/>
                              <w:marBottom w:val="0"/>
                              <w:divBdr>
                                <w:top w:val="none" w:sz="0" w:space="0" w:color="auto"/>
                                <w:left w:val="none" w:sz="0" w:space="0" w:color="auto"/>
                                <w:bottom w:val="none" w:sz="0" w:space="0" w:color="auto"/>
                                <w:right w:val="none" w:sz="0" w:space="0" w:color="auto"/>
                              </w:divBdr>
                              <w:divsChild>
                                <w:div w:id="499463074">
                                  <w:marLeft w:val="0"/>
                                  <w:marRight w:val="0"/>
                                  <w:marTop w:val="0"/>
                                  <w:marBottom w:val="0"/>
                                  <w:divBdr>
                                    <w:top w:val="none" w:sz="0" w:space="0" w:color="auto"/>
                                    <w:left w:val="none" w:sz="0" w:space="0" w:color="auto"/>
                                    <w:bottom w:val="none" w:sz="0" w:space="0" w:color="auto"/>
                                    <w:right w:val="none" w:sz="0" w:space="0" w:color="auto"/>
                                  </w:divBdr>
                                  <w:divsChild>
                                    <w:div w:id="1168714222">
                                      <w:marLeft w:val="0"/>
                                      <w:marRight w:val="0"/>
                                      <w:marTop w:val="0"/>
                                      <w:marBottom w:val="0"/>
                                      <w:divBdr>
                                        <w:top w:val="none" w:sz="0" w:space="0" w:color="auto"/>
                                        <w:left w:val="none" w:sz="0" w:space="0" w:color="auto"/>
                                        <w:bottom w:val="none" w:sz="0" w:space="0" w:color="auto"/>
                                        <w:right w:val="none" w:sz="0" w:space="0" w:color="auto"/>
                                      </w:divBdr>
                                      <w:divsChild>
                                        <w:div w:id="1156803650">
                                          <w:marLeft w:val="0"/>
                                          <w:marRight w:val="0"/>
                                          <w:marTop w:val="0"/>
                                          <w:marBottom w:val="0"/>
                                          <w:divBdr>
                                            <w:top w:val="none" w:sz="0" w:space="0" w:color="auto"/>
                                            <w:left w:val="none" w:sz="0" w:space="0" w:color="auto"/>
                                            <w:bottom w:val="none" w:sz="0" w:space="0" w:color="auto"/>
                                            <w:right w:val="none" w:sz="0" w:space="0" w:color="auto"/>
                                          </w:divBdr>
                                          <w:divsChild>
                                            <w:div w:id="626011177">
                                              <w:marLeft w:val="0"/>
                                              <w:marRight w:val="0"/>
                                              <w:marTop w:val="0"/>
                                              <w:marBottom w:val="0"/>
                                              <w:divBdr>
                                                <w:top w:val="none" w:sz="0" w:space="0" w:color="auto"/>
                                                <w:left w:val="none" w:sz="0" w:space="0" w:color="auto"/>
                                                <w:bottom w:val="none" w:sz="0" w:space="0" w:color="auto"/>
                                                <w:right w:val="none" w:sz="0" w:space="0" w:color="auto"/>
                                              </w:divBdr>
                                              <w:divsChild>
                                                <w:div w:id="1101729474">
                                                  <w:marLeft w:val="0"/>
                                                  <w:marRight w:val="0"/>
                                                  <w:marTop w:val="0"/>
                                                  <w:marBottom w:val="0"/>
                                                  <w:divBdr>
                                                    <w:top w:val="none" w:sz="0" w:space="0" w:color="auto"/>
                                                    <w:left w:val="none" w:sz="0" w:space="0" w:color="auto"/>
                                                    <w:bottom w:val="none" w:sz="0" w:space="0" w:color="auto"/>
                                                    <w:right w:val="none" w:sz="0" w:space="0" w:color="auto"/>
                                                  </w:divBdr>
                                                  <w:divsChild>
                                                    <w:div w:id="259215425">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315179416">
      <w:bodyDiv w:val="1"/>
      <w:marLeft w:val="0"/>
      <w:marRight w:val="0"/>
      <w:marTop w:val="0"/>
      <w:marBottom w:val="0"/>
      <w:divBdr>
        <w:top w:val="none" w:sz="0" w:space="0" w:color="auto"/>
        <w:left w:val="none" w:sz="0" w:space="0" w:color="auto"/>
        <w:bottom w:val="none" w:sz="0" w:space="0" w:color="auto"/>
        <w:right w:val="none" w:sz="0" w:space="0" w:color="auto"/>
      </w:divBdr>
    </w:div>
    <w:div w:id="1326670206">
      <w:bodyDiv w:val="1"/>
      <w:marLeft w:val="0"/>
      <w:marRight w:val="0"/>
      <w:marTop w:val="0"/>
      <w:marBottom w:val="0"/>
      <w:divBdr>
        <w:top w:val="none" w:sz="0" w:space="0" w:color="auto"/>
        <w:left w:val="none" w:sz="0" w:space="0" w:color="auto"/>
        <w:bottom w:val="none" w:sz="0" w:space="0" w:color="auto"/>
        <w:right w:val="none" w:sz="0" w:space="0" w:color="auto"/>
      </w:divBdr>
    </w:div>
    <w:div w:id="1340042873">
      <w:bodyDiv w:val="1"/>
      <w:marLeft w:val="0"/>
      <w:marRight w:val="0"/>
      <w:marTop w:val="0"/>
      <w:marBottom w:val="0"/>
      <w:divBdr>
        <w:top w:val="none" w:sz="0" w:space="0" w:color="auto"/>
        <w:left w:val="none" w:sz="0" w:space="0" w:color="auto"/>
        <w:bottom w:val="none" w:sz="0" w:space="0" w:color="auto"/>
        <w:right w:val="none" w:sz="0" w:space="0" w:color="auto"/>
      </w:divBdr>
    </w:div>
    <w:div w:id="1369834494">
      <w:bodyDiv w:val="1"/>
      <w:marLeft w:val="0"/>
      <w:marRight w:val="0"/>
      <w:marTop w:val="0"/>
      <w:marBottom w:val="0"/>
      <w:divBdr>
        <w:top w:val="none" w:sz="0" w:space="0" w:color="auto"/>
        <w:left w:val="none" w:sz="0" w:space="0" w:color="auto"/>
        <w:bottom w:val="none" w:sz="0" w:space="0" w:color="auto"/>
        <w:right w:val="none" w:sz="0" w:space="0" w:color="auto"/>
      </w:divBdr>
      <w:divsChild>
        <w:div w:id="116264856">
          <w:marLeft w:val="0"/>
          <w:marRight w:val="0"/>
          <w:marTop w:val="0"/>
          <w:marBottom w:val="0"/>
          <w:divBdr>
            <w:top w:val="none" w:sz="0" w:space="0" w:color="auto"/>
            <w:left w:val="none" w:sz="0" w:space="0" w:color="auto"/>
            <w:bottom w:val="none" w:sz="0" w:space="0" w:color="auto"/>
            <w:right w:val="none" w:sz="0" w:space="0" w:color="auto"/>
          </w:divBdr>
          <w:divsChild>
            <w:div w:id="1792164999">
              <w:marLeft w:val="0"/>
              <w:marRight w:val="0"/>
              <w:marTop w:val="0"/>
              <w:marBottom w:val="0"/>
              <w:divBdr>
                <w:top w:val="none" w:sz="0" w:space="0" w:color="auto"/>
                <w:left w:val="none" w:sz="0" w:space="0" w:color="auto"/>
                <w:bottom w:val="none" w:sz="0" w:space="0" w:color="auto"/>
                <w:right w:val="none" w:sz="0" w:space="0" w:color="auto"/>
              </w:divBdr>
              <w:divsChild>
                <w:div w:id="509566782">
                  <w:marLeft w:val="0"/>
                  <w:marRight w:val="0"/>
                  <w:marTop w:val="0"/>
                  <w:marBottom w:val="0"/>
                  <w:divBdr>
                    <w:top w:val="none" w:sz="0" w:space="0" w:color="auto"/>
                    <w:left w:val="none" w:sz="0" w:space="0" w:color="auto"/>
                    <w:bottom w:val="none" w:sz="0" w:space="0" w:color="auto"/>
                    <w:right w:val="none" w:sz="0" w:space="0" w:color="auto"/>
                  </w:divBdr>
                  <w:divsChild>
                    <w:div w:id="1146043857">
                      <w:marLeft w:val="0"/>
                      <w:marRight w:val="0"/>
                      <w:marTop w:val="0"/>
                      <w:marBottom w:val="0"/>
                      <w:divBdr>
                        <w:top w:val="none" w:sz="0" w:space="0" w:color="auto"/>
                        <w:left w:val="none" w:sz="0" w:space="0" w:color="auto"/>
                        <w:bottom w:val="none" w:sz="0" w:space="0" w:color="auto"/>
                        <w:right w:val="none" w:sz="0" w:space="0" w:color="auto"/>
                      </w:divBdr>
                      <w:divsChild>
                        <w:div w:id="1155104291">
                          <w:marLeft w:val="0"/>
                          <w:marRight w:val="0"/>
                          <w:marTop w:val="0"/>
                          <w:marBottom w:val="0"/>
                          <w:divBdr>
                            <w:top w:val="none" w:sz="0" w:space="0" w:color="auto"/>
                            <w:left w:val="none" w:sz="0" w:space="0" w:color="auto"/>
                            <w:bottom w:val="none" w:sz="0" w:space="0" w:color="auto"/>
                            <w:right w:val="none" w:sz="0" w:space="0" w:color="auto"/>
                          </w:divBdr>
                          <w:divsChild>
                            <w:div w:id="951326560">
                              <w:marLeft w:val="0"/>
                              <w:marRight w:val="0"/>
                              <w:marTop w:val="0"/>
                              <w:marBottom w:val="0"/>
                              <w:divBdr>
                                <w:top w:val="none" w:sz="0" w:space="0" w:color="auto"/>
                                <w:left w:val="none" w:sz="0" w:space="0" w:color="auto"/>
                                <w:bottom w:val="none" w:sz="0" w:space="0" w:color="auto"/>
                                <w:right w:val="none" w:sz="0" w:space="0" w:color="auto"/>
                              </w:divBdr>
                              <w:divsChild>
                                <w:div w:id="1432359792">
                                  <w:marLeft w:val="0"/>
                                  <w:marRight w:val="0"/>
                                  <w:marTop w:val="0"/>
                                  <w:marBottom w:val="0"/>
                                  <w:divBdr>
                                    <w:top w:val="none" w:sz="0" w:space="0" w:color="auto"/>
                                    <w:left w:val="none" w:sz="0" w:space="0" w:color="auto"/>
                                    <w:bottom w:val="none" w:sz="0" w:space="0" w:color="auto"/>
                                    <w:right w:val="none" w:sz="0" w:space="0" w:color="auto"/>
                                  </w:divBdr>
                                  <w:divsChild>
                                    <w:div w:id="645479464">
                                      <w:marLeft w:val="0"/>
                                      <w:marRight w:val="0"/>
                                      <w:marTop w:val="0"/>
                                      <w:marBottom w:val="0"/>
                                      <w:divBdr>
                                        <w:top w:val="none" w:sz="0" w:space="0" w:color="auto"/>
                                        <w:left w:val="none" w:sz="0" w:space="0" w:color="auto"/>
                                        <w:bottom w:val="none" w:sz="0" w:space="0" w:color="auto"/>
                                        <w:right w:val="none" w:sz="0" w:space="0" w:color="auto"/>
                                      </w:divBdr>
                                      <w:divsChild>
                                        <w:div w:id="1091969424">
                                          <w:marLeft w:val="0"/>
                                          <w:marRight w:val="0"/>
                                          <w:marTop w:val="0"/>
                                          <w:marBottom w:val="0"/>
                                          <w:divBdr>
                                            <w:top w:val="none" w:sz="0" w:space="0" w:color="auto"/>
                                            <w:left w:val="none" w:sz="0" w:space="0" w:color="auto"/>
                                            <w:bottom w:val="none" w:sz="0" w:space="0" w:color="auto"/>
                                            <w:right w:val="none" w:sz="0" w:space="0" w:color="auto"/>
                                          </w:divBdr>
                                          <w:divsChild>
                                            <w:div w:id="1329598700">
                                              <w:marLeft w:val="0"/>
                                              <w:marRight w:val="0"/>
                                              <w:marTop w:val="0"/>
                                              <w:marBottom w:val="0"/>
                                              <w:divBdr>
                                                <w:top w:val="none" w:sz="0" w:space="0" w:color="auto"/>
                                                <w:left w:val="none" w:sz="0" w:space="0" w:color="auto"/>
                                                <w:bottom w:val="none" w:sz="0" w:space="0" w:color="auto"/>
                                                <w:right w:val="none" w:sz="0" w:space="0" w:color="auto"/>
                                              </w:divBdr>
                                              <w:divsChild>
                                                <w:div w:id="1787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863727">
      <w:bodyDiv w:val="1"/>
      <w:marLeft w:val="0"/>
      <w:marRight w:val="0"/>
      <w:marTop w:val="0"/>
      <w:marBottom w:val="0"/>
      <w:divBdr>
        <w:top w:val="none" w:sz="0" w:space="0" w:color="auto"/>
        <w:left w:val="none" w:sz="0" w:space="0" w:color="auto"/>
        <w:bottom w:val="none" w:sz="0" w:space="0" w:color="auto"/>
        <w:right w:val="none" w:sz="0" w:space="0" w:color="auto"/>
      </w:divBdr>
    </w:div>
    <w:div w:id="1411924277">
      <w:bodyDiv w:val="1"/>
      <w:marLeft w:val="0"/>
      <w:marRight w:val="0"/>
      <w:marTop w:val="0"/>
      <w:marBottom w:val="0"/>
      <w:divBdr>
        <w:top w:val="none" w:sz="0" w:space="0" w:color="auto"/>
        <w:left w:val="none" w:sz="0" w:space="0" w:color="auto"/>
        <w:bottom w:val="none" w:sz="0" w:space="0" w:color="auto"/>
        <w:right w:val="none" w:sz="0" w:space="0" w:color="auto"/>
      </w:divBdr>
      <w:divsChild>
        <w:div w:id="729815454">
          <w:marLeft w:val="0"/>
          <w:marRight w:val="0"/>
          <w:marTop w:val="0"/>
          <w:marBottom w:val="0"/>
          <w:divBdr>
            <w:top w:val="none" w:sz="0" w:space="0" w:color="auto"/>
            <w:left w:val="none" w:sz="0" w:space="0" w:color="auto"/>
            <w:bottom w:val="none" w:sz="0" w:space="0" w:color="auto"/>
            <w:right w:val="none" w:sz="0" w:space="0" w:color="auto"/>
          </w:divBdr>
          <w:divsChild>
            <w:div w:id="1331904347">
              <w:marLeft w:val="0"/>
              <w:marRight w:val="0"/>
              <w:marTop w:val="0"/>
              <w:marBottom w:val="0"/>
              <w:divBdr>
                <w:top w:val="none" w:sz="0" w:space="0" w:color="auto"/>
                <w:left w:val="none" w:sz="0" w:space="0" w:color="auto"/>
                <w:bottom w:val="none" w:sz="0" w:space="0" w:color="auto"/>
                <w:right w:val="none" w:sz="0" w:space="0" w:color="auto"/>
              </w:divBdr>
              <w:divsChild>
                <w:div w:id="1163662176">
                  <w:marLeft w:val="0"/>
                  <w:marRight w:val="0"/>
                  <w:marTop w:val="0"/>
                  <w:marBottom w:val="0"/>
                  <w:divBdr>
                    <w:top w:val="none" w:sz="0" w:space="0" w:color="auto"/>
                    <w:left w:val="none" w:sz="0" w:space="0" w:color="auto"/>
                    <w:bottom w:val="none" w:sz="0" w:space="0" w:color="auto"/>
                    <w:right w:val="none" w:sz="0" w:space="0" w:color="auto"/>
                  </w:divBdr>
                  <w:divsChild>
                    <w:div w:id="886768669">
                      <w:marLeft w:val="0"/>
                      <w:marRight w:val="0"/>
                      <w:marTop w:val="0"/>
                      <w:marBottom w:val="0"/>
                      <w:divBdr>
                        <w:top w:val="none" w:sz="0" w:space="0" w:color="auto"/>
                        <w:left w:val="none" w:sz="0" w:space="0" w:color="auto"/>
                        <w:bottom w:val="none" w:sz="0" w:space="0" w:color="auto"/>
                        <w:right w:val="none" w:sz="0" w:space="0" w:color="auto"/>
                      </w:divBdr>
                      <w:divsChild>
                        <w:div w:id="1042438392">
                          <w:marLeft w:val="0"/>
                          <w:marRight w:val="0"/>
                          <w:marTop w:val="0"/>
                          <w:marBottom w:val="0"/>
                          <w:divBdr>
                            <w:top w:val="none" w:sz="0" w:space="0" w:color="auto"/>
                            <w:left w:val="none" w:sz="0" w:space="0" w:color="auto"/>
                            <w:bottom w:val="none" w:sz="0" w:space="0" w:color="auto"/>
                            <w:right w:val="none" w:sz="0" w:space="0" w:color="auto"/>
                          </w:divBdr>
                          <w:divsChild>
                            <w:div w:id="760373937">
                              <w:marLeft w:val="0"/>
                              <w:marRight w:val="0"/>
                              <w:marTop w:val="0"/>
                              <w:marBottom w:val="0"/>
                              <w:divBdr>
                                <w:top w:val="none" w:sz="0" w:space="0" w:color="auto"/>
                                <w:left w:val="none" w:sz="0" w:space="0" w:color="auto"/>
                                <w:bottom w:val="none" w:sz="0" w:space="0" w:color="auto"/>
                                <w:right w:val="none" w:sz="0" w:space="0" w:color="auto"/>
                              </w:divBdr>
                              <w:divsChild>
                                <w:div w:id="1508595095">
                                  <w:marLeft w:val="0"/>
                                  <w:marRight w:val="0"/>
                                  <w:marTop w:val="0"/>
                                  <w:marBottom w:val="0"/>
                                  <w:divBdr>
                                    <w:top w:val="none" w:sz="0" w:space="0" w:color="auto"/>
                                    <w:left w:val="none" w:sz="0" w:space="0" w:color="auto"/>
                                    <w:bottom w:val="none" w:sz="0" w:space="0" w:color="auto"/>
                                    <w:right w:val="none" w:sz="0" w:space="0" w:color="auto"/>
                                  </w:divBdr>
                                  <w:divsChild>
                                    <w:div w:id="2119829236">
                                      <w:marLeft w:val="0"/>
                                      <w:marRight w:val="0"/>
                                      <w:marTop w:val="0"/>
                                      <w:marBottom w:val="0"/>
                                      <w:divBdr>
                                        <w:top w:val="none" w:sz="0" w:space="0" w:color="auto"/>
                                        <w:left w:val="none" w:sz="0" w:space="0" w:color="auto"/>
                                        <w:bottom w:val="none" w:sz="0" w:space="0" w:color="auto"/>
                                        <w:right w:val="none" w:sz="0" w:space="0" w:color="auto"/>
                                      </w:divBdr>
                                      <w:divsChild>
                                        <w:div w:id="1872717014">
                                          <w:marLeft w:val="0"/>
                                          <w:marRight w:val="0"/>
                                          <w:marTop w:val="0"/>
                                          <w:marBottom w:val="0"/>
                                          <w:divBdr>
                                            <w:top w:val="none" w:sz="0" w:space="0" w:color="auto"/>
                                            <w:left w:val="none" w:sz="0" w:space="0" w:color="auto"/>
                                            <w:bottom w:val="none" w:sz="0" w:space="0" w:color="auto"/>
                                            <w:right w:val="none" w:sz="0" w:space="0" w:color="auto"/>
                                          </w:divBdr>
                                          <w:divsChild>
                                            <w:div w:id="2040007897">
                                              <w:marLeft w:val="0"/>
                                              <w:marRight w:val="0"/>
                                              <w:marTop w:val="0"/>
                                              <w:marBottom w:val="0"/>
                                              <w:divBdr>
                                                <w:top w:val="none" w:sz="0" w:space="0" w:color="auto"/>
                                                <w:left w:val="none" w:sz="0" w:space="0" w:color="auto"/>
                                                <w:bottom w:val="none" w:sz="0" w:space="0" w:color="auto"/>
                                                <w:right w:val="none" w:sz="0" w:space="0" w:color="auto"/>
                                              </w:divBdr>
                                              <w:divsChild>
                                                <w:div w:id="7103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011439">
      <w:bodyDiv w:val="1"/>
      <w:marLeft w:val="0"/>
      <w:marRight w:val="0"/>
      <w:marTop w:val="0"/>
      <w:marBottom w:val="0"/>
      <w:divBdr>
        <w:top w:val="none" w:sz="0" w:space="0" w:color="auto"/>
        <w:left w:val="none" w:sz="0" w:space="0" w:color="auto"/>
        <w:bottom w:val="none" w:sz="0" w:space="0" w:color="auto"/>
        <w:right w:val="none" w:sz="0" w:space="0" w:color="auto"/>
      </w:divBdr>
    </w:div>
    <w:div w:id="1477146949">
      <w:bodyDiv w:val="1"/>
      <w:marLeft w:val="0"/>
      <w:marRight w:val="0"/>
      <w:marTop w:val="0"/>
      <w:marBottom w:val="0"/>
      <w:divBdr>
        <w:top w:val="none" w:sz="0" w:space="0" w:color="auto"/>
        <w:left w:val="none" w:sz="0" w:space="0" w:color="auto"/>
        <w:bottom w:val="none" w:sz="0" w:space="0" w:color="auto"/>
        <w:right w:val="none" w:sz="0" w:space="0" w:color="auto"/>
      </w:divBdr>
      <w:divsChild>
        <w:div w:id="1338070638">
          <w:marLeft w:val="0"/>
          <w:marRight w:val="0"/>
          <w:marTop w:val="0"/>
          <w:marBottom w:val="0"/>
          <w:divBdr>
            <w:top w:val="none" w:sz="0" w:space="0" w:color="auto"/>
            <w:left w:val="none" w:sz="0" w:space="0" w:color="auto"/>
            <w:bottom w:val="none" w:sz="0" w:space="0" w:color="auto"/>
            <w:right w:val="none" w:sz="0" w:space="0" w:color="auto"/>
          </w:divBdr>
          <w:divsChild>
            <w:div w:id="1245454811">
              <w:marLeft w:val="0"/>
              <w:marRight w:val="0"/>
              <w:marTop w:val="0"/>
              <w:marBottom w:val="0"/>
              <w:divBdr>
                <w:top w:val="none" w:sz="0" w:space="0" w:color="auto"/>
                <w:left w:val="none" w:sz="0" w:space="0" w:color="auto"/>
                <w:bottom w:val="none" w:sz="0" w:space="0" w:color="auto"/>
                <w:right w:val="none" w:sz="0" w:space="0" w:color="auto"/>
              </w:divBdr>
              <w:divsChild>
                <w:div w:id="890189566">
                  <w:marLeft w:val="0"/>
                  <w:marRight w:val="0"/>
                  <w:marTop w:val="0"/>
                  <w:marBottom w:val="0"/>
                  <w:divBdr>
                    <w:top w:val="none" w:sz="0" w:space="0" w:color="auto"/>
                    <w:left w:val="none" w:sz="0" w:space="0" w:color="auto"/>
                    <w:bottom w:val="none" w:sz="0" w:space="0" w:color="auto"/>
                    <w:right w:val="none" w:sz="0" w:space="0" w:color="auto"/>
                  </w:divBdr>
                  <w:divsChild>
                    <w:div w:id="1278022121">
                      <w:marLeft w:val="0"/>
                      <w:marRight w:val="0"/>
                      <w:marTop w:val="0"/>
                      <w:marBottom w:val="0"/>
                      <w:divBdr>
                        <w:top w:val="none" w:sz="0" w:space="0" w:color="auto"/>
                        <w:left w:val="none" w:sz="0" w:space="0" w:color="auto"/>
                        <w:bottom w:val="none" w:sz="0" w:space="0" w:color="auto"/>
                        <w:right w:val="none" w:sz="0" w:space="0" w:color="auto"/>
                      </w:divBdr>
                      <w:divsChild>
                        <w:div w:id="2125298311">
                          <w:marLeft w:val="0"/>
                          <w:marRight w:val="0"/>
                          <w:marTop w:val="0"/>
                          <w:marBottom w:val="0"/>
                          <w:divBdr>
                            <w:top w:val="none" w:sz="0" w:space="0" w:color="auto"/>
                            <w:left w:val="none" w:sz="0" w:space="0" w:color="auto"/>
                            <w:bottom w:val="none" w:sz="0" w:space="0" w:color="auto"/>
                            <w:right w:val="none" w:sz="0" w:space="0" w:color="auto"/>
                          </w:divBdr>
                          <w:divsChild>
                            <w:div w:id="1376198878">
                              <w:marLeft w:val="0"/>
                              <w:marRight w:val="0"/>
                              <w:marTop w:val="0"/>
                              <w:marBottom w:val="0"/>
                              <w:divBdr>
                                <w:top w:val="none" w:sz="0" w:space="0" w:color="auto"/>
                                <w:left w:val="none" w:sz="0" w:space="0" w:color="auto"/>
                                <w:bottom w:val="none" w:sz="0" w:space="0" w:color="auto"/>
                                <w:right w:val="none" w:sz="0" w:space="0" w:color="auto"/>
                              </w:divBdr>
                              <w:divsChild>
                                <w:div w:id="702705000">
                                  <w:marLeft w:val="0"/>
                                  <w:marRight w:val="0"/>
                                  <w:marTop w:val="0"/>
                                  <w:marBottom w:val="0"/>
                                  <w:divBdr>
                                    <w:top w:val="none" w:sz="0" w:space="0" w:color="auto"/>
                                    <w:left w:val="none" w:sz="0" w:space="0" w:color="auto"/>
                                    <w:bottom w:val="none" w:sz="0" w:space="0" w:color="auto"/>
                                    <w:right w:val="none" w:sz="0" w:space="0" w:color="auto"/>
                                  </w:divBdr>
                                  <w:divsChild>
                                    <w:div w:id="76101310">
                                      <w:marLeft w:val="0"/>
                                      <w:marRight w:val="0"/>
                                      <w:marTop w:val="0"/>
                                      <w:marBottom w:val="0"/>
                                      <w:divBdr>
                                        <w:top w:val="none" w:sz="0" w:space="0" w:color="auto"/>
                                        <w:left w:val="none" w:sz="0" w:space="0" w:color="auto"/>
                                        <w:bottom w:val="none" w:sz="0" w:space="0" w:color="auto"/>
                                        <w:right w:val="none" w:sz="0" w:space="0" w:color="auto"/>
                                      </w:divBdr>
                                      <w:divsChild>
                                        <w:div w:id="1565990384">
                                          <w:marLeft w:val="0"/>
                                          <w:marRight w:val="0"/>
                                          <w:marTop w:val="0"/>
                                          <w:marBottom w:val="0"/>
                                          <w:divBdr>
                                            <w:top w:val="none" w:sz="0" w:space="0" w:color="auto"/>
                                            <w:left w:val="none" w:sz="0" w:space="0" w:color="auto"/>
                                            <w:bottom w:val="none" w:sz="0" w:space="0" w:color="auto"/>
                                            <w:right w:val="none" w:sz="0" w:space="0" w:color="auto"/>
                                          </w:divBdr>
                                          <w:divsChild>
                                            <w:div w:id="155531927">
                                              <w:marLeft w:val="0"/>
                                              <w:marRight w:val="0"/>
                                              <w:marTop w:val="0"/>
                                              <w:marBottom w:val="0"/>
                                              <w:divBdr>
                                                <w:top w:val="none" w:sz="0" w:space="0" w:color="auto"/>
                                                <w:left w:val="none" w:sz="0" w:space="0" w:color="auto"/>
                                                <w:bottom w:val="none" w:sz="0" w:space="0" w:color="auto"/>
                                                <w:right w:val="none" w:sz="0" w:space="0" w:color="auto"/>
                                              </w:divBdr>
                                              <w:divsChild>
                                                <w:div w:id="6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716032">
      <w:bodyDiv w:val="1"/>
      <w:marLeft w:val="0"/>
      <w:marRight w:val="0"/>
      <w:marTop w:val="0"/>
      <w:marBottom w:val="0"/>
      <w:divBdr>
        <w:top w:val="none" w:sz="0" w:space="0" w:color="auto"/>
        <w:left w:val="none" w:sz="0" w:space="0" w:color="auto"/>
        <w:bottom w:val="none" w:sz="0" w:space="0" w:color="auto"/>
        <w:right w:val="none" w:sz="0" w:space="0" w:color="auto"/>
      </w:divBdr>
      <w:divsChild>
        <w:div w:id="729108498">
          <w:marLeft w:val="0"/>
          <w:marRight w:val="0"/>
          <w:marTop w:val="0"/>
          <w:marBottom w:val="0"/>
          <w:divBdr>
            <w:top w:val="none" w:sz="0" w:space="0" w:color="auto"/>
            <w:left w:val="none" w:sz="0" w:space="0" w:color="auto"/>
            <w:bottom w:val="none" w:sz="0" w:space="0" w:color="auto"/>
            <w:right w:val="none" w:sz="0" w:space="0" w:color="auto"/>
          </w:divBdr>
          <w:divsChild>
            <w:div w:id="1381324871">
              <w:marLeft w:val="0"/>
              <w:marRight w:val="0"/>
              <w:marTop w:val="0"/>
              <w:marBottom w:val="0"/>
              <w:divBdr>
                <w:top w:val="none" w:sz="0" w:space="0" w:color="auto"/>
                <w:left w:val="none" w:sz="0" w:space="0" w:color="auto"/>
                <w:bottom w:val="none" w:sz="0" w:space="0" w:color="auto"/>
                <w:right w:val="none" w:sz="0" w:space="0" w:color="auto"/>
              </w:divBdr>
              <w:divsChild>
                <w:div w:id="879365463">
                  <w:marLeft w:val="0"/>
                  <w:marRight w:val="0"/>
                  <w:marTop w:val="0"/>
                  <w:marBottom w:val="0"/>
                  <w:divBdr>
                    <w:top w:val="none" w:sz="0" w:space="0" w:color="auto"/>
                    <w:left w:val="none" w:sz="0" w:space="0" w:color="auto"/>
                    <w:bottom w:val="none" w:sz="0" w:space="0" w:color="auto"/>
                    <w:right w:val="none" w:sz="0" w:space="0" w:color="auto"/>
                  </w:divBdr>
                  <w:divsChild>
                    <w:div w:id="270549562">
                      <w:marLeft w:val="0"/>
                      <w:marRight w:val="0"/>
                      <w:marTop w:val="0"/>
                      <w:marBottom w:val="0"/>
                      <w:divBdr>
                        <w:top w:val="none" w:sz="0" w:space="0" w:color="auto"/>
                        <w:left w:val="none" w:sz="0" w:space="0" w:color="auto"/>
                        <w:bottom w:val="none" w:sz="0" w:space="0" w:color="auto"/>
                        <w:right w:val="none" w:sz="0" w:space="0" w:color="auto"/>
                      </w:divBdr>
                      <w:divsChild>
                        <w:div w:id="1101755554">
                          <w:marLeft w:val="0"/>
                          <w:marRight w:val="0"/>
                          <w:marTop w:val="0"/>
                          <w:marBottom w:val="0"/>
                          <w:divBdr>
                            <w:top w:val="none" w:sz="0" w:space="0" w:color="auto"/>
                            <w:left w:val="none" w:sz="0" w:space="0" w:color="auto"/>
                            <w:bottom w:val="none" w:sz="0" w:space="0" w:color="auto"/>
                            <w:right w:val="none" w:sz="0" w:space="0" w:color="auto"/>
                          </w:divBdr>
                          <w:divsChild>
                            <w:div w:id="580914989">
                              <w:marLeft w:val="0"/>
                              <w:marRight w:val="0"/>
                              <w:marTop w:val="0"/>
                              <w:marBottom w:val="0"/>
                              <w:divBdr>
                                <w:top w:val="none" w:sz="0" w:space="0" w:color="auto"/>
                                <w:left w:val="none" w:sz="0" w:space="0" w:color="auto"/>
                                <w:bottom w:val="none" w:sz="0" w:space="0" w:color="auto"/>
                                <w:right w:val="none" w:sz="0" w:space="0" w:color="auto"/>
                              </w:divBdr>
                              <w:divsChild>
                                <w:div w:id="790051054">
                                  <w:marLeft w:val="0"/>
                                  <w:marRight w:val="0"/>
                                  <w:marTop w:val="0"/>
                                  <w:marBottom w:val="0"/>
                                  <w:divBdr>
                                    <w:top w:val="none" w:sz="0" w:space="0" w:color="auto"/>
                                    <w:left w:val="none" w:sz="0" w:space="0" w:color="auto"/>
                                    <w:bottom w:val="none" w:sz="0" w:space="0" w:color="auto"/>
                                    <w:right w:val="none" w:sz="0" w:space="0" w:color="auto"/>
                                  </w:divBdr>
                                  <w:divsChild>
                                    <w:div w:id="1449740411">
                                      <w:marLeft w:val="0"/>
                                      <w:marRight w:val="0"/>
                                      <w:marTop w:val="0"/>
                                      <w:marBottom w:val="0"/>
                                      <w:divBdr>
                                        <w:top w:val="none" w:sz="0" w:space="0" w:color="auto"/>
                                        <w:left w:val="none" w:sz="0" w:space="0" w:color="auto"/>
                                        <w:bottom w:val="none" w:sz="0" w:space="0" w:color="auto"/>
                                        <w:right w:val="none" w:sz="0" w:space="0" w:color="auto"/>
                                      </w:divBdr>
                                      <w:divsChild>
                                        <w:div w:id="226376368">
                                          <w:marLeft w:val="0"/>
                                          <w:marRight w:val="0"/>
                                          <w:marTop w:val="0"/>
                                          <w:marBottom w:val="0"/>
                                          <w:divBdr>
                                            <w:top w:val="none" w:sz="0" w:space="0" w:color="auto"/>
                                            <w:left w:val="none" w:sz="0" w:space="0" w:color="auto"/>
                                            <w:bottom w:val="none" w:sz="0" w:space="0" w:color="auto"/>
                                            <w:right w:val="none" w:sz="0" w:space="0" w:color="auto"/>
                                          </w:divBdr>
                                          <w:divsChild>
                                            <w:div w:id="109054180">
                                              <w:marLeft w:val="0"/>
                                              <w:marRight w:val="0"/>
                                              <w:marTop w:val="0"/>
                                              <w:marBottom w:val="0"/>
                                              <w:divBdr>
                                                <w:top w:val="none" w:sz="0" w:space="0" w:color="auto"/>
                                                <w:left w:val="none" w:sz="0" w:space="0" w:color="auto"/>
                                                <w:bottom w:val="none" w:sz="0" w:space="0" w:color="auto"/>
                                                <w:right w:val="none" w:sz="0" w:space="0" w:color="auto"/>
                                              </w:divBdr>
                                              <w:divsChild>
                                                <w:div w:id="4433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6217">
                                          <w:marLeft w:val="0"/>
                                          <w:marRight w:val="0"/>
                                          <w:marTop w:val="0"/>
                                          <w:marBottom w:val="0"/>
                                          <w:divBdr>
                                            <w:top w:val="none" w:sz="0" w:space="0" w:color="auto"/>
                                            <w:left w:val="none" w:sz="0" w:space="0" w:color="auto"/>
                                            <w:bottom w:val="none" w:sz="0" w:space="0" w:color="auto"/>
                                            <w:right w:val="none" w:sz="0" w:space="0" w:color="auto"/>
                                          </w:divBdr>
                                          <w:divsChild>
                                            <w:div w:id="1657606185">
                                              <w:marLeft w:val="0"/>
                                              <w:marRight w:val="0"/>
                                              <w:marTop w:val="0"/>
                                              <w:marBottom w:val="0"/>
                                              <w:divBdr>
                                                <w:top w:val="none" w:sz="0" w:space="0" w:color="auto"/>
                                                <w:left w:val="none" w:sz="0" w:space="0" w:color="auto"/>
                                                <w:bottom w:val="none" w:sz="0" w:space="0" w:color="auto"/>
                                                <w:right w:val="none" w:sz="0" w:space="0" w:color="auto"/>
                                              </w:divBdr>
                                              <w:divsChild>
                                                <w:div w:id="317462952">
                                                  <w:marLeft w:val="0"/>
                                                  <w:marRight w:val="0"/>
                                                  <w:marTop w:val="0"/>
                                                  <w:marBottom w:val="0"/>
                                                  <w:divBdr>
                                                    <w:top w:val="none" w:sz="0" w:space="0" w:color="auto"/>
                                                    <w:left w:val="none" w:sz="0" w:space="0" w:color="auto"/>
                                                    <w:bottom w:val="none" w:sz="0" w:space="0" w:color="auto"/>
                                                    <w:right w:val="none" w:sz="0" w:space="0" w:color="auto"/>
                                                  </w:divBdr>
                                                  <w:divsChild>
                                                    <w:div w:id="2061200978">
                                                      <w:marLeft w:val="0"/>
                                                      <w:marRight w:val="0"/>
                                                      <w:marTop w:val="0"/>
                                                      <w:marBottom w:val="0"/>
                                                      <w:divBdr>
                                                        <w:top w:val="none" w:sz="0" w:space="0" w:color="auto"/>
                                                        <w:left w:val="none" w:sz="0" w:space="0" w:color="auto"/>
                                                        <w:bottom w:val="none" w:sz="0" w:space="0" w:color="auto"/>
                                                        <w:right w:val="none" w:sz="0" w:space="0" w:color="auto"/>
                                                      </w:divBdr>
                                                    </w:div>
                                                    <w:div w:id="4207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273">
                                              <w:marLeft w:val="0"/>
                                              <w:marRight w:val="0"/>
                                              <w:marTop w:val="0"/>
                                              <w:marBottom w:val="0"/>
                                              <w:divBdr>
                                                <w:top w:val="none" w:sz="0" w:space="0" w:color="auto"/>
                                                <w:left w:val="none" w:sz="0" w:space="0" w:color="auto"/>
                                                <w:bottom w:val="none" w:sz="0" w:space="0" w:color="auto"/>
                                                <w:right w:val="none" w:sz="0" w:space="0" w:color="auto"/>
                                              </w:divBdr>
                                              <w:divsChild>
                                                <w:div w:id="701058521">
                                                  <w:marLeft w:val="0"/>
                                                  <w:marRight w:val="0"/>
                                                  <w:marTop w:val="0"/>
                                                  <w:marBottom w:val="0"/>
                                                  <w:divBdr>
                                                    <w:top w:val="none" w:sz="0" w:space="0" w:color="auto"/>
                                                    <w:left w:val="none" w:sz="0" w:space="0" w:color="auto"/>
                                                    <w:bottom w:val="none" w:sz="0" w:space="0" w:color="auto"/>
                                                    <w:right w:val="none" w:sz="0" w:space="0" w:color="auto"/>
                                                  </w:divBdr>
                                                  <w:divsChild>
                                                    <w:div w:id="1533610151">
                                                      <w:marLeft w:val="0"/>
                                                      <w:marRight w:val="0"/>
                                                      <w:marTop w:val="0"/>
                                                      <w:marBottom w:val="0"/>
                                                      <w:divBdr>
                                                        <w:top w:val="none" w:sz="0" w:space="0" w:color="auto"/>
                                                        <w:left w:val="none" w:sz="0" w:space="0" w:color="auto"/>
                                                        <w:bottom w:val="none" w:sz="0" w:space="0" w:color="auto"/>
                                                        <w:right w:val="none" w:sz="0" w:space="0" w:color="auto"/>
                                                      </w:divBdr>
                                                    </w:div>
                                                    <w:div w:id="10016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397487">
      <w:bodyDiv w:val="1"/>
      <w:marLeft w:val="0"/>
      <w:marRight w:val="0"/>
      <w:marTop w:val="0"/>
      <w:marBottom w:val="0"/>
      <w:divBdr>
        <w:top w:val="none" w:sz="0" w:space="0" w:color="auto"/>
        <w:left w:val="none" w:sz="0" w:space="0" w:color="auto"/>
        <w:bottom w:val="none" w:sz="0" w:space="0" w:color="auto"/>
        <w:right w:val="none" w:sz="0" w:space="0" w:color="auto"/>
      </w:divBdr>
    </w:div>
    <w:div w:id="1570068940">
      <w:bodyDiv w:val="1"/>
      <w:marLeft w:val="0"/>
      <w:marRight w:val="0"/>
      <w:marTop w:val="0"/>
      <w:marBottom w:val="0"/>
      <w:divBdr>
        <w:top w:val="none" w:sz="0" w:space="0" w:color="auto"/>
        <w:left w:val="none" w:sz="0" w:space="0" w:color="auto"/>
        <w:bottom w:val="none" w:sz="0" w:space="0" w:color="auto"/>
        <w:right w:val="none" w:sz="0" w:space="0" w:color="auto"/>
      </w:divBdr>
      <w:divsChild>
        <w:div w:id="936838036">
          <w:marLeft w:val="0"/>
          <w:marRight w:val="0"/>
          <w:marTop w:val="0"/>
          <w:marBottom w:val="0"/>
          <w:divBdr>
            <w:top w:val="none" w:sz="0" w:space="0" w:color="auto"/>
            <w:left w:val="none" w:sz="0" w:space="0" w:color="auto"/>
            <w:bottom w:val="none" w:sz="0" w:space="0" w:color="auto"/>
            <w:right w:val="none" w:sz="0" w:space="0" w:color="auto"/>
          </w:divBdr>
          <w:divsChild>
            <w:div w:id="346249330">
              <w:marLeft w:val="0"/>
              <w:marRight w:val="0"/>
              <w:marTop w:val="0"/>
              <w:marBottom w:val="0"/>
              <w:divBdr>
                <w:top w:val="none" w:sz="0" w:space="0" w:color="auto"/>
                <w:left w:val="none" w:sz="0" w:space="0" w:color="auto"/>
                <w:bottom w:val="none" w:sz="0" w:space="0" w:color="auto"/>
                <w:right w:val="none" w:sz="0" w:space="0" w:color="auto"/>
              </w:divBdr>
              <w:divsChild>
                <w:div w:id="1075665036">
                  <w:marLeft w:val="0"/>
                  <w:marRight w:val="0"/>
                  <w:marTop w:val="0"/>
                  <w:marBottom w:val="0"/>
                  <w:divBdr>
                    <w:top w:val="none" w:sz="0" w:space="0" w:color="auto"/>
                    <w:left w:val="none" w:sz="0" w:space="0" w:color="auto"/>
                    <w:bottom w:val="none" w:sz="0" w:space="0" w:color="auto"/>
                    <w:right w:val="none" w:sz="0" w:space="0" w:color="auto"/>
                  </w:divBdr>
                  <w:divsChild>
                    <w:div w:id="978269036">
                      <w:marLeft w:val="0"/>
                      <w:marRight w:val="0"/>
                      <w:marTop w:val="0"/>
                      <w:marBottom w:val="0"/>
                      <w:divBdr>
                        <w:top w:val="none" w:sz="0" w:space="0" w:color="auto"/>
                        <w:left w:val="none" w:sz="0" w:space="0" w:color="auto"/>
                        <w:bottom w:val="none" w:sz="0" w:space="0" w:color="auto"/>
                        <w:right w:val="none" w:sz="0" w:space="0" w:color="auto"/>
                      </w:divBdr>
                      <w:divsChild>
                        <w:div w:id="2069180561">
                          <w:marLeft w:val="0"/>
                          <w:marRight w:val="0"/>
                          <w:marTop w:val="0"/>
                          <w:marBottom w:val="0"/>
                          <w:divBdr>
                            <w:top w:val="none" w:sz="0" w:space="0" w:color="auto"/>
                            <w:left w:val="none" w:sz="0" w:space="0" w:color="auto"/>
                            <w:bottom w:val="none" w:sz="0" w:space="0" w:color="auto"/>
                            <w:right w:val="none" w:sz="0" w:space="0" w:color="auto"/>
                          </w:divBdr>
                          <w:divsChild>
                            <w:div w:id="1186820961">
                              <w:marLeft w:val="0"/>
                              <w:marRight w:val="0"/>
                              <w:marTop w:val="0"/>
                              <w:marBottom w:val="0"/>
                              <w:divBdr>
                                <w:top w:val="none" w:sz="0" w:space="0" w:color="auto"/>
                                <w:left w:val="none" w:sz="0" w:space="0" w:color="auto"/>
                                <w:bottom w:val="none" w:sz="0" w:space="0" w:color="auto"/>
                                <w:right w:val="none" w:sz="0" w:space="0" w:color="auto"/>
                              </w:divBdr>
                              <w:divsChild>
                                <w:div w:id="447235192">
                                  <w:marLeft w:val="0"/>
                                  <w:marRight w:val="0"/>
                                  <w:marTop w:val="0"/>
                                  <w:marBottom w:val="0"/>
                                  <w:divBdr>
                                    <w:top w:val="none" w:sz="0" w:space="0" w:color="auto"/>
                                    <w:left w:val="none" w:sz="0" w:space="0" w:color="auto"/>
                                    <w:bottom w:val="none" w:sz="0" w:space="0" w:color="auto"/>
                                    <w:right w:val="none" w:sz="0" w:space="0" w:color="auto"/>
                                  </w:divBdr>
                                  <w:divsChild>
                                    <w:div w:id="1268998775">
                                      <w:marLeft w:val="0"/>
                                      <w:marRight w:val="0"/>
                                      <w:marTop w:val="0"/>
                                      <w:marBottom w:val="0"/>
                                      <w:divBdr>
                                        <w:top w:val="none" w:sz="0" w:space="0" w:color="auto"/>
                                        <w:left w:val="none" w:sz="0" w:space="0" w:color="auto"/>
                                        <w:bottom w:val="none" w:sz="0" w:space="0" w:color="auto"/>
                                        <w:right w:val="none" w:sz="0" w:space="0" w:color="auto"/>
                                      </w:divBdr>
                                      <w:divsChild>
                                        <w:div w:id="1197307571">
                                          <w:marLeft w:val="0"/>
                                          <w:marRight w:val="0"/>
                                          <w:marTop w:val="0"/>
                                          <w:marBottom w:val="0"/>
                                          <w:divBdr>
                                            <w:top w:val="none" w:sz="0" w:space="0" w:color="auto"/>
                                            <w:left w:val="none" w:sz="0" w:space="0" w:color="auto"/>
                                            <w:bottom w:val="none" w:sz="0" w:space="0" w:color="auto"/>
                                            <w:right w:val="none" w:sz="0" w:space="0" w:color="auto"/>
                                          </w:divBdr>
                                          <w:divsChild>
                                            <w:div w:id="1104227533">
                                              <w:marLeft w:val="0"/>
                                              <w:marRight w:val="0"/>
                                              <w:marTop w:val="0"/>
                                              <w:marBottom w:val="0"/>
                                              <w:divBdr>
                                                <w:top w:val="none" w:sz="0" w:space="0" w:color="auto"/>
                                                <w:left w:val="none" w:sz="0" w:space="0" w:color="auto"/>
                                                <w:bottom w:val="none" w:sz="0" w:space="0" w:color="auto"/>
                                                <w:right w:val="none" w:sz="0" w:space="0" w:color="auto"/>
                                              </w:divBdr>
                                              <w:divsChild>
                                                <w:div w:id="1902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460076">
      <w:bodyDiv w:val="1"/>
      <w:marLeft w:val="0"/>
      <w:marRight w:val="0"/>
      <w:marTop w:val="0"/>
      <w:marBottom w:val="0"/>
      <w:divBdr>
        <w:top w:val="none" w:sz="0" w:space="0" w:color="auto"/>
        <w:left w:val="none" w:sz="0" w:space="0" w:color="auto"/>
        <w:bottom w:val="none" w:sz="0" w:space="0" w:color="auto"/>
        <w:right w:val="none" w:sz="0" w:space="0" w:color="auto"/>
      </w:divBdr>
    </w:div>
    <w:div w:id="1622762214">
      <w:bodyDiv w:val="1"/>
      <w:marLeft w:val="0"/>
      <w:marRight w:val="0"/>
      <w:marTop w:val="0"/>
      <w:marBottom w:val="0"/>
      <w:divBdr>
        <w:top w:val="none" w:sz="0" w:space="0" w:color="auto"/>
        <w:left w:val="none" w:sz="0" w:space="0" w:color="auto"/>
        <w:bottom w:val="none" w:sz="0" w:space="0" w:color="auto"/>
        <w:right w:val="none" w:sz="0" w:space="0" w:color="auto"/>
      </w:divBdr>
      <w:divsChild>
        <w:div w:id="1409617133">
          <w:marLeft w:val="0"/>
          <w:marRight w:val="0"/>
          <w:marTop w:val="0"/>
          <w:marBottom w:val="0"/>
          <w:divBdr>
            <w:top w:val="none" w:sz="0" w:space="0" w:color="auto"/>
            <w:left w:val="none" w:sz="0" w:space="0" w:color="auto"/>
            <w:bottom w:val="none" w:sz="0" w:space="0" w:color="auto"/>
            <w:right w:val="none" w:sz="0" w:space="0" w:color="auto"/>
          </w:divBdr>
          <w:divsChild>
            <w:div w:id="1917477316">
              <w:marLeft w:val="0"/>
              <w:marRight w:val="0"/>
              <w:marTop w:val="0"/>
              <w:marBottom w:val="0"/>
              <w:divBdr>
                <w:top w:val="none" w:sz="0" w:space="0" w:color="auto"/>
                <w:left w:val="none" w:sz="0" w:space="0" w:color="auto"/>
                <w:bottom w:val="none" w:sz="0" w:space="0" w:color="auto"/>
                <w:right w:val="none" w:sz="0" w:space="0" w:color="auto"/>
              </w:divBdr>
              <w:divsChild>
                <w:div w:id="470514896">
                  <w:marLeft w:val="0"/>
                  <w:marRight w:val="0"/>
                  <w:marTop w:val="0"/>
                  <w:marBottom w:val="0"/>
                  <w:divBdr>
                    <w:top w:val="none" w:sz="0" w:space="0" w:color="auto"/>
                    <w:left w:val="none" w:sz="0" w:space="0" w:color="auto"/>
                    <w:bottom w:val="none" w:sz="0" w:space="0" w:color="auto"/>
                    <w:right w:val="none" w:sz="0" w:space="0" w:color="auto"/>
                  </w:divBdr>
                  <w:divsChild>
                    <w:div w:id="114256110">
                      <w:marLeft w:val="0"/>
                      <w:marRight w:val="0"/>
                      <w:marTop w:val="0"/>
                      <w:marBottom w:val="0"/>
                      <w:divBdr>
                        <w:top w:val="none" w:sz="0" w:space="0" w:color="auto"/>
                        <w:left w:val="none" w:sz="0" w:space="0" w:color="auto"/>
                        <w:bottom w:val="none" w:sz="0" w:space="0" w:color="auto"/>
                        <w:right w:val="none" w:sz="0" w:space="0" w:color="auto"/>
                      </w:divBdr>
                      <w:divsChild>
                        <w:div w:id="1121143106">
                          <w:marLeft w:val="0"/>
                          <w:marRight w:val="0"/>
                          <w:marTop w:val="0"/>
                          <w:marBottom w:val="0"/>
                          <w:divBdr>
                            <w:top w:val="none" w:sz="0" w:space="0" w:color="auto"/>
                            <w:left w:val="none" w:sz="0" w:space="0" w:color="auto"/>
                            <w:bottom w:val="none" w:sz="0" w:space="0" w:color="auto"/>
                            <w:right w:val="none" w:sz="0" w:space="0" w:color="auto"/>
                          </w:divBdr>
                          <w:divsChild>
                            <w:div w:id="73861879">
                              <w:marLeft w:val="0"/>
                              <w:marRight w:val="0"/>
                              <w:marTop w:val="0"/>
                              <w:marBottom w:val="0"/>
                              <w:divBdr>
                                <w:top w:val="none" w:sz="0" w:space="0" w:color="auto"/>
                                <w:left w:val="none" w:sz="0" w:space="0" w:color="auto"/>
                                <w:bottom w:val="none" w:sz="0" w:space="0" w:color="auto"/>
                                <w:right w:val="none" w:sz="0" w:space="0" w:color="auto"/>
                              </w:divBdr>
                              <w:divsChild>
                                <w:div w:id="1369254745">
                                  <w:marLeft w:val="0"/>
                                  <w:marRight w:val="0"/>
                                  <w:marTop w:val="0"/>
                                  <w:marBottom w:val="0"/>
                                  <w:divBdr>
                                    <w:top w:val="none" w:sz="0" w:space="0" w:color="auto"/>
                                    <w:left w:val="none" w:sz="0" w:space="0" w:color="auto"/>
                                    <w:bottom w:val="none" w:sz="0" w:space="0" w:color="auto"/>
                                    <w:right w:val="none" w:sz="0" w:space="0" w:color="auto"/>
                                  </w:divBdr>
                                  <w:divsChild>
                                    <w:div w:id="310334602">
                                      <w:marLeft w:val="0"/>
                                      <w:marRight w:val="0"/>
                                      <w:marTop w:val="0"/>
                                      <w:marBottom w:val="0"/>
                                      <w:divBdr>
                                        <w:top w:val="none" w:sz="0" w:space="0" w:color="auto"/>
                                        <w:left w:val="none" w:sz="0" w:space="0" w:color="auto"/>
                                        <w:bottom w:val="none" w:sz="0" w:space="0" w:color="auto"/>
                                        <w:right w:val="none" w:sz="0" w:space="0" w:color="auto"/>
                                      </w:divBdr>
                                      <w:divsChild>
                                        <w:div w:id="694186209">
                                          <w:marLeft w:val="0"/>
                                          <w:marRight w:val="0"/>
                                          <w:marTop w:val="0"/>
                                          <w:marBottom w:val="0"/>
                                          <w:divBdr>
                                            <w:top w:val="none" w:sz="0" w:space="0" w:color="auto"/>
                                            <w:left w:val="none" w:sz="0" w:space="0" w:color="auto"/>
                                            <w:bottom w:val="none" w:sz="0" w:space="0" w:color="auto"/>
                                            <w:right w:val="none" w:sz="0" w:space="0" w:color="auto"/>
                                          </w:divBdr>
                                          <w:divsChild>
                                            <w:div w:id="1722484734">
                                              <w:marLeft w:val="0"/>
                                              <w:marRight w:val="0"/>
                                              <w:marTop w:val="0"/>
                                              <w:marBottom w:val="0"/>
                                              <w:divBdr>
                                                <w:top w:val="none" w:sz="0" w:space="0" w:color="auto"/>
                                                <w:left w:val="none" w:sz="0" w:space="0" w:color="auto"/>
                                                <w:bottom w:val="none" w:sz="0" w:space="0" w:color="auto"/>
                                                <w:right w:val="none" w:sz="0" w:space="0" w:color="auto"/>
                                              </w:divBdr>
                                              <w:divsChild>
                                                <w:div w:id="1130170047">
                                                  <w:marLeft w:val="0"/>
                                                  <w:marRight w:val="0"/>
                                                  <w:marTop w:val="0"/>
                                                  <w:marBottom w:val="0"/>
                                                  <w:divBdr>
                                                    <w:top w:val="none" w:sz="0" w:space="0" w:color="auto"/>
                                                    <w:left w:val="none" w:sz="0" w:space="0" w:color="auto"/>
                                                    <w:bottom w:val="none" w:sz="0" w:space="0" w:color="auto"/>
                                                    <w:right w:val="none" w:sz="0" w:space="0" w:color="auto"/>
                                                  </w:divBdr>
                                                  <w:divsChild>
                                                    <w:div w:id="214242377">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635062994">
      <w:bodyDiv w:val="1"/>
      <w:marLeft w:val="0"/>
      <w:marRight w:val="0"/>
      <w:marTop w:val="0"/>
      <w:marBottom w:val="0"/>
      <w:divBdr>
        <w:top w:val="none" w:sz="0" w:space="0" w:color="auto"/>
        <w:left w:val="none" w:sz="0" w:space="0" w:color="auto"/>
        <w:bottom w:val="none" w:sz="0" w:space="0" w:color="auto"/>
        <w:right w:val="none" w:sz="0" w:space="0" w:color="auto"/>
      </w:divBdr>
    </w:div>
    <w:div w:id="1714887476">
      <w:bodyDiv w:val="1"/>
      <w:marLeft w:val="0"/>
      <w:marRight w:val="0"/>
      <w:marTop w:val="0"/>
      <w:marBottom w:val="0"/>
      <w:divBdr>
        <w:top w:val="none" w:sz="0" w:space="0" w:color="auto"/>
        <w:left w:val="none" w:sz="0" w:space="0" w:color="auto"/>
        <w:bottom w:val="none" w:sz="0" w:space="0" w:color="auto"/>
        <w:right w:val="none" w:sz="0" w:space="0" w:color="auto"/>
      </w:divBdr>
      <w:divsChild>
        <w:div w:id="2091155144">
          <w:marLeft w:val="0"/>
          <w:marRight w:val="0"/>
          <w:marTop w:val="0"/>
          <w:marBottom w:val="0"/>
          <w:divBdr>
            <w:top w:val="none" w:sz="0" w:space="0" w:color="auto"/>
            <w:left w:val="none" w:sz="0" w:space="0" w:color="auto"/>
            <w:bottom w:val="none" w:sz="0" w:space="0" w:color="auto"/>
            <w:right w:val="none" w:sz="0" w:space="0" w:color="auto"/>
          </w:divBdr>
          <w:divsChild>
            <w:div w:id="588662532">
              <w:marLeft w:val="0"/>
              <w:marRight w:val="0"/>
              <w:marTop w:val="0"/>
              <w:marBottom w:val="0"/>
              <w:divBdr>
                <w:top w:val="none" w:sz="0" w:space="0" w:color="auto"/>
                <w:left w:val="none" w:sz="0" w:space="0" w:color="auto"/>
                <w:bottom w:val="none" w:sz="0" w:space="0" w:color="auto"/>
                <w:right w:val="none" w:sz="0" w:space="0" w:color="auto"/>
              </w:divBdr>
              <w:divsChild>
                <w:div w:id="1771312557">
                  <w:marLeft w:val="0"/>
                  <w:marRight w:val="0"/>
                  <w:marTop w:val="0"/>
                  <w:marBottom w:val="0"/>
                  <w:divBdr>
                    <w:top w:val="none" w:sz="0" w:space="0" w:color="auto"/>
                    <w:left w:val="none" w:sz="0" w:space="0" w:color="auto"/>
                    <w:bottom w:val="none" w:sz="0" w:space="0" w:color="auto"/>
                    <w:right w:val="none" w:sz="0" w:space="0" w:color="auto"/>
                  </w:divBdr>
                  <w:divsChild>
                    <w:div w:id="1727873098">
                      <w:marLeft w:val="0"/>
                      <w:marRight w:val="0"/>
                      <w:marTop w:val="0"/>
                      <w:marBottom w:val="0"/>
                      <w:divBdr>
                        <w:top w:val="none" w:sz="0" w:space="0" w:color="auto"/>
                        <w:left w:val="none" w:sz="0" w:space="0" w:color="auto"/>
                        <w:bottom w:val="none" w:sz="0" w:space="0" w:color="auto"/>
                        <w:right w:val="none" w:sz="0" w:space="0" w:color="auto"/>
                      </w:divBdr>
                      <w:divsChild>
                        <w:div w:id="381515583">
                          <w:marLeft w:val="0"/>
                          <w:marRight w:val="0"/>
                          <w:marTop w:val="0"/>
                          <w:marBottom w:val="0"/>
                          <w:divBdr>
                            <w:top w:val="none" w:sz="0" w:space="0" w:color="auto"/>
                            <w:left w:val="none" w:sz="0" w:space="0" w:color="auto"/>
                            <w:bottom w:val="none" w:sz="0" w:space="0" w:color="auto"/>
                            <w:right w:val="none" w:sz="0" w:space="0" w:color="auto"/>
                          </w:divBdr>
                          <w:divsChild>
                            <w:div w:id="1318604773">
                              <w:marLeft w:val="0"/>
                              <w:marRight w:val="0"/>
                              <w:marTop w:val="0"/>
                              <w:marBottom w:val="0"/>
                              <w:divBdr>
                                <w:top w:val="none" w:sz="0" w:space="0" w:color="auto"/>
                                <w:left w:val="none" w:sz="0" w:space="0" w:color="auto"/>
                                <w:bottom w:val="none" w:sz="0" w:space="0" w:color="auto"/>
                                <w:right w:val="none" w:sz="0" w:space="0" w:color="auto"/>
                              </w:divBdr>
                              <w:divsChild>
                                <w:div w:id="1944533401">
                                  <w:marLeft w:val="0"/>
                                  <w:marRight w:val="0"/>
                                  <w:marTop w:val="0"/>
                                  <w:marBottom w:val="0"/>
                                  <w:divBdr>
                                    <w:top w:val="none" w:sz="0" w:space="0" w:color="auto"/>
                                    <w:left w:val="none" w:sz="0" w:space="0" w:color="auto"/>
                                    <w:bottom w:val="none" w:sz="0" w:space="0" w:color="auto"/>
                                    <w:right w:val="none" w:sz="0" w:space="0" w:color="auto"/>
                                  </w:divBdr>
                                  <w:divsChild>
                                    <w:div w:id="1832215332">
                                      <w:marLeft w:val="0"/>
                                      <w:marRight w:val="0"/>
                                      <w:marTop w:val="0"/>
                                      <w:marBottom w:val="0"/>
                                      <w:divBdr>
                                        <w:top w:val="none" w:sz="0" w:space="0" w:color="auto"/>
                                        <w:left w:val="none" w:sz="0" w:space="0" w:color="auto"/>
                                        <w:bottom w:val="none" w:sz="0" w:space="0" w:color="auto"/>
                                        <w:right w:val="none" w:sz="0" w:space="0" w:color="auto"/>
                                      </w:divBdr>
                                      <w:divsChild>
                                        <w:div w:id="178280604">
                                          <w:marLeft w:val="0"/>
                                          <w:marRight w:val="0"/>
                                          <w:marTop w:val="0"/>
                                          <w:marBottom w:val="0"/>
                                          <w:divBdr>
                                            <w:top w:val="none" w:sz="0" w:space="0" w:color="auto"/>
                                            <w:left w:val="none" w:sz="0" w:space="0" w:color="auto"/>
                                            <w:bottom w:val="none" w:sz="0" w:space="0" w:color="auto"/>
                                            <w:right w:val="none" w:sz="0" w:space="0" w:color="auto"/>
                                          </w:divBdr>
                                          <w:divsChild>
                                            <w:div w:id="1131243244">
                                              <w:marLeft w:val="0"/>
                                              <w:marRight w:val="0"/>
                                              <w:marTop w:val="0"/>
                                              <w:marBottom w:val="0"/>
                                              <w:divBdr>
                                                <w:top w:val="none" w:sz="0" w:space="0" w:color="auto"/>
                                                <w:left w:val="none" w:sz="0" w:space="0" w:color="auto"/>
                                                <w:bottom w:val="none" w:sz="0" w:space="0" w:color="auto"/>
                                                <w:right w:val="none" w:sz="0" w:space="0" w:color="auto"/>
                                              </w:divBdr>
                                              <w:divsChild>
                                                <w:div w:id="1703046133">
                                                  <w:marLeft w:val="0"/>
                                                  <w:marRight w:val="0"/>
                                                  <w:marTop w:val="0"/>
                                                  <w:marBottom w:val="0"/>
                                                  <w:divBdr>
                                                    <w:top w:val="none" w:sz="0" w:space="0" w:color="auto"/>
                                                    <w:left w:val="none" w:sz="0" w:space="0" w:color="auto"/>
                                                    <w:bottom w:val="none" w:sz="0" w:space="0" w:color="auto"/>
                                                    <w:right w:val="none" w:sz="0" w:space="0" w:color="auto"/>
                                                  </w:divBdr>
                                                  <w:divsChild>
                                                    <w:div w:id="1967656954">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sChild>
                        </w:div>
                      </w:divsChild>
                    </w:div>
                  </w:divsChild>
                </w:div>
              </w:divsChild>
            </w:div>
          </w:divsChild>
        </w:div>
      </w:divsChild>
    </w:div>
    <w:div w:id="1842701311">
      <w:bodyDiv w:val="1"/>
      <w:marLeft w:val="0"/>
      <w:marRight w:val="0"/>
      <w:marTop w:val="0"/>
      <w:marBottom w:val="0"/>
      <w:divBdr>
        <w:top w:val="none" w:sz="0" w:space="0" w:color="auto"/>
        <w:left w:val="none" w:sz="0" w:space="0" w:color="auto"/>
        <w:bottom w:val="none" w:sz="0" w:space="0" w:color="auto"/>
        <w:right w:val="none" w:sz="0" w:space="0" w:color="auto"/>
      </w:divBdr>
      <w:divsChild>
        <w:div w:id="1008023135">
          <w:marLeft w:val="0"/>
          <w:marRight w:val="0"/>
          <w:marTop w:val="0"/>
          <w:marBottom w:val="0"/>
          <w:divBdr>
            <w:top w:val="none" w:sz="0" w:space="0" w:color="auto"/>
            <w:left w:val="none" w:sz="0" w:space="0" w:color="auto"/>
            <w:bottom w:val="none" w:sz="0" w:space="0" w:color="auto"/>
            <w:right w:val="none" w:sz="0" w:space="0" w:color="auto"/>
          </w:divBdr>
          <w:divsChild>
            <w:div w:id="1392264909">
              <w:marLeft w:val="0"/>
              <w:marRight w:val="0"/>
              <w:marTop w:val="0"/>
              <w:marBottom w:val="0"/>
              <w:divBdr>
                <w:top w:val="none" w:sz="0" w:space="0" w:color="auto"/>
                <w:left w:val="none" w:sz="0" w:space="0" w:color="auto"/>
                <w:bottom w:val="none" w:sz="0" w:space="0" w:color="auto"/>
                <w:right w:val="none" w:sz="0" w:space="0" w:color="auto"/>
              </w:divBdr>
              <w:divsChild>
                <w:div w:id="1949316589">
                  <w:marLeft w:val="0"/>
                  <w:marRight w:val="0"/>
                  <w:marTop w:val="0"/>
                  <w:marBottom w:val="0"/>
                  <w:divBdr>
                    <w:top w:val="none" w:sz="0" w:space="0" w:color="auto"/>
                    <w:left w:val="none" w:sz="0" w:space="0" w:color="auto"/>
                    <w:bottom w:val="none" w:sz="0" w:space="0" w:color="auto"/>
                    <w:right w:val="none" w:sz="0" w:space="0" w:color="auto"/>
                  </w:divBdr>
                  <w:divsChild>
                    <w:div w:id="622075986">
                      <w:marLeft w:val="0"/>
                      <w:marRight w:val="0"/>
                      <w:marTop w:val="0"/>
                      <w:marBottom w:val="0"/>
                      <w:divBdr>
                        <w:top w:val="none" w:sz="0" w:space="0" w:color="auto"/>
                        <w:left w:val="none" w:sz="0" w:space="0" w:color="auto"/>
                        <w:bottom w:val="none" w:sz="0" w:space="0" w:color="auto"/>
                        <w:right w:val="none" w:sz="0" w:space="0" w:color="auto"/>
                      </w:divBdr>
                      <w:divsChild>
                        <w:div w:id="238828252">
                          <w:marLeft w:val="0"/>
                          <w:marRight w:val="0"/>
                          <w:marTop w:val="0"/>
                          <w:marBottom w:val="0"/>
                          <w:divBdr>
                            <w:top w:val="none" w:sz="0" w:space="0" w:color="auto"/>
                            <w:left w:val="none" w:sz="0" w:space="0" w:color="auto"/>
                            <w:bottom w:val="none" w:sz="0" w:space="0" w:color="auto"/>
                            <w:right w:val="none" w:sz="0" w:space="0" w:color="auto"/>
                          </w:divBdr>
                          <w:divsChild>
                            <w:div w:id="1493832412">
                              <w:marLeft w:val="0"/>
                              <w:marRight w:val="0"/>
                              <w:marTop w:val="0"/>
                              <w:marBottom w:val="0"/>
                              <w:divBdr>
                                <w:top w:val="none" w:sz="0" w:space="0" w:color="auto"/>
                                <w:left w:val="none" w:sz="0" w:space="0" w:color="auto"/>
                                <w:bottom w:val="none" w:sz="0" w:space="0" w:color="auto"/>
                                <w:right w:val="none" w:sz="0" w:space="0" w:color="auto"/>
                              </w:divBdr>
                              <w:divsChild>
                                <w:div w:id="1812138510">
                                  <w:marLeft w:val="0"/>
                                  <w:marRight w:val="0"/>
                                  <w:marTop w:val="0"/>
                                  <w:marBottom w:val="0"/>
                                  <w:divBdr>
                                    <w:top w:val="none" w:sz="0" w:space="0" w:color="auto"/>
                                    <w:left w:val="none" w:sz="0" w:space="0" w:color="auto"/>
                                    <w:bottom w:val="none" w:sz="0" w:space="0" w:color="auto"/>
                                    <w:right w:val="none" w:sz="0" w:space="0" w:color="auto"/>
                                  </w:divBdr>
                                  <w:divsChild>
                                    <w:div w:id="1639645550">
                                      <w:marLeft w:val="0"/>
                                      <w:marRight w:val="0"/>
                                      <w:marTop w:val="0"/>
                                      <w:marBottom w:val="0"/>
                                      <w:divBdr>
                                        <w:top w:val="none" w:sz="0" w:space="0" w:color="auto"/>
                                        <w:left w:val="none" w:sz="0" w:space="0" w:color="auto"/>
                                        <w:bottom w:val="none" w:sz="0" w:space="0" w:color="auto"/>
                                        <w:right w:val="none" w:sz="0" w:space="0" w:color="auto"/>
                                      </w:divBdr>
                                      <w:divsChild>
                                        <w:div w:id="1350522785">
                                          <w:marLeft w:val="0"/>
                                          <w:marRight w:val="0"/>
                                          <w:marTop w:val="0"/>
                                          <w:marBottom w:val="0"/>
                                          <w:divBdr>
                                            <w:top w:val="none" w:sz="0" w:space="0" w:color="auto"/>
                                            <w:left w:val="none" w:sz="0" w:space="0" w:color="auto"/>
                                            <w:bottom w:val="none" w:sz="0" w:space="0" w:color="auto"/>
                                            <w:right w:val="none" w:sz="0" w:space="0" w:color="auto"/>
                                          </w:divBdr>
                                          <w:divsChild>
                                            <w:div w:id="1881161618">
                                              <w:marLeft w:val="0"/>
                                              <w:marRight w:val="0"/>
                                              <w:marTop w:val="0"/>
                                              <w:marBottom w:val="0"/>
                                              <w:divBdr>
                                                <w:top w:val="none" w:sz="0" w:space="0" w:color="auto"/>
                                                <w:left w:val="none" w:sz="0" w:space="0" w:color="auto"/>
                                                <w:bottom w:val="none" w:sz="0" w:space="0" w:color="auto"/>
                                                <w:right w:val="none" w:sz="0" w:space="0" w:color="auto"/>
                                              </w:divBdr>
                                              <w:divsChild>
                                                <w:div w:id="271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47459">
      <w:bodyDiv w:val="1"/>
      <w:marLeft w:val="0"/>
      <w:marRight w:val="0"/>
      <w:marTop w:val="0"/>
      <w:marBottom w:val="0"/>
      <w:divBdr>
        <w:top w:val="none" w:sz="0" w:space="0" w:color="auto"/>
        <w:left w:val="none" w:sz="0" w:space="0" w:color="auto"/>
        <w:bottom w:val="none" w:sz="0" w:space="0" w:color="auto"/>
        <w:right w:val="none" w:sz="0" w:space="0" w:color="auto"/>
      </w:divBdr>
      <w:divsChild>
        <w:div w:id="440800884">
          <w:marLeft w:val="0"/>
          <w:marRight w:val="0"/>
          <w:marTop w:val="0"/>
          <w:marBottom w:val="0"/>
          <w:divBdr>
            <w:top w:val="none" w:sz="0" w:space="0" w:color="auto"/>
            <w:left w:val="none" w:sz="0" w:space="0" w:color="auto"/>
            <w:bottom w:val="none" w:sz="0" w:space="0" w:color="auto"/>
            <w:right w:val="none" w:sz="0" w:space="0" w:color="auto"/>
          </w:divBdr>
          <w:divsChild>
            <w:div w:id="1534272528">
              <w:marLeft w:val="0"/>
              <w:marRight w:val="0"/>
              <w:marTop w:val="0"/>
              <w:marBottom w:val="0"/>
              <w:divBdr>
                <w:top w:val="none" w:sz="0" w:space="0" w:color="auto"/>
                <w:left w:val="none" w:sz="0" w:space="0" w:color="auto"/>
                <w:bottom w:val="none" w:sz="0" w:space="0" w:color="auto"/>
                <w:right w:val="none" w:sz="0" w:space="0" w:color="auto"/>
              </w:divBdr>
              <w:divsChild>
                <w:div w:id="704450163">
                  <w:marLeft w:val="0"/>
                  <w:marRight w:val="0"/>
                  <w:marTop w:val="0"/>
                  <w:marBottom w:val="0"/>
                  <w:divBdr>
                    <w:top w:val="none" w:sz="0" w:space="0" w:color="auto"/>
                    <w:left w:val="none" w:sz="0" w:space="0" w:color="auto"/>
                    <w:bottom w:val="none" w:sz="0" w:space="0" w:color="auto"/>
                    <w:right w:val="none" w:sz="0" w:space="0" w:color="auto"/>
                  </w:divBdr>
                  <w:divsChild>
                    <w:div w:id="1028213846">
                      <w:marLeft w:val="0"/>
                      <w:marRight w:val="0"/>
                      <w:marTop w:val="0"/>
                      <w:marBottom w:val="0"/>
                      <w:divBdr>
                        <w:top w:val="none" w:sz="0" w:space="0" w:color="auto"/>
                        <w:left w:val="none" w:sz="0" w:space="0" w:color="auto"/>
                        <w:bottom w:val="none" w:sz="0" w:space="0" w:color="auto"/>
                        <w:right w:val="none" w:sz="0" w:space="0" w:color="auto"/>
                      </w:divBdr>
                      <w:divsChild>
                        <w:div w:id="649679139">
                          <w:marLeft w:val="0"/>
                          <w:marRight w:val="0"/>
                          <w:marTop w:val="0"/>
                          <w:marBottom w:val="0"/>
                          <w:divBdr>
                            <w:top w:val="none" w:sz="0" w:space="0" w:color="auto"/>
                            <w:left w:val="none" w:sz="0" w:space="0" w:color="auto"/>
                            <w:bottom w:val="none" w:sz="0" w:space="0" w:color="auto"/>
                            <w:right w:val="none" w:sz="0" w:space="0" w:color="auto"/>
                          </w:divBdr>
                          <w:divsChild>
                            <w:div w:id="358361052">
                              <w:marLeft w:val="0"/>
                              <w:marRight w:val="0"/>
                              <w:marTop w:val="0"/>
                              <w:marBottom w:val="0"/>
                              <w:divBdr>
                                <w:top w:val="none" w:sz="0" w:space="0" w:color="auto"/>
                                <w:left w:val="none" w:sz="0" w:space="0" w:color="auto"/>
                                <w:bottom w:val="none" w:sz="0" w:space="0" w:color="auto"/>
                                <w:right w:val="none" w:sz="0" w:space="0" w:color="auto"/>
                              </w:divBdr>
                              <w:divsChild>
                                <w:div w:id="1047029704">
                                  <w:marLeft w:val="0"/>
                                  <w:marRight w:val="0"/>
                                  <w:marTop w:val="0"/>
                                  <w:marBottom w:val="0"/>
                                  <w:divBdr>
                                    <w:top w:val="none" w:sz="0" w:space="0" w:color="auto"/>
                                    <w:left w:val="none" w:sz="0" w:space="0" w:color="auto"/>
                                    <w:bottom w:val="none" w:sz="0" w:space="0" w:color="auto"/>
                                    <w:right w:val="none" w:sz="0" w:space="0" w:color="auto"/>
                                  </w:divBdr>
                                  <w:divsChild>
                                    <w:div w:id="1178692090">
                                      <w:marLeft w:val="0"/>
                                      <w:marRight w:val="0"/>
                                      <w:marTop w:val="0"/>
                                      <w:marBottom w:val="0"/>
                                      <w:divBdr>
                                        <w:top w:val="none" w:sz="0" w:space="0" w:color="auto"/>
                                        <w:left w:val="none" w:sz="0" w:space="0" w:color="auto"/>
                                        <w:bottom w:val="none" w:sz="0" w:space="0" w:color="auto"/>
                                        <w:right w:val="none" w:sz="0" w:space="0" w:color="auto"/>
                                      </w:divBdr>
                                      <w:divsChild>
                                        <w:div w:id="800615126">
                                          <w:marLeft w:val="0"/>
                                          <w:marRight w:val="0"/>
                                          <w:marTop w:val="0"/>
                                          <w:marBottom w:val="0"/>
                                          <w:divBdr>
                                            <w:top w:val="none" w:sz="0" w:space="0" w:color="auto"/>
                                            <w:left w:val="none" w:sz="0" w:space="0" w:color="auto"/>
                                            <w:bottom w:val="none" w:sz="0" w:space="0" w:color="auto"/>
                                            <w:right w:val="none" w:sz="0" w:space="0" w:color="auto"/>
                                          </w:divBdr>
                                          <w:divsChild>
                                            <w:div w:id="537157603">
                                              <w:marLeft w:val="0"/>
                                              <w:marRight w:val="0"/>
                                              <w:marTop w:val="0"/>
                                              <w:marBottom w:val="0"/>
                                              <w:divBdr>
                                                <w:top w:val="none" w:sz="0" w:space="0" w:color="auto"/>
                                                <w:left w:val="none" w:sz="0" w:space="0" w:color="auto"/>
                                                <w:bottom w:val="none" w:sz="0" w:space="0" w:color="auto"/>
                                                <w:right w:val="none" w:sz="0" w:space="0" w:color="auto"/>
                                              </w:divBdr>
                                              <w:divsChild>
                                                <w:div w:id="16021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83013">
      <w:bodyDiv w:val="1"/>
      <w:marLeft w:val="0"/>
      <w:marRight w:val="0"/>
      <w:marTop w:val="0"/>
      <w:marBottom w:val="0"/>
      <w:divBdr>
        <w:top w:val="none" w:sz="0" w:space="0" w:color="auto"/>
        <w:left w:val="none" w:sz="0" w:space="0" w:color="auto"/>
        <w:bottom w:val="none" w:sz="0" w:space="0" w:color="auto"/>
        <w:right w:val="none" w:sz="0" w:space="0" w:color="auto"/>
      </w:divBdr>
    </w:div>
    <w:div w:id="1966034590">
      <w:bodyDiv w:val="1"/>
      <w:marLeft w:val="0"/>
      <w:marRight w:val="0"/>
      <w:marTop w:val="0"/>
      <w:marBottom w:val="0"/>
      <w:divBdr>
        <w:top w:val="none" w:sz="0" w:space="0" w:color="auto"/>
        <w:left w:val="none" w:sz="0" w:space="0" w:color="auto"/>
        <w:bottom w:val="none" w:sz="0" w:space="0" w:color="auto"/>
        <w:right w:val="none" w:sz="0" w:space="0" w:color="auto"/>
      </w:divBdr>
      <w:divsChild>
        <w:div w:id="800002376">
          <w:marLeft w:val="0"/>
          <w:marRight w:val="0"/>
          <w:marTop w:val="0"/>
          <w:marBottom w:val="0"/>
          <w:divBdr>
            <w:top w:val="none" w:sz="0" w:space="0" w:color="auto"/>
            <w:left w:val="none" w:sz="0" w:space="0" w:color="auto"/>
            <w:bottom w:val="none" w:sz="0" w:space="0" w:color="auto"/>
            <w:right w:val="none" w:sz="0" w:space="0" w:color="auto"/>
          </w:divBdr>
          <w:divsChild>
            <w:div w:id="119931819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0"/>
                  <w:marTop w:val="0"/>
                  <w:marBottom w:val="0"/>
                  <w:divBdr>
                    <w:top w:val="none" w:sz="0" w:space="0" w:color="auto"/>
                    <w:left w:val="none" w:sz="0" w:space="0" w:color="auto"/>
                    <w:bottom w:val="none" w:sz="0" w:space="0" w:color="auto"/>
                    <w:right w:val="none" w:sz="0" w:space="0" w:color="auto"/>
                  </w:divBdr>
                  <w:divsChild>
                    <w:div w:id="1890264492">
                      <w:marLeft w:val="0"/>
                      <w:marRight w:val="0"/>
                      <w:marTop w:val="0"/>
                      <w:marBottom w:val="0"/>
                      <w:divBdr>
                        <w:top w:val="none" w:sz="0" w:space="0" w:color="auto"/>
                        <w:left w:val="none" w:sz="0" w:space="0" w:color="auto"/>
                        <w:bottom w:val="none" w:sz="0" w:space="0" w:color="auto"/>
                        <w:right w:val="none" w:sz="0" w:space="0" w:color="auto"/>
                      </w:divBdr>
                      <w:divsChild>
                        <w:div w:id="1555387167">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sChild>
                                <w:div w:id="104352150">
                                  <w:marLeft w:val="0"/>
                                  <w:marRight w:val="0"/>
                                  <w:marTop w:val="0"/>
                                  <w:marBottom w:val="0"/>
                                  <w:divBdr>
                                    <w:top w:val="none" w:sz="0" w:space="0" w:color="auto"/>
                                    <w:left w:val="none" w:sz="0" w:space="0" w:color="auto"/>
                                    <w:bottom w:val="none" w:sz="0" w:space="0" w:color="auto"/>
                                    <w:right w:val="none" w:sz="0" w:space="0" w:color="auto"/>
                                  </w:divBdr>
                                  <w:divsChild>
                                    <w:div w:id="429937810">
                                      <w:marLeft w:val="0"/>
                                      <w:marRight w:val="0"/>
                                      <w:marTop w:val="0"/>
                                      <w:marBottom w:val="0"/>
                                      <w:divBdr>
                                        <w:top w:val="none" w:sz="0" w:space="0" w:color="auto"/>
                                        <w:left w:val="none" w:sz="0" w:space="0" w:color="auto"/>
                                        <w:bottom w:val="none" w:sz="0" w:space="0" w:color="auto"/>
                                        <w:right w:val="none" w:sz="0" w:space="0" w:color="auto"/>
                                      </w:divBdr>
                                      <w:divsChild>
                                        <w:div w:id="1833059093">
                                          <w:marLeft w:val="0"/>
                                          <w:marRight w:val="0"/>
                                          <w:marTop w:val="0"/>
                                          <w:marBottom w:val="0"/>
                                          <w:divBdr>
                                            <w:top w:val="none" w:sz="0" w:space="0" w:color="auto"/>
                                            <w:left w:val="none" w:sz="0" w:space="0" w:color="auto"/>
                                            <w:bottom w:val="none" w:sz="0" w:space="0" w:color="auto"/>
                                            <w:right w:val="none" w:sz="0" w:space="0" w:color="auto"/>
                                          </w:divBdr>
                                          <w:divsChild>
                                            <w:div w:id="1392847601">
                                              <w:marLeft w:val="0"/>
                                              <w:marRight w:val="0"/>
                                              <w:marTop w:val="0"/>
                                              <w:marBottom w:val="0"/>
                                              <w:divBdr>
                                                <w:top w:val="none" w:sz="0" w:space="0" w:color="auto"/>
                                                <w:left w:val="none" w:sz="0" w:space="0" w:color="auto"/>
                                                <w:bottom w:val="none" w:sz="0" w:space="0" w:color="auto"/>
                                                <w:right w:val="none" w:sz="0" w:space="0" w:color="auto"/>
                                              </w:divBdr>
                                              <w:divsChild>
                                                <w:div w:id="15280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062891">
      <w:bodyDiv w:val="1"/>
      <w:marLeft w:val="0"/>
      <w:marRight w:val="0"/>
      <w:marTop w:val="0"/>
      <w:marBottom w:val="0"/>
      <w:divBdr>
        <w:top w:val="none" w:sz="0" w:space="0" w:color="auto"/>
        <w:left w:val="none" w:sz="0" w:space="0" w:color="auto"/>
        <w:bottom w:val="none" w:sz="0" w:space="0" w:color="auto"/>
        <w:right w:val="none" w:sz="0" w:space="0" w:color="auto"/>
      </w:divBdr>
      <w:divsChild>
        <w:div w:id="597835770">
          <w:marLeft w:val="0"/>
          <w:marRight w:val="0"/>
          <w:marTop w:val="0"/>
          <w:marBottom w:val="0"/>
          <w:divBdr>
            <w:top w:val="none" w:sz="0" w:space="0" w:color="auto"/>
            <w:left w:val="none" w:sz="0" w:space="0" w:color="auto"/>
            <w:bottom w:val="none" w:sz="0" w:space="0" w:color="auto"/>
            <w:right w:val="none" w:sz="0" w:space="0" w:color="auto"/>
          </w:divBdr>
          <w:divsChild>
            <w:div w:id="1795370008">
              <w:marLeft w:val="0"/>
              <w:marRight w:val="0"/>
              <w:marTop w:val="0"/>
              <w:marBottom w:val="0"/>
              <w:divBdr>
                <w:top w:val="none" w:sz="0" w:space="0" w:color="auto"/>
                <w:left w:val="none" w:sz="0" w:space="0" w:color="auto"/>
                <w:bottom w:val="none" w:sz="0" w:space="0" w:color="auto"/>
                <w:right w:val="none" w:sz="0" w:space="0" w:color="auto"/>
              </w:divBdr>
              <w:divsChild>
                <w:div w:id="987976032">
                  <w:marLeft w:val="0"/>
                  <w:marRight w:val="0"/>
                  <w:marTop w:val="0"/>
                  <w:marBottom w:val="0"/>
                  <w:divBdr>
                    <w:top w:val="none" w:sz="0" w:space="0" w:color="auto"/>
                    <w:left w:val="none" w:sz="0" w:space="0" w:color="auto"/>
                    <w:bottom w:val="none" w:sz="0" w:space="0" w:color="auto"/>
                    <w:right w:val="none" w:sz="0" w:space="0" w:color="auto"/>
                  </w:divBdr>
                  <w:divsChild>
                    <w:div w:id="1518426343">
                      <w:marLeft w:val="0"/>
                      <w:marRight w:val="0"/>
                      <w:marTop w:val="0"/>
                      <w:marBottom w:val="0"/>
                      <w:divBdr>
                        <w:top w:val="none" w:sz="0" w:space="0" w:color="auto"/>
                        <w:left w:val="none" w:sz="0" w:space="0" w:color="auto"/>
                        <w:bottom w:val="none" w:sz="0" w:space="0" w:color="auto"/>
                        <w:right w:val="none" w:sz="0" w:space="0" w:color="auto"/>
                      </w:divBdr>
                      <w:divsChild>
                        <w:div w:id="508907482">
                          <w:marLeft w:val="0"/>
                          <w:marRight w:val="0"/>
                          <w:marTop w:val="0"/>
                          <w:marBottom w:val="0"/>
                          <w:divBdr>
                            <w:top w:val="none" w:sz="0" w:space="0" w:color="auto"/>
                            <w:left w:val="none" w:sz="0" w:space="0" w:color="auto"/>
                            <w:bottom w:val="none" w:sz="0" w:space="0" w:color="auto"/>
                            <w:right w:val="none" w:sz="0" w:space="0" w:color="auto"/>
                          </w:divBdr>
                          <w:divsChild>
                            <w:div w:id="1063916656">
                              <w:marLeft w:val="0"/>
                              <w:marRight w:val="0"/>
                              <w:marTop w:val="0"/>
                              <w:marBottom w:val="0"/>
                              <w:divBdr>
                                <w:top w:val="none" w:sz="0" w:space="0" w:color="auto"/>
                                <w:left w:val="none" w:sz="0" w:space="0" w:color="auto"/>
                                <w:bottom w:val="none" w:sz="0" w:space="0" w:color="auto"/>
                                <w:right w:val="none" w:sz="0" w:space="0" w:color="auto"/>
                              </w:divBdr>
                              <w:divsChild>
                                <w:div w:id="1217350913">
                                  <w:marLeft w:val="0"/>
                                  <w:marRight w:val="0"/>
                                  <w:marTop w:val="0"/>
                                  <w:marBottom w:val="0"/>
                                  <w:divBdr>
                                    <w:top w:val="none" w:sz="0" w:space="0" w:color="auto"/>
                                    <w:left w:val="none" w:sz="0" w:space="0" w:color="auto"/>
                                    <w:bottom w:val="none" w:sz="0" w:space="0" w:color="auto"/>
                                    <w:right w:val="none" w:sz="0" w:space="0" w:color="auto"/>
                                  </w:divBdr>
                                  <w:divsChild>
                                    <w:div w:id="1023020909">
                                      <w:marLeft w:val="0"/>
                                      <w:marRight w:val="0"/>
                                      <w:marTop w:val="0"/>
                                      <w:marBottom w:val="0"/>
                                      <w:divBdr>
                                        <w:top w:val="none" w:sz="0" w:space="0" w:color="auto"/>
                                        <w:left w:val="none" w:sz="0" w:space="0" w:color="auto"/>
                                        <w:bottom w:val="none" w:sz="0" w:space="0" w:color="auto"/>
                                        <w:right w:val="none" w:sz="0" w:space="0" w:color="auto"/>
                                      </w:divBdr>
                                      <w:divsChild>
                                        <w:div w:id="18502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7706">
                          <w:marLeft w:val="0"/>
                          <w:marRight w:val="0"/>
                          <w:marTop w:val="0"/>
                          <w:marBottom w:val="0"/>
                          <w:divBdr>
                            <w:top w:val="none" w:sz="0" w:space="0" w:color="auto"/>
                            <w:left w:val="none" w:sz="0" w:space="0" w:color="auto"/>
                            <w:bottom w:val="none" w:sz="0" w:space="0" w:color="auto"/>
                            <w:right w:val="none" w:sz="0" w:space="0" w:color="auto"/>
                          </w:divBdr>
                          <w:divsChild>
                            <w:div w:id="182211705">
                              <w:marLeft w:val="0"/>
                              <w:marRight w:val="0"/>
                              <w:marTop w:val="0"/>
                              <w:marBottom w:val="0"/>
                              <w:divBdr>
                                <w:top w:val="none" w:sz="0" w:space="0" w:color="auto"/>
                                <w:left w:val="none" w:sz="0" w:space="0" w:color="auto"/>
                                <w:bottom w:val="none" w:sz="0" w:space="0" w:color="auto"/>
                                <w:right w:val="none" w:sz="0" w:space="0" w:color="auto"/>
                              </w:divBdr>
                              <w:divsChild>
                                <w:div w:id="1529491540">
                                  <w:marLeft w:val="0"/>
                                  <w:marRight w:val="0"/>
                                  <w:marTop w:val="0"/>
                                  <w:marBottom w:val="0"/>
                                  <w:divBdr>
                                    <w:top w:val="none" w:sz="0" w:space="0" w:color="auto"/>
                                    <w:left w:val="none" w:sz="0" w:space="0" w:color="auto"/>
                                    <w:bottom w:val="none" w:sz="0" w:space="0" w:color="auto"/>
                                    <w:right w:val="none" w:sz="0" w:space="0" w:color="auto"/>
                                  </w:divBdr>
                                  <w:divsChild>
                                    <w:div w:id="1081609389">
                                      <w:marLeft w:val="0"/>
                                      <w:marRight w:val="0"/>
                                      <w:marTop w:val="0"/>
                                      <w:marBottom w:val="0"/>
                                      <w:divBdr>
                                        <w:top w:val="none" w:sz="0" w:space="0" w:color="auto"/>
                                        <w:left w:val="none" w:sz="0" w:space="0" w:color="auto"/>
                                        <w:bottom w:val="none" w:sz="0" w:space="0" w:color="auto"/>
                                        <w:right w:val="none" w:sz="0" w:space="0" w:color="auto"/>
                                      </w:divBdr>
                                      <w:divsChild>
                                        <w:div w:id="1452899119">
                                          <w:marLeft w:val="0"/>
                                          <w:marRight w:val="0"/>
                                          <w:marTop w:val="0"/>
                                          <w:marBottom w:val="0"/>
                                          <w:divBdr>
                                            <w:top w:val="none" w:sz="0" w:space="0" w:color="auto"/>
                                            <w:left w:val="none" w:sz="0" w:space="0" w:color="auto"/>
                                            <w:bottom w:val="none" w:sz="0" w:space="0" w:color="auto"/>
                                            <w:right w:val="none" w:sz="0" w:space="0" w:color="auto"/>
                                          </w:divBdr>
                                          <w:divsChild>
                                            <w:div w:id="1464880733">
                                              <w:marLeft w:val="0"/>
                                              <w:marRight w:val="0"/>
                                              <w:marTop w:val="0"/>
                                              <w:marBottom w:val="0"/>
                                              <w:divBdr>
                                                <w:top w:val="none" w:sz="0" w:space="0" w:color="auto"/>
                                                <w:left w:val="none" w:sz="0" w:space="0" w:color="auto"/>
                                                <w:bottom w:val="none" w:sz="0" w:space="0" w:color="auto"/>
                                                <w:right w:val="none" w:sz="0" w:space="0" w:color="auto"/>
                                              </w:divBdr>
                                              <w:divsChild>
                                                <w:div w:id="2559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871">
                                          <w:marLeft w:val="0"/>
                                          <w:marRight w:val="0"/>
                                          <w:marTop w:val="0"/>
                                          <w:marBottom w:val="0"/>
                                          <w:divBdr>
                                            <w:top w:val="none" w:sz="0" w:space="0" w:color="auto"/>
                                            <w:left w:val="none" w:sz="0" w:space="0" w:color="auto"/>
                                            <w:bottom w:val="none" w:sz="0" w:space="0" w:color="auto"/>
                                            <w:right w:val="none" w:sz="0" w:space="0" w:color="auto"/>
                                          </w:divBdr>
                                          <w:divsChild>
                                            <w:div w:id="918904698">
                                              <w:marLeft w:val="0"/>
                                              <w:marRight w:val="0"/>
                                              <w:marTop w:val="0"/>
                                              <w:marBottom w:val="0"/>
                                              <w:divBdr>
                                                <w:top w:val="none" w:sz="0" w:space="0" w:color="auto"/>
                                                <w:left w:val="none" w:sz="0" w:space="0" w:color="auto"/>
                                                <w:bottom w:val="none" w:sz="0" w:space="0" w:color="auto"/>
                                                <w:right w:val="none" w:sz="0" w:space="0" w:color="auto"/>
                                              </w:divBdr>
                                              <w:divsChild>
                                                <w:div w:id="1526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518070">
      <w:bodyDiv w:val="1"/>
      <w:marLeft w:val="0"/>
      <w:marRight w:val="0"/>
      <w:marTop w:val="0"/>
      <w:marBottom w:val="0"/>
      <w:divBdr>
        <w:top w:val="none" w:sz="0" w:space="0" w:color="auto"/>
        <w:left w:val="none" w:sz="0" w:space="0" w:color="auto"/>
        <w:bottom w:val="none" w:sz="0" w:space="0" w:color="auto"/>
        <w:right w:val="none" w:sz="0" w:space="0" w:color="auto"/>
      </w:divBdr>
    </w:div>
    <w:div w:id="1990085533">
      <w:bodyDiv w:val="1"/>
      <w:marLeft w:val="0"/>
      <w:marRight w:val="0"/>
      <w:marTop w:val="0"/>
      <w:marBottom w:val="0"/>
      <w:divBdr>
        <w:top w:val="none" w:sz="0" w:space="0" w:color="auto"/>
        <w:left w:val="none" w:sz="0" w:space="0" w:color="auto"/>
        <w:bottom w:val="none" w:sz="0" w:space="0" w:color="auto"/>
        <w:right w:val="none" w:sz="0" w:space="0" w:color="auto"/>
      </w:divBdr>
    </w:div>
    <w:div w:id="2010910263">
      <w:bodyDiv w:val="1"/>
      <w:marLeft w:val="0"/>
      <w:marRight w:val="0"/>
      <w:marTop w:val="0"/>
      <w:marBottom w:val="0"/>
      <w:divBdr>
        <w:top w:val="none" w:sz="0" w:space="0" w:color="auto"/>
        <w:left w:val="none" w:sz="0" w:space="0" w:color="auto"/>
        <w:bottom w:val="none" w:sz="0" w:space="0" w:color="auto"/>
        <w:right w:val="none" w:sz="0" w:space="0" w:color="auto"/>
      </w:divBdr>
      <w:divsChild>
        <w:div w:id="932012402">
          <w:marLeft w:val="0"/>
          <w:marRight w:val="0"/>
          <w:marTop w:val="0"/>
          <w:marBottom w:val="0"/>
          <w:divBdr>
            <w:top w:val="none" w:sz="0" w:space="0" w:color="auto"/>
            <w:left w:val="none" w:sz="0" w:space="0" w:color="auto"/>
            <w:bottom w:val="none" w:sz="0" w:space="0" w:color="auto"/>
            <w:right w:val="none" w:sz="0" w:space="0" w:color="auto"/>
          </w:divBdr>
          <w:divsChild>
            <w:div w:id="2109809257">
              <w:marLeft w:val="0"/>
              <w:marRight w:val="0"/>
              <w:marTop w:val="0"/>
              <w:marBottom w:val="0"/>
              <w:divBdr>
                <w:top w:val="none" w:sz="0" w:space="0" w:color="auto"/>
                <w:left w:val="none" w:sz="0" w:space="0" w:color="auto"/>
                <w:bottom w:val="none" w:sz="0" w:space="0" w:color="auto"/>
                <w:right w:val="none" w:sz="0" w:space="0" w:color="auto"/>
              </w:divBdr>
              <w:divsChild>
                <w:div w:id="712273764">
                  <w:marLeft w:val="0"/>
                  <w:marRight w:val="0"/>
                  <w:marTop w:val="0"/>
                  <w:marBottom w:val="0"/>
                  <w:divBdr>
                    <w:top w:val="none" w:sz="0" w:space="0" w:color="auto"/>
                    <w:left w:val="none" w:sz="0" w:space="0" w:color="auto"/>
                    <w:bottom w:val="none" w:sz="0" w:space="0" w:color="auto"/>
                    <w:right w:val="none" w:sz="0" w:space="0" w:color="auto"/>
                  </w:divBdr>
                  <w:divsChild>
                    <w:div w:id="1408108689">
                      <w:marLeft w:val="0"/>
                      <w:marRight w:val="0"/>
                      <w:marTop w:val="0"/>
                      <w:marBottom w:val="0"/>
                      <w:divBdr>
                        <w:top w:val="none" w:sz="0" w:space="0" w:color="auto"/>
                        <w:left w:val="none" w:sz="0" w:space="0" w:color="auto"/>
                        <w:bottom w:val="none" w:sz="0" w:space="0" w:color="auto"/>
                        <w:right w:val="none" w:sz="0" w:space="0" w:color="auto"/>
                      </w:divBdr>
                      <w:divsChild>
                        <w:div w:id="813721836">
                          <w:marLeft w:val="0"/>
                          <w:marRight w:val="0"/>
                          <w:marTop w:val="0"/>
                          <w:marBottom w:val="0"/>
                          <w:divBdr>
                            <w:top w:val="none" w:sz="0" w:space="0" w:color="auto"/>
                            <w:left w:val="none" w:sz="0" w:space="0" w:color="auto"/>
                            <w:bottom w:val="none" w:sz="0" w:space="0" w:color="auto"/>
                            <w:right w:val="none" w:sz="0" w:space="0" w:color="auto"/>
                          </w:divBdr>
                          <w:divsChild>
                            <w:div w:id="1829782410">
                              <w:marLeft w:val="0"/>
                              <w:marRight w:val="0"/>
                              <w:marTop w:val="0"/>
                              <w:marBottom w:val="0"/>
                              <w:divBdr>
                                <w:top w:val="none" w:sz="0" w:space="0" w:color="auto"/>
                                <w:left w:val="none" w:sz="0" w:space="0" w:color="auto"/>
                                <w:bottom w:val="none" w:sz="0" w:space="0" w:color="auto"/>
                                <w:right w:val="none" w:sz="0" w:space="0" w:color="auto"/>
                              </w:divBdr>
                              <w:divsChild>
                                <w:div w:id="1674528472">
                                  <w:marLeft w:val="0"/>
                                  <w:marRight w:val="0"/>
                                  <w:marTop w:val="0"/>
                                  <w:marBottom w:val="0"/>
                                  <w:divBdr>
                                    <w:top w:val="none" w:sz="0" w:space="0" w:color="auto"/>
                                    <w:left w:val="none" w:sz="0" w:space="0" w:color="auto"/>
                                    <w:bottom w:val="none" w:sz="0" w:space="0" w:color="auto"/>
                                    <w:right w:val="none" w:sz="0" w:space="0" w:color="auto"/>
                                  </w:divBdr>
                                  <w:divsChild>
                                    <w:div w:id="166676861">
                                      <w:marLeft w:val="0"/>
                                      <w:marRight w:val="0"/>
                                      <w:marTop w:val="0"/>
                                      <w:marBottom w:val="0"/>
                                      <w:divBdr>
                                        <w:top w:val="none" w:sz="0" w:space="0" w:color="auto"/>
                                        <w:left w:val="none" w:sz="0" w:space="0" w:color="auto"/>
                                        <w:bottom w:val="none" w:sz="0" w:space="0" w:color="auto"/>
                                        <w:right w:val="none" w:sz="0" w:space="0" w:color="auto"/>
                                      </w:divBdr>
                                      <w:divsChild>
                                        <w:div w:id="1161964717">
                                          <w:marLeft w:val="0"/>
                                          <w:marRight w:val="0"/>
                                          <w:marTop w:val="0"/>
                                          <w:marBottom w:val="0"/>
                                          <w:divBdr>
                                            <w:top w:val="none" w:sz="0" w:space="0" w:color="auto"/>
                                            <w:left w:val="none" w:sz="0" w:space="0" w:color="auto"/>
                                            <w:bottom w:val="none" w:sz="0" w:space="0" w:color="auto"/>
                                            <w:right w:val="none" w:sz="0" w:space="0" w:color="auto"/>
                                          </w:divBdr>
                                          <w:divsChild>
                                            <w:div w:id="1453787298">
                                              <w:marLeft w:val="0"/>
                                              <w:marRight w:val="0"/>
                                              <w:marTop w:val="0"/>
                                              <w:marBottom w:val="0"/>
                                              <w:divBdr>
                                                <w:top w:val="none" w:sz="0" w:space="0" w:color="auto"/>
                                                <w:left w:val="none" w:sz="0" w:space="0" w:color="auto"/>
                                                <w:bottom w:val="none" w:sz="0" w:space="0" w:color="auto"/>
                                                <w:right w:val="none" w:sz="0" w:space="0" w:color="auto"/>
                                              </w:divBdr>
                                              <w:divsChild>
                                                <w:div w:id="1572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1817">
      <w:bodyDiv w:val="1"/>
      <w:marLeft w:val="0"/>
      <w:marRight w:val="0"/>
      <w:marTop w:val="0"/>
      <w:marBottom w:val="0"/>
      <w:divBdr>
        <w:top w:val="none" w:sz="0" w:space="0" w:color="auto"/>
        <w:left w:val="none" w:sz="0" w:space="0" w:color="auto"/>
        <w:bottom w:val="none" w:sz="0" w:space="0" w:color="auto"/>
        <w:right w:val="none" w:sz="0" w:space="0" w:color="auto"/>
      </w:divBdr>
      <w:divsChild>
        <w:div w:id="1222794466">
          <w:marLeft w:val="0"/>
          <w:marRight w:val="0"/>
          <w:marTop w:val="0"/>
          <w:marBottom w:val="0"/>
          <w:divBdr>
            <w:top w:val="none" w:sz="0" w:space="0" w:color="auto"/>
            <w:left w:val="none" w:sz="0" w:space="0" w:color="auto"/>
            <w:bottom w:val="none" w:sz="0" w:space="0" w:color="auto"/>
            <w:right w:val="none" w:sz="0" w:space="0" w:color="auto"/>
          </w:divBdr>
          <w:divsChild>
            <w:div w:id="326519261">
              <w:marLeft w:val="0"/>
              <w:marRight w:val="0"/>
              <w:marTop w:val="0"/>
              <w:marBottom w:val="0"/>
              <w:divBdr>
                <w:top w:val="none" w:sz="0" w:space="0" w:color="auto"/>
                <w:left w:val="none" w:sz="0" w:space="0" w:color="auto"/>
                <w:bottom w:val="none" w:sz="0" w:space="0" w:color="auto"/>
                <w:right w:val="none" w:sz="0" w:space="0" w:color="auto"/>
              </w:divBdr>
              <w:divsChild>
                <w:div w:id="344407495">
                  <w:marLeft w:val="0"/>
                  <w:marRight w:val="0"/>
                  <w:marTop w:val="0"/>
                  <w:marBottom w:val="0"/>
                  <w:divBdr>
                    <w:top w:val="none" w:sz="0" w:space="0" w:color="auto"/>
                    <w:left w:val="none" w:sz="0" w:space="0" w:color="auto"/>
                    <w:bottom w:val="none" w:sz="0" w:space="0" w:color="auto"/>
                    <w:right w:val="none" w:sz="0" w:space="0" w:color="auto"/>
                  </w:divBdr>
                  <w:divsChild>
                    <w:div w:id="183593024">
                      <w:marLeft w:val="0"/>
                      <w:marRight w:val="0"/>
                      <w:marTop w:val="0"/>
                      <w:marBottom w:val="0"/>
                      <w:divBdr>
                        <w:top w:val="none" w:sz="0" w:space="0" w:color="auto"/>
                        <w:left w:val="none" w:sz="0" w:space="0" w:color="auto"/>
                        <w:bottom w:val="none" w:sz="0" w:space="0" w:color="auto"/>
                        <w:right w:val="none" w:sz="0" w:space="0" w:color="auto"/>
                      </w:divBdr>
                      <w:divsChild>
                        <w:div w:id="1952931763">
                          <w:marLeft w:val="0"/>
                          <w:marRight w:val="0"/>
                          <w:marTop w:val="0"/>
                          <w:marBottom w:val="0"/>
                          <w:divBdr>
                            <w:top w:val="none" w:sz="0" w:space="0" w:color="auto"/>
                            <w:left w:val="none" w:sz="0" w:space="0" w:color="auto"/>
                            <w:bottom w:val="none" w:sz="0" w:space="0" w:color="auto"/>
                            <w:right w:val="none" w:sz="0" w:space="0" w:color="auto"/>
                          </w:divBdr>
                          <w:divsChild>
                            <w:div w:id="1423839713">
                              <w:marLeft w:val="0"/>
                              <w:marRight w:val="0"/>
                              <w:marTop w:val="0"/>
                              <w:marBottom w:val="0"/>
                              <w:divBdr>
                                <w:top w:val="none" w:sz="0" w:space="0" w:color="auto"/>
                                <w:left w:val="none" w:sz="0" w:space="0" w:color="auto"/>
                                <w:bottom w:val="none" w:sz="0" w:space="0" w:color="auto"/>
                                <w:right w:val="none" w:sz="0" w:space="0" w:color="auto"/>
                              </w:divBdr>
                              <w:divsChild>
                                <w:div w:id="78335013">
                                  <w:marLeft w:val="0"/>
                                  <w:marRight w:val="0"/>
                                  <w:marTop w:val="0"/>
                                  <w:marBottom w:val="0"/>
                                  <w:divBdr>
                                    <w:top w:val="none" w:sz="0" w:space="0" w:color="auto"/>
                                    <w:left w:val="none" w:sz="0" w:space="0" w:color="auto"/>
                                    <w:bottom w:val="none" w:sz="0" w:space="0" w:color="auto"/>
                                    <w:right w:val="none" w:sz="0" w:space="0" w:color="auto"/>
                                  </w:divBdr>
                                  <w:divsChild>
                                    <w:div w:id="62143359">
                                      <w:marLeft w:val="0"/>
                                      <w:marRight w:val="0"/>
                                      <w:marTop w:val="0"/>
                                      <w:marBottom w:val="0"/>
                                      <w:divBdr>
                                        <w:top w:val="none" w:sz="0" w:space="0" w:color="auto"/>
                                        <w:left w:val="none" w:sz="0" w:space="0" w:color="auto"/>
                                        <w:bottom w:val="none" w:sz="0" w:space="0" w:color="auto"/>
                                        <w:right w:val="none" w:sz="0" w:space="0" w:color="auto"/>
                                      </w:divBdr>
                                      <w:divsChild>
                                        <w:div w:id="193349046">
                                          <w:marLeft w:val="0"/>
                                          <w:marRight w:val="0"/>
                                          <w:marTop w:val="0"/>
                                          <w:marBottom w:val="0"/>
                                          <w:divBdr>
                                            <w:top w:val="none" w:sz="0" w:space="0" w:color="auto"/>
                                            <w:left w:val="none" w:sz="0" w:space="0" w:color="auto"/>
                                            <w:bottom w:val="none" w:sz="0" w:space="0" w:color="auto"/>
                                            <w:right w:val="none" w:sz="0" w:space="0" w:color="auto"/>
                                          </w:divBdr>
                                          <w:divsChild>
                                            <w:div w:id="1855262841">
                                              <w:marLeft w:val="0"/>
                                              <w:marRight w:val="0"/>
                                              <w:marTop w:val="0"/>
                                              <w:marBottom w:val="0"/>
                                              <w:divBdr>
                                                <w:top w:val="none" w:sz="0" w:space="0" w:color="auto"/>
                                                <w:left w:val="none" w:sz="0" w:space="0" w:color="auto"/>
                                                <w:bottom w:val="none" w:sz="0" w:space="0" w:color="auto"/>
                                                <w:right w:val="none" w:sz="0" w:space="0" w:color="auto"/>
                                              </w:divBdr>
                                              <w:divsChild>
                                                <w:div w:id="5257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719150">
      <w:bodyDiv w:val="1"/>
      <w:marLeft w:val="0"/>
      <w:marRight w:val="0"/>
      <w:marTop w:val="0"/>
      <w:marBottom w:val="0"/>
      <w:divBdr>
        <w:top w:val="none" w:sz="0" w:space="0" w:color="auto"/>
        <w:left w:val="none" w:sz="0" w:space="0" w:color="auto"/>
        <w:bottom w:val="none" w:sz="0" w:space="0" w:color="auto"/>
        <w:right w:val="none" w:sz="0" w:space="0" w:color="auto"/>
      </w:divBdr>
    </w:div>
    <w:div w:id="2093970982">
      <w:bodyDiv w:val="1"/>
      <w:marLeft w:val="0"/>
      <w:marRight w:val="0"/>
      <w:marTop w:val="0"/>
      <w:marBottom w:val="0"/>
      <w:divBdr>
        <w:top w:val="none" w:sz="0" w:space="0" w:color="auto"/>
        <w:left w:val="none" w:sz="0" w:space="0" w:color="auto"/>
        <w:bottom w:val="none" w:sz="0" w:space="0" w:color="auto"/>
        <w:right w:val="none" w:sz="0" w:space="0" w:color="auto"/>
      </w:divBdr>
      <w:divsChild>
        <w:div w:id="335116390">
          <w:marLeft w:val="0"/>
          <w:marRight w:val="0"/>
          <w:marTop w:val="0"/>
          <w:marBottom w:val="0"/>
          <w:divBdr>
            <w:top w:val="none" w:sz="0" w:space="0" w:color="auto"/>
            <w:left w:val="none" w:sz="0" w:space="0" w:color="auto"/>
            <w:bottom w:val="none" w:sz="0" w:space="0" w:color="auto"/>
            <w:right w:val="none" w:sz="0" w:space="0" w:color="auto"/>
          </w:divBdr>
          <w:divsChild>
            <w:div w:id="611090338">
              <w:marLeft w:val="0"/>
              <w:marRight w:val="0"/>
              <w:marTop w:val="0"/>
              <w:marBottom w:val="0"/>
              <w:divBdr>
                <w:top w:val="none" w:sz="0" w:space="0" w:color="auto"/>
                <w:left w:val="none" w:sz="0" w:space="0" w:color="auto"/>
                <w:bottom w:val="none" w:sz="0" w:space="0" w:color="auto"/>
                <w:right w:val="none" w:sz="0" w:space="0" w:color="auto"/>
              </w:divBdr>
              <w:divsChild>
                <w:div w:id="978264721">
                  <w:marLeft w:val="0"/>
                  <w:marRight w:val="0"/>
                  <w:marTop w:val="0"/>
                  <w:marBottom w:val="0"/>
                  <w:divBdr>
                    <w:top w:val="none" w:sz="0" w:space="0" w:color="auto"/>
                    <w:left w:val="none" w:sz="0" w:space="0" w:color="auto"/>
                    <w:bottom w:val="none" w:sz="0" w:space="0" w:color="auto"/>
                    <w:right w:val="none" w:sz="0" w:space="0" w:color="auto"/>
                  </w:divBdr>
                  <w:divsChild>
                    <w:div w:id="2005472929">
                      <w:marLeft w:val="0"/>
                      <w:marRight w:val="0"/>
                      <w:marTop w:val="0"/>
                      <w:marBottom w:val="0"/>
                      <w:divBdr>
                        <w:top w:val="none" w:sz="0" w:space="0" w:color="auto"/>
                        <w:left w:val="none" w:sz="0" w:space="0" w:color="auto"/>
                        <w:bottom w:val="none" w:sz="0" w:space="0" w:color="auto"/>
                        <w:right w:val="none" w:sz="0" w:space="0" w:color="auto"/>
                      </w:divBdr>
                      <w:divsChild>
                        <w:div w:id="153956181">
                          <w:marLeft w:val="0"/>
                          <w:marRight w:val="0"/>
                          <w:marTop w:val="0"/>
                          <w:marBottom w:val="0"/>
                          <w:divBdr>
                            <w:top w:val="none" w:sz="0" w:space="0" w:color="auto"/>
                            <w:left w:val="none" w:sz="0" w:space="0" w:color="auto"/>
                            <w:bottom w:val="none" w:sz="0" w:space="0" w:color="auto"/>
                            <w:right w:val="none" w:sz="0" w:space="0" w:color="auto"/>
                          </w:divBdr>
                          <w:divsChild>
                            <w:div w:id="104271516">
                              <w:marLeft w:val="0"/>
                              <w:marRight w:val="0"/>
                              <w:marTop w:val="0"/>
                              <w:marBottom w:val="0"/>
                              <w:divBdr>
                                <w:top w:val="none" w:sz="0" w:space="0" w:color="auto"/>
                                <w:left w:val="none" w:sz="0" w:space="0" w:color="auto"/>
                                <w:bottom w:val="none" w:sz="0" w:space="0" w:color="auto"/>
                                <w:right w:val="none" w:sz="0" w:space="0" w:color="auto"/>
                              </w:divBdr>
                              <w:divsChild>
                                <w:div w:id="1116825080">
                                  <w:marLeft w:val="0"/>
                                  <w:marRight w:val="0"/>
                                  <w:marTop w:val="0"/>
                                  <w:marBottom w:val="0"/>
                                  <w:divBdr>
                                    <w:top w:val="none" w:sz="0" w:space="0" w:color="auto"/>
                                    <w:left w:val="none" w:sz="0" w:space="0" w:color="auto"/>
                                    <w:bottom w:val="none" w:sz="0" w:space="0" w:color="auto"/>
                                    <w:right w:val="none" w:sz="0" w:space="0" w:color="auto"/>
                                  </w:divBdr>
                                  <w:divsChild>
                                    <w:div w:id="565650116">
                                      <w:marLeft w:val="0"/>
                                      <w:marRight w:val="0"/>
                                      <w:marTop w:val="0"/>
                                      <w:marBottom w:val="0"/>
                                      <w:divBdr>
                                        <w:top w:val="none" w:sz="0" w:space="0" w:color="auto"/>
                                        <w:left w:val="none" w:sz="0" w:space="0" w:color="auto"/>
                                        <w:bottom w:val="none" w:sz="0" w:space="0" w:color="auto"/>
                                        <w:right w:val="none" w:sz="0" w:space="0" w:color="auto"/>
                                      </w:divBdr>
                                      <w:divsChild>
                                        <w:div w:id="2018774832">
                                          <w:marLeft w:val="0"/>
                                          <w:marRight w:val="0"/>
                                          <w:marTop w:val="0"/>
                                          <w:marBottom w:val="0"/>
                                          <w:divBdr>
                                            <w:top w:val="none" w:sz="0" w:space="0" w:color="auto"/>
                                            <w:left w:val="none" w:sz="0" w:space="0" w:color="auto"/>
                                            <w:bottom w:val="none" w:sz="0" w:space="0" w:color="auto"/>
                                            <w:right w:val="none" w:sz="0" w:space="0" w:color="auto"/>
                                          </w:divBdr>
                                          <w:divsChild>
                                            <w:div w:id="410546314">
                                              <w:marLeft w:val="0"/>
                                              <w:marRight w:val="0"/>
                                              <w:marTop w:val="0"/>
                                              <w:marBottom w:val="0"/>
                                              <w:divBdr>
                                                <w:top w:val="none" w:sz="0" w:space="0" w:color="auto"/>
                                                <w:left w:val="none" w:sz="0" w:space="0" w:color="auto"/>
                                                <w:bottom w:val="none" w:sz="0" w:space="0" w:color="auto"/>
                                                <w:right w:val="none" w:sz="0" w:space="0" w:color="auto"/>
                                              </w:divBdr>
                                              <w:divsChild>
                                                <w:div w:id="98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962278">
      <w:bodyDiv w:val="1"/>
      <w:marLeft w:val="0"/>
      <w:marRight w:val="0"/>
      <w:marTop w:val="0"/>
      <w:marBottom w:val="0"/>
      <w:divBdr>
        <w:top w:val="none" w:sz="0" w:space="0" w:color="auto"/>
        <w:left w:val="none" w:sz="0" w:space="0" w:color="auto"/>
        <w:bottom w:val="none" w:sz="0" w:space="0" w:color="auto"/>
        <w:right w:val="none" w:sz="0" w:space="0" w:color="auto"/>
      </w:divBdr>
    </w:div>
    <w:div w:id="2140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08847399/AppData/Local/Microsoft/Windows/INetCache/Content.Outlook/6VLVMRXI/Determning%20Rurality%20Parameters.docx" TargetMode="External"/><Relationship Id="rId21" Type="http://schemas.openxmlformats.org/officeDocument/2006/relationships/hyperlink" Target="https://www2.education.vic.gov.au/pal/students-disability/policy" TargetMode="External"/><Relationship Id="rId42" Type="http://schemas.openxmlformats.org/officeDocument/2006/relationships/hyperlink" Target="tel:0370221111" TargetMode="External"/><Relationship Id="rId63" Type="http://schemas.openxmlformats.org/officeDocument/2006/relationships/hyperlink" Target="https://www.education.vic.gov.au/school/teachers/learningneeds/Pages/medical-intervention-support.aspx" TargetMode="External"/><Relationship Id="rId84" Type="http://schemas.openxmlformats.org/officeDocument/2006/relationships/hyperlink" Target="mailto:business@redenergy.com.au" TargetMode="External"/><Relationship Id="rId138" Type="http://schemas.openxmlformats.org/officeDocument/2006/relationships/hyperlink" Target="https://www2.education.vic.gov.au/pal/student-resource-package-srp-targeted-initiatives/guidance/vocational-education-and-training" TargetMode="External"/><Relationship Id="rId159" Type="http://schemas.openxmlformats.org/officeDocument/2006/relationships/hyperlink" Target="https://www2.education.vic.gov.au/pal/child-safe-standards" TargetMode="External"/><Relationship Id="rId170" Type="http://schemas.openxmlformats.org/officeDocument/2006/relationships/hyperlink" Target="https://www.education.vic.gov.au/school/teachers/teachingresources/discipline/english/Pages/litnumstrategy.aspx" TargetMode="External"/><Relationship Id="rId191" Type="http://schemas.openxmlformats.org/officeDocument/2006/relationships/hyperlink" Target="https://www2.education.vic.gov.au/pal/student-resource-package-srp-managing-budget/guidance/3-surplus-or-deficit" TargetMode="External"/><Relationship Id="rId205" Type="http://schemas.openxmlformats.org/officeDocument/2006/relationships/hyperlink" Target="https://www2.education.vic.gov.au/pal/higher-duties-teaching-service" TargetMode="External"/><Relationship Id="rId226" Type="http://schemas.openxmlformats.org/officeDocument/2006/relationships/hyperlink" Target="https://www.smartsalary.com.au/" TargetMode="External"/><Relationship Id="rId247" Type="http://schemas.openxmlformats.org/officeDocument/2006/relationships/hyperlink" Target="mailto:cashmanagement@eduction.vic.gov.au" TargetMode="External"/><Relationship Id="rId107" Type="http://schemas.openxmlformats.org/officeDocument/2006/relationships/hyperlink" Target="https://www2.education.vic.gov.au/pal/student-resource-package-srp-school-specific-programs/guidance/location-index-funding-reference" TargetMode="External"/><Relationship Id="rId11" Type="http://schemas.openxmlformats.org/officeDocument/2006/relationships/hyperlink" Target="https://www2.education.vic.gov.au/pal/student-resource-package-srp-equity-funding-student-based-funding/policy" TargetMode="External"/><Relationship Id="rId32" Type="http://schemas.openxmlformats.org/officeDocument/2006/relationships/hyperlink" Target="https://www2.education.vic.gov.au/pal/student-resource-package-srp-managing-budget/policy" TargetMode="External"/><Relationship Id="rId53" Type="http://schemas.openxmlformats.org/officeDocument/2006/relationships/hyperlink" Target="https://www2.education.vic.gov.au/pal/disability-inclusion-funding-support/policy" TargetMode="External"/><Relationship Id="rId74" Type="http://schemas.openxmlformats.org/officeDocument/2006/relationships/hyperlink" Target="https://www2.education.vic.gov.au/pal/student-resource-package-srp-equity-funding-student-based-funding/guidance/4-program-students-0" TargetMode="External"/><Relationship Id="rId128" Type="http://schemas.openxmlformats.org/officeDocument/2006/relationships/hyperlink" Target="https://www2.education.vic.gov.au/pal/student-resource-package-srp-targeted-initiatives/guidance/student-excellence-program" TargetMode="External"/><Relationship Id="rId149" Type="http://schemas.openxmlformats.org/officeDocument/2006/relationships/hyperlink" Target="http://www.education.vic.gov.au/about/programs/pages/respectfulrelationships.aspx" TargetMode="External"/><Relationship Id="rId5" Type="http://schemas.openxmlformats.org/officeDocument/2006/relationships/numbering" Target="numbering.xml"/><Relationship Id="rId95" Type="http://schemas.openxmlformats.org/officeDocument/2006/relationships/hyperlink" Target="tel:96280301" TargetMode="External"/><Relationship Id="rId160" Type="http://schemas.openxmlformats.org/officeDocument/2006/relationships/hyperlink" Target="https://www.education.vic.gov.au/about/programs/Pages/doctors.aspx" TargetMode="External"/><Relationship Id="rId181" Type="http://schemas.openxmlformats.org/officeDocument/2006/relationships/hyperlink" Target="https://edugate.eduweb.vic.gov.au/edrms/keyprocess/stfg/Pages/default.aspx" TargetMode="External"/><Relationship Id="rId216" Type="http://schemas.openxmlformats.org/officeDocument/2006/relationships/hyperlink" Target="https://www2.education.vic.gov.au/pal/student-resource-package-srp-managing-budget/guidance/4-reports" TargetMode="External"/><Relationship Id="rId237" Type="http://schemas.openxmlformats.org/officeDocument/2006/relationships/hyperlink" Target="https://www.eduweb.vic.gov.au/SRP/reports/report.aspx?id=22" TargetMode="External"/><Relationship Id="rId22" Type="http://schemas.openxmlformats.org/officeDocument/2006/relationships/hyperlink" Target="https://www2.education.vic.gov.au/pal/student-resource-package-srp-core-student-learning-allocation-funding-student-based-funding-0" TargetMode="External"/><Relationship Id="rId43" Type="http://schemas.openxmlformats.org/officeDocument/2006/relationships/hyperlink" Target="mailto:eal@education.vic.gov.au" TargetMode="External"/><Relationship Id="rId64" Type="http://schemas.openxmlformats.org/officeDocument/2006/relationships/hyperlink" Target="https://www2.education.vic.gov.au/pal/student-resource-package-srp-equity-funding-student-based-funding/guidance/10-eal-contingency" TargetMode="External"/><Relationship Id="rId118" Type="http://schemas.openxmlformats.org/officeDocument/2006/relationships/hyperlink" Target="https://www2.education.vic.gov.au/pal/languages-education/guidance/language-assistants-program" TargetMode="External"/><Relationship Id="rId139" Type="http://schemas.openxmlformats.org/officeDocument/2006/relationships/hyperlink" Target="mailto:youth.participation@education.vic.gov.au" TargetMode="External"/><Relationship Id="rId85" Type="http://schemas.openxmlformats.org/officeDocument/2006/relationships/hyperlink" Target="tel:1300322067" TargetMode="External"/><Relationship Id="rId150" Type="http://schemas.openxmlformats.org/officeDocument/2006/relationships/hyperlink" Target="mailto:respectful.relationships@education.vic.gov.au" TargetMode="External"/><Relationship Id="rId171" Type="http://schemas.openxmlformats.org/officeDocument/2006/relationships/hyperlink" Target="https://www2.education.vic.gov.au/pal/mylns-initiative/policy" TargetMode="External"/><Relationship Id="rId192" Type="http://schemas.openxmlformats.org/officeDocument/2006/relationships/hyperlink" Target="https://www2.education.vic.gov.au/pal/student-resource-package-srp-managing-budget/guidance/4-reports" TargetMode="External"/><Relationship Id="rId206" Type="http://schemas.openxmlformats.org/officeDocument/2006/relationships/hyperlink" Target="https://www2.education.vic.gov.au/pal/transfer-and-promotion-teaching-service/overview" TargetMode="External"/><Relationship Id="rId227" Type="http://schemas.openxmlformats.org/officeDocument/2006/relationships/hyperlink" Target="mailto:studentresourcepackage@education.vic.gov.au" TargetMode="External"/><Relationship Id="rId248" Type="http://schemas.openxmlformats.org/officeDocument/2006/relationships/hyperlink" Target="https://www2.education.vic.gov.au/pal/student-resource-package-srp-managing-budget/guidance/servicegateway.eduweb.vic.gov.au" TargetMode="External"/><Relationship Id="rId12" Type="http://schemas.openxmlformats.org/officeDocument/2006/relationships/hyperlink" Target="https://www.education.vic.gov.au/PAL/srp-rurality-rates.xlsx" TargetMode="External"/><Relationship Id="rId33" Type="http://schemas.openxmlformats.org/officeDocument/2006/relationships/hyperlink" Target="https://www2.education.vic.gov.au/pal/student-resource-package-srp-school-infrastructure/policy" TargetMode="External"/><Relationship Id="rId108" Type="http://schemas.openxmlformats.org/officeDocument/2006/relationships/hyperlink" Target="https://www2.education.vic.gov.au/pal/student-resource-package-srp-school-specific-programs/guidance/marc/macc-teachers-science-and" TargetMode="External"/><Relationship Id="rId129" Type="http://schemas.openxmlformats.org/officeDocument/2006/relationships/hyperlink" Target="https://www2.education.vic.gov.au/pal/student-resource-package-srp-targeted-initiatives/guidance/vce-revision-lectures-reference-121" TargetMode="External"/><Relationship Id="rId54" Type="http://schemas.openxmlformats.org/officeDocument/2006/relationships/hyperlink" Target="https://www2.education.vic.gov.au/pal/student-support-groups/policy" TargetMode="External"/><Relationship Id="rId75" Type="http://schemas.openxmlformats.org/officeDocument/2006/relationships/hyperlink" Target="https://www2.education.vic.gov.au/pal/disability-inclusion-profile/policy" TargetMode="External"/><Relationship Id="rId96" Type="http://schemas.openxmlformats.org/officeDocument/2006/relationships/hyperlink" Target="https://www2.education.vic.gov.au/pal/school-maintenance-plans-rfe/policy" TargetMode="External"/><Relationship Id="rId140" Type="http://schemas.openxmlformats.org/officeDocument/2006/relationships/hyperlink" Target="https://www2.education.vic.gov.au/pal/vocational-education-and-training-vet-delivered-secondary-students/resources" TargetMode="External"/><Relationship Id="rId161" Type="http://schemas.openxmlformats.org/officeDocument/2006/relationships/hyperlink" Target="mailto:doctors.in.schools@education.vic.gov.au" TargetMode="External"/><Relationship Id="rId182" Type="http://schemas.openxmlformats.org/officeDocument/2006/relationships/hyperlink" Target="https://www2.education.vic.gov.au/pal/vocational-and-applied-learning-coordination/policy" TargetMode="External"/><Relationship Id="rId217" Type="http://schemas.openxmlformats.org/officeDocument/2006/relationships/hyperlink" Target="https://www2.education.vic.gov.au/pal/student-resource-package-srp-managing-budget/guidance/4-reports" TargetMode="External"/><Relationship Id="rId6" Type="http://schemas.openxmlformats.org/officeDocument/2006/relationships/styles" Target="styles.xml"/><Relationship Id="rId238" Type="http://schemas.openxmlformats.org/officeDocument/2006/relationships/hyperlink" Target="https://www.eduweb.vic.gov.au/SRP/reports/default.aspx?DisplayContext=1" TargetMode="External"/><Relationship Id="rId23" Type="http://schemas.openxmlformats.org/officeDocument/2006/relationships/hyperlink" Target="https://www2.education.vic.gov.au/pal/student-resource-package-srp-equity-funding-student-based-funding/guidance" TargetMode="External"/><Relationship Id="rId119" Type="http://schemas.openxmlformats.org/officeDocument/2006/relationships/hyperlink" Target="https://itt.abs.gov.au/itt/r.jsp?ABSMaps" TargetMode="External"/><Relationship Id="rId44" Type="http://schemas.openxmlformats.org/officeDocument/2006/relationships/hyperlink" Target="https://edugate.eduweb.vic.gov.au/Services/Finance/Pages/SFO.aspx" TargetMode="External"/><Relationship Id="rId65" Type="http://schemas.openxmlformats.org/officeDocument/2006/relationships/hyperlink" Target="https://www2.education.vic.gov.au/pal/student-resource-package-srp-equity-funding-student-based-funding/guidance/10-eal-contingency" TargetMode="External"/><Relationship Id="rId86" Type="http://schemas.openxmlformats.org/officeDocument/2006/relationships/hyperlink" Target="mailto:vicgov@agl.com.au" TargetMode="External"/><Relationship Id="rId130" Type="http://schemas.openxmlformats.org/officeDocument/2006/relationships/hyperlink" Target="https://www2.education.vic.gov.au/pal/student-resource-package-srp-targeted-initiatives/guidance/professional-learning-communities" TargetMode="External"/><Relationship Id="rId151" Type="http://schemas.openxmlformats.org/officeDocument/2006/relationships/hyperlink" Target="https://www.eduweb.vic.gov.au/forms/school/spreports/default.asp" TargetMode="External"/><Relationship Id="rId172" Type="http://schemas.openxmlformats.org/officeDocument/2006/relationships/hyperlink" Target="https://www2.education.vic.gov.au/pal/mylns-initiative/policy" TargetMode="External"/><Relationship Id="rId193" Type="http://schemas.openxmlformats.org/officeDocument/2006/relationships/hyperlink" Target="https://www2.education.vic.gov.au/pal/student-resource-package-srp-managing-budget/guidance/5-planning" TargetMode="External"/><Relationship Id="rId207" Type="http://schemas.openxmlformats.org/officeDocument/2006/relationships/hyperlink" Target="https://www2.education.vic.gov.au/pal/student-resource-package-srp-managing-budget/guidance/2-relief-staffing" TargetMode="External"/><Relationship Id="rId228" Type="http://schemas.openxmlformats.org/officeDocument/2006/relationships/hyperlink" Target="tel:1800641943" TargetMode="External"/><Relationship Id="rId249" Type="http://schemas.openxmlformats.org/officeDocument/2006/relationships/hyperlink" Target="tel:031800641943" TargetMode="External"/><Relationship Id="rId13" Type="http://schemas.openxmlformats.org/officeDocument/2006/relationships/hyperlink" Target="https://www.abs.gov.au/AUSSTATS/abs@.nsf/Latestproducts/1270.0.55.005Main%20Features15July%202016" TargetMode="External"/><Relationship Id="rId109" Type="http://schemas.openxmlformats.org/officeDocument/2006/relationships/hyperlink" Target="https://www2.education.vic.gov.au/pal/student-resource-package-srp-school-specific-programs/guidance/instrumental-music-programs" TargetMode="External"/><Relationship Id="rId34" Type="http://schemas.openxmlformats.org/officeDocument/2006/relationships/hyperlink" Target="https://www2.education.vic.gov.au/pal/student-resource-package-srp-school-specific-programs/policy" TargetMode="External"/><Relationship Id="rId55" Type="http://schemas.openxmlformats.org/officeDocument/2006/relationships/hyperlink" Target="https://www.eduweb.vic.gov.au/PSDMS/Home.aspx" TargetMode="External"/><Relationship Id="rId76" Type="http://schemas.openxmlformats.org/officeDocument/2006/relationships/hyperlink" Target="https://www2.education.vic.gov.au/pal/disability-inclusion-funding-support/guidance/tier-3-student-level-funding" TargetMode="External"/><Relationship Id="rId97" Type="http://schemas.openxmlformats.org/officeDocument/2006/relationships/hyperlink" Target="mailto:vsba.asset.management@education.vic.gov.au" TargetMode="External"/><Relationship Id="rId120" Type="http://schemas.openxmlformats.org/officeDocument/2006/relationships/hyperlink" Target="https://www.education.vic.gov.au/PAL/student-resource-package-determning-rurality-parameters.docx" TargetMode="External"/><Relationship Id="rId141" Type="http://schemas.openxmlformats.org/officeDocument/2006/relationships/hyperlink" Target="https://www.education.vic.gov.au/school/teachers/teachingresources/careers/work/Pages/apprentice.aspx" TargetMode="External"/><Relationship Id="rId7" Type="http://schemas.openxmlformats.org/officeDocument/2006/relationships/settings" Target="settings.xml"/><Relationship Id="rId162" Type="http://schemas.openxmlformats.org/officeDocument/2006/relationships/hyperlink" Target="https://www2.education.vic.gov.au/pal/career-education-funding-accountability-and-reporting-requirements/policy" TargetMode="External"/><Relationship Id="rId183" Type="http://schemas.openxmlformats.org/officeDocument/2006/relationships/hyperlink" Target="mailto:pathways.reform@education.vic.gov.au" TargetMode="External"/><Relationship Id="rId218" Type="http://schemas.openxmlformats.org/officeDocument/2006/relationships/hyperlink" Target="https://servicegateway.eduweb.vic.gov.au/MSMSelfService/AutoGen.aspx?page=22" TargetMode="External"/><Relationship Id="rId239" Type="http://schemas.openxmlformats.org/officeDocument/2006/relationships/hyperlink" Target="https://www.eduweb.vic.gov.au/srp/login.aspx?returnUrl=%2fSRP%2freports%2freport.aspx%3fid%3d25" TargetMode="External"/><Relationship Id="rId250" Type="http://schemas.openxmlformats.org/officeDocument/2006/relationships/hyperlink" Target="https://www2.education.vic.gov.au/pal/student-resource-package-srp-managing-budget/guidance/servicegateway.eduweb.vic.gov.au" TargetMode="External"/><Relationship Id="rId24" Type="http://schemas.openxmlformats.org/officeDocument/2006/relationships/hyperlink" Target="https://www.schoolbuildings.vic.gov.au/blog/Pages/Supported-Inclusion-Schools.aspx" TargetMode="External"/><Relationship Id="rId45" Type="http://schemas.openxmlformats.org/officeDocument/2006/relationships/hyperlink" Target="https://www.education.vic.gov.au/school/teachers/learningneeds/Pages/student-support-groups.aspx" TargetMode="External"/><Relationship Id="rId66" Type="http://schemas.openxmlformats.org/officeDocument/2006/relationships/hyperlink" Target="mailto:eal@education.vic.gov.au" TargetMode="External"/><Relationship Id="rId87" Type="http://schemas.openxmlformats.org/officeDocument/2006/relationships/hyperlink" Target="tel:1300793477" TargetMode="External"/><Relationship Id="rId110" Type="http://schemas.openxmlformats.org/officeDocument/2006/relationships/hyperlink" Target="https://www2.education.vic.gov.au/pal/student-resource-package-srp-school-specific-programs/guidance/country-area-program-grant" TargetMode="External"/><Relationship Id="rId131" Type="http://schemas.openxmlformats.org/officeDocument/2006/relationships/hyperlink" Target="https://www2.education.vic.gov.au/pal/student-engagement" TargetMode="External"/><Relationship Id="rId152" Type="http://schemas.openxmlformats.org/officeDocument/2006/relationships/hyperlink" Target="https://edugate.eduweb.vic.gov.au/edrms/KOD/Pages/KLNP.aspx" TargetMode="External"/><Relationship Id="rId173" Type="http://schemas.openxmlformats.org/officeDocument/2006/relationships/hyperlink" Target="https://www2.education.vic.gov.au/pal/mylns-initiative/policy" TargetMode="External"/><Relationship Id="rId194" Type="http://schemas.openxmlformats.org/officeDocument/2006/relationships/hyperlink" Target="https://www2.education.vic.gov.au/pal/student-resource-package-srp-managing-budget/guidance/6-reconciliation" TargetMode="External"/><Relationship Id="rId208" Type="http://schemas.openxmlformats.org/officeDocument/2006/relationships/hyperlink" Target="https://www.eduweb.vic.gov.au/srp/login.aspx?returnUrl=/srp/SalaryMischargeAmendment/default.aspx" TargetMode="External"/><Relationship Id="rId229" Type="http://schemas.openxmlformats.org/officeDocument/2006/relationships/hyperlink" Target="https://www2.education.vic.gov.au/pal/salary-rates" TargetMode="External"/><Relationship Id="rId240" Type="http://schemas.openxmlformats.org/officeDocument/2006/relationships/hyperlink" Target="https://www.eduweb.vic.gov.au/SRP/reports/default.aspx?DisplayContext=1" TargetMode="External"/><Relationship Id="rId14" Type="http://schemas.openxmlformats.org/officeDocument/2006/relationships/hyperlink" Target="https://www.abs.gov.au/ausstats/abs@.nsf/Latestproducts/05773C1D8C9F2022CA257A98001399F7?opendocument" TargetMode="External"/><Relationship Id="rId35" Type="http://schemas.openxmlformats.org/officeDocument/2006/relationships/hyperlink" Target="https://www2.education.vic.gov.au/pal/student-resource-package-srp-targeted-initiatives/policy" TargetMode="External"/><Relationship Id="rId56" Type="http://schemas.openxmlformats.org/officeDocument/2006/relationships/hyperlink" Target="https://services.educationapps.vic.gov.au/dp" TargetMode="External"/><Relationship Id="rId77" Type="http://schemas.openxmlformats.org/officeDocument/2006/relationships/hyperlink" Target="mailto:disability.inclusion.outcomes@education.vic.gov.au" TargetMode="External"/><Relationship Id="rId100" Type="http://schemas.openxmlformats.org/officeDocument/2006/relationships/hyperlink" Target="mailto:vsba.annual.contracts@education.vic.gov.au" TargetMode="External"/><Relationship Id="rId8" Type="http://schemas.openxmlformats.org/officeDocument/2006/relationships/webSettings" Target="webSettings.xml"/><Relationship Id="rId98" Type="http://schemas.openxmlformats.org/officeDocument/2006/relationships/hyperlink" Target="https://www2.education.vic.gov.au/pal/essential-safety-measures/policy" TargetMode="External"/><Relationship Id="rId121" Type="http://schemas.openxmlformats.org/officeDocument/2006/relationships/hyperlink" Target="https://www2.education.vic.gov.au/pal/student-resource-package-srp-school-specific-programs/guidance/marc/macc-teachers-science-and" TargetMode="External"/><Relationship Id="rId142" Type="http://schemas.openxmlformats.org/officeDocument/2006/relationships/hyperlink" Target="http://www.education.vic.gov.au/about/programs/Pages/headstart.aspx" TargetMode="External"/><Relationship Id="rId163" Type="http://schemas.openxmlformats.org/officeDocument/2006/relationships/hyperlink" Target="https://lsv.com.au/education/order-victorian-water-safety-certificates/" TargetMode="External"/><Relationship Id="rId184" Type="http://schemas.openxmlformats.org/officeDocument/2006/relationships/hyperlink" Target="https://www2.education.vic.gov.au/pal/tutor-learning-initiative-2021/policy" TargetMode="External"/><Relationship Id="rId219" Type="http://schemas.openxmlformats.org/officeDocument/2006/relationships/hyperlink" Target="https://servicegateway.eduweb.vic.gov.au/MSMSelfService/AutoGen.aspx?page=22" TargetMode="External"/><Relationship Id="rId230" Type="http://schemas.openxmlformats.org/officeDocument/2006/relationships/hyperlink" Target="https://www.education.vic.gov.au/Documents/school/teachers/management/finance/srp-leave-portal-user-guide.pdf" TargetMode="External"/><Relationship Id="rId251" Type="http://schemas.openxmlformats.org/officeDocument/2006/relationships/hyperlink" Target="https://www.eduweb.vic.gov.au/srp/login.aspx?returnUrl=/srp/SalaryMischargeAmendment/default.aspx" TargetMode="External"/><Relationship Id="rId25" Type="http://schemas.openxmlformats.org/officeDocument/2006/relationships/hyperlink" Target="https://www2.education.vic.gov.au/pal/student-resource-package/policy" TargetMode="External"/><Relationship Id="rId46" Type="http://schemas.openxmlformats.org/officeDocument/2006/relationships/hyperlink" Target="https://www.education.vic.gov.au/school/teachers/management/finance/Pages/swdsystems.aspx" TargetMode="External"/><Relationship Id="rId67" Type="http://schemas.openxmlformats.org/officeDocument/2006/relationships/hyperlink" Target="mailto:eal@education.vic.gov.au" TargetMode="External"/><Relationship Id="rId88" Type="http://schemas.openxmlformats.org/officeDocument/2006/relationships/hyperlink" Target="mailto:vicgovernment@originenergy.com.au" TargetMode="External"/><Relationship Id="rId111" Type="http://schemas.openxmlformats.org/officeDocument/2006/relationships/hyperlink" Target="https://www2.education.vic.gov.au/pal/student-resource-package-srp-school-specific-programs/guidance/marc/macc-grant-reference-46" TargetMode="External"/><Relationship Id="rId132" Type="http://schemas.openxmlformats.org/officeDocument/2006/relationships/hyperlink" Target="https://www2.education.vic.gov.au/pal/individual-education-plans-ieps/resources" TargetMode="External"/><Relationship Id="rId153" Type="http://schemas.openxmlformats.org/officeDocument/2006/relationships/hyperlink" Target="https://edugate.eduweb.vic.gov.au/edrms/KOD/Pages/KLNP.aspx" TargetMode="External"/><Relationship Id="rId174" Type="http://schemas.openxmlformats.org/officeDocument/2006/relationships/hyperlink" Target="https://www2.education.vic.gov.au/pal/student-resource-package-srp-targeted-initiatives/resources" TargetMode="External"/><Relationship Id="rId195" Type="http://schemas.openxmlformats.org/officeDocument/2006/relationships/hyperlink" Target="https://www2.education.vic.gov.au/pal/student-resource-package-srp-managing-budget/guidance/7-cash" TargetMode="External"/><Relationship Id="rId209" Type="http://schemas.openxmlformats.org/officeDocument/2006/relationships/hyperlink" Target="https://www2.education.vic.gov.au/pal/student-resource-package-srp-managing-budget/guidance/4-reports" TargetMode="External"/><Relationship Id="rId220" Type="http://schemas.openxmlformats.org/officeDocument/2006/relationships/hyperlink" Target="https://servicegateway.eduweb.vic.gov.au/MSMSelfService/AutoGen.aspx?page=22" TargetMode="External"/><Relationship Id="rId241" Type="http://schemas.openxmlformats.org/officeDocument/2006/relationships/hyperlink" Target="https://www.eduweb.vic.gov.au/SRP/reports/default.aspx?DisplayContext=1" TargetMode="External"/><Relationship Id="rId15" Type="http://schemas.openxmlformats.org/officeDocument/2006/relationships/hyperlink" Target="https://dbr.abs.gov.au/absmaps/index.html" TargetMode="External"/><Relationship Id="rId36" Type="http://schemas.openxmlformats.org/officeDocument/2006/relationships/hyperlink" Target="https://www2.education.vic.gov.au/pal/students-disability/policy" TargetMode="External"/><Relationship Id="rId57" Type="http://schemas.openxmlformats.org/officeDocument/2006/relationships/hyperlink" Target="https://www2.education.vic.gov.au/pal/students-disability/policy" TargetMode="External"/><Relationship Id="rId78" Type="http://schemas.openxmlformats.org/officeDocument/2006/relationships/hyperlink" Target="https://www.eduweb.vic.gov.au/SchoolFacilitiesProfile/SFPW3.aspx" TargetMode="External"/><Relationship Id="rId99" Type="http://schemas.openxmlformats.org/officeDocument/2006/relationships/hyperlink" Target="https://www.nathers.gov.au/" TargetMode="External"/><Relationship Id="rId101" Type="http://schemas.openxmlformats.org/officeDocument/2006/relationships/hyperlink" Target="mailto:essential.safety.measures@education.vic.gov.au" TargetMode="External"/><Relationship Id="rId122" Type="http://schemas.openxmlformats.org/officeDocument/2006/relationships/hyperlink" Target="https://www2.education.vic.gov.au/pal/re-engagement-programs/policy" TargetMode="External"/><Relationship Id="rId143" Type="http://schemas.openxmlformats.org/officeDocument/2006/relationships/hyperlink" Target="https://www2.education.vic.gov.au/pal/purchasing-secondary-courses" TargetMode="External"/><Relationship Id="rId164" Type="http://schemas.openxmlformats.org/officeDocument/2006/relationships/hyperlink" Target="https://www.education.vic.gov.au/about/programs/Pages/headstart.aspx" TargetMode="External"/><Relationship Id="rId185" Type="http://schemas.openxmlformats.org/officeDocument/2006/relationships/hyperlink" Target="mailto:tutor@education.vic.gov.au" TargetMode="External"/><Relationship Id="rId9" Type="http://schemas.openxmlformats.org/officeDocument/2006/relationships/footnotes" Target="footnotes.xml"/><Relationship Id="rId210" Type="http://schemas.openxmlformats.org/officeDocument/2006/relationships/hyperlink" Target="https://www2.education.vic.gov.au/pal/student-resource-package-srp-managing-budget/guidance/7-cash" TargetMode="External"/><Relationship Id="rId26" Type="http://schemas.openxmlformats.org/officeDocument/2006/relationships/hyperlink" Target="https://www2.education.vic.gov.au/pal/eal-support/policy" TargetMode="External"/><Relationship Id="rId231" Type="http://schemas.openxmlformats.org/officeDocument/2006/relationships/hyperlink" Target="https://www.education.vic.gov.au/Documents/school/teachers/management/finance/srp-leave-portal-user-guide.docx" TargetMode="External"/><Relationship Id="rId252" Type="http://schemas.openxmlformats.org/officeDocument/2006/relationships/hyperlink" Target="https://www2.education.vic.gov.au/pal/school-merger-or-closure" TargetMode="External"/><Relationship Id="rId47" Type="http://schemas.openxmlformats.org/officeDocument/2006/relationships/hyperlink" Target="https://www.eduweb.vic.gov.au/PSDMS/Home.aspx" TargetMode="External"/><Relationship Id="rId68" Type="http://schemas.openxmlformats.org/officeDocument/2006/relationships/hyperlink" Target="https://www2.education.vic.gov.au/pal/student-resource-package-srp-core-student-learning-allocation-funding-student-based-funding-0" TargetMode="External"/><Relationship Id="rId89" Type="http://schemas.openxmlformats.org/officeDocument/2006/relationships/hyperlink" Target="tel:1800319299" TargetMode="External"/><Relationship Id="rId112" Type="http://schemas.openxmlformats.org/officeDocument/2006/relationships/hyperlink" Target="https://www2.education.vic.gov.au/pal/student-resource-package-srp-school-specific-programs/guidance/alternative-settings-teachers" TargetMode="External"/><Relationship Id="rId133" Type="http://schemas.openxmlformats.org/officeDocument/2006/relationships/hyperlink" Target="https://www.education.vic.gov.au/Documents/school/teachers/learningneeds/IEP_Template.pdf" TargetMode="External"/><Relationship Id="rId154" Type="http://schemas.openxmlformats.org/officeDocument/2006/relationships/hyperlink" Target="https://edugate.eduweb.vic.gov.au/edrms/KOD/KLNP/Attachments_and_Downloads/KLNP_Eligibility_Criteria.docx?Web=1" TargetMode="External"/><Relationship Id="rId175" Type="http://schemas.openxmlformats.org/officeDocument/2006/relationships/hyperlink" Target="https://www.education.vic.gov.au/school/teachers/teachingresources/high-ability-toolkit/Pages/student-excellence-programs.aspx?Redirect=1" TargetMode="External"/><Relationship Id="rId196" Type="http://schemas.openxmlformats.org/officeDocument/2006/relationships/hyperlink" Target="https://www2.education.vic.gov.au/pal/student-resource-package-srp-managing-budget/guidance/8-deficit-management-and-workforce" TargetMode="External"/><Relationship Id="rId200" Type="http://schemas.openxmlformats.org/officeDocument/2006/relationships/hyperlink" Target="https://www2.education.vic.gov.au/pal/student-resource-package-srp-managing-budget/guidance/4-reports" TargetMode="External"/><Relationship Id="rId16" Type="http://schemas.openxmlformats.org/officeDocument/2006/relationships/hyperlink" Target="https://www.education.vic.gov.au/PAL/student-resource-package-determning-rurality-parameters.docx" TargetMode="External"/><Relationship Id="rId221" Type="http://schemas.openxmlformats.org/officeDocument/2006/relationships/hyperlink" Target="https://www2.education.vic.gov.au/pal/leave-defence-reserve-service" TargetMode="External"/><Relationship Id="rId242" Type="http://schemas.openxmlformats.org/officeDocument/2006/relationships/hyperlink" Target="https://www.education.vic.gov.au/Documents/school/teachers/management/finance/planner-srp-budget-tool.pptx" TargetMode="External"/><Relationship Id="rId37" Type="http://schemas.openxmlformats.org/officeDocument/2006/relationships/hyperlink" Target="tel:1800641943" TargetMode="External"/><Relationship Id="rId58" Type="http://schemas.openxmlformats.org/officeDocument/2006/relationships/hyperlink" Target="http://www.education.vic.gov.au/school/teachers/management/finance/Pages/swdsystems.aspx" TargetMode="External"/><Relationship Id="rId79" Type="http://schemas.openxmlformats.org/officeDocument/2006/relationships/hyperlink" Target="https://www.education.vic.gov.au/Documents/school/principals/finance/ref28contclean.xls" TargetMode="External"/><Relationship Id="rId102" Type="http://schemas.openxmlformats.org/officeDocument/2006/relationships/hyperlink" Target="https://www.eduweb.vic.gov.au/SRP/reports/" TargetMode="External"/><Relationship Id="rId123" Type="http://schemas.openxmlformats.org/officeDocument/2006/relationships/hyperlink" Target="https://www2.education.vic.gov.au/pal/student-resource-package-srp-targeted-initiatives/guidance" TargetMode="External"/><Relationship Id="rId144" Type="http://schemas.openxmlformats.org/officeDocument/2006/relationships/hyperlink" Target="tel:0390321758" TargetMode="External"/><Relationship Id="rId90" Type="http://schemas.openxmlformats.org/officeDocument/2006/relationships/hyperlink" Target="https://www.eduweb.vic.gov.au/SRP/reports/default.aspx?DisplayContext=1" TargetMode="External"/><Relationship Id="rId165" Type="http://schemas.openxmlformats.org/officeDocument/2006/relationships/hyperlink" Target="https://edugate.eduweb.vic.gov.au/edrms/keyprocess/stfg/Pages/default.aspx" TargetMode="External"/><Relationship Id="rId186" Type="http://schemas.openxmlformats.org/officeDocument/2006/relationships/hyperlink" Target="mailto:graduate.induction@education.vic.gov.au" TargetMode="External"/><Relationship Id="rId211" Type="http://schemas.openxmlformats.org/officeDocument/2006/relationships/hyperlink" Target="https://www2.education.vic.gov.au/pal/student-resource-package-srp-managing-budget/guidance/4-reports" TargetMode="External"/><Relationship Id="rId232" Type="http://schemas.openxmlformats.org/officeDocument/2006/relationships/hyperlink" Target="https://www.education.vic.gov.au/Documents/school/teachers/management/finance/leave-replacement-sample.xls" TargetMode="External"/><Relationship Id="rId253" Type="http://schemas.openxmlformats.org/officeDocument/2006/relationships/hyperlink" Target="https://www.eduweb.vic.gov.au/srp/login.aspx?returnUrl=%2fSRP%2fplanner%2fdefault.aspx" TargetMode="External"/><Relationship Id="rId27" Type="http://schemas.openxmlformats.org/officeDocument/2006/relationships/hyperlink" Target="https://www2.education.vic.gov.au/pal/finance-manual/policy" TargetMode="External"/><Relationship Id="rId48" Type="http://schemas.openxmlformats.org/officeDocument/2006/relationships/hyperlink" Target="http://www.education.vic.gov.au/school/teachers/learningneeds/Pages/psdhandbook.aspx" TargetMode="External"/><Relationship Id="rId69" Type="http://schemas.openxmlformats.org/officeDocument/2006/relationships/hyperlink" Target="https://www2.education.vic.gov.au/pal/disability-inclusion-funding-support/guidance" TargetMode="External"/><Relationship Id="rId113" Type="http://schemas.openxmlformats.org/officeDocument/2006/relationships/hyperlink" Target="https://www2.education.vic.gov.au/pal/student-resource-package-srp-school-specific-programs/guidance/ancillary-settings-teachers" TargetMode="External"/><Relationship Id="rId134" Type="http://schemas.openxmlformats.org/officeDocument/2006/relationships/hyperlink" Target="https://aus01.safelinks.protection.outlook.com/?url=https%3A%2F%2Farc.educationapps.vic.gov.au%2Feventhub%2Fproviders%2FIEP&amp;data=04%7C01%7COsman.Ali-Khelil%40education.vic.gov.au%7C95767ce2b61442c0000e08da03126333%7Cd96cb3371a8744cfb69b3cec334a4c1f%7C0%7C0%7C637825674751047123%7CUnknown%7CTWFpbGZsb3d8eyJWIjoiMC4wLjAwMDAiLCJQIjoiV2luMzIiLCJBTiI6Ik1haWwiLCJXVCI6Mn0%3D%7C3000&amp;sdata=zzf1vA2nFtd1cVwfQgOnM9ETMLBwAz3TYJdgXsMfrc4%3D&amp;reserved=0" TargetMode="External"/><Relationship Id="rId80" Type="http://schemas.openxmlformats.org/officeDocument/2006/relationships/hyperlink" Target="mailto:sams@education.vic.gov.au" TargetMode="External"/><Relationship Id="rId155" Type="http://schemas.openxmlformats.org/officeDocument/2006/relationships/hyperlink" Target="mailto:koorielitnum@education.vic.gov.au" TargetMode="External"/><Relationship Id="rId176" Type="http://schemas.openxmlformats.org/officeDocument/2006/relationships/hyperlink" Target="https://edugate.eduweb.vic.gov.au/sites/i/Pages/production.aspx" TargetMode="External"/><Relationship Id="rId197" Type="http://schemas.openxmlformats.org/officeDocument/2006/relationships/hyperlink" Target="https://www2.education.vic.gov.au/pal/student-resource-package-srp-managing-budget/guidance/10-principal-classification-budget" TargetMode="External"/><Relationship Id="rId201" Type="http://schemas.openxmlformats.org/officeDocument/2006/relationships/hyperlink" Target="https://www2.education.vic.gov.au/pal/recruitment-schools" TargetMode="External"/><Relationship Id="rId222" Type="http://schemas.openxmlformats.org/officeDocument/2006/relationships/hyperlink" Target="https://www2.education.vic.gov.au/pal/recruitment-schools" TargetMode="External"/><Relationship Id="rId243" Type="http://schemas.openxmlformats.org/officeDocument/2006/relationships/hyperlink" Target="https://www2.education.vic.gov.au/pal/student-resource-package-srp-equity-funding-student-based-funding/guidance/4-program-students" TargetMode="External"/><Relationship Id="rId17" Type="http://schemas.openxmlformats.org/officeDocument/2006/relationships/hyperlink" Target="https://victoriancurriculum.vcaa.vic.edu.au/" TargetMode="External"/><Relationship Id="rId38" Type="http://schemas.openxmlformats.org/officeDocument/2006/relationships/hyperlink" Target="mailto:studentresourcepackage@education.vic.gov.au" TargetMode="External"/><Relationship Id="rId59" Type="http://schemas.openxmlformats.org/officeDocument/2006/relationships/hyperlink" Target="http://www.eduweb.vic.gov.au/psdms" TargetMode="External"/><Relationship Id="rId103" Type="http://schemas.openxmlformats.org/officeDocument/2006/relationships/hyperlink" Target="mailto:workers.compensation.corporate@education.vic.gov.au" TargetMode="External"/><Relationship Id="rId124" Type="http://schemas.openxmlformats.org/officeDocument/2006/relationships/hyperlink" Target="https://www2.education.vic.gov.au/pal/student-resource-package-srp-targeted-initiatives/guidance/primary-welfare-reference-50" TargetMode="External"/><Relationship Id="rId70" Type="http://schemas.openxmlformats.org/officeDocument/2006/relationships/hyperlink" Target="https://www2.education.vic.gov.au/pal/students-disability/policy" TargetMode="External"/><Relationship Id="rId91" Type="http://schemas.openxmlformats.org/officeDocument/2006/relationships/hyperlink" Target="mailto:" TargetMode="External"/><Relationship Id="rId145" Type="http://schemas.openxmlformats.org/officeDocument/2006/relationships/hyperlink" Target="tel:1800623681" TargetMode="External"/><Relationship Id="rId166" Type="http://schemas.openxmlformats.org/officeDocument/2006/relationships/hyperlink" Target="https://www.education.vic.gov.au/about/programs/Pages/headstart.aspx" TargetMode="External"/><Relationship Id="rId187" Type="http://schemas.openxmlformats.org/officeDocument/2006/relationships/hyperlink" Target="https://www.vic.gov.au/career-start-transforming-first-years-teaching-career" TargetMode="External"/><Relationship Id="rId1" Type="http://schemas.openxmlformats.org/officeDocument/2006/relationships/customXml" Target="../customXml/item1.xml"/><Relationship Id="rId212" Type="http://schemas.openxmlformats.org/officeDocument/2006/relationships/hyperlink" Target="https://www2.education.vic.gov.au/pal/travel-and-personal-expenses-teaching-service" TargetMode="External"/><Relationship Id="rId233" Type="http://schemas.openxmlformats.org/officeDocument/2006/relationships/hyperlink" Target="https://www2.education.vic.gov.au/pal/student-resource-package-srp-managing-budget/guidance/4-reports" TargetMode="External"/><Relationship Id="rId254" Type="http://schemas.openxmlformats.org/officeDocument/2006/relationships/hyperlink" Target="https://www2.education.vic.gov.au/pal/career-structure-teaching-service/policy-and-guidelines" TargetMode="External"/><Relationship Id="rId28" Type="http://schemas.openxmlformats.org/officeDocument/2006/relationships/hyperlink" Target="https://www2.education.vic.gov.au/pal/fiso/policy" TargetMode="External"/><Relationship Id="rId49" Type="http://schemas.openxmlformats.org/officeDocument/2006/relationships/hyperlink" Target="https://www.education.vic.gov.au/school/teachers/learningneeds/Pages/student-support-groups.aspx" TargetMode="External"/><Relationship Id="rId114" Type="http://schemas.openxmlformats.org/officeDocument/2006/relationships/hyperlink" Target="https://www2.education.vic.gov.au/pal/student-resource-package-srp-school-specific-programs/guidance/alternative-programs-regional" TargetMode="External"/><Relationship Id="rId60" Type="http://schemas.openxmlformats.org/officeDocument/2006/relationships/hyperlink" Target="https://services.educationapps.vic.gov.au/dp" TargetMode="External"/><Relationship Id="rId81" Type="http://schemas.openxmlformats.org/officeDocument/2006/relationships/hyperlink" Target="mailto:cleaning@education.vic.gov.au" TargetMode="External"/><Relationship Id="rId135" Type="http://schemas.openxmlformats.org/officeDocument/2006/relationships/hyperlink" Target="https://www.education.vic.gov.au/PAL/iep-quality-checklist-rubric.pdf" TargetMode="External"/><Relationship Id="rId156" Type="http://schemas.openxmlformats.org/officeDocument/2006/relationships/hyperlink" Target="https://edugate.eduweb.vic.gov.au/edrms/KOD/Pages/KLNP.aspx" TargetMode="External"/><Relationship Id="rId177" Type="http://schemas.openxmlformats.org/officeDocument/2006/relationships/hyperlink" Target="mailto:student.excellence@education.vic.gov.au" TargetMode="External"/><Relationship Id="rId198" Type="http://schemas.openxmlformats.org/officeDocument/2006/relationships/hyperlink" Target="http://www.education.vic.gov.au/hrweb/Documents/Staffing_policy-mergerclosure.pdf" TargetMode="External"/><Relationship Id="rId202" Type="http://schemas.openxmlformats.org/officeDocument/2006/relationships/hyperlink" Target="https://www2.education.vic.gov.au/pal/cessation-employment-teaching-service" TargetMode="External"/><Relationship Id="rId223" Type="http://schemas.openxmlformats.org/officeDocument/2006/relationships/hyperlink" Target="https://www2.education.vic.gov.au/pal/casual-relief-teachers" TargetMode="External"/><Relationship Id="rId244" Type="http://schemas.openxmlformats.org/officeDocument/2006/relationships/hyperlink" Target="https://www.eduweb.vic.gov.au/psdms/Home.aspx" TargetMode="External"/><Relationship Id="rId18" Type="http://schemas.openxmlformats.org/officeDocument/2006/relationships/hyperlink" Target="https://www.vit.vic.edu.au/registered-teacher/special-needs-plan" TargetMode="External"/><Relationship Id="rId39" Type="http://schemas.openxmlformats.org/officeDocument/2006/relationships/hyperlink" Target="https://services.educationapps.vic.gov.au/dp" TargetMode="External"/><Relationship Id="rId50" Type="http://schemas.openxmlformats.org/officeDocument/2006/relationships/hyperlink" Target="http://www.education.vic.gov.au/school/teachers/management/finance/Pages/swdsystems.aspx" TargetMode="External"/><Relationship Id="rId104" Type="http://schemas.openxmlformats.org/officeDocument/2006/relationships/hyperlink" Target="mailto:workers.compensation.advisory@edumail.vic.gov.au" TargetMode="External"/><Relationship Id="rId125" Type="http://schemas.openxmlformats.org/officeDocument/2006/relationships/hyperlink" Target="https://www2.education.vic.gov.au/pal/student-resource-package-srp-targeted-initiatives/guidance/doctors-secondary-schools-school" TargetMode="External"/><Relationship Id="rId146" Type="http://schemas.openxmlformats.org/officeDocument/2006/relationships/hyperlink" Target="mailto:vass.support@education.vic.gov.au" TargetMode="External"/><Relationship Id="rId167" Type="http://schemas.openxmlformats.org/officeDocument/2006/relationships/hyperlink" Target="https://www.education.vic.gov.au/school/teachers/health/mentalhealth/Pages/nscpchaplaincy.aspx" TargetMode="External"/><Relationship Id="rId188" Type="http://schemas.openxmlformats.org/officeDocument/2006/relationships/hyperlink" Target="mailto:innovative.ite@education.vic.gov.au" TargetMode="External"/><Relationship Id="rId71" Type="http://schemas.openxmlformats.org/officeDocument/2006/relationships/hyperlink" Target="https://www2.education.vic.gov.au/pal/disability-inclusion-funding-support/policy" TargetMode="External"/><Relationship Id="rId92" Type="http://schemas.openxmlformats.org/officeDocument/2006/relationships/hyperlink" Target="mailto:%20Brett.Duff@education.vic.gov.au" TargetMode="External"/><Relationship Id="rId213" Type="http://schemas.openxmlformats.org/officeDocument/2006/relationships/hyperlink" Target="https://www2.education.vic.gov.au/pal/student-resource-package-srp-managing-budget/guidance/4-reports" TargetMode="External"/><Relationship Id="rId234" Type="http://schemas.openxmlformats.org/officeDocument/2006/relationships/hyperlink" Target="https://www2.education.vic.gov.au/pal/student-resource-package-srp-managing-budget/guidance/4-reports" TargetMode="External"/><Relationship Id="rId2" Type="http://schemas.openxmlformats.org/officeDocument/2006/relationships/customXml" Target="../customXml/item2.xml"/><Relationship Id="rId29" Type="http://schemas.openxmlformats.org/officeDocument/2006/relationships/hyperlink" Target="https://www2.education.vic.gov.au/pal/student-enrolment-census/policy" TargetMode="External"/><Relationship Id="rId255" Type="http://schemas.openxmlformats.org/officeDocument/2006/relationships/fontTable" Target="fontTable.xml"/><Relationship Id="rId40" Type="http://schemas.openxmlformats.org/officeDocument/2006/relationships/hyperlink" Target="tel:1800641943" TargetMode="External"/><Relationship Id="rId115" Type="http://schemas.openxmlformats.org/officeDocument/2006/relationships/hyperlink" Target="https://www2.education.vic.gov.au/pal/career-structure-teaching-service" TargetMode="External"/><Relationship Id="rId136" Type="http://schemas.openxmlformats.org/officeDocument/2006/relationships/hyperlink" Target="https://edugate.eduweb.vic.gov.au/edrms/keyprocess/LEF/Pages/Home.aspx" TargetMode="External"/><Relationship Id="rId157" Type="http://schemas.openxmlformats.org/officeDocument/2006/relationships/hyperlink" Target="mailto:koorielitnum@education.vic.gov.au" TargetMode="External"/><Relationship Id="rId178" Type="http://schemas.openxmlformats.org/officeDocument/2006/relationships/hyperlink" Target="https://www.education.vic.gov.au/Documents/school/pal/VCElectures-SchoolImplementationGuide.docx" TargetMode="External"/><Relationship Id="rId61" Type="http://schemas.openxmlformats.org/officeDocument/2006/relationships/hyperlink" Target="https://www2.education.vic.gov.au/pal/behaviour-students/guidance/6-behaviour-support-plans" TargetMode="External"/><Relationship Id="rId82" Type="http://schemas.openxmlformats.org/officeDocument/2006/relationships/hyperlink" Target="https://www2.education.vic.gov.au/pal/school-maintenance-plans-rfe/policy" TargetMode="External"/><Relationship Id="rId199" Type="http://schemas.openxmlformats.org/officeDocument/2006/relationships/hyperlink" Target="https://www2.education.vic.gov.au/pal/student-resource-package-srp-managing-budget/guidance/7-cash" TargetMode="External"/><Relationship Id="rId203" Type="http://schemas.openxmlformats.org/officeDocument/2006/relationships/hyperlink" Target="https://www2.education.vic.gov.au/pal/recruitment-schools" TargetMode="External"/><Relationship Id="rId19" Type="http://schemas.openxmlformats.org/officeDocument/2006/relationships/hyperlink" Target="https://www2.education.vic.gov.au/pal/fiso" TargetMode="External"/><Relationship Id="rId224" Type="http://schemas.openxmlformats.org/officeDocument/2006/relationships/hyperlink" Target="https://www2.education.vic.gov.au/pal/student-resource-package-srp-managing-budget/guidance/4-reports" TargetMode="External"/><Relationship Id="rId245" Type="http://schemas.openxmlformats.org/officeDocument/2006/relationships/hyperlink" Target="https://services.educationapps.vic.gov.au/dp" TargetMode="External"/><Relationship Id="rId30" Type="http://schemas.openxmlformats.org/officeDocument/2006/relationships/hyperlink" Target="https://www2.education.vic.gov.au/pal/student-resource-package/policy" TargetMode="External"/><Relationship Id="rId105" Type="http://schemas.openxmlformats.org/officeDocument/2006/relationships/hyperlink" Target="https://www2.education.vic.gov.au/pal/student-resource-package-srp-school-infrastructure/policy" TargetMode="External"/><Relationship Id="rId126" Type="http://schemas.openxmlformats.org/officeDocument/2006/relationships/hyperlink" Target="https://www2.education.vic.gov.au/pal/student-resource-package-srp-targeted-initiatives/guidance/head-start-reference-116" TargetMode="External"/><Relationship Id="rId147" Type="http://schemas.openxmlformats.org/officeDocument/2006/relationships/hyperlink" Target="https://www.education.vic.gov.au/about/programs/pages/respectfulrelationships.aspx" TargetMode="External"/><Relationship Id="rId168" Type="http://schemas.openxmlformats.org/officeDocument/2006/relationships/hyperlink" Target="mailto:student.engagement@education.vic.gov.au" TargetMode="External"/><Relationship Id="rId51" Type="http://schemas.openxmlformats.org/officeDocument/2006/relationships/hyperlink" Target="http://www.eduweb.vic.gov.au/psdms" TargetMode="External"/><Relationship Id="rId72" Type="http://schemas.openxmlformats.org/officeDocument/2006/relationships/hyperlink" Target="https://www2.education.vic.gov.au/pal/student-resource-package-srp-core-student-learning-allocation-funding-student-based-funding-0" TargetMode="External"/><Relationship Id="rId93" Type="http://schemas.openxmlformats.org/officeDocument/2006/relationships/hyperlink" Target="https://www.myswep.com.au/" TargetMode="External"/><Relationship Id="rId189" Type="http://schemas.openxmlformats.org/officeDocument/2006/relationships/hyperlink" Target="https://www2.education.vic.gov.au/pal/student-resource-package-srp-managing-budget/guidance/1-salary-and-related-expenditure" TargetMode="External"/><Relationship Id="rId3" Type="http://schemas.openxmlformats.org/officeDocument/2006/relationships/customXml" Target="../customXml/item3.xml"/><Relationship Id="rId214" Type="http://schemas.openxmlformats.org/officeDocument/2006/relationships/hyperlink" Target="https://www.eduweb.vic.gov.au/srp/" TargetMode="External"/><Relationship Id="rId235" Type="http://schemas.openxmlformats.org/officeDocument/2006/relationships/hyperlink" Target="https://www.eduweb.vic.gov.au/srp/login.aspx?returnUrl=%2fSRP%2fplanner%2fdefault.aspx" TargetMode="External"/><Relationship Id="rId256" Type="http://schemas.openxmlformats.org/officeDocument/2006/relationships/theme" Target="theme/theme1.xml"/><Relationship Id="rId116" Type="http://schemas.openxmlformats.org/officeDocument/2006/relationships/hyperlink" Target="https://itt.abs.gov.au/itt/r.jsp?ABSMaps" TargetMode="External"/><Relationship Id="rId137" Type="http://schemas.openxmlformats.org/officeDocument/2006/relationships/hyperlink" Target="https://www2.education.vic.gov.au/pal/re-engagement-programs/policy" TargetMode="External"/><Relationship Id="rId158" Type="http://schemas.openxmlformats.org/officeDocument/2006/relationships/hyperlink" Target="https://www.education.vic.gov.au/about/programs/Pages/doctors.aspx" TargetMode="External"/><Relationship Id="rId20" Type="http://schemas.openxmlformats.org/officeDocument/2006/relationships/hyperlink" Target="https://www2.education.vic.gov.au/pal/student-support-groups" TargetMode="External"/><Relationship Id="rId41" Type="http://schemas.openxmlformats.org/officeDocument/2006/relationships/hyperlink" Target="https://services.educationapps.vic.gov.au/dp" TargetMode="External"/><Relationship Id="rId62" Type="http://schemas.openxmlformats.org/officeDocument/2006/relationships/hyperlink" Target="https://www2.education.vic.gov.au/pal/health-care-needs/policy" TargetMode="External"/><Relationship Id="rId83" Type="http://schemas.openxmlformats.org/officeDocument/2006/relationships/hyperlink" Target="https://www2.education.vic.gov.au/pal/student-resource-package-srp-core-student-learning-allocation-funding-student-based-funding-3-3" TargetMode="External"/><Relationship Id="rId179" Type="http://schemas.openxmlformats.org/officeDocument/2006/relationships/hyperlink" Target="mailto:rural.regional.reform@education.vic.gov.au" TargetMode="External"/><Relationship Id="rId190" Type="http://schemas.openxmlformats.org/officeDocument/2006/relationships/hyperlink" Target="https://www2.education.vic.gov.au/pal/student-resource-package-srp-managing-budget/guidance/2-relief-staffing" TargetMode="External"/><Relationship Id="rId204" Type="http://schemas.openxmlformats.org/officeDocument/2006/relationships/hyperlink" Target="https://www2.education.vic.gov.au/pal/recruitment-schools" TargetMode="External"/><Relationship Id="rId225" Type="http://schemas.openxmlformats.org/officeDocument/2006/relationships/hyperlink" Target="https://www.education.vic.gov.au/Documents/school/teachers/management/finance/2020-excel-calculator.xlsx" TargetMode="External"/><Relationship Id="rId246" Type="http://schemas.openxmlformats.org/officeDocument/2006/relationships/hyperlink" Target="https://www2.education.vic.gov.au/pal/student-resource-package-srp-school-infrastructure/guidance/contract-cleaning-reference-28" TargetMode="External"/><Relationship Id="rId106" Type="http://schemas.openxmlformats.org/officeDocument/2006/relationships/hyperlink" Target="https://www2.education.vic.gov.au/pal/student-resource-package-srp-school-specific-programs/guidance/p-12-complexity-allowance" TargetMode="External"/><Relationship Id="rId127" Type="http://schemas.openxmlformats.org/officeDocument/2006/relationships/hyperlink" Target="https://www2.education.vic.gov.au/pal/student-resource-package-srp-targeted-initiatives/guidance/middle-years-literacy-and-numeracy" TargetMode="External"/><Relationship Id="rId10" Type="http://schemas.openxmlformats.org/officeDocument/2006/relationships/endnotes" Target="endnotes.xml"/><Relationship Id="rId31" Type="http://schemas.openxmlformats.org/officeDocument/2006/relationships/hyperlink" Target="https://www2.education.vic.gov.au/pal/student-resource-package-srp-core-student-learning-allocation-funding-student-based-funding-0" TargetMode="External"/><Relationship Id="rId52" Type="http://schemas.openxmlformats.org/officeDocument/2006/relationships/hyperlink" Target="https://services.educationapps.vic.gov.au/dp?id=dp_homepage" TargetMode="External"/><Relationship Id="rId73" Type="http://schemas.openxmlformats.org/officeDocument/2006/relationships/hyperlink" Target="https://www2.education.vic.gov.au/pal/student-resource-package-srp-equity-funding-student-based-funding/guidance/disability-inclusion" TargetMode="External"/><Relationship Id="rId94" Type="http://schemas.openxmlformats.org/officeDocument/2006/relationships/hyperlink" Target="https://www.sro.vic.gov.au/forms/apply-water-and-sewerage-rebate" TargetMode="External"/><Relationship Id="rId148" Type="http://schemas.openxmlformats.org/officeDocument/2006/relationships/hyperlink" Target="https://www.education.vic.gov.au/school/teachers/teachingresources/discipline/capabilities/personal/Pages/respectfulrelschools.aspx" TargetMode="External"/><Relationship Id="rId169" Type="http://schemas.openxmlformats.org/officeDocument/2006/relationships/hyperlink" Target="tel:0370220019&#8203;" TargetMode="External"/><Relationship Id="rId4" Type="http://schemas.openxmlformats.org/officeDocument/2006/relationships/customXml" Target="../customXml/item4.xml"/><Relationship Id="rId180" Type="http://schemas.openxmlformats.org/officeDocument/2006/relationships/hyperlink" Target="https://www.education.vic.gov.au/PAL/SRP-PLC-handbook.pdf" TargetMode="External"/><Relationship Id="rId215" Type="http://schemas.openxmlformats.org/officeDocument/2006/relationships/hyperlink" Target="https://www2.education.vic.gov.au/pal/student-resource-package-srp-managing-budget/guidance/4-reports" TargetMode="External"/><Relationship Id="rId236" Type="http://schemas.openxmlformats.org/officeDocument/2006/relationships/hyperlink" Target="https://www.eduweb.vic.gov.au/srp/login.aspx?returnUrl=%2fSRP%2fplanner%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xpired xmlns="bb5ce4db-eb21-467d-b968-528655912a38">false</Expired>
    <Topic xmlns="bb5ce4db-eb21-467d-b968-528655912a38">350</Topic>
  </documentManagement>
</p:properties>
</file>

<file path=customXml/itemProps1.xml><?xml version="1.0" encoding="utf-8"?>
<ds:datastoreItem xmlns:ds="http://schemas.openxmlformats.org/officeDocument/2006/customXml" ds:itemID="{4038272C-A540-4CFD-8D16-92C1FFA95DAF}">
  <ds:schemaRefs>
    <ds:schemaRef ds:uri="http://schemas.openxmlformats.org/officeDocument/2006/bibliography"/>
  </ds:schemaRefs>
</ds:datastoreItem>
</file>

<file path=customXml/itemProps2.xml><?xml version="1.0" encoding="utf-8"?>
<ds:datastoreItem xmlns:ds="http://schemas.openxmlformats.org/officeDocument/2006/customXml" ds:itemID="{AD84B14C-ACE9-425A-85C9-FCB28428A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268BD-87BF-438E-B26A-3183313946D4}">
  <ds:schemaRefs>
    <ds:schemaRef ds:uri="http://schemas.microsoft.com/sharepoint/v3/contenttype/forms"/>
  </ds:schemaRefs>
</ds:datastoreItem>
</file>

<file path=customXml/itemProps4.xml><?xml version="1.0" encoding="utf-8"?>
<ds:datastoreItem xmlns:ds="http://schemas.openxmlformats.org/officeDocument/2006/customXml" ds:itemID="{CA0DC295-8CD6-47DD-9A9D-1D7831805C33}">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224</Pages>
  <Words>46026</Words>
  <Characters>262349</Characters>
  <Application>Microsoft Office Word</Application>
  <DocSecurity>0</DocSecurity>
  <Lines>2186</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2022-05-11T23:24:00Z</dcterms:created>
  <dcterms:modified xsi:type="dcterms:W3CDTF">2022-05-11T23:24:00Z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